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333-277611</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2018030</wp:posOffset>
            </wp:positionH>
            <wp:positionV relativeFrom="paragraph">
              <wp:posOffset>168910</wp:posOffset>
            </wp:positionV>
            <wp:extent cx="19970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6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5"/>
          <w:szCs w:val="25"/>
          <w:b w:val="1"/>
          <w:bCs w:val="1"/>
          <w:color w:val="auto"/>
        </w:rPr>
        <w:t>14,455,006 Shares</w:t>
      </w:r>
    </w:p>
    <w:p>
      <w:pPr>
        <w:spacing w:after="0" w:line="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94" w:lineRule="exact"/>
        <w:rPr>
          <w:sz w:val="24"/>
          <w:szCs w:val="24"/>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relates to the offer and sale, from time to time, of up to 14,455,006 shares of our Class A common stock, par value $0.01 per share (the “Class A common stock”), by the selling securityholders (the “selling securityholders”) identified in this prospectus supplement. We will not receive any proceeds from the sale of shares of our Class A common stock covered by this prospectus supplement. We will pay all expenses of the registration of the Class A common stock and certain other expenses.</w:t>
      </w:r>
    </w:p>
    <w:p>
      <w:pPr>
        <w:spacing w:after="0" w:line="75" w:lineRule="exact"/>
        <w:rPr>
          <w:sz w:val="24"/>
          <w:szCs w:val="24"/>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The registration of the offer and sale of shares of our Class A common stock covered by this prospectus supplement satisfies certain contractual obligations and does not necessarily mean that the selling securityholders identified in this prospectus supplement will offer to sell any of the shares of Class A common stock offered hereby.</w:t>
      </w:r>
    </w:p>
    <w:p>
      <w:pPr>
        <w:spacing w:after="0" w:line="68" w:lineRule="exact"/>
        <w:rPr>
          <w:sz w:val="24"/>
          <w:szCs w:val="24"/>
          <w:color w:val="auto"/>
        </w:rPr>
      </w:pPr>
    </w:p>
    <w:p>
      <w:pPr>
        <w:ind w:firstLine="360"/>
        <w:spacing w:after="0" w:line="274" w:lineRule="auto"/>
        <w:rPr>
          <w:sz w:val="20"/>
          <w:szCs w:val="20"/>
          <w:color w:val="auto"/>
        </w:rPr>
      </w:pPr>
      <w:r>
        <w:rPr>
          <w:rFonts w:ascii="Times New Roman" w:cs="Times New Roman" w:eastAsia="Times New Roman" w:hAnsi="Times New Roman"/>
          <w:sz w:val="17"/>
          <w:szCs w:val="17"/>
          <w:color w:val="auto"/>
        </w:rPr>
        <w:t>The selling securityholders will act independently in making decisions with respect to the timing, manner and size of any sale or non-sale related transfer. The selling securityholders may sell these shares in one or more transactions (including one or more underwritten offerings) at the market price for our Class A common stock prevailing at the time of sale, a price related to the prevailing market price, a negotiated price or such other price as the selling securityholders determines from time to time. See “Plan of Distribution.” Our Class A common stock is listed on the NASDAQ Global Select Market (the “NASDAQ”) under the symbol “NFE.” The last reported sales price of our Class A common stock on the NASDAQ on February 13, 2025 was $11.83 per share.</w:t>
      </w:r>
    </w:p>
    <w:p>
      <w:pPr>
        <w:spacing w:after="0" w:line="6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Investing in shares of our Class A common stock involves a high degree of risk. Before buying any shares of our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you should carefully consider the risks that we have described in “Risk Factors” beginning on page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of this prospectus supplement, in the accompanying prospectus and in the documents incorporated or deemed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 into this prospectus supplement and accompanying prospectus.</w:t>
      </w:r>
    </w:p>
    <w:p>
      <w:pPr>
        <w:spacing w:after="0" w:line="95" w:lineRule="exact"/>
        <w:rPr>
          <w:sz w:val="24"/>
          <w:szCs w:val="24"/>
          <w:color w:val="auto"/>
        </w:rPr>
      </w:pPr>
    </w:p>
    <w:p>
      <w:pPr>
        <w:jc w:val="both"/>
        <w:ind w:right="1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9500"/>
          </w:cols>
          <w:pgMar w:left="1200" w:top="223"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date of this prospectus supplement is February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3" w:right="1199"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40" w:type="dxa"/>
            <w:vAlign w:val="bottom"/>
            <w:gridSpan w:val="9"/>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4"/>
        </w:trPr>
        <w:tc>
          <w:tcPr>
            <w:tcW w:w="77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80" w:type="dxa"/>
            <w:vAlign w:val="bottom"/>
            <w:tcBorders>
              <w:right w:val="single" w:sz="8" w:color="CCEEFF"/>
            </w:tcBorders>
            <w:shd w:val="clear" w:color="auto" w:fill="CCEEFF"/>
          </w:tcPr>
          <w:p>
            <w:pPr>
              <w:spacing w:after="0"/>
              <w:rPr>
                <w:sz w:val="24"/>
                <w:szCs w:val="24"/>
                <w:color w:val="auto"/>
              </w:rPr>
            </w:pP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2"/>
              </w:rPr>
              <w:t>S-ii</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77"/>
              </w:rPr>
              <w:t>S-iii</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8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S-1</w:t>
            </w:r>
          </w:p>
        </w:tc>
      </w:tr>
      <w:tr>
        <w:trPr>
          <w:trHeight w:val="189"/>
        </w:trPr>
        <w:tc>
          <w:tcPr>
            <w:tcW w:w="3280" w:type="dxa"/>
            <w:vAlign w:val="bottom"/>
            <w:tcBorders>
              <w:top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4480" w:type="dxa"/>
            <w:vAlign w:val="bottom"/>
            <w:tcBorders>
              <w:top w:val="single" w:sz="8" w:color="CCEEFF"/>
            </w:tcBorders>
            <w:gridSpan w:val="8"/>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S-3</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58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180" w:type="dxa"/>
            <w:vAlign w:val="bottom"/>
            <w:tcBorders>
              <w:bottom w:val="single" w:sz="8" w:color="CCEEFF"/>
            </w:tcBorders>
            <w:gridSpan w:val="17"/>
            <w:shd w:val="clear" w:color="auto" w:fill="CCEEFF"/>
          </w:tcPr>
          <w:p>
            <w:pPr>
              <w:spacing w:after="0"/>
              <w:rPr>
                <w:sz w:val="19"/>
                <w:szCs w:val="19"/>
                <w:color w:val="auto"/>
              </w:rPr>
            </w:pPr>
          </w:p>
        </w:tc>
        <w:tc>
          <w:tcPr>
            <w:tcW w:w="38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SECURITYHOLDERS</w:t>
            </w:r>
          </w:p>
        </w:tc>
        <w:tc>
          <w:tcPr>
            <w:tcW w:w="3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S-5</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70"/>
              </w:rPr>
              <w:t>S-20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15"/>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70"/>
              </w:rPr>
              <w:t>S-22</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70"/>
              </w:rPr>
              <w:t>S-22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70"/>
              </w:rPr>
              <w:t>S-23</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77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78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1980" w:type="dxa"/>
            <w:vAlign w:val="bottom"/>
            <w:tcBorders>
              <w:bottom w:val="single" w:sz="8" w:color="CCEEFF"/>
            </w:tcBorders>
            <w:gridSpan w:val="3"/>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THE COMPANY</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3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440" w:type="dxa"/>
            <w:vAlign w:val="bottom"/>
            <w:gridSpan w:val="7"/>
            <w:shd w:val="clear" w:color="auto" w:fill="CCEEFF"/>
          </w:tcPr>
          <w:p>
            <w:pPr>
              <w:spacing w:after="0"/>
              <w:rPr>
                <w:sz w:val="16"/>
                <w:szCs w:val="16"/>
                <w:color w:val="auto"/>
              </w:rPr>
            </w:pPr>
          </w:p>
        </w:tc>
        <w:tc>
          <w:tcPr>
            <w:tcW w:w="4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3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440" w:type="dxa"/>
            <w:vAlign w:val="bottom"/>
            <w:gridSpan w:val="7"/>
          </w:tcPr>
          <w:p>
            <w:pPr>
              <w:spacing w:after="0"/>
              <w:rPr>
                <w:sz w:val="16"/>
                <w:szCs w:val="16"/>
                <w:color w:val="auto"/>
              </w:rPr>
            </w:pPr>
          </w:p>
        </w:tc>
        <w:tc>
          <w:tcPr>
            <w:tcW w:w="4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19</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280" w:type="dxa"/>
            <w:vAlign w:val="bottom"/>
            <w:gridSpan w:val="12"/>
            <w:shd w:val="clear" w:color="auto" w:fill="CCEEFF"/>
          </w:tcPr>
          <w:p>
            <w:pPr>
              <w:spacing w:after="0"/>
              <w:rPr>
                <w:sz w:val="16"/>
                <w:szCs w:val="16"/>
                <w:color w:val="auto"/>
              </w:rPr>
            </w:pPr>
          </w:p>
        </w:tc>
        <w:tc>
          <w:tcPr>
            <w:tcW w:w="4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4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5280" w:type="dxa"/>
            <w:vAlign w:val="bottom"/>
            <w:gridSpan w:val="12"/>
          </w:tcPr>
          <w:p>
            <w:pPr>
              <w:spacing w:after="0"/>
              <w:rPr>
                <w:sz w:val="16"/>
                <w:szCs w:val="16"/>
                <w:color w:val="auto"/>
              </w:rPr>
            </w:pPr>
          </w:p>
        </w:tc>
        <w:tc>
          <w:tcPr>
            <w:tcW w:w="4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22</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U.S. FEDERAL INCOME TAX CONSIDERATIONS FOR NON-U.S. HOLDERS OF CLASS A</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720" w:type="dxa"/>
            <w:vAlign w:val="bottom"/>
          </w:tcPr>
          <w:p>
            <w:pPr>
              <w:spacing w:after="0"/>
              <w:rPr>
                <w:sz w:val="17"/>
                <w:szCs w:val="17"/>
                <w:color w:val="auto"/>
              </w:rPr>
            </w:pPr>
          </w:p>
        </w:tc>
        <w:tc>
          <w:tcPr>
            <w:tcW w:w="6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ERISA AND BENEFIT PLAN CONSIDERATIONS</w:t>
            </w:r>
          </w:p>
        </w:tc>
        <w:tc>
          <w:tcPr>
            <w:tcW w:w="6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6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140" w:type="dxa"/>
            <w:vAlign w:val="bottom"/>
            <w:gridSpan w:val="4"/>
          </w:tcPr>
          <w:p>
            <w:pPr>
              <w:spacing w:after="0"/>
              <w:rPr>
                <w:sz w:val="16"/>
                <w:szCs w:val="16"/>
                <w:color w:val="auto"/>
              </w:rPr>
            </w:pPr>
          </w:p>
        </w:tc>
        <w:tc>
          <w:tcPr>
            <w:tcW w:w="4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32</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9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not, and the selling securityholders have not,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or the selling securityholders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Securities and Exchange Commission (the “SEC”). Our shelf registration statement allows us to offer from time to time a wide array of securities. In the accompanying prospectus, we provide you with a general description of the securities we may offer from time to time under our shelf registration statement and other general information that may apply to this offering. In this prospectus supplement, we provide you with specific information about the Class A common stock that the selling securityholders may sell in this offering. This prospectus supplement, the accompanying prospectus and the documents incorporated by reference herein and therein include important information about us, our Class A common stock and other information that you should know before investing. This prospectus supplement also adds, updates and changes information contained in the accompanying prospectus. You should carefully read both this prospectus supplement and the accompanying prospectus as well as additional information described under “Where You Can Find More Information” before investing in our Class A common stock.</w:t>
      </w:r>
    </w:p>
    <w:p>
      <w:pPr>
        <w:spacing w:after="0" w:line="8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Generally, when we refer to this “prospectus supplement,” we are referring to both this prospectus supplement and the accompanying prospectus, as well as the documents incorporated by reference herein and therein. If information in this prospectus supplement is inconsistent with the accompanying prospectus, you should rely on this prospectus supplement.</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New Fortress Energy Inc. is a Delaware corporation. Our principal offices are located at 111 W. 19th Street, 8th Floor, New York, New York 10011 and our telephone number at that address is (516) 268-7400. Our website is located at www.newfortressenergy.com. The information on or otherwise accessible through our website does not constitute a part of this prospectus supplement or the accompanying prospectus and is not incorporated by reference into this prospectus supplement or the accompanying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documents incorporated by reference contain statements that are “forward-looking” within the meaning of the Private Securities Litigation Reform Act of 1995.</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89" w:lineRule="exact"/>
        <w:rPr>
          <w:sz w:val="20"/>
          <w:szCs w:val="20"/>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liquefied natural gas (“LNG”) or natural gas to be a competitive source of energy in the markets in which we operate, and seek to operate;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identified, discussed or incorporated by reference in this prospectus supplement and the accompanying prospectus, including under the section entitled “Risk Factors,” and described in our other reports filed with the SEC.</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07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79076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439" w:firstLine="360"/>
        <w:spacing w:after="0" w:line="273" w:lineRule="auto"/>
        <w:rPr>
          <w:sz w:val="20"/>
          <w:szCs w:val="20"/>
          <w:color w:val="auto"/>
        </w:rPr>
      </w:pPr>
      <w:r>
        <w:rPr>
          <w:rFonts w:ascii="Times New Roman" w:cs="Times New Roman" w:eastAsia="Times New Roman" w:hAnsi="Times New Roman"/>
          <w:sz w:val="17"/>
          <w:szCs w:val="17"/>
          <w:color w:val="auto"/>
        </w:rPr>
        <w:t>We are a global energy infrastructure company founded to help address energy poverty and accelerate the world’s transition to reliable, affordable and clean energy. We own and operate natural gas and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deliver targeted energy solutions by employing an integrated LNG supply and delivery model:</w:t>
      </w:r>
    </w:p>
    <w:p>
      <w:pPr>
        <w:spacing w:after="0" w:line="115" w:lineRule="exact"/>
        <w:rPr>
          <w:sz w:val="20"/>
          <w:szCs w:val="20"/>
          <w:color w:val="auto"/>
        </w:rPr>
      </w:pPr>
    </w:p>
    <w:p>
      <w:pPr>
        <w:jc w:val="both"/>
        <w:ind w:left="320" w:right="35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LNG and Natural Gas Supply and Liquefaction </w:t>
      </w:r>
      <w:r>
        <w:rPr>
          <w:rFonts w:ascii="Times New Roman" w:cs="Times New Roman" w:eastAsia="Times New Roman" w:hAnsi="Times New Roman"/>
          <w:sz w:val="17"/>
          <w:szCs w:val="17"/>
          <w:color w:val="auto"/>
        </w:rPr>
        <w:t>– We supply LNG and natural gas to our own power plants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1" w:lineRule="exact"/>
        <w:rPr>
          <w:sz w:val="20"/>
          <w:szCs w:val="20"/>
          <w:color w:val="auto"/>
        </w:rPr>
      </w:pPr>
    </w:p>
    <w:p>
      <w:pPr>
        <w:ind w:left="320" w:right="539"/>
        <w:spacing w:after="0" w:line="253" w:lineRule="auto"/>
        <w:rPr>
          <w:sz w:val="20"/>
          <w:szCs w:val="20"/>
          <w:color w:val="auto"/>
        </w:rPr>
      </w:pPr>
      <w:r>
        <w:rPr>
          <w:rFonts w:ascii="Times New Roman" w:cs="Times New Roman" w:eastAsia="Times New Roman" w:hAnsi="Times New Roman"/>
          <w:sz w:val="18"/>
          <w:szCs w:val="18"/>
          <w:color w:val="auto"/>
        </w:rPr>
        <w:t xml:space="preserve">We acquire our LNG from third party suppliers in open market purchases and long-term supply agreements. In July 2024, we deployed our first offshore liquefaction facility, “Fast LNG” or “FLNG,” off the shore of Altamira, Mexico (“First FLNG Facility”) to provide a source of low-cost supply of LNG. In August 2024, the First FLNG Facility completed its first cargo load and sail operation, and the first full cargo was loaded onto the </w:t>
      </w:r>
      <w:r>
        <w:rPr>
          <w:rFonts w:ascii="Times New Roman" w:cs="Times New Roman" w:eastAsia="Times New Roman" w:hAnsi="Times New Roman"/>
          <w:sz w:val="18"/>
          <w:szCs w:val="18"/>
          <w:i w:val="1"/>
          <w:iCs w:val="1"/>
          <w:color w:val="auto"/>
        </w:rPr>
        <w:t>Energos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Princess </w:t>
      </w:r>
      <w:r>
        <w:rPr>
          <w:rFonts w:ascii="Times New Roman" w:cs="Times New Roman" w:eastAsia="Times New Roman" w:hAnsi="Times New Roman"/>
          <w:sz w:val="18"/>
          <w:szCs w:val="18"/>
          <w:color w:val="auto"/>
        </w:rPr>
        <w:t>vessel and set sail for Europe on September 30, 2024.</w:t>
      </w:r>
    </w:p>
    <w:p>
      <w:pPr>
        <w:spacing w:after="0" w:line="77" w:lineRule="exact"/>
        <w:rPr>
          <w:sz w:val="20"/>
          <w:szCs w:val="20"/>
          <w:color w:val="auto"/>
        </w:rPr>
      </w:pPr>
    </w:p>
    <w:p>
      <w:pPr>
        <w:ind w:left="320" w:right="51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Shipping </w:t>
      </w:r>
      <w:r>
        <w:rPr>
          <w:rFonts w:ascii="Times New Roman" w:cs="Times New Roman" w:eastAsia="Times New Roman" w:hAnsi="Times New Roman"/>
          <w:sz w:val="17"/>
          <w:szCs w:val="17"/>
          <w:color w:val="auto"/>
        </w:rPr>
        <w:t>– We lease, own or operate a fleet of seven regasification units and 13 liquefied natural gas carriers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floating storage units. Ten vessels are owned by our former joint venture affiliate, Energos Infrastructure (“Energos”), and one is owned by NFE. We also charter vessels to and from third parties as well as from Energos.</w:t>
      </w:r>
    </w:p>
    <w:p>
      <w:pPr>
        <w:spacing w:after="0" w:line="47"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 Through our network of current and planned downstream facilities and logistics assets,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74" w:lineRule="exact"/>
        <w:rPr>
          <w:sz w:val="20"/>
          <w:szCs w:val="20"/>
          <w:color w:val="auto"/>
        </w:rPr>
      </w:pPr>
    </w:p>
    <w:p>
      <w:pPr>
        <w:jc w:val="both"/>
        <w:ind w:left="320" w:right="359" w:firstLine="360"/>
        <w:spacing w:after="0" w:line="266" w:lineRule="auto"/>
        <w:rPr>
          <w:sz w:val="20"/>
          <w:szCs w:val="20"/>
          <w:color w:val="auto"/>
        </w:rPr>
      </w:pPr>
      <w:r>
        <w:rPr>
          <w:rFonts w:ascii="Times New Roman" w:cs="Times New Roman" w:eastAsia="Times New Roman" w:hAnsi="Times New Roman"/>
          <w:sz w:val="18"/>
          <w:szCs w:val="18"/>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operations at the following facilities:</w:t>
      </w:r>
    </w:p>
    <w:p>
      <w:pPr>
        <w:spacing w:after="0" w:line="117" w:lineRule="exact"/>
        <w:rPr>
          <w:sz w:val="20"/>
          <w:szCs w:val="20"/>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storage and regasification facility at the Port of Montego Bay, Jamaica;</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Old Harbour, Jamaica;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52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45218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dual-fired combined heat and power facility in Clarendon, Jamaica;</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landed micro-fuel handling facility in San Juan, Puerto Rico;</w:t>
      </w:r>
    </w:p>
    <w:p>
      <w:pPr>
        <w:spacing w:after="0" w:line="117" w:lineRule="exact"/>
        <w:rPr>
          <w:rFonts w:ascii="Times New Roman" w:cs="Times New Roman" w:eastAsia="Times New Roman" w:hAnsi="Times New Roman"/>
          <w:sz w:val="18"/>
          <w:szCs w:val="18"/>
          <w:color w:val="auto"/>
        </w:rPr>
      </w:pPr>
    </w:p>
    <w:p>
      <w:pPr>
        <w:ind w:left="1020" w:right="67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receiving facility and gas-fired power plant at the Port of Pichilingue in Baja California Sur, Mexico;</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floating storage and regasification unit located in Barcarena, Brazil;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First FLNG Facility.</w:t>
      </w:r>
    </w:p>
    <w:p>
      <w:pPr>
        <w:spacing w:after="0" w:line="117"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In addition, we are currently developing facilities in Brazil, Nicaragua, Ireland and other locations, as described in more detail in our Annual Report on Form 10-K for the year ended December 31, 2023 and in our Quarterly Reports on Form 10-Q for the three, six and nine months ended March 31, 2024, June 30, 2024 and September 30, 2024. As more of our projects further develop and come online, we expect that our net capital expenditures, defined as cash payments for new and under-development projects less proceeds from related asset sales and direct asset refinancings, will decrease significantly in 2025, which we believe will beneficially impact our liquidity and operational flexibility.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68"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 is located at 111 W. 19th Street, 8th Floor, New York, New York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Before you invest in our Class A common stock, in addition to the other information in this prospectus supplement, the accompanying prospectus, the documents incorporated by reference herein or therein or other offering materials, you should carefully consider the risk factors in any prospectus supplement as well as the risk factors under the heading “Risk Factors” contained in Part I, Item 1A. in our Annual Report on Form 10-K for the year ended December 31, 2023 and in our Quarterly Reports on Form 10-Q for the quarters ended March 31, 2024, June 30, 2024 and September 30, 2024, which are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by the selling securityholders in this offering. We will pay all expenses of the registration of the Class A common stock and certain other expenses. See “Selling Securityholders.”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1300" w:right="1400"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the resale from time to time of up to a total of 14,455,006 shares of our Class A common stock by the selling securityholders identified in this prospectus supplement, including the pledgees, donees, transferees or other successors in interest of the selling securityholders. The shares of our Class A common stock being sold by the selling securityholders in this offering were originally issued by the Company in satisfaction of the Company’s commitment fee obligations under certain exchange and subscription agreements described in our Current Report on Form 8-K filed with the SEC on December 11, 2024. The entities listed under “Selling Securityholder” in the table below and/or their affiliates are party to a Registration Rights Agreement with us pursuant to which such entities and their respective permitted transferees have the right to require us to register such shares under the Securities Act of 1933, as amended (the “Securities Act”), for sale into the public markets.</w:t>
      </w:r>
    </w:p>
    <w:p>
      <w:pPr>
        <w:spacing w:after="0" w:line="80" w:lineRule="exact"/>
        <w:rPr>
          <w:sz w:val="20"/>
          <w:szCs w:val="20"/>
          <w:color w:val="auto"/>
        </w:rPr>
      </w:pPr>
    </w:p>
    <w:p>
      <w:pPr>
        <w:ind w:left="1300" w:right="144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current beneficial ownership of the selling securityholders, the number of shares of Class A common stock being offered hereby by the selling securityholders and information with respect to shares to be beneficially owned by the selling securityholders after completion of this offering, assuming all shares that may be offered from time to time by the selling securityholders pursuant to this prospectus supplement are sold.</w:t>
      </w:r>
    </w:p>
    <w:p>
      <w:pPr>
        <w:spacing w:after="0" w:line="75" w:lineRule="exact"/>
        <w:rPr>
          <w:sz w:val="20"/>
          <w:szCs w:val="20"/>
          <w:color w:val="auto"/>
        </w:rPr>
      </w:pPr>
    </w:p>
    <w:p>
      <w:pPr>
        <w:ind w:left="1300" w:right="1340"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beneficial ownership as provided by the selling securityholders to us and 272,662,355 shares of our Class A common stock issued and outstanding as of February 14,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this</w:t>
            </w:r>
          </w:p>
        </w:tc>
        <w:tc>
          <w:tcPr>
            <w:tcW w:w="220" w:type="dxa"/>
            <w:vAlign w:val="bottom"/>
          </w:tcPr>
          <w:p>
            <w:pPr>
              <w:spacing w:after="0"/>
              <w:rPr>
                <w:sz w:val="12"/>
                <w:szCs w:val="12"/>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AB Active ETFs, Inc. - AB High Yield ETF</w:t>
            </w:r>
            <w:r>
              <w:rPr>
                <w:rFonts w:ascii="Times New Roman" w:cs="Times New Roman" w:eastAsia="Times New Roman" w:hAnsi="Times New Roman"/>
                <w:sz w:val="28"/>
                <w:szCs w:val="28"/>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5,687</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AB Active ETFs, Inc. - AB Short Duration High Yield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ETF</w:t>
            </w:r>
            <w:r>
              <w:rPr>
                <w:rFonts w:ascii="Times New Roman" w:cs="Times New Roman" w:eastAsia="Times New Roman" w:hAnsi="Times New Roman"/>
                <w:sz w:val="13"/>
                <w:szCs w:val="13"/>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38,964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38,964</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AB Active ETFs, Inc. - AB Short Duration Income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ETF</w:t>
            </w:r>
            <w:r>
              <w:rPr>
                <w:rFonts w:ascii="Times New Roman" w:cs="Times New Roman" w:eastAsia="Times New Roman" w:hAnsi="Times New Roman"/>
                <w:sz w:val="29"/>
                <w:szCs w:val="29"/>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AB Bond Fund, Inc. - AB Income Fund</w:t>
            </w:r>
            <w:r>
              <w:rPr>
                <w:rFonts w:ascii="Times New Roman" w:cs="Times New Roman" w:eastAsia="Times New Roman" w:hAnsi="Times New Roman"/>
                <w:sz w:val="28"/>
                <w:szCs w:val="28"/>
                <w:color w:val="auto"/>
                <w:vertAlign w:val="superscript"/>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106,620</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106,620</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AB Collective Investment Trust Series – AB US High</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Yield Collective Trust</w:t>
            </w:r>
            <w:r>
              <w:rPr>
                <w:rFonts w:ascii="Times New Roman" w:cs="Times New Roman" w:eastAsia="Times New Roman" w:hAnsi="Times New Roman"/>
                <w:sz w:val="29"/>
                <w:szCs w:val="2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15,294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AB FCP I - American Income Portfolio</w:t>
            </w:r>
            <w:r>
              <w:rPr>
                <w:rFonts w:ascii="Times New Roman" w:cs="Times New Roman" w:eastAsia="Times New Roman" w:hAnsi="Times New Roman"/>
                <w:sz w:val="28"/>
                <w:szCs w:val="28"/>
                <w:color w:val="auto"/>
                <w:vertAlign w:val="superscript"/>
              </w:rPr>
              <w:t>(3)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890,031</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890,031</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AB FCP I - Global High Yield Portfolio</w:t>
            </w:r>
            <w:r>
              <w:rPr>
                <w:rFonts w:ascii="Times New Roman" w:cs="Times New Roman" w:eastAsia="Times New Roman" w:hAnsi="Times New Roman"/>
                <w:sz w:val="28"/>
                <w:szCs w:val="28"/>
                <w:color w:val="auto"/>
                <w:vertAlign w:val="superscript"/>
              </w:rPr>
              <w:t>(3)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578,067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578,067</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AB High Income Fund, Inc.</w:t>
            </w:r>
            <w:r>
              <w:rPr>
                <w:rFonts w:ascii="Times New Roman" w:cs="Times New Roman" w:eastAsia="Times New Roman" w:hAnsi="Times New Roman"/>
                <w:sz w:val="28"/>
                <w:szCs w:val="28"/>
                <w:color w:val="auto"/>
                <w:vertAlign w:val="superscript"/>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157,134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157,134</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AB SICAV I - All Market Income Portfolio</w:t>
            </w:r>
            <w:r>
              <w:rPr>
                <w:rFonts w:ascii="Times New Roman" w:cs="Times New Roman" w:eastAsia="Times New Roman" w:hAnsi="Times New Roman"/>
                <w:sz w:val="28"/>
                <w:szCs w:val="28"/>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18,033</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AB SICAV I – Global Income Portfolio</w:t>
            </w:r>
            <w:r>
              <w:rPr>
                <w:rFonts w:ascii="Times New Roman" w:cs="Times New Roman" w:eastAsia="Times New Roman" w:hAnsi="Times New Roman"/>
                <w:sz w:val="28"/>
                <w:szCs w:val="28"/>
                <w:color w:val="auto"/>
                <w:vertAlign w:val="superscript"/>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3,971</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AB SICAV I - Short Duration High Yield Portfolio</w:t>
            </w:r>
            <w:r>
              <w:rPr>
                <w:rFonts w:ascii="Times New Roman" w:cs="Times New Roman" w:eastAsia="Times New Roman" w:hAnsi="Times New Roman"/>
                <w:sz w:val="28"/>
                <w:szCs w:val="28"/>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80,958</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AB SICAV I - US High Yield Portfolio</w:t>
            </w:r>
            <w:r>
              <w:rPr>
                <w:rFonts w:ascii="Times New Roman" w:cs="Times New Roman" w:eastAsia="Times New Roman" w:hAnsi="Times New Roman"/>
                <w:sz w:val="28"/>
                <w:szCs w:val="28"/>
                <w:color w:val="auto"/>
                <w:vertAlign w:val="superscript"/>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9,595</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ABITL Global High Yield Fund</w:t>
            </w:r>
            <w:r>
              <w:rPr>
                <w:rFonts w:ascii="Times New Roman" w:cs="Times New Roman" w:eastAsia="Times New Roman" w:hAnsi="Times New Roman"/>
                <w:sz w:val="28"/>
                <w:szCs w:val="28"/>
                <w:color w:val="auto"/>
                <w:vertAlign w:val="superscript"/>
              </w:rPr>
              <w:t>(4)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61,576</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ABITL US Umbrella Fund – ABITL US Multi-Asset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 Fund</w:t>
            </w:r>
            <w:r>
              <w:rPr>
                <w:rFonts w:ascii="Times New Roman" w:cs="Times New Roman" w:eastAsia="Times New Roman" w:hAnsi="Times New Roman"/>
                <w:sz w:val="29"/>
                <w:szCs w:val="29"/>
                <w:color w:val="auto"/>
                <w:vertAlign w:val="superscript"/>
              </w:rPr>
              <w:t>(4)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5,299</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AllianceBernstein Global High Income Fund, Inc.</w:t>
            </w:r>
            <w:r>
              <w:rPr>
                <w:rFonts w:ascii="Times New Roman" w:cs="Times New Roman" w:eastAsia="Times New Roman" w:hAnsi="Times New Roman"/>
                <w:sz w:val="28"/>
                <w:szCs w:val="28"/>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49,250</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Allianz Global Investors Fund</w:t>
            </w:r>
            <w:r>
              <w:rPr>
                <w:rFonts w:ascii="Times New Roman" w:cs="Times New Roman" w:eastAsia="Times New Roman" w:hAnsi="Times New Roman"/>
                <w:sz w:val="29"/>
                <w:szCs w:val="29"/>
                <w:color w:val="auto"/>
                <w:vertAlign w:val="superscript"/>
              </w:rPr>
              <w:t>(65)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912,852</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912,852</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w w:val="95"/>
              </w:rPr>
              <w:t>S-5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this</w:t>
            </w:r>
          </w:p>
        </w:tc>
        <w:tc>
          <w:tcPr>
            <w:tcW w:w="220" w:type="dxa"/>
            <w:vAlign w:val="bottom"/>
          </w:tcPr>
          <w:p>
            <w:pPr>
              <w:spacing w:after="0"/>
              <w:rPr>
                <w:sz w:val="12"/>
                <w:szCs w:val="12"/>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Allianz Global Investors US Short Duration High</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 Bond Fund</w:t>
            </w:r>
            <w:r>
              <w:rPr>
                <w:rFonts w:ascii="Times New Roman" w:cs="Times New Roman" w:eastAsia="Times New Roman" w:hAnsi="Times New Roman"/>
                <w:sz w:val="29"/>
                <w:szCs w:val="29"/>
                <w:color w:val="auto"/>
                <w:vertAlign w:val="superscript"/>
              </w:rPr>
              <w:t>(65)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94,538</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Allianz Short Duration High Yield Fund</w:t>
            </w:r>
            <w:r>
              <w:rPr>
                <w:rFonts w:ascii="Times New Roman" w:cs="Times New Roman" w:eastAsia="Times New Roman" w:hAnsi="Times New Roman"/>
                <w:sz w:val="28"/>
                <w:szCs w:val="28"/>
                <w:color w:val="auto"/>
                <w:vertAlign w:val="superscript"/>
              </w:rPr>
              <w:t>(5)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64,333</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64,333</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Allianz US Short Duration High Yield Fund J2019</w:t>
            </w:r>
            <w:r>
              <w:rPr>
                <w:rFonts w:ascii="Times New Roman" w:cs="Times New Roman" w:eastAsia="Times New Roman" w:hAnsi="Times New Roman"/>
                <w:sz w:val="28"/>
                <w:szCs w:val="28"/>
                <w:color w:val="auto"/>
                <w:vertAlign w:val="superscript"/>
              </w:rPr>
              <w:t>(5)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20,808</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AllianzGI Short Duration High Yield Fund</w:t>
            </w:r>
            <w:r>
              <w:rPr>
                <w:rFonts w:ascii="Times New Roman" w:cs="Times New Roman" w:eastAsia="Times New Roman" w:hAnsi="Times New Roman"/>
                <w:sz w:val="28"/>
                <w:szCs w:val="28"/>
                <w:color w:val="auto"/>
                <w:vertAlign w:val="superscript"/>
              </w:rPr>
              <w:t>(5)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64,009</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Amadeus Fund - AB Income Strategy Fund</w:t>
            </w:r>
            <w:r>
              <w:rPr>
                <w:rFonts w:ascii="Times New Roman" w:cs="Times New Roman" w:eastAsia="Times New Roman" w:hAnsi="Times New Roman"/>
                <w:sz w:val="28"/>
                <w:szCs w:val="28"/>
                <w:color w:val="auto"/>
                <w:vertAlign w:val="superscript"/>
              </w:rPr>
              <w:t>(61)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3,952</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American Funds Insurance Series American High-</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 Trust</w:t>
            </w:r>
            <w:r>
              <w:rPr>
                <w:rFonts w:ascii="Times New Roman" w:cs="Times New Roman" w:eastAsia="Times New Roman" w:hAnsi="Times New Roman"/>
                <w:sz w:val="29"/>
                <w:szCs w:val="29"/>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109,371</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109,371</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American Funds Insurance Series Asset Allocation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150,315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American Funds Insurance Series Capital Income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Builder</w:t>
            </w:r>
            <w:r>
              <w:rPr>
                <w:rFonts w:ascii="Times New Roman" w:cs="Times New Roman" w:eastAsia="Times New Roman" w:hAnsi="Times New Roman"/>
                <w:sz w:val="29"/>
                <w:szCs w:val="29"/>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American Funds Insurance Series Capital World Bond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4,095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American Funds Multi-Sector Income Fund</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1,081,186</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1,081,186</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American Funds Strategic Bond Fund</w:t>
            </w:r>
            <w:r>
              <w:rPr>
                <w:rFonts w:ascii="Times New Roman" w:cs="Times New Roman" w:eastAsia="Times New Roman" w:hAnsi="Times New Roman"/>
                <w:sz w:val="28"/>
                <w:szCs w:val="28"/>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327,772</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American High-Income Trust</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2,594,469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2,594,469</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AZL Fidelity Institutional Asset Management Multi-</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Strategy Fund</w:t>
            </w:r>
            <w:r>
              <w:rPr>
                <w:rFonts w:ascii="Times New Roman" w:cs="Times New Roman" w:eastAsia="Times New Roman" w:hAnsi="Times New Roman"/>
                <w:sz w:val="29"/>
                <w:szCs w:val="29"/>
                <w:color w:val="auto"/>
                <w:vertAlign w:val="superscript"/>
              </w:rPr>
              <w:t>(16)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2,959</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BDF Aggregator L.P.</w:t>
            </w:r>
            <w:r>
              <w:rPr>
                <w:rFonts w:ascii="Times New Roman" w:cs="Times New Roman" w:eastAsia="Times New Roman" w:hAnsi="Times New Roman"/>
                <w:sz w:val="28"/>
                <w:szCs w:val="28"/>
                <w:color w:val="auto"/>
                <w:vertAlign w:val="superscript"/>
              </w:rPr>
              <w:t>(17)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42,312</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Blackrock Balanced Capital Portfolio of Blackrock</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Series Fund, Inc.</w:t>
            </w:r>
            <w:r>
              <w:rPr>
                <w:rFonts w:ascii="Times New Roman" w:cs="Times New Roman" w:eastAsia="Times New Roman" w:hAnsi="Times New Roman"/>
                <w:sz w:val="29"/>
                <w:szCs w:val="29"/>
                <w:color w:val="auto"/>
                <w:vertAlign w:val="superscript"/>
              </w:rPr>
              <w:t>(21)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Blackrock Diversified Fixed Income Fund of Blackrock</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Funds III</w:t>
            </w:r>
            <w:r>
              <w:rPr>
                <w:rFonts w:ascii="Times New Roman" w:cs="Times New Roman" w:eastAsia="Times New Roman" w:hAnsi="Times New Roman"/>
                <w:sz w:val="29"/>
                <w:szCs w:val="29"/>
                <w:color w:val="auto"/>
                <w:vertAlign w:val="superscript"/>
              </w:rPr>
              <w:t>(22)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Blackrock Funds I ICAV - Blackrock Systematic Multi-</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Strategy ESG Screened Fund</w:t>
            </w:r>
            <w:r>
              <w:rPr>
                <w:rFonts w:ascii="Times New Roman" w:cs="Times New Roman" w:eastAsia="Times New Roman" w:hAnsi="Times New Roman"/>
                <w:sz w:val="29"/>
                <w:szCs w:val="29"/>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1,527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Individual Capacity But As Investment Sub-Advisor</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Ishares U.S. High Yield Bond Index ETF (CAD-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Hedged)</w:t>
            </w:r>
            <w:r>
              <w:rPr>
                <w:rFonts w:ascii="Times New Roman" w:cs="Times New Roman" w:eastAsia="Times New Roman" w:hAnsi="Times New Roman"/>
                <w:sz w:val="29"/>
                <w:szCs w:val="29"/>
                <w:color w:val="auto"/>
                <w:vertAlign w:val="superscript"/>
              </w:rPr>
              <w:t>(24)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7,634</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 Capacity But As Trustee Of High Yield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Credit Screened Fund</w:t>
            </w:r>
            <w:r>
              <w:rPr>
                <w:rFonts w:ascii="Times New Roman" w:cs="Times New Roman" w:eastAsia="Times New Roman" w:hAnsi="Times New Roman"/>
                <w:sz w:val="29"/>
                <w:szCs w:val="29"/>
                <w:color w:val="auto"/>
                <w:vertAlign w:val="superscript"/>
              </w:rPr>
              <w:t>(25)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15,552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Individual Capacity But As Trustee Of Systematic</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Enhanced High Yield Bond Fund</w:t>
            </w:r>
            <w:r>
              <w:rPr>
                <w:rFonts w:ascii="Times New Roman" w:cs="Times New Roman" w:eastAsia="Times New Roman" w:hAnsi="Times New Roman"/>
                <w:sz w:val="29"/>
                <w:szCs w:val="29"/>
                <w:color w:val="auto"/>
                <w:vertAlign w:val="superscript"/>
              </w:rPr>
              <w:t>(26)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13,517</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 Capacity But As Trustee Of The Los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Angeles County Employees Retirement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Association</w:t>
            </w:r>
            <w:r>
              <w:rPr>
                <w:rFonts w:ascii="Times New Roman" w:cs="Times New Roman" w:eastAsia="Times New Roman" w:hAnsi="Times New Roman"/>
                <w:sz w:val="29"/>
                <w:szCs w:val="29"/>
                <w:color w:val="auto"/>
                <w:vertAlign w:val="superscript"/>
              </w:rPr>
              <w:t>(27)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Individual Capacity But As Trustee Of The U.S. High</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Yield Bond Index Non-Lendable Fund B</w:t>
            </w:r>
            <w:r>
              <w:rPr>
                <w:rFonts w:ascii="Times New Roman" w:cs="Times New Roman" w:eastAsia="Times New Roman" w:hAnsi="Times New Roman"/>
                <w:sz w:val="29"/>
                <w:szCs w:val="29"/>
                <w:color w:val="auto"/>
                <w:vertAlign w:val="superscript"/>
              </w:rPr>
              <w:t>(28)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11,303</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 Capacity But As Trustee Of U.S. Core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4060" w:type="dxa"/>
            <w:vAlign w:val="bottom"/>
            <w:tcBorders>
              <w:bottom w:val="single" w:sz="8" w:color="CCEEFF"/>
            </w:tcBorders>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Fixed Income Balanced Risk Fund</w:t>
            </w:r>
            <w:r>
              <w:rPr>
                <w:rFonts w:ascii="Times New Roman" w:cs="Times New Roman" w:eastAsia="Times New Roman" w:hAnsi="Times New Roman"/>
                <w:sz w:val="28"/>
                <w:szCs w:val="28"/>
                <w:color w:val="auto"/>
                <w:vertAlign w:val="superscript"/>
              </w:rPr>
              <w:t>(29)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w w:val="95"/>
              </w:rPr>
              <w:t>S-6</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this</w:t>
            </w:r>
          </w:p>
        </w:tc>
        <w:tc>
          <w:tcPr>
            <w:tcW w:w="220" w:type="dxa"/>
            <w:vAlign w:val="bottom"/>
          </w:tcPr>
          <w:p>
            <w:pPr>
              <w:spacing w:after="0"/>
              <w:rPr>
                <w:sz w:val="12"/>
                <w:szCs w:val="12"/>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 Trust Company, N.A., Not in Its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 Capacity But As Trustee Of U.S. High</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Yield Bond Index Fund</w:t>
            </w:r>
            <w:r>
              <w:rPr>
                <w:rFonts w:ascii="Times New Roman" w:cs="Times New Roman" w:eastAsia="Times New Roman" w:hAnsi="Times New Roman"/>
                <w:sz w:val="29"/>
                <w:szCs w:val="29"/>
                <w:color w:val="auto"/>
                <w:vertAlign w:val="superscript"/>
              </w:rPr>
              <w:t>(30)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2,367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Blackrock Sustainable Balanced Fund, Inc.</w:t>
            </w:r>
            <w:r>
              <w:rPr>
                <w:rFonts w:ascii="Times New Roman" w:cs="Times New Roman" w:eastAsia="Times New Roman" w:hAnsi="Times New Roman"/>
                <w:sz w:val="28"/>
                <w:szCs w:val="28"/>
                <w:color w:val="auto"/>
                <w:vertAlign w:val="superscript"/>
              </w:rPr>
              <w:t>(31)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10,559</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Blackrock Systematic Multi-Strategy Alpha Master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9"/>
                <w:szCs w:val="29"/>
                <w:color w:val="auto"/>
                <w:vertAlign w:val="superscript"/>
              </w:rPr>
              <w:t>(32)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Blackrock Systematic Multi-Strategy Fund of Blackrock</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Funds IV</w:t>
            </w:r>
            <w:r>
              <w:rPr>
                <w:rFonts w:ascii="Times New Roman" w:cs="Times New Roman" w:eastAsia="Times New Roman" w:hAnsi="Times New Roman"/>
                <w:sz w:val="29"/>
                <w:szCs w:val="29"/>
                <w:color w:val="auto"/>
                <w:vertAlign w:val="superscript"/>
              </w:rPr>
              <w:t>(33)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155,741</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155,741</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Blackstone CSP-MST CRDT Fund</w:t>
            </w:r>
            <w:r>
              <w:rPr>
                <w:rFonts w:ascii="Times New Roman" w:cs="Times New Roman" w:eastAsia="Times New Roman" w:hAnsi="Times New Roman"/>
                <w:sz w:val="28"/>
                <w:szCs w:val="28"/>
                <w:color w:val="auto"/>
                <w:vertAlign w:val="superscript"/>
              </w:rPr>
              <w:t>(18)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95,173</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95,173</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Blackstone Olympus Trading Strategies Ltd.</w:t>
            </w:r>
            <w:r>
              <w:rPr>
                <w:rFonts w:ascii="Times New Roman" w:cs="Times New Roman" w:eastAsia="Times New Roman" w:hAnsi="Times New Roman"/>
                <w:sz w:val="28"/>
                <w:szCs w:val="28"/>
                <w:color w:val="auto"/>
                <w:vertAlign w:val="superscript"/>
              </w:rPr>
              <w:t>(19)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19,008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Administration of the Water and Power</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Employees’ Retirement, Disability and Death</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Insurance Plan on behalf of the Water and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Power Employees’ Retirement Plan</w:t>
            </w:r>
            <w:r>
              <w:rPr>
                <w:rFonts w:ascii="Times New Roman" w:cs="Times New Roman" w:eastAsia="Times New Roman" w:hAnsi="Times New Roman"/>
                <w:sz w:val="29"/>
                <w:szCs w:val="29"/>
                <w:color w:val="auto"/>
                <w:vertAlign w:val="superscript"/>
              </w:rPr>
              <w:t>(10)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Administration of the Water and Power</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Employees’ Retirement, Disability and Death</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Benefits Insurance Plan on behalf of the Retiree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Health Benefits Fund</w:t>
            </w:r>
            <w:r>
              <w:rPr>
                <w:rFonts w:ascii="Times New Roman" w:cs="Times New Roman" w:eastAsia="Times New Roman" w:hAnsi="Times New Roman"/>
                <w:sz w:val="29"/>
                <w:szCs w:val="29"/>
                <w:color w:val="auto"/>
                <w:vertAlign w:val="superscript"/>
              </w:rPr>
              <w:t>(10)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Capital Group Core Plus Income ETF</w:t>
            </w:r>
            <w:r>
              <w:rPr>
                <w:rFonts w:ascii="Times New Roman" w:cs="Times New Roman" w:eastAsia="Times New Roman" w:hAnsi="Times New Roman"/>
                <w:sz w:val="28"/>
                <w:szCs w:val="28"/>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89,859</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89,859</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Capital Group Core Plus Total Return Trust (US)</w:t>
            </w:r>
            <w:r>
              <w:rPr>
                <w:rFonts w:ascii="Times New Roman" w:cs="Times New Roman" w:eastAsia="Times New Roman" w:hAnsi="Times New Roman"/>
                <w:sz w:val="28"/>
                <w:szCs w:val="28"/>
                <w:color w:val="auto"/>
                <w:vertAlign w:val="superscript"/>
              </w:rPr>
              <w:t>(11)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7,418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Capital Group Global High Income Opportunities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(LUX)</w:t>
            </w:r>
            <w:r>
              <w:rPr>
                <w:rFonts w:ascii="Times New Roman" w:cs="Times New Roman" w:eastAsia="Times New Roman" w:hAnsi="Times New Roman"/>
                <w:sz w:val="29"/>
                <w:szCs w:val="29"/>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106,366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Capital Group Global Total Return Bond Fund (LUX)</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1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(7)</w:t>
            </w:r>
          </w:p>
        </w:tc>
        <w:tc>
          <w:tcPr>
            <w:tcW w:w="25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3,578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Capital Group Multi-Sector Income Fund (Canada)</w:t>
            </w:r>
            <w:r>
              <w:rPr>
                <w:rFonts w:ascii="Times New Roman" w:cs="Times New Roman" w:eastAsia="Times New Roman" w:hAnsi="Times New Roman"/>
                <w:sz w:val="28"/>
                <w:szCs w:val="28"/>
                <w:color w:val="auto"/>
                <w:vertAlign w:val="superscript"/>
              </w:rPr>
              <w:t>(12)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14,242</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Capital Group Multi-Sector Income Fund (LUX)</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81,840</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81,480</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Capital Group U.S. High-Yield Trust (US)</w:t>
            </w:r>
            <w:r>
              <w:rPr>
                <w:rFonts w:ascii="Times New Roman" w:cs="Times New Roman" w:eastAsia="Times New Roman" w:hAnsi="Times New Roman"/>
                <w:sz w:val="28"/>
                <w:szCs w:val="28"/>
                <w:color w:val="auto"/>
                <w:vertAlign w:val="superscript"/>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12,735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Capital Group U.S. Multi-Sector Income ETF</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96,197</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Capital Group UK - Global High Income</w:t>
            </w:r>
            <w:r>
              <w:rPr>
                <w:rFonts w:ascii="Times New Roman" w:cs="Times New Roman" w:eastAsia="Times New Roman" w:hAnsi="Times New Roman"/>
                <w:sz w:val="28"/>
                <w:szCs w:val="28"/>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Capital Group US High Yield Fund (LUX)</w:t>
            </w:r>
            <w:r>
              <w:rPr>
                <w:rFonts w:ascii="Times New Roman" w:cs="Times New Roman" w:eastAsia="Times New Roman" w:hAnsi="Times New Roman"/>
                <w:sz w:val="28"/>
                <w:szCs w:val="28"/>
                <w:color w:val="auto"/>
                <w:vertAlign w:val="superscript"/>
              </w:rPr>
              <w:t>(7)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10,827</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Capital Income Builder</w:t>
            </w:r>
            <w:r>
              <w:rPr>
                <w:rFonts w:ascii="Times New Roman" w:cs="Times New Roman" w:eastAsia="Times New Roman" w:hAnsi="Times New Roman"/>
                <w:sz w:val="28"/>
                <w:szCs w:val="28"/>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188,740</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188,740</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Capital World Bond Fund</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35,169</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CDK Trading LLC (Series A)</w:t>
            </w:r>
            <w:r>
              <w:rPr>
                <w:rFonts w:ascii="Times New Roman" w:cs="Times New Roman" w:eastAsia="Times New Roman" w:hAnsi="Times New Roman"/>
                <w:sz w:val="28"/>
                <w:szCs w:val="28"/>
                <w:color w:val="auto"/>
                <w:vertAlign w:val="superscript"/>
              </w:rPr>
              <w:t>(63)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61,408</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CDK Trading LLC (Series E)</w:t>
            </w:r>
            <w:r>
              <w:rPr>
                <w:rFonts w:ascii="Times New Roman" w:cs="Times New Roman" w:eastAsia="Times New Roman" w:hAnsi="Times New Roman"/>
                <w:sz w:val="28"/>
                <w:szCs w:val="28"/>
                <w:color w:val="auto"/>
                <w:vertAlign w:val="superscript"/>
              </w:rPr>
              <w:t>(63)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21,865</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COREALPHA Bond Master Portfolio Of Master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Investment Portfolio II</w:t>
            </w:r>
            <w:r>
              <w:rPr>
                <w:rFonts w:ascii="Times New Roman" w:cs="Times New Roman" w:eastAsia="Times New Roman" w:hAnsi="Times New Roman"/>
                <w:sz w:val="29"/>
                <w:szCs w:val="29"/>
                <w:color w:val="auto"/>
                <w:vertAlign w:val="superscript"/>
              </w:rPr>
              <w:t>(34)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3,261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EMBO-FONDS – Universal Investment Gesellschaft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MBH</w:t>
            </w:r>
            <w:r>
              <w:rPr>
                <w:rFonts w:ascii="Times New Roman" w:cs="Times New Roman" w:eastAsia="Times New Roman" w:hAnsi="Times New Roman"/>
                <w:sz w:val="29"/>
                <w:szCs w:val="29"/>
                <w:color w:val="auto"/>
                <w:vertAlign w:val="superscript"/>
              </w:rPr>
              <w:t>(9)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38,468</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Ente Nazionale Di Previdenza Ed Assistenza Dei</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Medici E Degli Odontoiatri</w:t>
            </w:r>
            <w:r>
              <w:rPr>
                <w:rFonts w:ascii="Times New Roman" w:cs="Times New Roman" w:eastAsia="Times New Roman" w:hAnsi="Times New Roman"/>
                <w:sz w:val="29"/>
                <w:szCs w:val="29"/>
                <w:color w:val="auto"/>
                <w:vertAlign w:val="superscript"/>
              </w:rPr>
              <w:t>(35)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6,213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FIAM Floating Rate High Income Commingled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Pool</w:t>
            </w:r>
            <w:r>
              <w:rPr>
                <w:rFonts w:ascii="Times New Roman" w:cs="Times New Roman" w:eastAsia="Times New Roman" w:hAnsi="Times New Roman"/>
                <w:sz w:val="13"/>
                <w:szCs w:val="13"/>
                <w:color w:val="auto"/>
              </w:rPr>
              <w:t>(16)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10,273</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FIAM High Yield Bond Commingled Pool</w:t>
            </w:r>
            <w:r>
              <w:rPr>
                <w:rFonts w:ascii="Times New Roman" w:cs="Times New Roman" w:eastAsia="Times New Roman" w:hAnsi="Times New Roman"/>
                <w:sz w:val="28"/>
                <w:szCs w:val="28"/>
                <w:color w:val="auto"/>
                <w:vertAlign w:val="superscript"/>
              </w:rPr>
              <w:t>(16)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29,032</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FIAM Leveraged Loan LP</w:t>
            </w:r>
            <w:r>
              <w:rPr>
                <w:rFonts w:ascii="Times New Roman" w:cs="Times New Roman" w:eastAsia="Times New Roman" w:hAnsi="Times New Roman"/>
                <w:sz w:val="28"/>
                <w:szCs w:val="28"/>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5,882</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Fidelity Advisor Series I: Fidelity Advisor Floating Rate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4060" w:type="dxa"/>
            <w:vAlign w:val="bottom"/>
            <w:tcBorders>
              <w:bottom w:val="single" w:sz="8" w:color="CCEEFF"/>
            </w:tcBorders>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High Income Fund</w:t>
            </w:r>
            <w:r>
              <w:rPr>
                <w:rFonts w:ascii="Times New Roman" w:cs="Times New Roman" w:eastAsia="Times New Roman" w:hAnsi="Times New Roman"/>
                <w:sz w:val="28"/>
                <w:szCs w:val="28"/>
                <w:color w:val="auto"/>
                <w:vertAlign w:val="superscript"/>
              </w:rPr>
              <w:t>(15)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224,466</w:t>
            </w:r>
          </w:p>
        </w:tc>
        <w:tc>
          <w:tcPr>
            <w:tcW w:w="8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224,466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w w:val="95"/>
              </w:rPr>
              <w:t>S-7</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this</w:t>
            </w:r>
          </w:p>
        </w:tc>
        <w:tc>
          <w:tcPr>
            <w:tcW w:w="220" w:type="dxa"/>
            <w:vAlign w:val="bottom"/>
          </w:tcPr>
          <w:p>
            <w:pPr>
              <w:spacing w:after="0"/>
              <w:rPr>
                <w:sz w:val="12"/>
                <w:szCs w:val="12"/>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Advisor Series II: Fidelity Advisor Limited</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Term Bond Fund</w:t>
            </w:r>
            <w:r>
              <w:rPr>
                <w:rFonts w:ascii="Times New Roman" w:cs="Times New Roman" w:eastAsia="Times New Roman" w:hAnsi="Times New Roman"/>
                <w:sz w:val="29"/>
                <w:szCs w:val="29"/>
                <w:color w:val="auto"/>
                <w:vertAlign w:val="superscript"/>
              </w:rPr>
              <w:t>(14)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5,740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Central Investment Portfolios LLC: Fidelity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Floating Rate Central Fund</w:t>
            </w:r>
            <w:r>
              <w:rPr>
                <w:rFonts w:ascii="Times New Roman" w:cs="Times New Roman" w:eastAsia="Times New Roman" w:hAnsi="Times New Roman"/>
                <w:sz w:val="29"/>
                <w:szCs w:val="29"/>
                <w:color w:val="auto"/>
                <w:vertAlign w:val="superscript"/>
              </w:rPr>
              <w:t>(14)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37,399</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Central Investment Portfolios LLC: Fidelity</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Specialized High Income Central Fund</w:t>
            </w:r>
            <w:r>
              <w:rPr>
                <w:rFonts w:ascii="Times New Roman" w:cs="Times New Roman" w:eastAsia="Times New Roman" w:hAnsi="Times New Roman"/>
                <w:sz w:val="29"/>
                <w:szCs w:val="29"/>
                <w:color w:val="auto"/>
                <w:vertAlign w:val="superscript"/>
              </w:rPr>
              <w:t>(14)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3,314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Covington Trust: Fidelity High Yield Factor</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ETF</w:t>
            </w:r>
            <w:r>
              <w:rPr>
                <w:rFonts w:ascii="Times New Roman" w:cs="Times New Roman" w:eastAsia="Times New Roman" w:hAnsi="Times New Roman"/>
                <w:sz w:val="13"/>
                <w:szCs w:val="13"/>
                <w:color w:val="auto"/>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11,196</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Covington Trust: Fidelity Sustainable High</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Yield ETF</w:t>
            </w:r>
            <w:r>
              <w:rPr>
                <w:rFonts w:ascii="Times New Roman" w:cs="Times New Roman" w:eastAsia="Times New Roman" w:hAnsi="Times New Roman"/>
                <w:sz w:val="29"/>
                <w:szCs w:val="29"/>
                <w:color w:val="auto"/>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Fidelity Floating Rate High Income Fund</w:t>
            </w:r>
            <w:r>
              <w:rPr>
                <w:rFonts w:ascii="Times New Roman" w:cs="Times New Roman" w:eastAsia="Times New Roman" w:hAnsi="Times New Roman"/>
                <w:sz w:val="28"/>
                <w:szCs w:val="28"/>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5,125</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Floating Rate High Income Multi-Asset Base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Fidelity Global High Yield Multi-Asset Base Fund</w:t>
            </w:r>
            <w:r>
              <w:rPr>
                <w:rFonts w:ascii="Times New Roman" w:cs="Times New Roman" w:eastAsia="Times New Roman" w:hAnsi="Times New Roman"/>
                <w:sz w:val="28"/>
                <w:szCs w:val="28"/>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5,977</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Income Fund: Fidelity Total Bond Fund –</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Floating Rate Securities Subportfolio</w:t>
            </w:r>
            <w:r>
              <w:rPr>
                <w:rFonts w:ascii="Times New Roman" w:cs="Times New Roman" w:eastAsia="Times New Roman" w:hAnsi="Times New Roman"/>
                <w:sz w:val="29"/>
                <w:szCs w:val="29"/>
                <w:color w:val="auto"/>
                <w:vertAlign w:val="superscript"/>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51,317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Fidelity Income Fund: Fidelity Total Bond K6 Fund</w:t>
            </w:r>
            <w:r>
              <w:rPr>
                <w:rFonts w:ascii="Times New Roman" w:cs="Times New Roman" w:eastAsia="Times New Roman" w:hAnsi="Times New Roman"/>
                <w:sz w:val="28"/>
                <w:szCs w:val="28"/>
                <w:color w:val="auto"/>
                <w:vertAlign w:val="superscript"/>
              </w:rPr>
              <w:t>(16)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21,185</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Income: Fidelity Total Bond High Income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Sub</w:t>
            </w:r>
            <w:r>
              <w:rPr>
                <w:rFonts w:ascii="Times New Roman" w:cs="Times New Roman" w:eastAsia="Times New Roman" w:hAnsi="Times New Roman"/>
                <w:sz w:val="13"/>
                <w:szCs w:val="13"/>
                <w:color w:val="auto"/>
              </w:rPr>
              <w:t>(16)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103,795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Investments Life Insurance – High Yield Bond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Account</w:t>
            </w:r>
            <w:r>
              <w:rPr>
                <w:rFonts w:ascii="Times New Roman" w:cs="Times New Roman" w:eastAsia="Times New Roman" w:hAnsi="Times New Roman"/>
                <w:sz w:val="29"/>
                <w:szCs w:val="29"/>
                <w:color w:val="auto"/>
                <w:vertAlign w:val="superscript"/>
              </w:rPr>
              <w:t>(16)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Merrimack Street Trust: Fidelity Limited Term</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Bond ETF</w:t>
            </w:r>
            <w:r>
              <w:rPr>
                <w:rFonts w:ascii="Times New Roman" w:cs="Times New Roman" w:eastAsia="Times New Roman" w:hAnsi="Times New Roman"/>
                <w:sz w:val="29"/>
                <w:szCs w:val="29"/>
                <w:color w:val="auto"/>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Merrimack Street Trust: Fidelity Sustainable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Core Plus Bond ETF</w:t>
            </w:r>
            <w:r>
              <w:rPr>
                <w:rFonts w:ascii="Times New Roman" w:cs="Times New Roman" w:eastAsia="Times New Roman" w:hAnsi="Times New Roman"/>
                <w:sz w:val="29"/>
                <w:szCs w:val="29"/>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Merrimack Street Trust: Fidelity Tactical Bond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ETF</w:t>
            </w:r>
            <w:r>
              <w:rPr>
                <w:rFonts w:ascii="Times New Roman" w:cs="Times New Roman" w:eastAsia="Times New Roman" w:hAnsi="Times New Roman"/>
                <w:sz w:val="13"/>
                <w:szCs w:val="13"/>
                <w:color w:val="auto"/>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Merrimack Street Trust: Fidelity Total Bond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ETF</w:t>
            </w:r>
            <w:r>
              <w:rPr>
                <w:rFonts w:ascii="Times New Roman" w:cs="Times New Roman" w:eastAsia="Times New Roman" w:hAnsi="Times New Roman"/>
                <w:sz w:val="13"/>
                <w:szCs w:val="13"/>
                <w:color w:val="auto"/>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59,662</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59,662</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Qualifying Investor Funds – Fidelity US Loan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5,811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Salem Street Trust: Fidelity SAI Total Bond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 – Floating Rate Securities Sub-portfolio</w:t>
            </w:r>
            <w:r>
              <w:rPr>
                <w:rFonts w:ascii="Times New Roman" w:cs="Times New Roman" w:eastAsia="Times New Roman" w:hAnsi="Times New Roman"/>
                <w:sz w:val="29"/>
                <w:szCs w:val="29"/>
                <w:color w:val="auto"/>
                <w:vertAlign w:val="superscript"/>
              </w:rPr>
              <w:t>(14)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30,121</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Salem Street Trust: Fidelity SAI Total Bond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 – High Income Sub-portfolio</w:t>
            </w:r>
            <w:r>
              <w:rPr>
                <w:rFonts w:ascii="Times New Roman" w:cs="Times New Roman" w:eastAsia="Times New Roman" w:hAnsi="Times New Roman"/>
                <w:sz w:val="29"/>
                <w:szCs w:val="29"/>
                <w:color w:val="auto"/>
                <w:vertAlign w:val="superscript"/>
              </w:rPr>
              <w:t>(14)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45,921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Salem Street Trust: Fidelity Sustainable Core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Plus Bond Fund</w:t>
            </w:r>
            <w:r>
              <w:rPr>
                <w:rFonts w:ascii="Times New Roman" w:cs="Times New Roman" w:eastAsia="Times New Roman" w:hAnsi="Times New Roman"/>
                <w:sz w:val="29"/>
                <w:szCs w:val="29"/>
                <w:color w:val="auto"/>
                <w:vertAlign w:val="superscript"/>
              </w:rPr>
              <w:t>(16)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Salem Trust: Fidelity SAI Sustainable Core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Plus Bond Fund</w:t>
            </w:r>
            <w:r>
              <w:rPr>
                <w:rFonts w:ascii="Times New Roman" w:cs="Times New Roman" w:eastAsia="Times New Roman" w:hAnsi="Times New Roman"/>
                <w:sz w:val="29"/>
                <w:szCs w:val="29"/>
                <w:color w:val="auto"/>
                <w:vertAlign w:val="superscript"/>
              </w:rPr>
              <w:t>(16)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Summer Street Trust: Fidelity Focused High</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 xml:space="preserve">Income Fund </w:t>
            </w:r>
            <w:r>
              <w:rPr>
                <w:rFonts w:ascii="Times New Roman" w:cs="Times New Roman" w:eastAsia="Times New Roman" w:hAnsi="Times New Roman"/>
                <w:sz w:val="29"/>
                <w:szCs w:val="29"/>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2,722</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Summer Street Trust: Fidelity High Income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151,680</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151,680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Fidelity Summer Street Trust: Fidelity SAI High Income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92,918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92,918</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w w:val="95"/>
              </w:rPr>
              <w:t>S-8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this</w:t>
            </w:r>
          </w:p>
        </w:tc>
        <w:tc>
          <w:tcPr>
            <w:tcW w:w="220" w:type="dxa"/>
            <w:vAlign w:val="bottom"/>
          </w:tcPr>
          <w:p>
            <w:pPr>
              <w:spacing w:after="0"/>
              <w:rPr>
                <w:sz w:val="12"/>
                <w:szCs w:val="12"/>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Summer Street Trust: Fidelity Series Floating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Rate High Income Fund</w:t>
            </w:r>
            <w:r>
              <w:rPr>
                <w:rFonts w:ascii="Times New Roman" w:cs="Times New Roman" w:eastAsia="Times New Roman" w:hAnsi="Times New Roman"/>
                <w:sz w:val="29"/>
                <w:szCs w:val="29"/>
                <w:color w:val="auto"/>
                <w:vertAlign w:val="superscript"/>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6,142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Fidelity Summer Street Trust: Fidelity Series High</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 Fund</w:t>
            </w:r>
            <w:r>
              <w:rPr>
                <w:rFonts w:ascii="Times New Roman" w:cs="Times New Roman" w:eastAsia="Times New Roman" w:hAnsi="Times New Roman"/>
                <w:sz w:val="29"/>
                <w:szCs w:val="29"/>
                <w:color w:val="auto"/>
                <w:vertAlign w:val="superscript"/>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51,010</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Summer Street Trust: Fidelity Short Duration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High Income Fund</w:t>
            </w:r>
            <w:r>
              <w:rPr>
                <w:rFonts w:ascii="Times New Roman" w:cs="Times New Roman" w:eastAsia="Times New Roman" w:hAnsi="Times New Roman"/>
                <w:sz w:val="29"/>
                <w:szCs w:val="29"/>
                <w:color w:val="auto"/>
                <w:vertAlign w:val="superscript"/>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6,569</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Fidelity U.S. High Yield Institutional Trust</w:t>
            </w:r>
            <w:r>
              <w:rPr>
                <w:rFonts w:ascii="Times New Roman" w:cs="Times New Roman" w:eastAsia="Times New Roman" w:hAnsi="Times New Roman"/>
                <w:sz w:val="28"/>
                <w:szCs w:val="28"/>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11,835</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IBM Global Strategy Fund</w:t>
            </w:r>
            <w:r>
              <w:rPr>
                <w:rFonts w:ascii="Times New Roman" w:cs="Times New Roman" w:eastAsia="Times New Roman" w:hAnsi="Times New Roman"/>
                <w:sz w:val="28"/>
                <w:szCs w:val="28"/>
                <w:color w:val="auto"/>
                <w:vertAlign w:val="superscript"/>
              </w:rPr>
              <w:t>(36)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4,277</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IMCO Global Credit LP</w:t>
            </w:r>
            <w:r>
              <w:rPr>
                <w:rFonts w:ascii="Times New Roman" w:cs="Times New Roman" w:eastAsia="Times New Roman" w:hAnsi="Times New Roman"/>
                <w:sz w:val="28"/>
                <w:szCs w:val="28"/>
                <w:color w:val="auto"/>
                <w:vertAlign w:val="superscript"/>
              </w:rPr>
              <w:t>(37)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4,438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 for which Pacific Investment Management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Company LLC serves as investment manager, adviser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and sub-advisor</w:t>
            </w:r>
            <w:r>
              <w:rPr>
                <w:rFonts w:ascii="Times New Roman" w:cs="Times New Roman" w:eastAsia="Times New Roman" w:hAnsi="Times New Roman"/>
                <w:sz w:val="29"/>
                <w:szCs w:val="29"/>
                <w:color w:val="auto"/>
                <w:vertAlign w:val="superscript"/>
              </w:rPr>
              <w:t>(62)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729,851</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729,851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ISHARES 0-5 YEAR HIGH YIELD CORPORATE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BOND ETF</w:t>
            </w:r>
            <w:r>
              <w:rPr>
                <w:rFonts w:ascii="Times New Roman" w:cs="Times New Roman" w:eastAsia="Times New Roman" w:hAnsi="Times New Roman"/>
                <w:sz w:val="29"/>
                <w:szCs w:val="29"/>
                <w:color w:val="auto"/>
                <w:vertAlign w:val="superscript"/>
              </w:rPr>
              <w:t>(38)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220,487</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220,487</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ISHARES BROAD USD HIGH YIELD CORPORATE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BOND ETF</w:t>
            </w:r>
            <w:r>
              <w:rPr>
                <w:rFonts w:ascii="Times New Roman" w:cs="Times New Roman" w:eastAsia="Times New Roman" w:hAnsi="Times New Roman"/>
                <w:sz w:val="29"/>
                <w:szCs w:val="29"/>
                <w:color w:val="auto"/>
                <w:vertAlign w:val="superscript"/>
              </w:rPr>
              <w:t>(39)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335,747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ISHARES CORE 1-5 YEAR USD BOND ETF</w:t>
            </w:r>
            <w:r>
              <w:rPr>
                <w:rFonts w:ascii="Times New Roman" w:cs="Times New Roman" w:eastAsia="Times New Roman" w:hAnsi="Times New Roman"/>
                <w:sz w:val="28"/>
                <w:szCs w:val="28"/>
                <w:color w:val="auto"/>
                <w:vertAlign w:val="superscript"/>
              </w:rPr>
              <w:t>(40)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6,764</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ISHARES CORE TOTAL USD BOND MARKET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ETF</w:t>
            </w:r>
            <w:r>
              <w:rPr>
                <w:rFonts w:ascii="Times New Roman" w:cs="Times New Roman" w:eastAsia="Times New Roman" w:hAnsi="Times New Roman"/>
                <w:sz w:val="13"/>
                <w:szCs w:val="13"/>
                <w:color w:val="auto"/>
              </w:rPr>
              <w:t>(41)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24,616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ISHARES IBONDS 2026 TERM HIGH YIELD AND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 ETF</w:t>
            </w:r>
            <w:r>
              <w:rPr>
                <w:rFonts w:ascii="Times New Roman" w:cs="Times New Roman" w:eastAsia="Times New Roman" w:hAnsi="Times New Roman"/>
                <w:sz w:val="29"/>
                <w:szCs w:val="29"/>
                <w:color w:val="auto"/>
                <w:vertAlign w:val="superscript"/>
              </w:rPr>
              <w:t>(42)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74,408</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ISHARES IBONDS 2029 TERM HIGH YIELD AND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 ETF</w:t>
            </w:r>
            <w:r>
              <w:rPr>
                <w:rFonts w:ascii="Times New Roman" w:cs="Times New Roman" w:eastAsia="Times New Roman" w:hAnsi="Times New Roman"/>
                <w:sz w:val="29"/>
                <w:szCs w:val="29"/>
                <w:color w:val="auto"/>
                <w:vertAlign w:val="superscript"/>
              </w:rPr>
              <w:t>(43)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ISHARES IBOXX $ HIGH YIELD CORPORATE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BOND ETF</w:t>
            </w:r>
            <w:r>
              <w:rPr>
                <w:rFonts w:ascii="Times New Roman" w:cs="Times New Roman" w:eastAsia="Times New Roman" w:hAnsi="Times New Roman"/>
                <w:sz w:val="29"/>
                <w:szCs w:val="29"/>
                <w:color w:val="auto"/>
                <w:vertAlign w:val="superscript"/>
              </w:rPr>
              <w:t>(44)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404,350</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404,350</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ISHARES II PUBLIC LIMITED COMPANY -</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ISHARES USD HIGH YIELD CORP BOND ESG</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UCITS ETF</w:t>
            </w:r>
            <w:r>
              <w:rPr>
                <w:rFonts w:ascii="Times New Roman" w:cs="Times New Roman" w:eastAsia="Times New Roman" w:hAnsi="Times New Roman"/>
                <w:sz w:val="29"/>
                <w:szCs w:val="29"/>
                <w:color w:val="auto"/>
                <w:vertAlign w:val="superscript"/>
              </w:rPr>
              <w:t>(45)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46,346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ISHARES II PUBLIC LIMITED COMPANY -</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ISHARES USD HIGH YIELD CORP BOND UCITS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ETF USD (DIST)</w:t>
            </w:r>
            <w:r>
              <w:rPr>
                <w:rFonts w:ascii="Times New Roman" w:cs="Times New Roman" w:eastAsia="Times New Roman" w:hAnsi="Times New Roman"/>
                <w:sz w:val="29"/>
                <w:szCs w:val="29"/>
                <w:color w:val="auto"/>
                <w:vertAlign w:val="superscript"/>
              </w:rPr>
              <w:t>(46)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17,516</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ISHARES III PLC - ISHARES BROAD $ HIGH</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YIELD CORPORATE BOND UCITS ETF</w:t>
            </w:r>
            <w:r>
              <w:rPr>
                <w:rFonts w:ascii="Times New Roman" w:cs="Times New Roman" w:eastAsia="Times New Roman" w:hAnsi="Times New Roman"/>
                <w:sz w:val="29"/>
                <w:szCs w:val="29"/>
                <w:color w:val="auto"/>
                <w:vertAlign w:val="superscript"/>
              </w:rPr>
              <w:t>(47)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18,936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ISHARES IV PUBLIC LIMITED COMPANY -</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ISHARES USD SHORT DURATION HIGH YIELD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CORP BOND UCITS ETF USD (DIST)</w:t>
            </w:r>
            <w:r>
              <w:rPr>
                <w:rFonts w:ascii="Times New Roman" w:cs="Times New Roman" w:eastAsia="Times New Roman" w:hAnsi="Times New Roman"/>
                <w:sz w:val="29"/>
                <w:szCs w:val="29"/>
                <w:color w:val="auto"/>
                <w:vertAlign w:val="superscript"/>
              </w:rPr>
              <w:t>(48)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6,864</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ISHARES PUBLIC LIMITED COMPANY - ISHARES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HIGH YIELD CORP BOND UCITS ETF</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USD (DIST)</w:t>
            </w:r>
            <w:r>
              <w:rPr>
                <w:rFonts w:ascii="Times New Roman" w:cs="Times New Roman" w:eastAsia="Times New Roman" w:hAnsi="Times New Roman"/>
                <w:sz w:val="29"/>
                <w:szCs w:val="29"/>
                <w:color w:val="auto"/>
                <w:vertAlign w:val="superscript"/>
              </w:rPr>
              <w:t>(49)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5,799</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ISHARES US &amp; INTL HIGH YIELD CORP BOND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ETF</w:t>
            </w:r>
            <w:r>
              <w:rPr>
                <w:rFonts w:ascii="Times New Roman" w:cs="Times New Roman" w:eastAsia="Times New Roman" w:hAnsi="Times New Roman"/>
                <w:sz w:val="13"/>
                <w:szCs w:val="13"/>
                <w:color w:val="auto"/>
              </w:rPr>
              <w:t>(50)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2,564</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ISHARES US FIXED INCOME BALANCED RISK</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FACTOR ETF</w:t>
            </w:r>
            <w:r>
              <w:rPr>
                <w:rFonts w:ascii="Times New Roman" w:cs="Times New Roman" w:eastAsia="Times New Roman" w:hAnsi="Times New Roman"/>
                <w:sz w:val="29"/>
                <w:szCs w:val="29"/>
                <w:color w:val="auto"/>
                <w:vertAlign w:val="superscript"/>
              </w:rPr>
              <w:t>(51)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ISHARES VI PUBLIC LIMITED COMPANY -</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ISHARES GLOBAL HIGH YIELD CORP BOND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CHF HEDGED UCITS ETF (DIST)</w:t>
            </w:r>
            <w:r>
              <w:rPr>
                <w:rFonts w:ascii="Times New Roman" w:cs="Times New Roman" w:eastAsia="Times New Roman" w:hAnsi="Times New Roman"/>
                <w:sz w:val="29"/>
                <w:szCs w:val="29"/>
                <w:color w:val="auto"/>
                <w:vertAlign w:val="superscript"/>
              </w:rPr>
              <w:t>(52)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w w:val="95"/>
              </w:rPr>
              <w:t>S-9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4" w:name="page15"/>
    <w:bookmarkEnd w:id="1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Offered</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this</w:t>
            </w:r>
          </w:p>
        </w:tc>
        <w:tc>
          <w:tcPr>
            <w:tcW w:w="220" w:type="dxa"/>
            <w:vAlign w:val="bottom"/>
          </w:tcPr>
          <w:p>
            <w:pPr>
              <w:spacing w:after="0"/>
              <w:rPr>
                <w:sz w:val="12"/>
                <w:szCs w:val="12"/>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2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48"/>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90"/>
        </w:trPr>
        <w:tc>
          <w:tcPr>
            <w:tcW w:w="4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ISHARES VI PUBLIC LIMITED COMPANY</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ISHARES GLOBAL HIGH YIELD CORP BOND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GBP HEDGED UCITS ETF (DIST)</w:t>
            </w:r>
            <w:r>
              <w:rPr>
                <w:rFonts w:ascii="Times New Roman" w:cs="Times New Roman" w:eastAsia="Times New Roman" w:hAnsi="Times New Roman"/>
                <w:sz w:val="29"/>
                <w:szCs w:val="29"/>
                <w:color w:val="auto"/>
                <w:vertAlign w:val="superscript"/>
              </w:rPr>
              <w:t>(53)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JNL/Fidelity Institutional Asset Management Total</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Bond Fund – Floating Rate Securities</w:t>
            </w:r>
            <w:r>
              <w:rPr>
                <w:rFonts w:ascii="Times New Roman" w:cs="Times New Roman" w:eastAsia="Times New Roman" w:hAnsi="Times New Roman"/>
                <w:sz w:val="29"/>
                <w:szCs w:val="29"/>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2,414</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JNL/Fidelity Institutional Asset Management Total</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Bond Fund - High Income</w:t>
            </w:r>
            <w:r>
              <w:rPr>
                <w:rFonts w:ascii="Times New Roman" w:cs="Times New Roman" w:eastAsia="Times New Roman" w:hAnsi="Times New Roman"/>
                <w:sz w:val="29"/>
                <w:szCs w:val="29"/>
                <w:color w:val="auto"/>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5,089</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JNL/PPM America Floating Rate Income Fund </w:t>
            </w:r>
            <w:r>
              <w:rPr>
                <w:rFonts w:ascii="Times New Roman" w:cs="Times New Roman" w:eastAsia="Times New Roman" w:hAnsi="Times New Roman"/>
                <w:sz w:val="28"/>
                <w:szCs w:val="28"/>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8,628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KFO Holdings II, LLC</w:t>
            </w:r>
            <w:r>
              <w:rPr>
                <w:rFonts w:ascii="Times New Roman" w:cs="Times New Roman" w:eastAsia="Times New Roman" w:hAnsi="Times New Roman"/>
                <w:sz w:val="28"/>
                <w:szCs w:val="28"/>
                <w:color w:val="auto"/>
                <w:vertAlign w:val="superscript"/>
              </w:rPr>
              <w:t>(63)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15,625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Liberty University, Inc.</w:t>
            </w:r>
            <w:r>
              <w:rPr>
                <w:rFonts w:ascii="Times New Roman" w:cs="Times New Roman" w:eastAsia="Times New Roman" w:hAnsi="Times New Roman"/>
                <w:sz w:val="28"/>
                <w:szCs w:val="28"/>
                <w:color w:val="auto"/>
                <w:vertAlign w:val="superscript"/>
              </w:rPr>
              <w:t>(66)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55,440</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55,440</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Master Trust Bank of Japan Ltd. Re: Fidelity US High</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Yield Open Mother Fund</w:t>
            </w:r>
            <w:r>
              <w:rPr>
                <w:rFonts w:ascii="Times New Roman" w:cs="Times New Roman" w:eastAsia="Times New Roman" w:hAnsi="Times New Roman"/>
                <w:sz w:val="29"/>
                <w:szCs w:val="29"/>
                <w:color w:val="auto"/>
                <w:vertAlign w:val="superscript"/>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204,926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Morningstar Alternatives Fund A Series of Morningstar</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Funds Trust</w:t>
            </w:r>
            <w:r>
              <w:rPr>
                <w:rFonts w:ascii="Times New Roman" w:cs="Times New Roman" w:eastAsia="Times New Roman" w:hAnsi="Times New Roman"/>
                <w:sz w:val="29"/>
                <w:szCs w:val="29"/>
                <w:color w:val="auto"/>
                <w:vertAlign w:val="superscript"/>
              </w:rPr>
              <w:t>(54)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Renaissance Investment Holdings Ltd.</w:t>
            </w:r>
            <w:r>
              <w:rPr>
                <w:rFonts w:ascii="Times New Roman" w:cs="Times New Roman" w:eastAsia="Times New Roman" w:hAnsi="Times New Roman"/>
                <w:sz w:val="28"/>
                <w:szCs w:val="28"/>
                <w:color w:val="auto"/>
                <w:vertAlign w:val="superscript"/>
              </w:rPr>
              <w:t>(55)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32,103</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Spruce Street Aggregator L.P.</w:t>
            </w:r>
            <w:r>
              <w:rPr>
                <w:rFonts w:ascii="Times New Roman" w:cs="Times New Roman" w:eastAsia="Times New Roman" w:hAnsi="Times New Roman"/>
                <w:sz w:val="28"/>
                <w:szCs w:val="28"/>
                <w:color w:val="auto"/>
                <w:vertAlign w:val="superscript"/>
              </w:rPr>
              <w:t>(20)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226,967</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226,967</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State of New Jersey Common Pension Fund D</w:t>
            </w:r>
            <w:r>
              <w:rPr>
                <w:rFonts w:ascii="Times New Roman" w:cs="Times New Roman" w:eastAsia="Times New Roman" w:hAnsi="Times New Roman"/>
                <w:sz w:val="28"/>
                <w:szCs w:val="28"/>
                <w:color w:val="auto"/>
                <w:vertAlign w:val="superscript"/>
              </w:rPr>
              <w:t>(64)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12,339</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State of New Mexico State Investment Council</w:t>
            </w:r>
            <w:r>
              <w:rPr>
                <w:rFonts w:ascii="Times New Roman" w:cs="Times New Roman" w:eastAsia="Times New Roman" w:hAnsi="Times New Roman"/>
                <w:sz w:val="28"/>
                <w:szCs w:val="28"/>
                <w:color w:val="auto"/>
                <w:vertAlign w:val="superscript"/>
              </w:rPr>
              <w:t>(61)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65,249</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65,249</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Stichting Bedrijfstakpensioenfonds Voor De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Detailhandel</w:t>
            </w:r>
            <w:r>
              <w:rPr>
                <w:rFonts w:ascii="Times New Roman" w:cs="Times New Roman" w:eastAsia="Times New Roman" w:hAnsi="Times New Roman"/>
                <w:sz w:val="29"/>
                <w:szCs w:val="29"/>
                <w:color w:val="auto"/>
                <w:vertAlign w:val="superscript"/>
              </w:rPr>
              <w:t>(56)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6,036</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Stichting Dela Depositary &amp; Management</w:t>
            </w:r>
            <w:r>
              <w:rPr>
                <w:rFonts w:ascii="Times New Roman" w:cs="Times New Roman" w:eastAsia="Times New Roman" w:hAnsi="Times New Roman"/>
                <w:sz w:val="28"/>
                <w:szCs w:val="28"/>
                <w:color w:val="auto"/>
                <w:vertAlign w:val="superscript"/>
              </w:rPr>
              <w:t>(57)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5,918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Stichting Pensioenfonds Medisch Specialisten</w:t>
            </w:r>
            <w:r>
              <w:rPr>
                <w:rFonts w:ascii="Times New Roman" w:cs="Times New Roman" w:eastAsia="Times New Roman" w:hAnsi="Times New Roman"/>
                <w:sz w:val="28"/>
                <w:szCs w:val="28"/>
                <w:color w:val="auto"/>
                <w:vertAlign w:val="superscript"/>
              </w:rPr>
              <w:t>(58)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Stone Mountain Investment Company LLC</w:t>
            </w:r>
            <w:r>
              <w:rPr>
                <w:rFonts w:ascii="Times New Roman" w:cs="Times New Roman" w:eastAsia="Times New Roman" w:hAnsi="Times New Roman"/>
                <w:sz w:val="28"/>
                <w:szCs w:val="28"/>
                <w:color w:val="auto"/>
                <w:vertAlign w:val="superscript"/>
              </w:rPr>
              <w:t>(66)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7,711</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Strategic Advisers Core Income Fund – FIAM Core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Investment Grade Group</w:t>
            </w:r>
            <w:r>
              <w:rPr>
                <w:rFonts w:ascii="Times New Roman" w:cs="Times New Roman" w:eastAsia="Times New Roman" w:hAnsi="Times New Roman"/>
                <w:sz w:val="29"/>
                <w:szCs w:val="29"/>
                <w:color w:val="auto"/>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1,657</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Strategic Advisers Fidelity Core Income Fund - FIAM</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Core Investment Grade Group</w:t>
            </w:r>
            <w:r>
              <w:rPr>
                <w:rFonts w:ascii="Times New Roman" w:cs="Times New Roman" w:eastAsia="Times New Roman" w:hAnsi="Times New Roman"/>
                <w:sz w:val="29"/>
                <w:szCs w:val="29"/>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6,213</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Strategic Advisers Income Opportunities Fund - FIAM</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High Income Subportfolio</w:t>
            </w:r>
            <w:r>
              <w:rPr>
                <w:rFonts w:ascii="Times New Roman" w:cs="Times New Roman" w:eastAsia="Times New Roman" w:hAnsi="Times New Roman"/>
                <w:sz w:val="29"/>
                <w:szCs w:val="29"/>
                <w:color w:val="auto"/>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10,652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The Bond Fund of America</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136,998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136,998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George and Beverly Rawlings Endowment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Foundation, Inc.</w:t>
            </w:r>
            <w:r>
              <w:rPr>
                <w:rFonts w:ascii="Times New Roman" w:cs="Times New Roman" w:eastAsia="Times New Roman" w:hAnsi="Times New Roman"/>
                <w:sz w:val="29"/>
                <w:szCs w:val="29"/>
                <w:color w:val="auto"/>
                <w:vertAlign w:val="superscript"/>
              </w:rPr>
              <w:t>(66)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3,802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The Income Fund of America</w:t>
            </w:r>
            <w:r>
              <w:rPr>
                <w:rFonts w:ascii="Times New Roman" w:cs="Times New Roman" w:eastAsia="Times New Roman" w:hAnsi="Times New Roman"/>
                <w:sz w:val="28"/>
                <w:szCs w:val="28"/>
                <w:color w:val="auto"/>
                <w:vertAlign w:val="superscript"/>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1,971,128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1,971,128</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Fund Management (Switzerland) AG On Behalf</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Kyburg Institutional Fund – Obligationen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Fremdwahrungen</w:t>
            </w:r>
            <w:r>
              <w:rPr>
                <w:rFonts w:ascii="Times New Roman" w:cs="Times New Roman" w:eastAsia="Times New Roman" w:hAnsi="Times New Roman"/>
                <w:sz w:val="29"/>
                <w:szCs w:val="29"/>
                <w:color w:val="auto"/>
                <w:vertAlign w:val="superscript"/>
              </w:rPr>
              <w:t>(59)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14,025</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US High Yield Passive Portfolio</w:t>
            </w:r>
            <w:r>
              <w:rPr>
                <w:rFonts w:ascii="Times New Roman" w:cs="Times New Roman" w:eastAsia="Times New Roman" w:hAnsi="Times New Roman"/>
                <w:sz w:val="28"/>
                <w:szCs w:val="28"/>
                <w:color w:val="auto"/>
                <w:vertAlign w:val="superscript"/>
              </w:rPr>
              <w:t>(60)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4,734</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Variable Insurance Products Fund: VIP Floating Rate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High Income Portfolio</w:t>
            </w:r>
            <w:r>
              <w:rPr>
                <w:rFonts w:ascii="Times New Roman" w:cs="Times New Roman" w:eastAsia="Times New Roman" w:hAnsi="Times New Roman"/>
                <w:sz w:val="29"/>
                <w:szCs w:val="29"/>
                <w:color w:val="auto"/>
                <w:vertAlign w:val="superscript"/>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28,760</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28,760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Variable Insurance Products Fund: VIP Floating Rate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High Income Portfolio</w:t>
            </w:r>
            <w:r>
              <w:rPr>
                <w:rFonts w:ascii="Times New Roman" w:cs="Times New Roman" w:eastAsia="Times New Roman" w:hAnsi="Times New Roman"/>
                <w:sz w:val="29"/>
                <w:szCs w:val="29"/>
                <w:color w:val="auto"/>
                <w:vertAlign w:val="superscript"/>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7,598</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Voya Short Duration High Income Fund</w:t>
            </w:r>
            <w:r>
              <w:rPr>
                <w:rFonts w:ascii="Times New Roman" w:cs="Times New Roman" w:eastAsia="Times New Roman" w:hAnsi="Times New Roman"/>
                <w:sz w:val="28"/>
                <w:szCs w:val="28"/>
                <w:color w:val="auto"/>
                <w:vertAlign w:val="superscript"/>
              </w:rPr>
              <w:t>(67)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60,625</w:t>
            </w: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60,625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WS ACCESS Global Income Opportunities Fund</w:t>
            </w:r>
            <w:r>
              <w:rPr>
                <w:rFonts w:ascii="Times New Roman" w:cs="Times New Roman" w:eastAsia="Times New Roman" w:hAnsi="Times New Roman"/>
                <w:sz w:val="29"/>
                <w:szCs w:val="29"/>
                <w:color w:val="auto"/>
                <w:vertAlign w:val="superscript"/>
              </w:rPr>
              <w:t>(8)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100965</wp:posOffset>
            </wp:positionV>
            <wp:extent cx="822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4"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shares outstanding as of February 12, 2025.</w:t>
      </w:r>
    </w:p>
    <w:p>
      <w:pPr>
        <w:spacing w:after="0" w:line="42" w:lineRule="exact"/>
        <w:rPr>
          <w:sz w:val="20"/>
          <w:szCs w:val="20"/>
          <w:color w:val="auto"/>
        </w:rPr>
      </w:pPr>
    </w:p>
    <w:p>
      <w:pPr>
        <w:ind w:left="640" w:right="69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each selling securityholder sells all of the shares of Class A common stock shown under “Shares Offered by this Prospectus Supplement.”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3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investment company registered under the Investment Company Act of 1940, as amended (the “Investment Company Act”). AllianceBernstein L.P. acts as investment adviser to and on behalf of the selling securityholder. Neil Ruffell, in his position as VP Corporate Actions of AllianceBernstein L.P., may be deemed to have voting and investment power with respect to the Class A common stock owned by the selling securityholder. AllianceBernstein Corporation is the general partner of AllianceBernstein L.P. Voting and dispositive power over the shares are exercised by the investment adviser pursuant to an investment management agreement. The address of the selling securityholder is 501 Commerce Street, Nashville, Tennessee 37203.</w:t>
      </w:r>
    </w:p>
    <w:p>
      <w:pPr>
        <w:spacing w:after="0" w:line="15"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AllianceBernstein L.P. acts as investment adviser to and on behalf of the selling securityholder. Neil Ruffell, in his position as VP Corporate Actions of AllianceBernstein L.P., may be deemed to have voting and investment power with respect to the Class A common stock owned by the selling securityholder. AllianceBernstein Corporation is the general partner of AllianceBernstein L.P. Voting and dispositive power over the shares are exercised by the investment adviser pursuant to an investment management agreement. The address of the selling securityholder is 501 Commerce Street, Nashville, Tennessee 37203.</w:t>
      </w:r>
    </w:p>
    <w:p>
      <w:pPr>
        <w:spacing w:after="0" w:line="15" w:lineRule="exact"/>
        <w:rPr>
          <w:rFonts w:ascii="Times New Roman" w:cs="Times New Roman" w:eastAsia="Times New Roman" w:hAnsi="Times New Roman"/>
          <w:sz w:val="14"/>
          <w:szCs w:val="14"/>
          <w:color w:val="auto"/>
        </w:rPr>
      </w:pPr>
    </w:p>
    <w:p>
      <w:pPr>
        <w:ind w:left="640" w:right="299" w:hanging="348"/>
        <w:spacing w:after="0" w:line="23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AllianceBernstein L.P. acts as investment adviser to and on behalf of AllianceBernstein (Luxembourg) S.a.r.l. in its capacity as management company for and on behalf of the selling securityholder. Neil Ruffell, in his position as VP Corporate Actions of AllianceBernstein L.P., may be deemed to have voting and investment power with respect to the Class A common stock owned by the selling securityholder. AllianceBernstein Corporation is the general partner of AllianceBernstein L.P. AllianceBernstein (Luxembourg) S.a.r.l. is a subsidiary of AllianceBernstein L.P. Voting and dispositive power over the shares are exercised by the investment adviser pursuant to an investment management agreement. The address of the selling securityholder is 501 Commerce Street, Nashville, Tennessee 37203.</w:t>
      </w:r>
    </w:p>
    <w:p>
      <w:pPr>
        <w:spacing w:after="0" w:line="15"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AllianceBernstein L.P. acts as investment adviser to and on behalf of AllianceBernstein Investments Taiwan Limited in its capacity as agent and as fund manager for and on behalf of the selling securityholder. AllianceBernstein Corporation is the general partner of AllianceBernstein L.P. AllianceBernstein Investments Taiwan Limited is a subsidiary of AllianceBernstein L.P. Neil Ruffell, in his position as VP Corporate Actions of AllianceBernstein L.P., may be deemed to have voting and investment power with respect to the Class A common stock owned by the selling securityholder. Voting and dispositive power over the shares are exercised by the investment adviser pursuant to an investment management agreement. The address of the selling securityholder is 501 Commerce Street, Nashville, Tennessee 37203.</w:t>
      </w:r>
    </w:p>
    <w:p>
      <w:pPr>
        <w:spacing w:after="0" w:line="127"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Allianz Global Investors Asia Pacific Limited (“AGI PAC”) is the investment adviser for the selling securityholder and Voya Investment Management Co. LLC (“Voya IM”) is the investment sub-adviser for the selling securityholder. For the purposes of the reporting requirements of the Exchange Act, AGI PAC and Voya IM may be deemed to be the beneficial owner of the shares of Class A common stock held by the selling securityholder; however, AGI PAC and Voya IM expressly disclaim that that they are, in fact, the beneficial owner of such securities. The address for the selling securityholder is c/o Voya Investment Management Co. LLC, 600 West Broadway,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San Diego, California 92101. The selling securityholder acquired the securities being registered hereby in the ordinary course of its business.</w:t>
      </w:r>
    </w:p>
    <w:p>
      <w:pPr>
        <w:spacing w:after="0" w:line="24"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Research and Management Company (“CRMC”) is the investment adviser for the selling securityholder. For the purposes of the reporting requirements of the Exchange Act, CRMC may be deemed to be the beneficial owner of the shares of Class A common stock held by the selling securityholder; however, CRMC expressly disclaims that it is, in fact, the beneficial owner of such securities. The address for the selling securityholder is c/o Capital Research and Management Company, 333 South Hope Street, 55th Floor, Los Angeles, California 90071.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CRMC is the investment adviser for the selling securityholder. For the purposes of the reporting requirements of the Exchange Act, CRMC and Capital World Investors (“CWI”) may be deemed to be the beneficial owner of the shares of Class A common stock held by the selling securityholder; however, each of CRMC and CWI expressly disclaims that it is, in fact, the beneficial owner of such securities. The address for the selling securityholder is c/o Capital Research and Management Company, 333 South Hope Street, 55th Floor, Los Angeles, California 90071.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International Limited (“CIL”) is the investment adviser for the selling securityholder. For purposes of the reporting requirements of the Exchange Act, CIL may be deemed to be the beneficial owner of the shares of Class A common stock held by the selling securityholder; however, CIInc expressly disclaims that it is, in fact, the beneficial owner of such securities. The address for the selling securityholder is c/o Capital International Limited, 1 Paddington Square, London, W2 1GL, United Kingdom.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International Management Company Sarl (“CIMC”), is the investment adviser for the selling securityholder. For purposes of the reporting requirements of the Exchange Act, CIMC may be deemed to be the beneficial owner of the shares of Class A common stock held by the selling securityholder; however, CIMC expressly disclaims that it is, in fact, the beneficial owner of such securities. The address for the selling securityholder is c/o Capital International Sàrl, 3 place des Bergues, 1201, Geneva, Switzerland.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47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International, Inc. (“CIInc”) is the investment adviser for the selling securityholder. For purposes of the reporting requirements of the Exchange Act, CIInc may be deemed to be the beneficial owner of the shares of Class A common stock held by the selling securityholder; however, CIInc expressly disclaims that it is, in fact, the beneficial owner of such securities. The address for the selling securityholder is c/o Capital International, Inc., 333 S. Hope St., 55th Floor, Los Angeles, California 90071.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59" w:hanging="348"/>
        <w:spacing w:after="0" w:line="23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Bank and Trust Company (“CB&amp;T”) is the discretionary trustee and investment advisor for the selling securityholder, and CRMC has been retained by CB&amp;T as investment adviser to CB&amp;T. For purposes of the reporting requirements of the Exchange Act, CB&amp;T and CRMC may be deemed to be the beneficial owner of the shares of Class A common stock held by the selling securityholder; however, each of CB&amp;T and CRMC expressly disclaims that it is, in fact, the beneficial owner of such securities. The address for the selling securityholder is c/o Capital Research and Management Company, 333 S. Hope St., 55th Floor, Los Angeles, California 90071.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International Asset Management (Canada), Inc. (“CIAM”) is the investment adviser for the selling securityholder and CRMC is the subinvestment adviser for the selling securityholder. For purposes of the reporting requirements of the Exchange Act, each of CIAM and CRMC may be deemed to be the beneficial owner of the shares of Class A common stock held by the selling securityholder;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41" w:lineRule="auto"/>
        <w:rPr>
          <w:sz w:val="20"/>
          <w:szCs w:val="20"/>
          <w:color w:val="auto"/>
        </w:rPr>
      </w:pPr>
      <w:r>
        <w:rPr>
          <w:rFonts w:ascii="Times New Roman" w:cs="Times New Roman" w:eastAsia="Times New Roman" w:hAnsi="Times New Roman"/>
          <w:sz w:val="14"/>
          <w:szCs w:val="14"/>
          <w:color w:val="auto"/>
        </w:rPr>
        <w:t>however, each of CIAM and CRMC expressly disclaims that it is, in fact, the beneficial owner of such securities. The address for the selling securityholder is c/o Capital Research and Management Company, 333 S. Hope St., 55th Floor, Los Angeles, California 90071. The selling securityholder acquired the securities being registered hereby in the ordinary course of its business.</w:t>
      </w:r>
    </w:p>
    <w:p>
      <w:pPr>
        <w:spacing w:after="0" w:line="15" w:lineRule="exact"/>
        <w:rPr>
          <w:sz w:val="20"/>
          <w:szCs w:val="20"/>
          <w:color w:val="auto"/>
        </w:rPr>
      </w:pPr>
    </w:p>
    <w:p>
      <w:pPr>
        <w:ind w:left="640" w:right="339" w:hanging="348"/>
        <w:spacing w:after="0" w:line="22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The shares of Class A common stock held by the selling securityholder are beneficially owned, or may be deemed to be beneficially owned, by FMR LLC (“Fidelity”), certain of its subsidiaries and affiliates, and other companies. Abigail P. Johnson is a director, the Chairman and the Chief Executive Officer of Fidelity. Members of the Johnson family, including Abigail P.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to form a controlling group with respect to Fidelity. The address of the selling securityholder is PO Box 5756 c/o State Street Bank &amp; Trust, Boston, Massachusetts 02206. The selling securityholder acquired the securities being registered hereby in the ordinary course of its business.</w:t>
      </w:r>
    </w:p>
    <w:p>
      <w:pPr>
        <w:spacing w:after="0" w:line="16"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The shares of Class A common stock held by the selling securityholder are beneficially owned, or may be deemed to be beneficially owned, by Fidelity, certain of its subsidiaries and affiliates, and other companies. Abigail P. Johnson is a director, the Chairman and the Chief Executive Officer of Fidelity. Members of the Johnson family, including Abigail P.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to form a controlling group with respect to Fidelity. The address of the selling securityholder is PO Box 7247-7057, Citibank IC&amp;D Lock Box, Philadelphia, Pennsylvania 19170. The selling securityholder acquired the securities being registered hereby in the ordinary course of its business.</w:t>
      </w:r>
    </w:p>
    <w:p>
      <w:pPr>
        <w:spacing w:after="0" w:line="16"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The shares of Class A common stock held by the selling securityholder are beneficially owned, or may be deemed to be beneficially owned, by Fidelity, certain of its subsidiaries and affiliates, and other companies. Abigail P. Johnson is a director, the Chairman and the Chief Executive Officer of Fidelity. Members of the Johnson family, including Abigail P.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to form a controlling group with respect to Fidelity. The address of the selling securityholder is 140 Broadway, New York, New York 10005. The selling securityholder acquired the securities being registered hereby in the ordinary course of its business.</w:t>
      </w:r>
    </w:p>
    <w:p>
      <w:pPr>
        <w:spacing w:after="0" w:line="16"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The shares of Class A common stock held by the selling securityholder are beneficially owned, or may be deemed to be beneficially owned, by Fidelity, certain of its subsidiaries and affiliates, and other companies. Abigail P. Johnson is a director, the Chairman and the Chief Executive Officer of Fidelity. Members of the Johnson family, including Abigail P.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to form a controlling group with respect to Fidelity. The address of the selling securityholder is PO Box 392002 c/o BNY Mellon, Pittsburgh, Pennsylvania 15230. The selling securityholder acquired the securities being registered hereby in the ordinary course of its business.</w:t>
      </w:r>
    </w:p>
    <w:p>
      <w:pPr>
        <w:spacing w:after="0" w:line="16"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Reflects securities held directly by BDF Aggregator L.P. (the “BDF Aggregator Fund”).Blackstone Dislocation Associates LLC is the general partner of the BDF Aggregator Fund. Blackstone Holdings II L.P. is the sole member of Blackstone Dislocation Associates LLC. Blackstone Holdings I/II GP L.L.C. is the general partner of Blackstone Holdings II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the BDF Aggregator Fund directly or indirectly controlled by it or him, but each (other than the BDF Aggregator Fund to the extent of its direct holdings) disclaims beneficial ownership of such securities. The address of the selling securityholder is 345 Park Avenue, New York, New York 10154.</w:t>
      </w:r>
    </w:p>
    <w:p>
      <w:pPr>
        <w:spacing w:after="0" w:line="20" w:lineRule="exact"/>
        <w:rPr>
          <w:rFonts w:ascii="Times New Roman" w:cs="Times New Roman" w:eastAsia="Times New Roman" w:hAnsi="Times New Roman"/>
          <w:sz w:val="14"/>
          <w:szCs w:val="14"/>
          <w:color w:val="auto"/>
        </w:rPr>
      </w:pPr>
    </w:p>
    <w:p>
      <w:pPr>
        <w:ind w:left="640" w:right="299" w:hanging="348"/>
        <w:spacing w:after="0" w:line="22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Reflects securities held directly by Blackstone CSP-MST CRDT Fund (the “CSP-MST CRDT Fund”). The CSP-MST CRDT Fund is a segregated account of Blackstone Custom Solutions Platform Ltd. Blackstone Alternative Asset Management L.P. is the investment manager of Blackstone Custom Solutions Platform Ltd. Blackstone Holdings I – Sub (BAAM) GP L.L.C. is the general partner of Blackstone Alternative Asset Management L.P. Blackstone Intermediary Holdco L.L.C. is the sole member of Blackstone Holdings I Sub (BAAM) GP L.L.C. Blackstone Securities Partners L.P. is the sole member of Blackstone Intermediary Holdco L.L.C. Blackstone Advisory Services L.L.C. is the general partner of Blackstone Securities Partners L.P. Blackstone Holdings I L.P. is the sole member of Blackstone Advisory Services L.L.C. Blackstone Holdings I/II GP L.L.C. is the general partner of Blackstone Holdings 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w:t>
      </w:r>
    </w:p>
    <w:p>
      <w:pPr>
        <w:spacing w:after="0" w:line="5" w:lineRule="exact"/>
        <w:rPr>
          <w:rFonts w:ascii="Times New Roman" w:cs="Times New Roman" w:eastAsia="Times New Roman" w:hAnsi="Times New Roman"/>
          <w:sz w:val="14"/>
          <w:szCs w:val="14"/>
          <w:color w:val="auto"/>
        </w:rPr>
      </w:pPr>
    </w:p>
    <w:p>
      <w:pPr>
        <w:jc w:val="both"/>
        <w:ind w:left="640" w:right="37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Schwarzman may be deemed to beneficially own the securities beneficially owned by the CSP-MST CRDT Fund directly or indirectly controlled by it or him, but each (other than the CSP-MST CRDT Fund to the extent of its direct holdings) disclaims beneficial ownership of such securities. The address of the selling securityholder is 345 Park Avenue, New York, New York 10154.</w:t>
      </w:r>
    </w:p>
    <w:p>
      <w:pPr>
        <w:spacing w:after="0" w:line="14"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Reflects securities held directly by Blackstone Olympus Trading Strategies Ltd. (“Olympus”). Blackstone Alternative Investment Advisors LLC is the investment manager of Olympus. Blackstone Intermediary Holdco L.L.C. is the sole member of Blackstone Alternative Investment Advisors LLC. Blackstone Securities Partners L.P. is the sole member of Blackstone Intermediary Holdco L.L.C. Blackstone Advisory Services L.L.C. is the general partner of Blackstone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19"/>
        <w:spacing w:after="0" w:line="229" w:lineRule="auto"/>
        <w:rPr>
          <w:sz w:val="20"/>
          <w:szCs w:val="20"/>
          <w:color w:val="auto"/>
        </w:rPr>
      </w:pPr>
      <w:r>
        <w:rPr>
          <w:rFonts w:ascii="Times New Roman" w:cs="Times New Roman" w:eastAsia="Times New Roman" w:hAnsi="Times New Roman"/>
          <w:sz w:val="14"/>
          <w:szCs w:val="14"/>
          <w:color w:val="auto"/>
        </w:rPr>
        <w:t>Securities Partners L.P. Blackstone Holdings I L.P. is the sole member of Blackstone Advisory Services L.L.C. Blackstone Holdings I/II GP L.L.C. is the general partner of Blackstone Holdings 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Olympus directly or indirectly controlled by it or him, but each (other than Olympus to the extent of its direct holdings) disclaims beneficial ownership of such securities. The address of the selling securityholder is 345 Park Avenue, New York, New York 10154.</w:t>
      </w:r>
    </w:p>
    <w:p>
      <w:pPr>
        <w:spacing w:after="0" w:line="18" w:lineRule="exact"/>
        <w:rPr>
          <w:sz w:val="20"/>
          <w:szCs w:val="20"/>
          <w:color w:val="auto"/>
        </w:rPr>
      </w:pPr>
    </w:p>
    <w:p>
      <w:pPr>
        <w:ind w:left="640" w:right="33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an affiliate of a registered broker-dealer. Reflects securities held directly by Spruce Street Aggregator L.P. (the “Spruce Street Fund”). Blackstone Alternative Asset Management Associates LLC is the general partner of the Spruce Street Fund. Blackstone Holdings II L.P. is the sole member of Blackstone Alternative Asset Management Associates LLC. Blackstone Holdings I/II GP L.L.C. is the general partner of Blackstone Holdings II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the Spruce Street Fund directly or indirectly controlled by it or him, but each (other than the Spruce Street Fund to the extent of its direct holdings) disclaims beneficial ownership of such securities. The address of the selling securityholder is 345 Park Avenue, New York, New York 10154.</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Balanced Capital Portfolio of Blackrock Series Fund, Inc.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Diversified Fixed Income Fund of Blackrock Funds III.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Funds I ICAV – Blackrock Systematic Multi-Strategy ESG Screened Fund.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419"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Investment Sub-Advisor of iShares U.S. High Yield Bond Index ETF (CAD-Hedged).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90"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Trustee Of High Yield Credit Screened Fund.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79" w:hanging="348"/>
        <w:spacing w:after="0" w:line="228"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Trustee Of Systematic Enhanced High Yield Bond Fund.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859"/>
        <w:spacing w:after="0" w:line="261" w:lineRule="auto"/>
        <w:rPr>
          <w:sz w:val="20"/>
          <w:szCs w:val="20"/>
          <w:color w:val="auto"/>
        </w:rPr>
      </w:pPr>
      <w:r>
        <w:rPr>
          <w:rFonts w:ascii="Times New Roman" w:cs="Times New Roman" w:eastAsia="Times New Roman" w:hAnsi="Times New Roman"/>
          <w:sz w:val="14"/>
          <w:szCs w:val="14"/>
          <w:color w:val="auto"/>
        </w:rPr>
        <w:t>securities being registered for resale and may not incorporate all shares deemed to be beneficially held by the registered holders or BlackRock,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1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Trustee Of The Los Angeles County Employees Retirement Association.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90"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Trustee Of The U.S. High Yield Bond Index Non-Lendable Fund B.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7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Trustee Of U.S. Core Fixed Income Balanced Risk Fund.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Institutional Trust Company, N.A., Not in Its Individual Capacity But As Trustee Of U.S. High Yield Bond Index Fund.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29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Sustainable Balanced Fund, Inc.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02"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Systematic Multi-Strategy Alpha Master Fund Ltd.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Blackrock Systematic Multi-Strategy Fund of Blackrock Funds IV.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47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COREALPHA Bond Master Portfolio Of Master Investment Portfolio II.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39"/>
        <w:spacing w:after="0" w:line="236" w:lineRule="auto"/>
        <w:rPr>
          <w:sz w:val="20"/>
          <w:szCs w:val="20"/>
          <w:color w:val="auto"/>
        </w:rPr>
      </w:pPr>
      <w:r>
        <w:rPr>
          <w:rFonts w:ascii="Times New Roman" w:cs="Times New Roman" w:eastAsia="Times New Roman" w:hAnsi="Times New Roman"/>
          <w:sz w:val="14"/>
          <w:szCs w:val="14"/>
          <w:color w:val="auto"/>
        </w:rPr>
        <w:t>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5" w:lineRule="exact"/>
        <w:rPr>
          <w:sz w:val="20"/>
          <w:szCs w:val="20"/>
          <w:color w:val="auto"/>
        </w:rPr>
      </w:pPr>
    </w:p>
    <w:p>
      <w:pPr>
        <w:ind w:left="640" w:right="33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Ente Nazionale Di Previdenza Ed Assistenza Dei Medici E Degli Odontoiatri.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459"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IBM Global Strategy Fund.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02" w:lineRule="exact"/>
        <w:rPr>
          <w:rFonts w:ascii="Times New Roman" w:cs="Times New Roman" w:eastAsia="Times New Roman" w:hAnsi="Times New Roman"/>
          <w:sz w:val="14"/>
          <w:szCs w:val="14"/>
          <w:color w:val="auto"/>
        </w:rPr>
      </w:pPr>
    </w:p>
    <w:p>
      <w:pPr>
        <w:ind w:left="640" w:right="419"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IMCO Global Credit LP.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02"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0-5 YEAR HIGH YIELD CORPORATE BOND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BROAD USD HIGH YIELD CORPORATE BOND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CORE 1-5 YEAR USD BOND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CORE TOTAL USD BOND MARKET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619" w:hanging="348"/>
        <w:spacing w:after="0" w:line="236"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IBONDS 2026 TERM HIGH YIELD AND INCOME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19"/>
        <w:spacing w:after="0" w:line="233" w:lineRule="auto"/>
        <w:rPr>
          <w:sz w:val="20"/>
          <w:szCs w:val="20"/>
          <w:color w:val="auto"/>
        </w:rPr>
      </w:pPr>
      <w:r>
        <w:rPr>
          <w:rFonts w:ascii="Times New Roman" w:cs="Times New Roman" w:eastAsia="Times New Roman" w:hAnsi="Times New Roman"/>
          <w:sz w:val="14"/>
          <w:szCs w:val="14"/>
          <w:color w:val="auto"/>
        </w:rPr>
        <w:t>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5" w:lineRule="exact"/>
        <w:rPr>
          <w:sz w:val="20"/>
          <w:szCs w:val="20"/>
          <w:color w:val="auto"/>
        </w:rPr>
      </w:pPr>
    </w:p>
    <w:p>
      <w:pPr>
        <w:ind w:left="640" w:right="33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IBONDS 2029 TERM HIGH YIELD AND INCOME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9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IBOXX $ HIGH YIELD CORPORATE BOND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43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II PUBLIC LIMITED COMPANY - ISHARES USD HIGH YIELD CORP BOND ESG UCITS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9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II PUBLIC LIMITED COMPANY - ISHARES USD HIGH YIELD CORP BOND UCITS ETF USD (DIST).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III PLC - ISHARES BROAD $ HIGH YIELD CORPORATE BOND UCITS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7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IV PUBLIC LIMITED COMPANY - ISHARES USD SHORT DURATION HIGH YIELD CORP BOND UCITS ETF USD (DIST).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PUBLIC LIMITED COMPANY - ISHARES GLOBAL HIGH YIELD CORP BOND UCITS ETF USD (DIST).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1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US &amp; INTL HIGH YIELD CORP BOND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US FIXED INCOME BALANCED RISK FACTOR ETF.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7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VI PUBLIC LIMITED COMPANY - ISHARES GLOBAL HIGH YIELD CORP BOND CHF HEDGED UCITS ETF (DIST).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7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ISHARES VI PUBLIC LIMITED COMPANY ISHARES GLOBAL HIGH YIELD CORP BOND GBP HEDGED UCITS ETF (DIST).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Morningstar Alternatives Fund A Series of Morningstar Funds Trust.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29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Renaissance Investment Holdings Ltd.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02"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Stichting Bedrijfstakpensioenfonds Voor De Detailhandel.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Stichting Dela Depositary &amp; Management.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99"/>
        <w:spacing w:after="0" w:line="236" w:lineRule="auto"/>
        <w:rPr>
          <w:sz w:val="20"/>
          <w:szCs w:val="20"/>
          <w:color w:val="auto"/>
        </w:rPr>
      </w:pPr>
      <w:r>
        <w:rPr>
          <w:rFonts w:ascii="Times New Roman" w:cs="Times New Roman" w:eastAsia="Times New Roman" w:hAnsi="Times New Roman"/>
          <w:sz w:val="14"/>
          <w:szCs w:val="14"/>
          <w:color w:val="auto"/>
        </w:rPr>
        <w:t>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5" w:lineRule="exact"/>
        <w:rPr>
          <w:sz w:val="20"/>
          <w:szCs w:val="20"/>
          <w:color w:val="auto"/>
        </w:rPr>
      </w:pPr>
    </w:p>
    <w:p>
      <w:pPr>
        <w:ind w:left="640" w:right="359" w:hanging="348"/>
        <w:spacing w:after="0" w:line="22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Stichting Pensioenfonds Medisch Specialisten.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439" w:hanging="348"/>
        <w:spacing w:after="0" w:line="227"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UBS Fund Management (Switzerland) AG On Behalf Of Kyburg Institutional Fund – Obligationen Fremdwahrungen.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20"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the referenced shares to be registered is the following fund or account under management by subsidiaries of BlackRock, Inc US High Yield Passive Portfolio. BlackRock, Inc. is the ultimate parent holding company of such subsidiaries. On behalf of such subsidiaries, the applicable portfolio managers, as managing directors (or in other capacities) of such entity, and/or the applicable investment committee members of such fund and account, have voting and investment power over the shares held by the fund or account which are the registered holders of the referenced shares. Such portfolio managers and/or investment committee members expressly disclaim beneficial ownership of all shares held by such fund or account. The address of such fund or account,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02"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AllianceBernstein L.P. acts as investment adviser to and on behalf of State of New Mexico State Investment Council. AllianceBernstein L.P., as the investment advisor to the selling securityholder, “controls” eleven broker-dealer subsidiaries, as defined by the applicable securities laws, and is therefore an affiliate of a registered broker-dealer. The address of the selling securityholder is c/o AllianceBernstein L.P., 501 Commerce Street, Nashville, TN 37203.</w:t>
      </w:r>
    </w:p>
    <w:p>
      <w:pPr>
        <w:spacing w:after="0" w:line="14"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Investment Management Company LLC (“PIMCO”), as the investment manager, adviser or sub-adviser of the funds and accounts who are the holders of record of the referenced shares of Class A common stock to be registered, may be deemed to have or to share voting and dispositive power over the referenced shares of Class A common stock. PIMCO is an affiliate of PIMCO Investments LLC, a registered broker-dealer and wholly owned subsidiary of PIMCO. The address of such funds and accounts is 650 Newport Center Drive, Newport Beach, California 92660.</w:t>
      </w:r>
    </w:p>
    <w:p>
      <w:pPr>
        <w:spacing w:after="0" w:line="15"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controlled by Bruce Kovner. The address for the selling securityholder is 731 Alexander Road, Building 2, Suite 500, Princeton, NJ 08540. Mr. Kovner may be deemed to beneficially own the securities held by the selling securityholders directly or indirectly controlled by him, but Mr. Kovner disclaims beneficial ownership of such securities except to the extent of his pecuniary interest therein.</w:t>
      </w:r>
    </w:p>
    <w:p>
      <w:pPr>
        <w:spacing w:after="0" w:line="14"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AllianceBernstein L.P. acts as investment adviser to and on behalf of State of New Jersey Common Pension Fund D. AllianceBernstein L.P., as the investment advisor to the selling securityholder, “controls” eleven broker-dealer subsidiaries, as defined by the applicable securities laws, and is therefore an affiliate of a registered broker-dealer. The address of the selling securityholder is c/o AllianceBernstein L.P., 501 Commerce Street, Nashville, TN 37203.</w:t>
      </w:r>
    </w:p>
    <w:p>
      <w:pPr>
        <w:spacing w:after="0" w:line="14" w:lineRule="exact"/>
        <w:rPr>
          <w:rFonts w:ascii="Times New Roman" w:cs="Times New Roman" w:eastAsia="Times New Roman" w:hAnsi="Times New Roman"/>
          <w:sz w:val="14"/>
          <w:szCs w:val="14"/>
          <w:color w:val="auto"/>
        </w:rPr>
      </w:pPr>
    </w:p>
    <w:p>
      <w:pPr>
        <w:ind w:left="640" w:right="379" w:hanging="348"/>
        <w:spacing w:after="0" w:line="23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Allianz Global Investors GMBH (“AGI”) is the investment adviser for the selling securityholder and Voya Investment Management Co, LLC (“Voya IM”) is the investment sub-adviser for the selling securityholder. For the purposes of the reporting requirements of the Exchange Act, AGI and Voya IM may be deemed to be the beneficial owner of the shares of Class A common stock held by the selling securityholder; however, AGI and Voya IM expressly disclaim that that they are, in fact, the beneficial owner of such securities. The address for the selling securityholder is c/o Voya Investment Management Co. LLC 600 West Broadway, 29th Floor, San Diego, California 92101.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Permanens Capital LP (“PermCap”) is the investment adviser for the selling securityholder and Voya Investment Management Co. LLC (“Voya IM”) is the investment sub-adviser for the selling securityholder. For the purposes of the reporting requirements of the Exchange Act, PermCap and Voya IM may be deemed to be the beneficial owner of the shares of Class A common stock held by the selling securityholder; however, PermCap and Voya IM expressly disclaim that that they are, in fact, the beneficial owner of such securities. The address for the selling securityholder is c/o Voya Investment Management Co. LLC, 600 West Broadway, 29th Floor, San Diego, California 92101. The selling securityholder acquired the securities being registered hereby in the ordinary course of its business.</w:t>
      </w:r>
    </w:p>
    <w:p>
      <w:pPr>
        <w:spacing w:after="0" w:line="15"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Voya Investments, LLC (“VIL”) is the investment adviser for the selling securityholder and Voya Investment Management Co. LLC (“Voya IM”) is the investment sub-adviser for the selling securityholder. For the purposes of the reporting requirements of the Exchange Act, VIL and Voya IM may be deemed to be the beneficial owner of the shares of Class A common stock held by the selling securityholder; however, VIL and Voya IM expressly disclaim that they are, in fact, the beneficial owner of such securities. The address for the selling securityholder is c/o Voya Investment Management Co. LLC, 600 West Broadway, 29th Floor, San Diego, California 92101. The selling securityholder acquired the securities being registered hereby in the ordinary course of its business.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resale shares covered by this prospectus supplement and the accompanying prospectus may be offered and sold from time to time by the selling securityholders, including certain transferees who may later hold interest in the shares of Class A common stock covered by this prospectus. We will not receive any of the proceeds from the sale of shares of our Class A common stock covered by this prospectus supplement. We will pay all expenses of the registration of the Class A common stock and certain other expenses.</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may sell all or a portion of the shares of Class A common stock beneficially owned by the selling securityholders and offered hereby from time to time directly or through one or more underwriters, broker-dealers or agents. If the shares of Class A common stock are sold through underwriters or broker-dealers, the applicable selling securityholder will be responsible for underwriting discounts or commissions or agent’s commissions. The shares of Class A common stock may be sold in one or more transactions at fixed prices (which may be changed), at prevailing market prices at the time of the sale, at prices related to the prevailing market prices, at varying prices determined at the time of sale, or at negotiated prices. These sales may be effected in transactions, which may involve crosses or block transactions,</w:t>
      </w:r>
    </w:p>
    <w:p>
      <w:pPr>
        <w:spacing w:after="0" w:line="30" w:lineRule="exact"/>
        <w:rPr>
          <w:sz w:val="20"/>
          <w:szCs w:val="20"/>
          <w:color w:val="auto"/>
        </w:rPr>
      </w:pPr>
    </w:p>
    <w:p>
      <w:pPr>
        <w:ind w:left="1000" w:right="71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our Class A common stock may be listed or quoted at the time of sale;</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such options are listed on an options exchange or otherwise;</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broker-dealer solicits purchasers;</w:t>
      </w:r>
    </w:p>
    <w:p>
      <w:pPr>
        <w:spacing w:after="0" w:line="63" w:lineRule="exact"/>
        <w:rPr>
          <w:rFonts w:ascii="Times New Roman" w:cs="Times New Roman" w:eastAsia="Times New Roman" w:hAnsi="Times New Roman"/>
          <w:sz w:val="18"/>
          <w:szCs w:val="18"/>
          <w:color w:val="auto"/>
        </w:rPr>
      </w:pPr>
    </w:p>
    <w:p>
      <w:pPr>
        <w:ind w:left="1000" w:right="67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the broker-dealer will attempt to sell the shares as agent but may position and resell a portion of the block as principal to facilitate the transaction;</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purchases by a broker-dealer as principal and resale by the broker-dealer for its account;</w:t>
      </w:r>
    </w:p>
    <w:p>
      <w:pPr>
        <w:spacing w:after="0" w:line="63" w:lineRule="exact"/>
        <w:rPr>
          <w:rFonts w:ascii="Times New Roman" w:cs="Times New Roman" w:eastAsia="Times New Roman" w:hAnsi="Times New Roman"/>
          <w:sz w:val="18"/>
          <w:szCs w:val="18"/>
          <w:color w:val="auto"/>
        </w:rPr>
      </w:pPr>
    </w:p>
    <w:p>
      <w:pPr>
        <w:ind w:left="1000" w:right="67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distributions and/or secondary distributions in accordance with the rules of the applicable exchange;</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63" w:lineRule="exact"/>
        <w:rPr>
          <w:rFonts w:ascii="Times New Roman" w:cs="Times New Roman" w:eastAsia="Times New Roman" w:hAnsi="Times New Roman"/>
          <w:sz w:val="18"/>
          <w:szCs w:val="18"/>
          <w:color w:val="auto"/>
        </w:rPr>
      </w:pPr>
    </w:p>
    <w:p>
      <w:pPr>
        <w:ind w:left="1000" w:right="83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 (whether on a firm commitment or best efforts basis, including through bought deals);</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one or more purchasers;</w:t>
      </w:r>
    </w:p>
    <w:p>
      <w:pPr>
        <w:spacing w:after="0" w:line="63" w:lineRule="exact"/>
        <w:rPr>
          <w:rFonts w:ascii="Times New Roman" w:cs="Times New Roman" w:eastAsia="Times New Roman" w:hAnsi="Times New Roman"/>
          <w:sz w:val="18"/>
          <w:szCs w:val="18"/>
          <w:color w:val="auto"/>
        </w:rPr>
      </w:pPr>
    </w:p>
    <w:p>
      <w:pPr>
        <w:ind w:left="1000" w:right="75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broker-dealers may agree with the selling securityholders to sell a specified number of such shares at a stipulated price per share;</w:t>
      </w:r>
    </w:p>
    <w:p>
      <w:pPr>
        <w:spacing w:after="0" w:line="1" w:lineRule="exact"/>
        <w:rPr>
          <w:rFonts w:ascii="Times New Roman" w:cs="Times New Roman" w:eastAsia="Times New Roman" w:hAnsi="Times New Roman"/>
          <w:sz w:val="18"/>
          <w:szCs w:val="18"/>
          <w:color w:val="auto"/>
        </w:rPr>
      </w:pPr>
    </w:p>
    <w:p>
      <w:pPr>
        <w:ind w:left="1000" w:right="127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of the shares by the selling securityholders to their partners, members or stockholders;</w:t>
      </w:r>
    </w:p>
    <w:p>
      <w:pPr>
        <w:spacing w:after="0" w:line="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settlement of short sales, or sales of put, call or other types of options, forward delivery contracts, swaps, offerings of structured equity-linked securities, or other derivative, convertible or exchangeable securities or transactions;</w:t>
      </w:r>
    </w:p>
    <w:p>
      <w:pPr>
        <w:spacing w:after="0" w:line="13" w:lineRule="exact"/>
        <w:rPr>
          <w:rFonts w:ascii="Times New Roman" w:cs="Times New Roman" w:eastAsia="Times New Roman" w:hAnsi="Times New Roman"/>
          <w:sz w:val="18"/>
          <w:szCs w:val="18"/>
          <w:color w:val="auto"/>
        </w:rPr>
      </w:pPr>
    </w:p>
    <w:p>
      <w:pPr>
        <w:ind w:left="1000" w:right="1279" w:hanging="348"/>
        <w:spacing w:after="0" w:line="28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of the shares by the selling securityholders to their partners, members or stockholders;</w:t>
      </w:r>
    </w:p>
    <w:p>
      <w:pPr>
        <w:spacing w:after="0" w:line="1"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 selling securityholders enter into options, forwards or other transactions that require the selling securityholders to deliver, in a transaction exempt from registration under the Securities Act, the securities to a broker-dealer or an affiliate of a broker-dealer or other third party who may then become a selling securityholder and publicly resell or otherwise transfer the securities under this prospectus;</w:t>
      </w:r>
    </w:p>
    <w:p>
      <w:pPr>
        <w:spacing w:after="0" w:line="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arrangements;</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combination of any such methods of sale; and</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method permitted pursuant to applicable law.</w:t>
      </w:r>
    </w:p>
    <w:p>
      <w:pPr>
        <w:spacing w:after="0" w:line="117"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If the selling securityholders effect such transactions by selling shares of Class A common stock to or through underwriters, broker-dealers or agents, such underwriters, broker-dealers or agents may receive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commissions in the form of discounts, concessions or commissions from the selling securityholders or commissions from purchasers of the shares of Class A common stock for whom they may act as agent or to whom they may sell as principal (which discounts, concessions or commissions as to particular underwriters, broker-dealers or agents may be in excess of those customary in the types of transactions involved).</w:t>
      </w:r>
    </w:p>
    <w:p>
      <w:pPr>
        <w:spacing w:after="0" w:line="72"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The selling securityholders may pledge or grant a security interest in some or all of the shares of Class A common stock owned by the selling securityholders and, if they default in the performance of their secured obligations, the pledgees or secured parties may offer and sell the shares of Class A common stock from time to time pursuant to this prospectus supplement, or under an amendment to this prospectus supplement under Rule 424(b)(3) or other applicable provision of the Securities Act, amending, if necessary, the list of selling securityholders to include the pledgee, transferee or other successors-in-interest as selling securityholders under this prospectus supplement. The selling securityholders also may transfer and donate the shares of Class A common stock in other circumstances, in which case the transferees, donees, pledgees or other successors-in-interest will be the selling beneficial owners for purposes of this prospectus supplement. The selling securityholders may also enter into option or other transactions, including the issuance of convertible or exchangeable securities with broker-dealers, financial institutions or other investors or the creation of one or more derivative, convertible or exchangeable securities which require the delivery to such broker-dealer, financial institution or other investors of Class A common stock offered by this prospectus, which Class A common stock such broker-dealer, financial institution or other investors may resell pursuant to this prospectus (as supplemented or amended to reflect such transaction).</w:t>
      </w:r>
    </w:p>
    <w:p>
      <w:pPr>
        <w:spacing w:after="0" w:line="76"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also sell shares under Rule 144 under the Securities Act, if available, rather than under this prospectus supplement. The selling securityholders are not obligated to, and there is no assurance that the selling securityholders will, sell all or any of the shares we are registering. The selling securityholders may transfer, devise or gift such shares by other means not described in this prospectus supplement.</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and any broker-dealer participating in the distribution of the shares of Class A common stock may be deemed to be “underwriters” within the meaning of the Securities Act, and any commission paid, or any discounts or concessions allowed to, the selling securityholders or broker-dealer may be deemed to be underwriting commissions or discounts under the Securities Act. At the time a particular offering of the shares of Class A common stock is made, a prospectus supplement, if required, will be distributed which will set forth the aggregate amount of shares of Class A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80"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laws of some states, the shares of Class A common stock may be sold in such states only through registered or licensed brokers or dealers. In addition, in some states the shares of Class A common stock may not be sold unless such shares have been registered or qualified for sale in such state or an exemption from registration or qualification is available and is complied with.</w:t>
      </w:r>
    </w:p>
    <w:p>
      <w:pPr>
        <w:spacing w:after="0" w:line="72"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any or all of the shares of Class A common stock registered pursuant to the registration statement of which this prospectus supplement forms a part.</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such distribution will be subject to applicable provisions of the Exchange Act, and the rules and regulations thereunder, including, without limitation, Regulation M under the Exchange Act, which may limit the timing of purchases and sales of any of the shares of Class A common stock by the selling securityholders and any other participating person. Regulation M may also restrict the ability of any person engaged in the distribution of the shares of Class A common stock to engage in market-making activities with respect to the shares of Class A common stock. All of the foregoing may affect the marketability of the shares of Class A common stock and the ability of any person or entity to engage in market-making activities with respect to the shares of Class A common stock.</w:t>
      </w:r>
    </w:p>
    <w:p>
      <w:pPr>
        <w:spacing w:after="0" w:line="84"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Registration Rights Agreement between us and the selling securityholders, we have agreed to indemnify and hold harmless, to the full extent permitted by law, each selling securityholder from and against certain liabilities incurred in connection with the registration of such selling securityholder’s shares.</w:t>
      </w:r>
    </w:p>
    <w:p>
      <w:pPr>
        <w:spacing w:after="0" w:line="68"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supplement forms a part, the shares of Class A common stock will be freely tradable in the hands of persons other than our affiliates.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us by Skadden, Arps, Slate, Meagher &amp; Flom LLP, New York, New York.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Exchange Act. Our SEC filings are available to the public at the SEC’s website at www.sec.gov.</w:t>
      </w:r>
    </w:p>
    <w:p>
      <w:pPr>
        <w:spacing w:after="0" w:line="5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80" w:lineRule="exact"/>
        <w:rPr>
          <w:sz w:val="20"/>
          <w:szCs w:val="20"/>
          <w:color w:val="auto"/>
        </w:rPr>
      </w:pPr>
    </w:p>
    <w:p>
      <w:pPr>
        <w:ind w:left="1000" w:right="1139" w:hanging="348"/>
        <w:spacing w:after="0" w:line="282" w:lineRule="auto"/>
        <w:tabs>
          <w:tab w:leader="none" w:pos="1000" w:val="left"/>
        </w:tabs>
        <w:numPr>
          <w:ilvl w:val="0"/>
          <w:numId w:val="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34">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9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35">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August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November 12, 2024</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8">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March 6, 2024</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March 8, 2024</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March 25,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March 27,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July 25,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September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September 27,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24,</w:t>
        </w:r>
      </w:hyperlink>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November 7, 2024</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November 15, 2024</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November 27, 2024</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December 11, 2024</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February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5" w:lineRule="exact"/>
        <w:rPr>
          <w:rFonts w:ascii="Times New Roman" w:cs="Times New Roman" w:eastAsia="Times New Roman" w:hAnsi="Times New Roman"/>
          <w:sz w:val="18"/>
          <w:szCs w:val="18"/>
          <w:color w:val="0000EE"/>
        </w:rPr>
      </w:pPr>
    </w:p>
    <w:p>
      <w:pPr>
        <w:ind w:left="1000" w:right="105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55">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0000EE"/>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9" w:lineRule="exact"/>
        <w:rPr>
          <w:rFonts w:ascii="Times New Roman" w:cs="Times New Roman" w:eastAsia="Times New Roman" w:hAnsi="Times New Roman"/>
          <w:sz w:val="18"/>
          <w:szCs w:val="18"/>
          <w:color w:val="0000EE"/>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0000EE"/>
        </w:rPr>
      </w:pPr>
    </w:p>
    <w:p>
      <w:pPr>
        <w:ind w:left="3440"/>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0000EE"/>
        </w:rPr>
      </w:pPr>
    </w:p>
    <w:p>
      <w:pPr>
        <w:ind w:left="3460"/>
        <w:spacing w:after="0"/>
        <w:rPr>
          <w:sz w:val="20"/>
          <w:szCs w:val="20"/>
          <w:color w:val="auto"/>
        </w:rPr>
      </w:pPr>
      <w:r>
        <w:rPr>
          <w:rFonts w:ascii="Times New Roman" w:cs="Times New Roman" w:eastAsia="Times New Roman" w:hAnsi="Times New Roman"/>
          <w:sz w:val="18"/>
          <w:szCs w:val="18"/>
          <w:color w:val="auto"/>
        </w:rPr>
        <w:t>New York, New York 10011</w:t>
      </w:r>
    </w:p>
    <w:p>
      <w:pPr>
        <w:spacing w:after="0" w:line="9" w:lineRule="exact"/>
        <w:rPr>
          <w:rFonts w:ascii="Times New Roman" w:cs="Times New Roman" w:eastAsia="Times New Roman" w:hAnsi="Times New Roman"/>
          <w:sz w:val="18"/>
          <w:szCs w:val="18"/>
          <w:color w:val="0000EE"/>
        </w:rPr>
      </w:pPr>
    </w:p>
    <w:p>
      <w:pPr>
        <w:ind w:left="4340" w:right="3959" w:hanging="398"/>
        <w:spacing w:after="0" w:line="555" w:lineRule="auto"/>
        <w:tabs>
          <w:tab w:leader="none" w:pos="438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268-7400 S-23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173355</wp:posOffset>
            </wp:positionV>
            <wp:extent cx="1997075" cy="523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19970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rPr>
          <w:sz w:val="20"/>
          <w:szCs w:val="20"/>
          <w:color w:val="auto"/>
        </w:rPr>
      </w:pPr>
      <w:r>
        <w:rPr>
          <w:rFonts w:ascii="Times New Roman" w:cs="Times New Roman" w:eastAsia="Times New Roman" w:hAnsi="Times New Roman"/>
          <w:sz w:val="22"/>
          <w:szCs w:val="22"/>
          <w:b w:val="1"/>
          <w:bCs w:val="1"/>
          <w:color w:val="auto"/>
        </w:rPr>
        <w:t>114,670,972 Shares of Class A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141605</wp:posOffset>
            </wp:positionV>
            <wp:extent cx="1097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6" w:lineRule="exact"/>
        <w:rPr>
          <w:sz w:val="20"/>
          <w:szCs w:val="20"/>
          <w:color w:val="auto"/>
        </w:rPr>
      </w:pPr>
    </w:p>
    <w:p>
      <w:pPr>
        <w:ind w:left="40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stockholders named in this prospectus or in any supplement to this prospectus may offer and sell Class A common stock from time to time. We will not receive any of the proceeds from the sale of our Class A common stock by the selling stockholders.</w:t>
      </w:r>
    </w:p>
    <w:p>
      <w:pPr>
        <w:spacing w:after="0" w:line="84" w:lineRule="exact"/>
        <w:rPr>
          <w:sz w:val="20"/>
          <w:szCs w:val="20"/>
          <w:color w:val="auto"/>
        </w:rPr>
      </w:pPr>
    </w:p>
    <w:p>
      <w:pPr>
        <w:ind w:left="400" w:right="619" w:firstLine="360"/>
        <w:spacing w:after="0" w:line="266" w:lineRule="auto"/>
        <w:rPr>
          <w:sz w:val="20"/>
          <w:szCs w:val="20"/>
          <w:color w:val="auto"/>
        </w:rPr>
      </w:pPr>
      <w:r>
        <w:rPr>
          <w:rFonts w:ascii="Times New Roman" w:cs="Times New Roman" w:eastAsia="Times New Roman" w:hAnsi="Times New Roman"/>
          <w:sz w:val="18"/>
          <w:szCs w:val="18"/>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157480</wp:posOffset>
            </wp:positionV>
            <wp:extent cx="1097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7" w:lineRule="exact"/>
        <w:rPr>
          <w:sz w:val="20"/>
          <w:szCs w:val="20"/>
          <w:color w:val="auto"/>
        </w:rPr>
      </w:pPr>
    </w:p>
    <w:p>
      <w:pPr>
        <w:ind w:left="400" w:right="5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number of risks. See “Risk Factors”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before you make your investment decision.</w:t>
      </w:r>
    </w:p>
    <w:p>
      <w:pPr>
        <w:spacing w:after="0" w:line="51" w:lineRule="exact"/>
        <w:rPr>
          <w:sz w:val="20"/>
          <w:szCs w:val="20"/>
          <w:color w:val="auto"/>
        </w:rPr>
      </w:pPr>
    </w:p>
    <w:p>
      <w:pPr>
        <w:ind w:left="400" w:right="419" w:firstLine="360"/>
        <w:spacing w:after="0" w:line="281" w:lineRule="auto"/>
        <w:rPr>
          <w:sz w:val="20"/>
          <w:szCs w:val="20"/>
          <w:color w:val="auto"/>
        </w:rPr>
      </w:pPr>
      <w:r>
        <w:rPr>
          <w:rFonts w:ascii="Times New Roman" w:cs="Times New Roman" w:eastAsia="Times New Roman" w:hAnsi="Times New Roman"/>
          <w:sz w:val="17"/>
          <w:szCs w:val="17"/>
          <w:color w:val="auto"/>
        </w:rPr>
        <w:t>We or the selling stockholders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56" w:lineRule="exact"/>
        <w:rPr>
          <w:sz w:val="20"/>
          <w:szCs w:val="20"/>
          <w:color w:val="auto"/>
        </w:rPr>
      </w:pPr>
    </w:p>
    <w:p>
      <w:pPr>
        <w:ind w:left="400" w:right="43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Nasdaq Global Select Market under the trading symbol “NFE.” Each prospectus supplement will indicate whether the securities offered thereby will be listed on any securities exchange.</w:t>
      </w:r>
    </w:p>
    <w:p>
      <w:pPr>
        <w:spacing w:after="0" w:line="64" w:lineRule="exact"/>
        <w:rPr>
          <w:sz w:val="20"/>
          <w:szCs w:val="20"/>
          <w:color w:val="auto"/>
        </w:rPr>
      </w:pPr>
    </w:p>
    <w:p>
      <w:pPr>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156845</wp:posOffset>
            </wp:positionV>
            <wp:extent cx="1097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9" w:name="page30"/>
    <w:bookmarkEnd w:id="29"/>
    <w:tbl>
      <w:tblPr>
        <w:tblLayout w:type="fixed"/>
        <w:tblInd w:w="300" w:type="dxa"/>
        <w:tblCellMar>
          <w:top w:w="0" w:type="dxa"/>
          <w:left w:w="0" w:type="dxa"/>
          <w:bottom w:w="0" w:type="dxa"/>
          <w:right w:w="0" w:type="dxa"/>
        </w:tblCellMar>
      </w:tblPr>
      <w:tr>
        <w:trPr>
          <w:trHeight w:val="161"/>
        </w:trPr>
        <w:tc>
          <w:tcPr>
            <w:tcW w:w="77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78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1980" w:type="dxa"/>
            <w:vAlign w:val="bottom"/>
            <w:tcBorders>
              <w:bottom w:val="single" w:sz="8" w:color="CCEEFF"/>
            </w:tcBorders>
            <w:gridSpan w:val="2"/>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THE COMPANY</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3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440" w:type="dxa"/>
            <w:vAlign w:val="bottom"/>
            <w:gridSpan w:val="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3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440" w:type="dxa"/>
            <w:vAlign w:val="bottom"/>
            <w:gridSpan w:val="5"/>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19</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280" w:type="dxa"/>
            <w:vAlign w:val="bottom"/>
            <w:gridSpan w:val="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4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5280" w:type="dxa"/>
            <w:vAlign w:val="bottom"/>
            <w:gridSpan w:val="9"/>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22</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U.S. FEDERAL INCOME TAX CONSIDERATIONS FOR NON-U.S. HOLDERS OF CLASS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720" w:type="dxa"/>
            <w:vAlign w:val="bottom"/>
          </w:tcPr>
          <w:p>
            <w:pPr>
              <w:spacing w:after="0"/>
              <w:rPr>
                <w:sz w:val="17"/>
                <w:szCs w:val="17"/>
                <w:color w:val="auto"/>
              </w:rPr>
            </w:pPr>
          </w:p>
        </w:tc>
        <w:tc>
          <w:tcPr>
            <w:tcW w:w="6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ERISA AND BENEFIT PLAN CONSIDERATIONS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6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14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32</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stockholders may sell up to 114,670,972 shares of Class A common stock from time to time in one or more offerings. This prospectus only provides you with a general description of the securities that we and the selling stockholders may offer. Each time we or any stockholders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8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other than that contained in or incorporated by reference into this prospectus, any accompanying prospectus supplement and any free writing prospectus prepared by or on behalf of us. Neither we nor the selling stockholders take responsibility for, and can provide no assurance as to the reliability of, any other information that others may give you. Neither we nor the selling stockholders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8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54"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“NFE,” “we,” “our” and “us” refer to New Fortress Energy Inc. and its consolidated subsidiaries, unless otherwise specified or the context otherwise requires.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80" w:lineRule="exact"/>
        <w:rPr>
          <w:sz w:val="20"/>
          <w:szCs w:val="20"/>
          <w:color w:val="auto"/>
        </w:rPr>
      </w:pPr>
    </w:p>
    <w:p>
      <w:pPr>
        <w:ind w:left="1000" w:right="699" w:hanging="348"/>
        <w:spacing w:after="0" w:line="282"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34">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105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55">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for our 2023 Annual Meeting of Shareholders, filed with the SEC on </w:t>
      </w:r>
      <w:hyperlink r:id="rId64">
        <w:r>
          <w:rPr>
            <w:rFonts w:ascii="Times New Roman" w:cs="Times New Roman" w:eastAsia="Times New Roman" w:hAnsi="Times New Roman"/>
            <w:sz w:val="18"/>
            <w:szCs w:val="18"/>
            <w:u w:val="single" w:color="auto"/>
            <w:color w:val="0000EE"/>
          </w:rPr>
          <w:t>April 5, 2023</w:t>
        </w:r>
      </w:hyperlink>
      <w:r>
        <w:rPr>
          <w:rFonts w:ascii="Times New Roman" w:cs="Times New Roman" w:eastAsia="Times New Roman" w:hAnsi="Times New Roman"/>
          <w:sz w:val="18"/>
          <w:szCs w:val="18"/>
          <w:color w:val="auto"/>
        </w:rPr>
        <w:t>, that are incorporated by reference into our Annual Report on Form 10-K for the fiscal year ended December 31, 2022.</w:t>
      </w:r>
    </w:p>
    <w:p>
      <w:pPr>
        <w:spacing w:after="0" w:line="68" w:lineRule="exact"/>
        <w:rPr>
          <w:rFonts w:ascii="Times New Roman" w:cs="Times New Roman" w:eastAsia="Times New Roman" w:hAnsi="Times New Roman"/>
          <w:sz w:val="18"/>
          <w:szCs w:val="18"/>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9" w:lineRule="exact"/>
        <w:rPr>
          <w:rFonts w:ascii="Times New Roman" w:cs="Times New Roman" w:eastAsia="Times New Roman" w:hAnsi="Times New Roman"/>
          <w:sz w:val="18"/>
          <w:szCs w:val="18"/>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80" w:hanging="438"/>
        <w:spacing w:after="0"/>
        <w:tabs>
          <w:tab w:leader="none" w:pos="4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268-7400</w:t>
      </w:r>
    </w:p>
    <w:p>
      <w:pPr>
        <w:spacing w:after="0" w:line="206"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6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such factors, factors that could cause actual results to differ materially from those estimated by us include:</w:t>
      </w:r>
    </w:p>
    <w:p>
      <w:pPr>
        <w:spacing w:after="0" w:line="89" w:lineRule="exact"/>
        <w:rPr>
          <w:sz w:val="20"/>
          <w:szCs w:val="20"/>
          <w:color w:val="auto"/>
        </w:rPr>
      </w:pPr>
    </w:p>
    <w:p>
      <w:pPr>
        <w:ind w:left="1000" w:right="3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(as defined herein) or natural gas to be a competitive source of energy in the markets in which we operate, and seek to operate;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sufficient working capital for the development and operation of our business and assets;</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our Annual Report on Form 10-K and our other filings with the SEC.</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deliver targeted energy solutions by employing an integrated LNG supply and delivery model:</w:t>
      </w:r>
    </w:p>
    <w:p>
      <w:pPr>
        <w:spacing w:after="0" w:line="115" w:lineRule="exact"/>
        <w:rPr>
          <w:sz w:val="20"/>
          <w:szCs w:val="20"/>
          <w:color w:val="auto"/>
        </w:rPr>
      </w:pPr>
    </w:p>
    <w:p>
      <w:pPr>
        <w:jc w:val="both"/>
        <w:ind w:left="300" w:right="379" w:firstLine="3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LNG and Natural Gas Supply and Liquefaction </w:t>
      </w:r>
      <w:r>
        <w:rPr>
          <w:rFonts w:ascii="Times New Roman" w:cs="Times New Roman" w:eastAsia="Times New Roman" w:hAnsi="Times New Roman"/>
          <w:sz w:val="17"/>
          <w:szCs w:val="17"/>
          <w:color w:val="auto"/>
        </w:rPr>
        <w:t>– We supply LNG and natural gas to our own power plants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our customers. We typically supply LNG and natural gas regasified from LNG to our customers by entering into long-term supply contracts, which are generally based on an index such as Henry Hub plus a fixed fee component.</w:t>
      </w:r>
    </w:p>
    <w:p>
      <w:pPr>
        <w:spacing w:after="0" w:line="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to provide a source of low-cost supply of LNG.</w:t>
      </w:r>
    </w:p>
    <w:p>
      <w:pPr>
        <w:spacing w:after="0" w:line="79" w:lineRule="exact"/>
        <w:rPr>
          <w:sz w:val="20"/>
          <w:szCs w:val="20"/>
          <w:color w:val="auto"/>
        </w:rPr>
      </w:pPr>
    </w:p>
    <w:p>
      <w:pPr>
        <w:ind w:left="30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 We lease, own or operate a fleet of seven regasification units and 13 liquefied natural gas carriers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floating storage units. Ten vessels are owned by our joint venture affiliate, Energos Infrastructure. We also charter vessels to and from third parties as well as from Energos.</w:t>
      </w:r>
    </w:p>
    <w:p>
      <w:pPr>
        <w:spacing w:after="0" w:line="6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 Through our network of current and planned downstream facilities and logistics assets,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74"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operations at the following facilities:</w:t>
      </w:r>
    </w:p>
    <w:p>
      <w:pPr>
        <w:spacing w:after="0" w:line="63"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storage and regasification facility at the Port of Montego Bay, Jamaica,</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Old Harbour, Jamaica</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dual-fired combined heat and power facility in Clarendon, Jamaica,</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landed micro-fuel handling facility in San Juan, Puerto Rico,</w:t>
      </w:r>
    </w:p>
    <w:p>
      <w:pPr>
        <w:spacing w:after="0" w:line="63" w:lineRule="exact"/>
        <w:rPr>
          <w:rFonts w:ascii="Times New Roman" w:cs="Times New Roman" w:eastAsia="Times New Roman" w:hAnsi="Times New Roman"/>
          <w:sz w:val="18"/>
          <w:szCs w:val="18"/>
          <w:color w:val="auto"/>
        </w:rPr>
      </w:pPr>
    </w:p>
    <w:p>
      <w:pPr>
        <w:ind w:left="1000" w:right="699" w:hanging="348"/>
        <w:spacing w:after="0" w:line="28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receiving facility and gas-fired power plant at the Port of Pichilingue in Baja California Sur, Mexico, and</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Miami Facility.</w:t>
      </w:r>
    </w:p>
    <w:p>
      <w:pPr>
        <w:spacing w:after="0" w:line="11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2023,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68"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stockholder.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February 26, 2024, there were 205,033,557 shares of Class A common stock outstanding. As of the date hereof, there are no shares of Class B common stock or preferred stock outstanding.</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common stock are entitled to one vote per share held of record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the stockholders. Holders of our Class A common stock and Class B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72"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dissolution, liquidation or winding up,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72" w:lineRule="exact"/>
        <w:rPr>
          <w:sz w:val="20"/>
          <w:szCs w:val="20"/>
          <w:color w:val="auto"/>
        </w:rPr>
      </w:pPr>
    </w:p>
    <w:p>
      <w:pPr>
        <w:jc w:val="both"/>
        <w:ind w:left="30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Class A common stock have no preemptive or conversion rights and are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calls or assessment by us. There are no redemption or sinking fund provisions applicable to the Class A common stock. All outstanding Class A common stock are fully paid and non-assessable.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Prior to the exchange of all of the units (the “NFI LLC Units”) (other than NFI LLC Units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77" w:lineRule="exact"/>
        <w:rPr>
          <w:sz w:val="20"/>
          <w:szCs w:val="20"/>
          <w:color w:val="auto"/>
        </w:rPr>
      </w:pPr>
    </w:p>
    <w:p>
      <w:pPr>
        <w:ind w:left="300" w:right="65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our Class B common stock are entitled to one vote per share held of record on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to be voted upon by the shareholders. Holders of our Class A common stock and Class B common stock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73"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Dividend and Liquidation Rights</w:t>
      </w:r>
      <w:r>
        <w:rPr>
          <w:rFonts w:ascii="Times New Roman" w:cs="Times New Roman" w:eastAsia="Times New Roman" w:hAnsi="Times New Roman"/>
          <w:sz w:val="18"/>
          <w:szCs w:val="18"/>
          <w:color w:val="auto"/>
        </w:rPr>
        <w:t>. Holders of our Class B common stock do not have any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75"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Pursuant to the limited liability company agreement of NFI, each holder of NFI LLC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Duties</w:t>
      </w:r>
    </w:p>
    <w:p>
      <w:pPr>
        <w:spacing w:after="0" w:line="119"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premiums to replace lost or stolen certificates, taxes and other governmental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for services requested by a holder of a Class A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fees or charges.</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Resignation or Removal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may resign, by notice to us, or be removed by us.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of Class A common stock and Class B common stock</w:t>
      </w:r>
    </w:p>
    <w:p>
      <w:pPr>
        <w:spacing w:after="0" w:line="121"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securities and any transfers are subject to the laws governing the transfer of securities.</w:t>
      </w:r>
    </w:p>
    <w:p>
      <w:pPr>
        <w:spacing w:after="0" w:line="5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Certificate of Incorporation and Bylaws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Our Organizational Documents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Prohibited Amendments. </w:t>
      </w:r>
      <w:r>
        <w:rPr>
          <w:rFonts w:ascii="Times New Roman" w:cs="Times New Roman" w:eastAsia="Times New Roman" w:hAnsi="Times New Roman"/>
          <w:sz w:val="18"/>
          <w:szCs w:val="18"/>
          <w:color w:val="auto"/>
        </w:rPr>
        <w:t>No amendment may be made that would:</w:t>
      </w:r>
    </w:p>
    <w:p>
      <w:pPr>
        <w:spacing w:after="0" w:line="119" w:lineRule="exact"/>
        <w:rPr>
          <w:sz w:val="20"/>
          <w:szCs w:val="20"/>
          <w:color w:val="auto"/>
        </w:rPr>
      </w:pPr>
    </w:p>
    <w:p>
      <w:pPr>
        <w:ind w:left="1000" w:right="3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stockholder without such stockholder’s consent, unless approved by at least a majority of the type or class of shares so affected;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existence of our company.</w:t>
      </w:r>
    </w:p>
    <w:p>
      <w:pPr>
        <w:spacing w:after="0" w:line="117" w:lineRule="exact"/>
        <w:rPr>
          <w:sz w:val="20"/>
          <w:szCs w:val="20"/>
          <w:color w:val="auto"/>
        </w:rPr>
      </w:pPr>
    </w:p>
    <w:p>
      <w:pPr>
        <w:ind w:left="300" w:right="419" w:firstLine="360"/>
        <w:spacing w:after="0" w:line="312" w:lineRule="auto"/>
        <w:rPr>
          <w:sz w:val="20"/>
          <w:szCs w:val="20"/>
          <w:color w:val="auto"/>
        </w:rPr>
      </w:pPr>
      <w:r>
        <w:rPr>
          <w:rFonts w:ascii="Times New Roman" w:cs="Times New Roman" w:eastAsia="Times New Roman" w:hAnsi="Times New Roman"/>
          <w:sz w:val="17"/>
          <w:szCs w:val="17"/>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30" w:lineRule="exact"/>
        <w:rPr>
          <w:sz w:val="20"/>
          <w:szCs w:val="20"/>
          <w:color w:val="auto"/>
        </w:rPr>
      </w:pPr>
    </w:p>
    <w:p>
      <w:pPr>
        <w:ind w:left="300" w:right="6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Stockholder Approval. </w:t>
      </w:r>
      <w:r>
        <w:rPr>
          <w:rFonts w:ascii="Times New Roman" w:cs="Times New Roman" w:eastAsia="Times New Roman" w:hAnsi="Times New Roman"/>
          <w:sz w:val="18"/>
          <w:szCs w:val="18"/>
          <w:color w:val="auto"/>
        </w:rPr>
        <w:t>Our board of directors may generally make amendments to our Bylaws,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to our Certificate of Incorporation, without the approval of any stockholder or assignee to reflect:</w:t>
      </w:r>
    </w:p>
    <w:p>
      <w:pPr>
        <w:spacing w:after="0" w:line="67" w:lineRule="exact"/>
        <w:rPr>
          <w:sz w:val="20"/>
          <w:szCs w:val="20"/>
          <w:color w:val="auto"/>
        </w:rPr>
      </w:pPr>
    </w:p>
    <w:p>
      <w:pPr>
        <w:ind w:left="1000" w:right="8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our business, our registered agent or our registered office;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75"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to be necessary or appropriate for the authorization of additional securities;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organizational documents to be made by our board of directors acting alone;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organizational documents;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clauses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1099" w:firstLine="360"/>
        <w:spacing w:after="0" w:line="282" w:lineRule="auto"/>
        <w:rPr>
          <w:sz w:val="20"/>
          <w:szCs w:val="20"/>
          <w:color w:val="auto"/>
        </w:rPr>
      </w:pPr>
      <w:r>
        <w:rPr>
          <w:rFonts w:ascii="Times New Roman" w:cs="Times New Roman" w:eastAsia="Times New Roman" w:hAnsi="Times New Roman"/>
          <w:sz w:val="18"/>
          <w:szCs w:val="18"/>
          <w:color w:val="auto"/>
        </w:rPr>
        <w:t>In addition, our board of directors may make amendments to our Bylaws without the approval of any stockholder or assignee if our board of directors determines that those amendments:</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stockholders in any material respect;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7"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71" w:lineRule="exact"/>
        <w:rPr>
          <w:rFonts w:ascii="Times New Roman" w:cs="Times New Roman" w:eastAsia="Times New Roman" w:hAnsi="Times New Roman"/>
          <w:sz w:val="18"/>
          <w:szCs w:val="18"/>
          <w:color w:val="auto"/>
        </w:rPr>
      </w:pPr>
    </w:p>
    <w:p>
      <w:pPr>
        <w:ind w:left="1000" w:right="127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board of directors relating to splits or combinations of shares under the provisions of our Bylaws; or</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of the provisions of our organizational documents or are otherwise contemplated by our organizational documents.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the DGCL, our board of directors is generally prohibited, without the prior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approval of holders of a majority of the total combined voting power of all of our Class A common stock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B common stock, from causing us to, among other things, merge, sell, exchange or otherwise dispose of all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substantially all of our assets in a single transaction or a series of related transactions, or approving on our behalf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sale, exchange or other disposition of all or substantially all of our assets, provided that our board of directors may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mortgage, pledge, hypothecate or grant a security interest in all or substantially all of our assets without the approval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any stockholder. Our board of directors may also sell all or substantially all of our assets under a foreclosure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realization upon the encumbrances above without that approval.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Organizational Documents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7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Interests. </w:t>
      </w:r>
      <w:r>
        <w:rPr>
          <w:rFonts w:ascii="Times New Roman" w:cs="Times New Roman" w:eastAsia="Times New Roman" w:hAnsi="Times New Roman"/>
          <w:sz w:val="18"/>
          <w:szCs w:val="18"/>
          <w:color w:val="auto"/>
        </w:rPr>
        <w:t>Our organizational documents authorize us to issue up to 750 million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Statute—Section 203. </w:t>
      </w:r>
      <w:r>
        <w:rPr>
          <w:rFonts w:ascii="Times New Roman" w:cs="Times New Roman" w:eastAsia="Times New Roman" w:hAnsi="Times New Roman"/>
          <w:sz w:val="18"/>
          <w:szCs w:val="18"/>
          <w:color w:val="auto"/>
        </w:rPr>
        <w:t>We are a corporation organized under Delaware law.</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Some provisions of Delaware law may delay or prevent a transaction that would cause a change in our control.</w:t>
      </w:r>
    </w:p>
    <w:p>
      <w:pPr>
        <w:spacing w:after="0" w:line="9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0" w:lineRule="exact"/>
        <w:rPr>
          <w:sz w:val="20"/>
          <w:szCs w:val="20"/>
          <w:color w:val="auto"/>
        </w:rPr>
      </w:pPr>
    </w:p>
    <w:p>
      <w:pPr>
        <w:ind w:left="1000" w:right="7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described above do not apply if (a) the Company does not have a class of voting stock that is:</w:t>
      </w:r>
    </w:p>
    <w:p>
      <w:pPr>
        <w:spacing w:after="0" w:line="27" w:lineRule="exact"/>
        <w:rPr>
          <w:sz w:val="20"/>
          <w:szCs w:val="20"/>
          <w:color w:val="auto"/>
        </w:rPr>
      </w:pPr>
    </w:p>
    <w:p>
      <w:pPr>
        <w:ind w:left="300" w:right="319" w:hanging="8"/>
        <w:spacing w:after="0" w:line="252" w:lineRule="auto"/>
        <w:tabs>
          <w:tab w:leader="none" w:pos="5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Provisions of Our Organizational Documents. </w:t>
      </w:r>
      <w:r>
        <w:rPr>
          <w:rFonts w:ascii="Times New Roman" w:cs="Times New Roman" w:eastAsia="Times New Roman" w:hAnsi="Times New Roman"/>
          <w:sz w:val="18"/>
          <w:szCs w:val="18"/>
          <w:color w:val="auto"/>
        </w:rPr>
        <w:t>Our Certificate of Incorporation provides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5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6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Ability of Our Stockholders to Act. </w:t>
      </w:r>
      <w:r>
        <w:rPr>
          <w:rFonts w:ascii="Times New Roman" w:cs="Times New Roman" w:eastAsia="Times New Roman" w:hAnsi="Times New Roman"/>
          <w:sz w:val="18"/>
          <w:szCs w:val="18"/>
          <w:color w:val="auto"/>
        </w:rPr>
        <w:t>Our organizational documents do not permit our stockholders to call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8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Members of Our Board of Directors</w:t>
      </w:r>
    </w:p>
    <w:p>
      <w:pPr>
        <w:spacing w:after="0" w:line="121"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68"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00" w:right="11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arising pursuant to any provision of the DGCL or our organizational documents; or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75" w:lineRule="exact"/>
        <w:rPr>
          <w:sz w:val="20"/>
          <w:szCs w:val="20"/>
          <w:color w:val="auto"/>
        </w:rPr>
      </w:pPr>
    </w:p>
    <w:p>
      <w:pPr>
        <w:ind w:left="1000" w:right="8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through any acquisition, disposition of assets or otherwise, in the nature of our business or operations and our subsidiaries as of February 4, 2019;</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Wesley Edens as our chief executive officer or as Chairman of the Board of Directors and hiring or appointing his successor;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size of the board of directors, committees of the board of directors and board and committees of our subsidiaries;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81"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and Class B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68"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81"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86"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to which it relates have been redeemed or converted;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made a final distribution to the holders of the depositary shares issued under the deposit agreement upon our liquidation, dissolution or winding up.</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300" w:right="499" w:firstLine="360"/>
        <w:spacing w:after="0" w:line="272" w:lineRule="auto"/>
        <w:rPr>
          <w:sz w:val="20"/>
          <w:szCs w:val="20"/>
          <w:color w:val="auto"/>
        </w:rPr>
      </w:pPr>
      <w:r>
        <w:rPr>
          <w:rFonts w:ascii="Times New Roman" w:cs="Times New Roman" w:eastAsia="Times New Roman" w:hAnsi="Times New Roman"/>
          <w:sz w:val="17"/>
          <w:szCs w:val="17"/>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spacing w:after="0" w:line="2" w:lineRule="exact"/>
        <w:rPr>
          <w:sz w:val="20"/>
          <w:szCs w:val="20"/>
          <w:color w:val="auto"/>
        </w:rPr>
      </w:pPr>
    </w:p>
    <w:p>
      <w:pPr>
        <w:ind w:left="300" w:right="559" w:hanging="8"/>
        <w:spacing w:after="0" w:line="255" w:lineRule="auto"/>
        <w:tabs>
          <w:tab w:leader="none" w:pos="5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54"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successor to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69"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4" w:lineRule="exact"/>
        <w:rPr>
          <w:sz w:val="20"/>
          <w:szCs w:val="20"/>
          <w:color w:val="auto"/>
        </w:rPr>
      </w:pPr>
    </w:p>
    <w:p>
      <w:pPr>
        <w:ind w:left="1000" w:right="69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0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0"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0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40"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26"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0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26"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40"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40"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0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40" w:lineRule="exact"/>
        <w:rPr>
          <w:rFonts w:ascii="Times New Roman" w:cs="Times New Roman" w:eastAsia="Times New Roman" w:hAnsi="Times New Roman"/>
          <w:sz w:val="18"/>
          <w:szCs w:val="18"/>
          <w:color w:val="auto"/>
        </w:rPr>
      </w:pPr>
    </w:p>
    <w:p>
      <w:pPr>
        <w:jc w:val="both"/>
        <w:ind w:left="1000" w:right="59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40"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86"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7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54"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issue of warrants will be evidenced by warrant certificates. After warrants expire they will become void.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prospectus supplement may provide for the adjustment of the exercise price of the warrants.</w:t>
      </w:r>
    </w:p>
    <w:p>
      <w:pPr>
        <w:spacing w:after="0" w:line="99" w:lineRule="exact"/>
        <w:rPr>
          <w:sz w:val="20"/>
          <w:szCs w:val="20"/>
          <w:color w:val="auto"/>
        </w:rPr>
      </w:pPr>
    </w:p>
    <w:p>
      <w:pPr>
        <w:jc w:val="both"/>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of up to 114,670,972 shares of Class A common stock by certain of our stockholders identified in the table below, who we refer to in this prospectus as the “selling stockholders.” The selling stockholders identified below may currently hold or acquire at any time Class A common stock in addition to those registered hereby.</w:t>
      </w:r>
    </w:p>
    <w:p>
      <w:pPr>
        <w:spacing w:after="0" w:line="72" w:lineRule="exact"/>
        <w:rPr>
          <w:sz w:val="20"/>
          <w:szCs w:val="20"/>
          <w:color w:val="auto"/>
        </w:rPr>
      </w:pPr>
    </w:p>
    <w:p>
      <w:pPr>
        <w:jc w:val="both"/>
        <w:ind w:left="300" w:right="639" w:firstLine="360"/>
        <w:spacing w:after="0" w:line="272"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w:t>
      </w:r>
    </w:p>
    <w:p>
      <w:pPr>
        <w:spacing w:after="0" w:line="2" w:lineRule="exact"/>
        <w:rPr>
          <w:sz w:val="20"/>
          <w:szCs w:val="20"/>
          <w:color w:val="auto"/>
        </w:rPr>
      </w:pPr>
    </w:p>
    <w:p>
      <w:pPr>
        <w:jc w:val="both"/>
        <w:ind w:left="300" w:right="559"/>
        <w:spacing w:after="0" w:line="255" w:lineRule="auto"/>
        <w:rPr>
          <w:sz w:val="20"/>
          <w:szCs w:val="20"/>
          <w:color w:val="auto"/>
        </w:rPr>
      </w:pPr>
      <w:r>
        <w:rPr>
          <w:rFonts w:ascii="Times New Roman" w:cs="Times New Roman" w:eastAsia="Times New Roman" w:hAnsi="Times New Roman"/>
          <w:sz w:val="18"/>
          <w:szCs w:val="18"/>
          <w:color w:val="auto"/>
        </w:rPr>
        <w:t>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78"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information in the below table (other than the percentages of our outstanding Class A common stock beneficially owned) in respect of the selling stockholders was furnished by or on behalf of the selling stockholders and is as of March 1, 2024. Except as may be noted in this section, none of the selling stockholders has, or within the past three years has had, any material relationship with us or any of our affiliates.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Wesley R. Edens, Randal A. Nardone and all of the entities listed under “Selling Stockholders”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72"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No offer or sale under this prospectus may be made by any stockholder unless that holder is listed in the table below, in any supplement to this prospectus or in an amendment to the relevant registration statement that has become effective. We will supplement or amend this prospectus if applicable to include additional selling stockholders upon provision of all required information to us and subject to the terms of any relevant agreement between us and the selling stockholders.</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are not obligated to sell any of the Class A common stock offered by this prospectus. Because the selling stockholders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stockholders upon termination of this offering. Therefore, for the purposes of the following table, we have assumed that the selling stockholders will sell all of the Class A common stock beneficially owned by them that are covered by this prospectus, but will not sell any other Class A common stock that they may currently own.</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0" w:type="dxa"/>
            <w:vAlign w:val="bottom"/>
          </w:tcPr>
          <w:p>
            <w:pPr>
              <w:spacing w:after="0"/>
              <w:rPr>
                <w:sz w:val="12"/>
                <w:szCs w:val="12"/>
                <w:color w:val="auto"/>
              </w:rPr>
            </w:pPr>
          </w:p>
        </w:tc>
        <w:tc>
          <w:tcPr>
            <w:tcW w:w="1480" w:type="dxa"/>
            <w:vAlign w:val="bottom"/>
            <w:gridSpan w:val="3"/>
          </w:tcPr>
          <w:p>
            <w:pPr>
              <w:jc w:val="right"/>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15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0"/>
                <w:szCs w:val="10"/>
                <w:color w:val="auto"/>
              </w:rPr>
            </w:pPr>
          </w:p>
        </w:tc>
        <w:tc>
          <w:tcPr>
            <w:tcW w:w="148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Stockholders</w:t>
            </w: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Fortress Equity Partners GP LLC</w:t>
            </w:r>
            <w:r>
              <w:rPr>
                <w:rFonts w:ascii="Times New Roman" w:cs="Times New Roman" w:eastAsia="Times New Roman" w:hAnsi="Times New Roman"/>
                <w:sz w:val="26"/>
                <w:szCs w:val="26"/>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13,399,317</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Energy Transition Holdings LLC</w:t>
            </w:r>
            <w:r>
              <w:rPr>
                <w:rFonts w:ascii="Times New Roman" w:cs="Times New Roman" w:eastAsia="Times New Roman" w:hAnsi="Times New Roman"/>
                <w:sz w:val="26"/>
                <w:szCs w:val="26"/>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25,559,846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25,559,846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Wesley R. Edens</w:t>
            </w:r>
            <w:r>
              <w:rPr>
                <w:rFonts w:ascii="Times New Roman" w:cs="Times New Roman" w:eastAsia="Times New Roman" w:hAnsi="Times New Roman"/>
                <w:sz w:val="26"/>
                <w:szCs w:val="26"/>
                <w:color w:val="auto"/>
                <w:vertAlign w:val="superscript"/>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47,540,924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47,540,924</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Randal A. Nardone</w:t>
            </w:r>
            <w:r>
              <w:rPr>
                <w:rFonts w:ascii="Times New Roman" w:cs="Times New Roman" w:eastAsia="Times New Roman" w:hAnsi="Times New Roman"/>
                <w:sz w:val="26"/>
                <w:szCs w:val="26"/>
                <w:color w:val="auto"/>
                <w:vertAlign w:val="superscript"/>
              </w:rPr>
              <w:t>(5)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26,196,526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201,653</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Desmond Iain Catterall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69,841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David J. Grain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114,294</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William Griffin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333,429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333,429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John J. Mack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1,178,013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1,178,013</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E. Wanner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77,129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shares outstanding. See footnote (1).</w:t>
      </w:r>
    </w:p>
    <w:p>
      <w:pPr>
        <w:spacing w:after="0" w:line="42"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February 26, 2024, we had 205,033,557 shares of Class A common stock outstanding.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19" w:hanging="348"/>
        <w:spacing w:after="0" w:line="233"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5" w:lineRule="exact"/>
        <w:rPr>
          <w:rFonts w:ascii="Times New Roman" w:cs="Times New Roman" w:eastAsia="Times New Roman" w:hAnsi="Times New Roman"/>
          <w:sz w:val="14"/>
          <w:szCs w:val="14"/>
          <w:color w:val="auto"/>
        </w:rPr>
      </w:pPr>
    </w:p>
    <w:p>
      <w:pPr>
        <w:ind w:left="640" w:right="359" w:hanging="348"/>
        <w:spacing w:after="0" w:line="214"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Haven, CT 06510.</w:t>
      </w:r>
    </w:p>
    <w:p>
      <w:pPr>
        <w:spacing w:after="0" w:line="2" w:lineRule="exact"/>
        <w:rPr>
          <w:rFonts w:ascii="Times New Roman" w:cs="Times New Roman" w:eastAsia="Times New Roman" w:hAnsi="Times New Roman"/>
          <w:sz w:val="14"/>
          <w:szCs w:val="14"/>
          <w:color w:val="auto"/>
        </w:rPr>
      </w:pPr>
    </w:p>
    <w:p>
      <w:pPr>
        <w:ind w:left="640" w:right="479" w:hanging="348"/>
        <w:spacing w:after="0" w:line="228"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29,928,173 shares of Class A common stock held by Edens Family Partners LLC and 17,612,751 shares of Class A common stock held by WRE 2012 Trust LLC (“WRE Trust”), a limited liability company organized under the laws of the State of Delaware. Mr. Edens is the sole beneficial owner of Edens Family Partners LLC.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5"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stockholders may sell the securities being offered hereby in one or more of the following ways from time to time:</w:t>
      </w:r>
    </w:p>
    <w:p>
      <w:pPr>
        <w:spacing w:after="0" w:line="54"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 market” offerings (as defined in Rule 415 under the Securities Act of 1933);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a prospectus supplement.</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we or the selling stockholders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stockholders or others to settle such sales and may use securities received from us to close out any related short positions. We or the selling stockholders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80" w:lineRule="exact"/>
        <w:rPr>
          <w:sz w:val="20"/>
          <w:szCs w:val="20"/>
          <w:color w:val="auto"/>
        </w:rPr>
      </w:pPr>
    </w:p>
    <w:p>
      <w:pPr>
        <w:ind w:left="300" w:right="91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stockholders will identify the specific plan of distribution in a prospectus supplement, including:</w:t>
      </w:r>
    </w:p>
    <w:p>
      <w:pPr>
        <w:spacing w:after="0" w:line="5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agents or direct purchasers and their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we will receive from the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obligations to take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underwriters’ obligations to take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selling stockholders, if applicable;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Underwriters, dealers and agents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84"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68"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7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Underwriters, dealers or agents and their associates may engage in other transactions with and perform other services for us in the ordinary course of business.</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markets and listing of securities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Stabilization activities</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8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or otherwise and, if commenced, may be discontinued at any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8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80"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89" w:lineRule="auto"/>
        <w:rPr>
          <w:sz w:val="20"/>
          <w:szCs w:val="20"/>
          <w:color w:val="auto"/>
        </w:rPr>
      </w:pPr>
      <w:r>
        <w:rPr>
          <w:rFonts w:ascii="Times New Roman" w:cs="Times New Roman" w:eastAsia="Times New Roman" w:hAnsi="Times New Roman"/>
          <w:sz w:val="17"/>
          <w:szCs w:val="17"/>
          <w:color w:val="auto"/>
        </w:rPr>
        <w:t>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50"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with respect to gain realized on the sale, exchange or other disposition of our Class A common stock unless:</w:t>
      </w:r>
    </w:p>
    <w:p>
      <w:pPr>
        <w:spacing w:after="0" w:line="54" w:lineRule="exact"/>
        <w:rPr>
          <w:sz w:val="20"/>
          <w:szCs w:val="20"/>
          <w:color w:val="auto"/>
        </w:rPr>
      </w:pPr>
    </w:p>
    <w:p>
      <w:pPr>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 (b) such non-U.S. holder owns or owned (actually or constructively) more than 5% of our Class A common stock at any time during the shorter of the two periods mentioned above.</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8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ERISA AND BENEFIT PLAN CONSIDERATIONS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certain considerations associated with the acquisition and holding of securities offered hereunder (including interests therein) by employee benefit plans that are subject to Title I of ERISA, plans, individual retirement accounts and other arrangements that are subject to Section 4975 of the Code and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stockholders offer, issue or sell securities, we will provide a supplement to this prospectus that may contain supplemental information to this summary.</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We and our affiliates will not act in a fiduciary capacity with respect to any Plan’s investment in our securities.</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75" w:lineRule="exact"/>
        <w:rPr>
          <w:sz w:val="20"/>
          <w:szCs w:val="20"/>
          <w:color w:val="auto"/>
        </w:rPr>
      </w:pPr>
    </w:p>
    <w:p>
      <w:pPr>
        <w:ind w:left="1000" w:right="75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prudent under Section 404(a)(1)(B) of ERISA, if applicable, and any other applicable Similar Laws;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making the investment, the Plan will satisfy the diversification requirements of Section 404(a)</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(1)(C) of ERISA, if applicable, and any other applicable Similar Laws;</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permitted under the terms of the applicable documents governing the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future there may be no market in which to sell or otherwise dispose of the security;</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acquisition or holding of such security will constitute a “prohibited transaction” under Section 406 of ERISA or Section 4975 of the Code or any Similar Law (please see discussion under “— Prohibited Transaction Issues” below); and</w:t>
      </w:r>
    </w:p>
    <w:p>
      <w:pPr>
        <w:spacing w:after="0" w:line="6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Plan will be considered to hold, as plan assets, (i) only such security or (ii) an undivided interest in our underlying assets (please see the discussion under “—Plan Asset Issues”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Covered Plan that engages in such a non-exempt prohibited transaction may be subject to penalties and liabilities under ERISA and the Code. For example, the acquisition and/or holding of our securities by a Covered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79" w:lineRule="exact"/>
        <w:rPr>
          <w:sz w:val="20"/>
          <w:szCs w:val="20"/>
          <w:color w:val="auto"/>
        </w:rPr>
      </w:pPr>
    </w:p>
    <w:p>
      <w:pPr>
        <w:jc w:val="both"/>
        <w:ind w:left="300" w:right="679" w:firstLine="360"/>
        <w:spacing w:after="0" w:line="289" w:lineRule="auto"/>
        <w:rPr>
          <w:sz w:val="20"/>
          <w:szCs w:val="20"/>
          <w:color w:val="auto"/>
        </w:rPr>
      </w:pPr>
      <w:r>
        <w:rPr>
          <w:rFonts w:ascii="Times New Roman" w:cs="Times New Roman" w:eastAsia="Times New Roman" w:hAnsi="Times New Roman"/>
          <w:sz w:val="17"/>
          <w:szCs w:val="17"/>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Asset Issues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Department of Labor (the “DOL”) regulations, as modified by Section 3(42) of ERISA (the “Plan Asset Regulation”) provide guidance with respect to whether the assets of an entity in which Covered Plans acquire equity interests would be deemed “plan assets” of the Covered Plan under some circumstances. Under the Plan Asset Regulation, an entity’s assets generally would not be considered to be “plan assets” if, among other things:</w:t>
      </w:r>
    </w:p>
    <w:p>
      <w:pPr>
        <w:spacing w:after="0" w:line="72"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acquired by Covered Plans are “publicly offered securities” (as defined in the</w:t>
      </w:r>
    </w:p>
    <w:p>
      <w:pPr>
        <w:spacing w:after="0" w:line="27" w:lineRule="exact"/>
        <w:rPr>
          <w:rFonts w:ascii="Times New Roman" w:cs="Times New Roman" w:eastAsia="Times New Roman" w:hAnsi="Times New Roman"/>
          <w:sz w:val="18"/>
          <w:szCs w:val="18"/>
          <w:color w:val="auto"/>
        </w:rPr>
      </w:pPr>
    </w:p>
    <w:p>
      <w:pPr>
        <w:ind w:left="10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Covered Plan as part of a public offering under certain conditions;</w:t>
      </w:r>
    </w:p>
    <w:p>
      <w:pPr>
        <w:spacing w:after="0" w:line="80" w:lineRule="exact"/>
        <w:rPr>
          <w:rFonts w:ascii="Times New Roman" w:cs="Times New Roman" w:eastAsia="Times New Roman" w:hAnsi="Times New Roman"/>
          <w:sz w:val="18"/>
          <w:szCs w:val="18"/>
          <w:color w:val="auto"/>
        </w:rPr>
      </w:pPr>
    </w:p>
    <w:p>
      <w:pPr>
        <w:jc w:val="both"/>
        <w:ind w:left="1000" w:right="8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an “operating company” (as defined in the Plan Asset Regulations)—i.e., it is primarily engaged in the production or sale of a product or service, other than the investment of capital, either directly or through a majority-owned subsidiary or subsidiaries;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significant investment by “benefit plan investors”, which is defined to mean that immediately after the most recent acquisition by a Covered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Covered Plans (which does not include governmental plans, foreign plans and certain church plans), and entities whose underlying assets are deemed to include plan assets by reason of a Covered Plan’s investment in the entity.</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Due to the complexity of these rules and the excise taxes, penalties and liabilities that may be imposed upon persons involved in non-exempt prohibited transactions or other violations,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necessary, and if so applicable, with respect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this registration statement. Our financial statements are incorporated by reference in reliance on Ernst &amp; Young LLP’s’s reports, given on their authority as experts in accounting and auditing.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263"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424(b)(7)</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10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w:t>
            </w:r>
          </w:p>
        </w:tc>
        <w:tc>
          <w:tcPr>
            <w:tcW w:w="0" w:type="dxa"/>
            <w:vAlign w:val="bottom"/>
          </w:tcPr>
          <w:p>
            <w:pPr>
              <w:spacing w:after="0"/>
              <w:rPr>
                <w:sz w:val="1"/>
                <w:szCs w:val="1"/>
                <w:color w:val="auto"/>
              </w:rPr>
            </w:pPr>
          </w:p>
        </w:tc>
      </w:tr>
      <w:tr>
        <w:trPr>
          <w:trHeight w:val="108"/>
        </w:trPr>
        <w:tc>
          <w:tcPr>
            <w:tcW w:w="84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72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108"/>
        </w:trPr>
        <w:tc>
          <w:tcPr>
            <w:tcW w:w="84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7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840" w:type="dxa"/>
            <w:vAlign w:val="bottom"/>
            <w:tcBorders>
              <w:left w:val="single" w:sz="8" w:color="auto"/>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4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900" w:type="dxa"/>
            <w:vAlign w:val="bottom"/>
            <w:tcBorders>
              <w:right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0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Registered</w:t>
            </w:r>
            <w:r>
              <w:rPr>
                <w:rFonts w:ascii="Times New Roman" w:cs="Times New Roman" w:eastAsia="Times New Roman" w:hAnsi="Times New Roman"/>
                <w:sz w:val="26"/>
                <w:szCs w:val="26"/>
                <w:b w:val="1"/>
                <w:bCs w:val="1"/>
                <w:color w:val="auto"/>
                <w:vertAlign w:val="superscript"/>
              </w:rPr>
              <w:t>(1)</w:t>
            </w:r>
          </w:p>
        </w:tc>
        <w:tc>
          <w:tcPr>
            <w:tcW w:w="820" w:type="dxa"/>
            <w:vAlign w:val="bottom"/>
            <w:tcBorders>
              <w:right w:val="single" w:sz="8" w:color="auto"/>
            </w:tcBorders>
            <w:vMerge w:val="continue"/>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103"/>
        </w:trPr>
        <w:tc>
          <w:tcPr>
            <w:tcW w:w="840" w:type="dxa"/>
            <w:vAlign w:val="bottom"/>
            <w:tcBorders>
              <w:left w:val="single" w:sz="8" w:color="auto"/>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126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25"/>
                <w:szCs w:val="25"/>
                <w:b w:val="1"/>
                <w:bCs w:val="1"/>
                <w:color w:val="auto"/>
                <w:vertAlign w:val="superscript"/>
              </w:rPr>
              <w:t>(2)</w:t>
            </w:r>
          </w:p>
        </w:tc>
        <w:tc>
          <w:tcPr>
            <w:tcW w:w="9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113"/>
        </w:trPr>
        <w:tc>
          <w:tcPr>
            <w:tcW w:w="84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4"/>
              </w:rPr>
              <w:t>Unit</w:t>
            </w:r>
            <w:r>
              <w:rPr>
                <w:rFonts w:ascii="Times New Roman" w:cs="Times New Roman" w:eastAsia="Times New Roman" w:hAnsi="Times New Roman"/>
                <w:sz w:val="27"/>
                <w:szCs w:val="27"/>
                <w:b w:val="1"/>
                <w:bCs w:val="1"/>
                <w:color w:val="auto"/>
                <w:w w:val="94"/>
                <w:vertAlign w:val="superscript"/>
              </w:rPr>
              <w:t>(2)</w:t>
            </w:r>
          </w:p>
        </w:tc>
        <w:tc>
          <w:tcPr>
            <w:tcW w:w="12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40" w:type="dxa"/>
            <w:vAlign w:val="bottom"/>
            <w:tcBorders>
              <w:left w:val="single" w:sz="8" w:color="auto"/>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Rule</w:t>
            </w: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Date</w:t>
            </w:r>
          </w:p>
        </w:tc>
        <w:tc>
          <w:tcPr>
            <w:tcW w:w="9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0" w:type="dxa"/>
            <w:vAlign w:val="bottom"/>
          </w:tcPr>
          <w:p>
            <w:pPr>
              <w:spacing w:after="0"/>
              <w:rPr>
                <w:sz w:val="1"/>
                <w:szCs w:val="1"/>
                <w:color w:val="auto"/>
              </w:rPr>
            </w:pPr>
          </w:p>
        </w:tc>
      </w:tr>
      <w:tr>
        <w:trPr>
          <w:trHeight w:val="245"/>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w:t>
            </w: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40" w:type="dxa"/>
            <w:vAlign w:val="bottom"/>
            <w:tcBorders>
              <w:right w:val="single" w:sz="8" w:color="auto"/>
            </w:tcBorders>
          </w:tcPr>
          <w:p>
            <w:pPr>
              <w:jc w:val="center"/>
              <w:spacing w:after="0" w:line="302" w:lineRule="exact"/>
              <w:rPr>
                <w:sz w:val="20"/>
                <w:szCs w:val="20"/>
                <w:color w:val="auto"/>
              </w:rPr>
            </w:pPr>
            <w:r>
              <w:rPr>
                <w:rFonts w:ascii="Times New Roman" w:cs="Times New Roman" w:eastAsia="Times New Roman" w:hAnsi="Times New Roman"/>
                <w:sz w:val="18"/>
                <w:szCs w:val="18"/>
                <w:color w:val="auto"/>
                <w:w w:val="96"/>
              </w:rPr>
              <w:t>14,455,006</w:t>
            </w:r>
            <w:r>
              <w:rPr>
                <w:rFonts w:ascii="Times New Roman" w:cs="Times New Roman" w:eastAsia="Times New Roman" w:hAnsi="Times New Roman"/>
                <w:sz w:val="29"/>
                <w:szCs w:val="29"/>
                <w:color w:val="auto"/>
                <w:w w:val="96"/>
                <w:vertAlign w:val="superscript"/>
              </w:rPr>
              <w:t>(3)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$11.78</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$170,279,971.00</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$0.0001531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$26,069.87</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4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color w:val="auto"/>
              </w:rPr>
              <w:t>Paid</w:t>
            </w: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5"/>
                <w:szCs w:val="15"/>
                <w:color w:val="auto"/>
              </w:rPr>
              <w:t>par value</w:t>
            </w:r>
          </w:p>
        </w:tc>
        <w:tc>
          <w:tcPr>
            <w:tcW w:w="9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9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w:t>
            </w: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Carry</w:t>
            </w: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4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Borders>
              <w:right w:val="single" w:sz="8" w:color="auto"/>
            </w:tcBorders>
            <w:gridSpan w:val="3"/>
          </w:tcPr>
          <w:p>
            <w:pPr>
              <w:jc w:val="center"/>
              <w:ind w:right="652"/>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$170,279,971.00</w:t>
            </w:r>
          </w:p>
        </w:tc>
        <w:tc>
          <w:tcPr>
            <w:tcW w:w="9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$26,069.87</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84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Borders>
              <w:right w:val="single" w:sz="8" w:color="auto"/>
            </w:tcBorders>
            <w:gridSpan w:val="3"/>
          </w:tcPr>
          <w:p>
            <w:pPr>
              <w:jc w:val="center"/>
              <w:ind w:right="632"/>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84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0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211"/>
              <w:spacing w:after="0"/>
              <w:rPr>
                <w:sz w:val="20"/>
                <w:szCs w:val="20"/>
                <w:color w:val="auto"/>
              </w:rPr>
            </w:pPr>
            <w:r>
              <w:rPr>
                <w:rFonts w:ascii="Times New Roman" w:cs="Times New Roman" w:eastAsia="Times New Roman" w:hAnsi="Times New Roman"/>
                <w:sz w:val="18"/>
                <w:szCs w:val="18"/>
                <w:color w:val="auto"/>
                <w:w w:val="98"/>
              </w:rPr>
              <w:t>Net Fee Due</w:t>
            </w:r>
          </w:p>
        </w:tc>
        <w:tc>
          <w:tcPr>
            <w:tcW w:w="10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$26,069.87</w:t>
            </w:r>
            <w:r>
              <w:rPr>
                <w:rFonts w:ascii="Times New Roman" w:cs="Times New Roman" w:eastAsia="Times New Roman" w:hAnsi="Times New Roman"/>
                <w:sz w:val="29"/>
                <w:szCs w:val="29"/>
                <w:color w:val="auto"/>
                <w:w w:val="94"/>
                <w:vertAlign w:val="superscript"/>
              </w:rPr>
              <w:t>(4)</w:t>
            </w: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8"/>
        <w:spacing w:after="0" w:line="266"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prospectus supplement also covers such additional shares as may hereafter be offered or issued with respect to the shares registered hereby resulting from stock splits, stock dividends, recapitalizations or similar capital adjustments.</w:t>
      </w:r>
    </w:p>
    <w:p>
      <w:pPr>
        <w:spacing w:after="0" w:line="202" w:lineRule="exact"/>
        <w:rPr>
          <w:rFonts w:ascii="Times New Roman" w:cs="Times New Roman" w:eastAsia="Times New Roman" w:hAnsi="Times New Roman"/>
          <w:sz w:val="18"/>
          <w:szCs w:val="18"/>
          <w:color w:val="auto"/>
        </w:rPr>
      </w:pPr>
    </w:p>
    <w:p>
      <w:pPr>
        <w:ind w:right="80"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computed in accordance with Rule 457(c) on the basis of the average of the high and low sales prices for the Class A common stock on February 13, 2025, as reported on the NASDAQ Global Select Market.</w:t>
      </w:r>
    </w:p>
    <w:p>
      <w:pPr>
        <w:spacing w:after="0" w:line="188"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resale of up to 14,455,006 shares of common stock issuable upon conversion of the preferred stock previously and separately registered under this Registration Statement.</w:t>
      </w:r>
    </w:p>
    <w:p>
      <w:pPr>
        <w:spacing w:after="0" w:line="188"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424(g)(2) and General Instruction II.F to Form S-3, this prospectus supplement shall be deemed a final prospectus for purposes of the offering of the securities described herein.</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3"/>
    </w:lvl>
  </w:abstractNum>
  <w:abstractNum w:abstractNumId="8">
    <w:nsid w:val="189A769B"/>
    <w:multiLevelType w:val="hybridMultilevel"/>
    <w:lvl w:ilvl="0">
      <w:lvlJc w:val="left"/>
      <w:lvlText w:val="(%1)"/>
      <w:numFmt w:val="decimal"/>
      <w:start w:val="20"/>
    </w:lvl>
  </w:abstractNum>
  <w:abstractNum w:abstractNumId="9">
    <w:nsid w:val="54E49EB4"/>
    <w:multiLevelType w:val="hybridMultilevel"/>
    <w:lvl w:ilvl="0">
      <w:lvlJc w:val="left"/>
      <w:lvlText w:val="(%1)"/>
      <w:numFmt w:val="decimal"/>
      <w:start w:val="27"/>
    </w:lvl>
  </w:abstractNum>
  <w:abstractNum w:abstractNumId="10">
    <w:nsid w:val="71F32454"/>
    <w:multiLevelType w:val="hybridMultilevel"/>
    <w:lvl w:ilvl="0">
      <w:lvlJc w:val="left"/>
      <w:lvlText w:val="(%1)"/>
      <w:numFmt w:val="decimal"/>
      <w:start w:val="35"/>
    </w:lvl>
  </w:abstractNum>
  <w:abstractNum w:abstractNumId="11">
    <w:nsid w:val="2CA88611"/>
    <w:multiLevelType w:val="hybridMultilevel"/>
    <w:lvl w:ilvl="0">
      <w:lvlJc w:val="left"/>
      <w:lvlText w:val="(%1)"/>
      <w:numFmt w:val="decimal"/>
      <w:start w:val="43"/>
    </w:lvl>
  </w:abstractNum>
  <w:abstractNum w:abstractNumId="12">
    <w:nsid w:val="836C40E"/>
    <w:multiLevelType w:val="hybridMultilevel"/>
    <w:lvl w:ilvl="0">
      <w:lvlJc w:val="left"/>
      <w:lvlText w:val="(%1)"/>
      <w:numFmt w:val="decimal"/>
      <w:start w:val="50"/>
    </w:lvl>
  </w:abstractNum>
  <w:abstractNum w:abstractNumId="13">
    <w:nsid w:val="2901D82"/>
    <w:multiLevelType w:val="hybridMultilevel"/>
    <w:lvl w:ilvl="0">
      <w:lvlJc w:val="left"/>
      <w:lvlText w:val="(%1)"/>
      <w:numFmt w:val="decimal"/>
      <w:start w:val="58"/>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516"/>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516"/>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jpe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34" Type="http://schemas.openxmlformats.org/officeDocument/2006/relationships/hyperlink" Target="https://www.sec.gov/ix?doc=/Archives/edgar/data/1749723/000174972324000011/nfe-20231231.htm" TargetMode="External"/><Relationship Id="rId35" Type="http://schemas.openxmlformats.org/officeDocument/2006/relationships/hyperlink" Target="https://www.sec.gov/ix?doc=/Archives/edgar/data/1749723/000174972324000052/nfe-20240331.htm" TargetMode="External"/><Relationship Id="rId36" Type="http://schemas.openxmlformats.org/officeDocument/2006/relationships/hyperlink" Target="https://www.sec.gov/ix?doc=/Archives/edgar/data/1749723/000174972324000072/nfe-20240630.htm" TargetMode="External"/><Relationship Id="rId37" Type="http://schemas.openxmlformats.org/officeDocument/2006/relationships/hyperlink" Target="https://www.sec.gov/ix?doc=/Archives/edgar/data/1749723/000174972324000116/nfe-20240930.htm" TargetMode="External"/><Relationship Id="rId38" Type="http://schemas.openxmlformats.org/officeDocument/2006/relationships/hyperlink" Target="https://www.sec.gov/ix?doc=/Archives/edgar/data/1749723/000174972324000014/nfe-20240304.htm" TargetMode="External"/><Relationship Id="rId39" Type="http://schemas.openxmlformats.org/officeDocument/2006/relationships/hyperlink" Target="https://www.sec.gov/ix?doc=/Archives/edgar/data/1749723/000174972324000017/nfe-20240305.htm" TargetMode="External"/><Relationship Id="rId40" Type="http://schemas.openxmlformats.org/officeDocument/2006/relationships/hyperlink" Target="https://www.sec.gov/ix?doc=/Archives/edgar/data/1749723/000174972324000019/nfe-20240308.htm" TargetMode="External"/><Relationship Id="rId41" Type="http://schemas.openxmlformats.org/officeDocument/2006/relationships/hyperlink" Target="https://www.sec.gov/ix?doc=/Archives/edgar/data/1749723/000174972324000022/nfe-20240319.htm" TargetMode="External"/><Relationship Id="rId42" Type="http://schemas.openxmlformats.org/officeDocument/2006/relationships/hyperlink" Target="https://www.sec.gov/ix?doc=/Archives/edgar/data/1749723/000174972324000024/nfe-20240326.htm" TargetMode="External"/><Relationship Id="rId43" Type="http://schemas.openxmlformats.org/officeDocument/2006/relationships/hyperlink" Target="https://www.sec.gov/ix?doc=/Archives/edgar/data/1749723/000174972324000060/nfe-20240611.htm" TargetMode="External"/><Relationship Id="rId44" Type="http://schemas.openxmlformats.org/officeDocument/2006/relationships/hyperlink" Target="https://www.sec.gov/ix?doc=/Archives/edgar/data/1749723/000174972324000064/nfe-20240719.htm" TargetMode="External"/><Relationship Id="rId45" Type="http://schemas.openxmlformats.org/officeDocument/2006/relationships/hyperlink" Target="https://www.sec.gov/ix?doc=/Archives/edgar/data/1749723/000174972324000078/nfe-20240831.htm" TargetMode="External"/><Relationship Id="rId46" Type="http://schemas.openxmlformats.org/officeDocument/2006/relationships/hyperlink" Target="https://www.sec.gov/ix?doc=/Archives/edgar/data/1749723/000174972324000080/nfe-20240923.htm" TargetMode="External"/><Relationship Id="rId47" Type="http://schemas.openxmlformats.org/officeDocument/2006/relationships/hyperlink" Target="https://www.sec.gov/ix?doc=/Archives/edgar/data/1749723/000174972324000100/nfe-20241018.htm" TargetMode="External"/><Relationship Id="rId48" Type="http://schemas.openxmlformats.org/officeDocument/2006/relationships/hyperlink" Target="https://www.sec.gov/ix?doc=/Archives/edgar/data/1749723/000174972324000109/nfe-20241107.htm" TargetMode="External"/><Relationship Id="rId49" Type="http://schemas.openxmlformats.org/officeDocument/2006/relationships/hyperlink" Target="https://www.sec.gov/ix?doc=/Archives/edgar/data/1749723/000174972324000118/nfe-20241114.htm" TargetMode="External"/><Relationship Id="rId50" Type="http://schemas.openxmlformats.org/officeDocument/2006/relationships/hyperlink" Target="https://www.sec.gov/ix?doc=/Archives/edgar/data/1749723/000174972324000122/nfe-20241121.htm" TargetMode="External"/><Relationship Id="rId51" Type="http://schemas.openxmlformats.org/officeDocument/2006/relationships/hyperlink" Target="https://www.sec.gov/ix?doc=/Archives/edgar/data/1749723/000174972324000125/nfe-20241205.htm" TargetMode="External"/><Relationship Id="rId52" Type="http://schemas.openxmlformats.org/officeDocument/2006/relationships/hyperlink" Target="https://www.sec.gov/ix?doc=/Archives/edgar/data/1749723/000174972325000002/nfe-20250102.htm" TargetMode="External"/><Relationship Id="rId53" Type="http://schemas.openxmlformats.org/officeDocument/2006/relationships/hyperlink" Target="https://www.sec.gov/ix?doc=/Archives/edgar/data/1749723/000174972325000004/nfe-20250106.htm" TargetMode="External"/><Relationship Id="rId54" Type="http://schemas.openxmlformats.org/officeDocument/2006/relationships/hyperlink" Target="https://www.sec.gov/ix?doc=/Archives/edgar/data/1749723/000174972325000009/nfe-20250131.htm" TargetMode="External"/><Relationship Id="rId55" Type="http://schemas.openxmlformats.org/officeDocument/2006/relationships/hyperlink" Target="https://www.sec.gov/Archives/edgar/data/1749723/000114036120017741/brhc10014200_8a12ba.htm" TargetMode="External"/><Relationship Id="rId64" Type="http://schemas.openxmlformats.org/officeDocument/2006/relationships/hyperlink" Target="https://www.sec.gov/ix?doc=/Archives/edgar/data/1749723/000174972323000025/nfe-20230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2025-02-14T16:15:59Z</dcterms:created>
  <dcterms:modified xsi:type="dcterms:W3CDTF">2025-02-14T16:15:59Z</dcterms:modified>
</cp:coreProperties>
</file>