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3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106" w:lineRule="exact"/>
        <w:rPr>
          <w:sz w:val="24"/>
          <w:szCs w:val="24"/>
          <w:color w:val="auto"/>
        </w:rPr>
      </w:pPr>
    </w:p>
    <w:p>
      <w:pPr>
        <w:jc w:val="right"/>
        <w:ind w:right="1339"/>
        <w:spacing w:after="0"/>
        <w:rPr>
          <w:sz w:val="20"/>
          <w:szCs w:val="20"/>
          <w:color w:val="auto"/>
        </w:rPr>
      </w:pPr>
      <w:r>
        <w:rPr>
          <w:rFonts w:ascii="Times New Roman" w:cs="Times New Roman" w:eastAsia="Times New Roman" w:hAnsi="Times New Roman"/>
          <w:sz w:val="14"/>
          <w:szCs w:val="14"/>
          <w:b w:val="1"/>
          <w:bCs w:val="1"/>
          <w:color w:val="auto"/>
        </w:rPr>
        <w:t>Filed Pursuant to Rule 424(b)(7)</w:t>
      </w:r>
    </w:p>
    <w:p>
      <w:pPr>
        <w:spacing w:after="0" w:line="23" w:lineRule="exact"/>
        <w:rPr>
          <w:sz w:val="24"/>
          <w:szCs w:val="24"/>
          <w:color w:val="auto"/>
        </w:rPr>
      </w:pPr>
    </w:p>
    <w:p>
      <w:pPr>
        <w:jc w:val="right"/>
        <w:ind w:right="1339"/>
        <w:spacing w:after="0"/>
        <w:rPr>
          <w:sz w:val="20"/>
          <w:szCs w:val="20"/>
          <w:color w:val="auto"/>
        </w:rPr>
      </w:pPr>
      <w:r>
        <w:rPr>
          <w:rFonts w:ascii="Times New Roman" w:cs="Times New Roman" w:eastAsia="Times New Roman" w:hAnsi="Times New Roman"/>
          <w:sz w:val="14"/>
          <w:szCs w:val="14"/>
          <w:b w:val="1"/>
          <w:bCs w:val="1"/>
          <w:color w:val="auto"/>
        </w:rPr>
        <w:t>Registration No. 333-277611</w:t>
      </w:r>
    </w:p>
    <w:p>
      <w:pPr>
        <w:spacing w:after="0" w:line="26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3"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(To Prospectus dated March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2090420</wp:posOffset>
            </wp:positionH>
            <wp:positionV relativeFrom="paragraph">
              <wp:posOffset>129540</wp:posOffset>
            </wp:positionV>
            <wp:extent cx="1545590" cy="404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5590" cy="404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4"/>
          <w:szCs w:val="14"/>
          <w:color w:val="auto"/>
        </w:rPr>
        <w:t> </w:t>
      </w:r>
    </w:p>
    <w:p>
      <w:pPr>
        <w:spacing w:after="0" w:line="278"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auto"/>
        </w:rPr>
        <w:t>10,804,718 Shares</w:t>
      </w:r>
    </w:p>
    <w:p>
      <w:pPr>
        <w:spacing w:after="0" w:line="7"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7"/>
          <w:szCs w:val="17"/>
          <w:b w:val="1"/>
          <w:bCs w:val="1"/>
          <w:color w:val="auto"/>
        </w:rPr>
        <w:t> </w:t>
      </w:r>
    </w:p>
    <w:p>
      <w:pPr>
        <w:ind w:left="3660"/>
        <w:spacing w:after="0"/>
        <w:rPr>
          <w:sz w:val="20"/>
          <w:szCs w:val="20"/>
          <w:color w:val="auto"/>
        </w:rPr>
      </w:pPr>
      <w:r>
        <w:rPr>
          <w:rFonts w:ascii="Times New Roman" w:cs="Times New Roman" w:eastAsia="Times New Roman" w:hAnsi="Times New Roman"/>
          <w:sz w:val="17"/>
          <w:szCs w:val="17"/>
          <w:b w:val="1"/>
          <w:bCs w:val="1"/>
          <w:color w:val="auto"/>
        </w:rPr>
        <w:t>Class A Common Stock</w:t>
      </w:r>
    </w:p>
    <w:p>
      <w:pPr>
        <w:spacing w:after="0" w:line="64" w:lineRule="exact"/>
        <w:rPr>
          <w:sz w:val="24"/>
          <w:szCs w:val="24"/>
          <w:color w:val="auto"/>
        </w:rPr>
      </w:pPr>
    </w:p>
    <w:p>
      <w:pPr>
        <w:ind w:left="1320" w:right="1359" w:firstLine="278"/>
        <w:spacing w:after="0" w:line="277" w:lineRule="auto"/>
        <w:rPr>
          <w:sz w:val="20"/>
          <w:szCs w:val="20"/>
          <w:color w:val="auto"/>
        </w:rPr>
      </w:pPr>
      <w:r>
        <w:rPr>
          <w:rFonts w:ascii="Times New Roman" w:cs="Times New Roman" w:eastAsia="Times New Roman" w:hAnsi="Times New Roman"/>
          <w:sz w:val="13"/>
          <w:szCs w:val="13"/>
          <w:color w:val="auto"/>
        </w:rPr>
        <w:t>This prospectus supplement relates to the offer and sale, from time to time, of up to 10,804,718 shares of our Class A common stock, par value $0.01 per share (the “Class A common stock”), by the selling securityholder (the “selling securityholder”) identified in this prospectus supplement. Such shares of our Class A common stock may be issued upon the conversion, repurchase or redemption of 96,746 shares of our 4.8% Series B Convertible Preferred Stock, par value $0.01 per share (the “Series B Convertible Preferred Stock”). We will not receive any proceeds from the sale of shares of our Class A common stock covered by this prospectus supplement. We will pay all expenses of the registration of the Class A common stock and certain other expenses.</w:t>
      </w:r>
    </w:p>
    <w:p>
      <w:pPr>
        <w:spacing w:after="0" w:line="46" w:lineRule="exact"/>
        <w:rPr>
          <w:sz w:val="24"/>
          <w:szCs w:val="24"/>
          <w:color w:val="auto"/>
        </w:rPr>
      </w:pPr>
    </w:p>
    <w:p>
      <w:pPr>
        <w:ind w:left="1320" w:right="1439" w:firstLine="278"/>
        <w:spacing w:after="0" w:line="259" w:lineRule="auto"/>
        <w:rPr>
          <w:sz w:val="20"/>
          <w:szCs w:val="20"/>
          <w:color w:val="auto"/>
        </w:rPr>
      </w:pPr>
      <w:r>
        <w:rPr>
          <w:rFonts w:ascii="Times New Roman" w:cs="Times New Roman" w:eastAsia="Times New Roman" w:hAnsi="Times New Roman"/>
          <w:sz w:val="14"/>
          <w:szCs w:val="14"/>
          <w:color w:val="auto"/>
        </w:rPr>
        <w:t>The registration of the offer and sale of shares of our Class A common stock covered by this prospectus supplement satisfies certain contractual obligations and does not necessarily mean that the selling securityholder identified in this prospectus supplement will offer to sell any of the shares of Class A common stock offered hereby.</w:t>
      </w:r>
    </w:p>
    <w:p>
      <w:pPr>
        <w:spacing w:after="0" w:line="57" w:lineRule="exact"/>
        <w:rPr>
          <w:sz w:val="24"/>
          <w:szCs w:val="24"/>
          <w:color w:val="auto"/>
        </w:rPr>
      </w:pPr>
    </w:p>
    <w:p>
      <w:pPr>
        <w:ind w:left="1320" w:right="1359" w:firstLine="278"/>
        <w:spacing w:after="0" w:line="257" w:lineRule="auto"/>
        <w:rPr>
          <w:sz w:val="20"/>
          <w:szCs w:val="20"/>
          <w:color w:val="auto"/>
        </w:rPr>
      </w:pPr>
      <w:r>
        <w:rPr>
          <w:rFonts w:ascii="Times New Roman" w:cs="Times New Roman" w:eastAsia="Times New Roman" w:hAnsi="Times New Roman"/>
          <w:sz w:val="14"/>
          <w:szCs w:val="14"/>
          <w:color w:val="auto"/>
        </w:rPr>
        <w:t>The selling securityholder will act independently in making decisions with respect to the timing, manner and size of any sale or non-sale related transfer. The selling securityholder may sell these shares in one or more transactions (including one or more underwritten offerings) at the market price for our Class A common stock prevailing at the time of sale, a price related to the prevailing market price, a negotiated price or such other price as the selling securityholder determines from time to time. See “Plan of Distribution.”</w:t>
      </w:r>
    </w:p>
    <w:p>
      <w:pPr>
        <w:spacing w:after="0" w:line="57" w:lineRule="exact"/>
        <w:rPr>
          <w:sz w:val="24"/>
          <w:szCs w:val="24"/>
          <w:color w:val="auto"/>
        </w:rPr>
      </w:pPr>
    </w:p>
    <w:p>
      <w:pPr>
        <w:ind w:left="1320" w:right="1439" w:firstLine="278"/>
        <w:spacing w:after="0" w:line="264" w:lineRule="auto"/>
        <w:rPr>
          <w:sz w:val="20"/>
          <w:szCs w:val="20"/>
          <w:color w:val="auto"/>
        </w:rPr>
      </w:pPr>
      <w:r>
        <w:rPr>
          <w:rFonts w:ascii="Times New Roman" w:cs="Times New Roman" w:eastAsia="Times New Roman" w:hAnsi="Times New Roman"/>
          <w:sz w:val="14"/>
          <w:szCs w:val="14"/>
          <w:color w:val="auto"/>
        </w:rPr>
        <w:t>Our Class A common stock is listed on the NASDAQ Global Select Market (the “NASDAQ”) under the symbol “NFE.” The last reported sales price of our Class A common stock on the NASDAQ on October 3, 2024 was $9.03 per share.</w:t>
      </w:r>
    </w:p>
    <w:p>
      <w:pPr>
        <w:spacing w:after="0" w:line="52" w:lineRule="exact"/>
        <w:rPr>
          <w:sz w:val="24"/>
          <w:szCs w:val="24"/>
          <w:color w:val="auto"/>
        </w:rPr>
      </w:pPr>
    </w:p>
    <w:p>
      <w:pPr>
        <w:ind w:left="1320" w:right="1419" w:firstLine="278"/>
        <w:spacing w:after="0" w:line="257" w:lineRule="auto"/>
        <w:rPr>
          <w:sz w:val="20"/>
          <w:szCs w:val="20"/>
          <w:color w:val="auto"/>
        </w:rPr>
      </w:pPr>
      <w:r>
        <w:rPr>
          <w:rFonts w:ascii="Times New Roman" w:cs="Times New Roman" w:eastAsia="Times New Roman" w:hAnsi="Times New Roman"/>
          <w:sz w:val="14"/>
          <w:szCs w:val="14"/>
          <w:b w:val="1"/>
          <w:bCs w:val="1"/>
          <w:color w:val="auto"/>
        </w:rPr>
        <w:t>Investing in shares of our Class A common stock involves a high degree of risk. Before buying any shares of our Class A common stock, you should carefully consider the risks that we have described in “Risk Factors” beginning on page S-3 of this prospectus supplement, in the accompanying prospectus and in the documents incorporated or deemed incorporated by reference into this prospectus supplement and accompanying prospectus.</w:t>
      </w:r>
    </w:p>
    <w:p>
      <w:pPr>
        <w:spacing w:after="0" w:line="57" w:lineRule="exact"/>
        <w:rPr>
          <w:sz w:val="24"/>
          <w:szCs w:val="24"/>
          <w:color w:val="auto"/>
        </w:rPr>
      </w:pPr>
    </w:p>
    <w:p>
      <w:pPr>
        <w:ind w:left="1320" w:right="1359" w:firstLine="278"/>
        <w:spacing w:after="0" w:line="266"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83"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date of this prospectus supplement is October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04" w:right="1440" w:bottom="1440" w:gutter="0" w:footer="0" w:header="0"/>
        </w:sectPr>
      </w:pPr>
    </w:p>
    <w:bookmarkStart w:id="1" w:name="page2"/>
    <w:bookmarkEnd w:id="1"/>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 </w:t>
      </w:r>
    </w:p>
    <w:p>
      <w:pPr>
        <w:spacing w:after="0" w:line="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33" w:lineRule="exact"/>
        <w:rPr>
          <w:sz w:val="20"/>
          <w:szCs w:val="20"/>
          <w:color w:val="auto"/>
        </w:rPr>
      </w:pPr>
    </w:p>
    <w:tbl>
      <w:tblPr>
        <w:tblLayout w:type="fixed"/>
        <w:tblInd w:w="12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gridSpan w:val="24"/>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0000EE"/>
              </w:rPr>
              <w:t>ABOUT THIS PROSPECTUS SUPPLEMENT</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gridSpan w:val="3"/>
            <w:shd w:val="clear" w:color="auto" w:fill="CCEEFF"/>
          </w:tcPr>
          <w:p>
            <w:pPr>
              <w:jc w:val="center"/>
              <w:ind w:right="20"/>
              <w:spacing w:after="0" w:line="156" w:lineRule="exact"/>
              <w:rPr>
                <w:sz w:val="20"/>
                <w:szCs w:val="20"/>
                <w:color w:val="auto"/>
              </w:rPr>
            </w:pPr>
            <w:r>
              <w:rPr>
                <w:rFonts w:ascii="Times New Roman" w:cs="Times New Roman" w:eastAsia="Times New Roman" w:hAnsi="Times New Roman"/>
                <w:sz w:val="14"/>
                <w:szCs w:val="14"/>
                <w:color w:val="0000EE"/>
                <w:w w:val="98"/>
              </w:rPr>
              <w:t>S-ii</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6000" w:type="dxa"/>
            <w:vAlign w:val="bottom"/>
            <w:gridSpan w:val="24"/>
          </w:tcPr>
          <w:p>
            <w:pPr>
              <w:spacing w:after="0" w:line="147" w:lineRule="exact"/>
              <w:rPr>
                <w:sz w:val="20"/>
                <w:szCs w:val="20"/>
                <w:color w:val="auto"/>
              </w:rPr>
            </w:pPr>
            <w:r>
              <w:rPr>
                <w:rFonts w:ascii="Times New Roman" w:cs="Times New Roman" w:eastAsia="Times New Roman" w:hAnsi="Times New Roman"/>
                <w:sz w:val="14"/>
                <w:szCs w:val="14"/>
                <w:color w:val="0000EE"/>
              </w:rPr>
              <w:t>CAUTIONARY STATEMENT REGARDING FORWARD-LOOKING STATEMENTS</w:t>
            </w:r>
          </w:p>
        </w:tc>
        <w:tc>
          <w:tcPr>
            <w:tcW w:w="500" w:type="dxa"/>
            <w:vAlign w:val="bottom"/>
            <w:gridSpan w:val="5"/>
          </w:tcPr>
          <w:p>
            <w:pPr>
              <w:jc w:val="center"/>
              <w:ind w:left="190"/>
              <w:spacing w:after="0" w:line="147" w:lineRule="exact"/>
              <w:rPr>
                <w:sz w:val="20"/>
                <w:szCs w:val="20"/>
                <w:color w:val="auto"/>
              </w:rPr>
            </w:pPr>
            <w:r>
              <w:rPr>
                <w:rFonts w:ascii="Times New Roman" w:cs="Times New Roman" w:eastAsia="Times New Roman" w:hAnsi="Times New Roman"/>
                <w:sz w:val="14"/>
                <w:szCs w:val="14"/>
                <w:color w:val="0000EE"/>
                <w:w w:val="99"/>
              </w:rPr>
              <w:t>S-iii</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2540" w:type="dxa"/>
            <w:vAlign w:val="bottom"/>
            <w:gridSpan w:val="16"/>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8"/>
              </w:rPr>
              <w:t>PROSPECTUS SUPPLEMENT SUMMARY</w:t>
            </w:r>
          </w:p>
        </w:tc>
        <w:tc>
          <w:tcPr>
            <w:tcW w:w="3460" w:type="dxa"/>
            <w:vAlign w:val="bottom"/>
            <w:gridSpan w:val="8"/>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0000EE"/>
                <w:w w:val="92"/>
              </w:rPr>
              <w:t>S-1</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2540" w:type="dxa"/>
            <w:vAlign w:val="bottom"/>
            <w:gridSpan w:val="16"/>
          </w:tcPr>
          <w:p>
            <w:pPr>
              <w:spacing w:after="0" w:line="147" w:lineRule="exact"/>
              <w:rPr>
                <w:sz w:val="20"/>
                <w:szCs w:val="20"/>
                <w:color w:val="auto"/>
              </w:rPr>
            </w:pPr>
            <w:r>
              <w:rPr>
                <w:rFonts w:ascii="Times New Roman" w:cs="Times New Roman" w:eastAsia="Times New Roman" w:hAnsi="Times New Roman"/>
                <w:sz w:val="14"/>
                <w:szCs w:val="14"/>
                <w:color w:val="0000EE"/>
              </w:rPr>
              <w:t>RISK FACTORS</w:t>
            </w:r>
          </w:p>
        </w:tc>
        <w:tc>
          <w:tcPr>
            <w:tcW w:w="3460" w:type="dxa"/>
            <w:vAlign w:val="bottom"/>
            <w:gridSpan w:val="8"/>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color w:val="0000EE"/>
                <w:w w:val="92"/>
              </w:rPr>
              <w:t>S-3</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6000" w:type="dxa"/>
            <w:vAlign w:val="bottom"/>
            <w:gridSpan w:val="24"/>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rPr>
              <w:t>USE OF PROCEEDS</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0000EE"/>
                <w:w w:val="92"/>
              </w:rPr>
              <w:t>S-4</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6000" w:type="dxa"/>
            <w:vAlign w:val="bottom"/>
            <w:gridSpan w:val="24"/>
          </w:tcPr>
          <w:p>
            <w:pPr>
              <w:spacing w:after="0" w:line="147" w:lineRule="exact"/>
              <w:rPr>
                <w:sz w:val="20"/>
                <w:szCs w:val="20"/>
                <w:color w:val="auto"/>
              </w:rPr>
            </w:pPr>
            <w:r>
              <w:rPr>
                <w:rFonts w:ascii="Times New Roman" w:cs="Times New Roman" w:eastAsia="Times New Roman" w:hAnsi="Times New Roman"/>
                <w:sz w:val="14"/>
                <w:szCs w:val="14"/>
                <w:color w:val="0000EE"/>
              </w:rPr>
              <w:t>SELLING SECURITYHOLDER</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color w:val="0000EE"/>
                <w:w w:val="92"/>
              </w:rPr>
              <w:t>S-5</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1580" w:type="dxa"/>
            <w:vAlign w:val="bottom"/>
            <w:gridSpan w:val="8"/>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4420" w:type="dxa"/>
            <w:vAlign w:val="bottom"/>
            <w:gridSpan w:val="16"/>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0000EE"/>
                <w:w w:val="92"/>
              </w:rPr>
              <w:t>S-6</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1580" w:type="dxa"/>
            <w:vAlign w:val="bottom"/>
            <w:gridSpan w:val="8"/>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4420" w:type="dxa"/>
            <w:vAlign w:val="bottom"/>
            <w:gridSpan w:val="16"/>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color w:val="0000EE"/>
                <w:w w:val="92"/>
              </w:rPr>
              <w:t>S-8</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5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2"/>
              </w:rPr>
              <w:t>EXPERTS</w:t>
            </w:r>
          </w:p>
        </w:tc>
        <w:tc>
          <w:tcPr>
            <w:tcW w:w="5420" w:type="dxa"/>
            <w:vAlign w:val="bottom"/>
            <w:gridSpan w:val="22"/>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0000EE"/>
                <w:w w:val="92"/>
              </w:rPr>
              <w:t>S-8</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2940" w:type="dxa"/>
            <w:vAlign w:val="bottom"/>
            <w:gridSpan w:val="19"/>
          </w:tcPr>
          <w:p>
            <w:pPr>
              <w:spacing w:after="0" w:line="147" w:lineRule="exact"/>
              <w:rPr>
                <w:sz w:val="20"/>
                <w:szCs w:val="20"/>
                <w:color w:val="auto"/>
              </w:rPr>
            </w:pPr>
            <w:r>
              <w:rPr>
                <w:rFonts w:ascii="Times New Roman" w:cs="Times New Roman" w:eastAsia="Times New Roman" w:hAnsi="Times New Roman"/>
                <w:sz w:val="14"/>
                <w:szCs w:val="14"/>
                <w:color w:val="0000EE"/>
                <w:w w:val="97"/>
              </w:rPr>
              <w:t>WHERE YOU CAN FIND MORE INFORMATION</w:t>
            </w:r>
          </w:p>
        </w:tc>
        <w:tc>
          <w:tcPr>
            <w:tcW w:w="3060" w:type="dxa"/>
            <w:vAlign w:val="bottom"/>
            <w:gridSpan w:val="5"/>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color w:val="0000EE"/>
                <w:w w:val="92"/>
              </w:rPr>
              <w:t>S-9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720" w:type="dxa"/>
            <w:vAlign w:val="bottom"/>
            <w:tcBorders>
              <w:bottom w:val="single" w:sz="8" w:color="0000EE"/>
            </w:tcBorders>
            <w:gridSpan w:val="10"/>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0000EE"/>
                <w:w w:val="97"/>
              </w:rPr>
              <w:t>ABOUT THIS PROSPECTUS</w:t>
            </w:r>
          </w:p>
        </w:tc>
        <w:tc>
          <w:tcPr>
            <w:tcW w:w="4280" w:type="dxa"/>
            <w:vAlign w:val="bottom"/>
            <w:tcBorders>
              <w:bottom w:val="single" w:sz="8" w:color="CCEEFF"/>
            </w:tcBorders>
            <w:gridSpan w:val="14"/>
            <w:shd w:val="clear" w:color="auto" w:fill="CCEEFF"/>
          </w:tcPr>
          <w:p>
            <w:pPr>
              <w:spacing w:after="0"/>
              <w:rPr>
                <w:sz w:val="15"/>
                <w:szCs w:val="15"/>
                <w:color w:val="auto"/>
              </w:rPr>
            </w:pPr>
          </w:p>
        </w:tc>
        <w:tc>
          <w:tcPr>
            <w:tcW w:w="380" w:type="dxa"/>
            <w:vAlign w:val="bottom"/>
            <w:tcBorders>
              <w:bottom w:val="single" w:sz="8" w:color="CCEEFF"/>
              <w:right w:val="single" w:sz="8" w:color="CCEEFF"/>
            </w:tcBorders>
            <w:gridSpan w:val="3"/>
            <w:shd w:val="clear" w:color="auto" w:fill="CCEEFF"/>
          </w:tcPr>
          <w:p>
            <w:pPr>
              <w:spacing w:after="0"/>
              <w:rPr>
                <w:sz w:val="15"/>
                <w:szCs w:val="15"/>
                <w:color w:val="auto"/>
              </w:rPr>
            </w:pPr>
          </w:p>
        </w:tc>
        <w:tc>
          <w:tcPr>
            <w:tcW w:w="100" w:type="dxa"/>
            <w:vAlign w:val="bottom"/>
            <w:tcBorders>
              <w:bottom w:val="single" w:sz="8" w:color="0000EE"/>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0000EE"/>
                <w:w w:val="85"/>
              </w:rPr>
              <w:t>1</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00" w:type="dxa"/>
            <w:vAlign w:val="bottom"/>
            <w:gridSpan w:val="24"/>
          </w:tcPr>
          <w:p>
            <w:pPr>
              <w:spacing w:after="0" w:line="147"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480" w:type="dxa"/>
            <w:vAlign w:val="bottom"/>
            <w:gridSpan w:val="4"/>
          </w:tcPr>
          <w:p>
            <w:pPr>
              <w:jc w:val="right"/>
              <w:spacing w:after="0" w:line="147" w:lineRule="exact"/>
              <w:rPr>
                <w:sz w:val="20"/>
                <w:szCs w:val="20"/>
                <w:color w:val="auto"/>
              </w:rPr>
            </w:pPr>
            <w:r>
              <w:rPr>
                <w:rFonts w:ascii="Times New Roman" w:cs="Times New Roman" w:eastAsia="Times New Roman" w:hAnsi="Times New Roman"/>
                <w:sz w:val="14"/>
                <w:szCs w:val="14"/>
                <w:color w:val="0000EE"/>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460" w:type="dxa"/>
            <w:vAlign w:val="bottom"/>
            <w:tcBorders>
              <w:bottom w:val="single" w:sz="8" w:color="0000EE"/>
            </w:tcBorders>
            <w:gridSpan w:val="21"/>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7"/>
              </w:rPr>
              <w:t>CAUTIONARY NOTE REGARDING FORWARD-LOOKING STATEMENTS</w:t>
            </w:r>
          </w:p>
        </w:tc>
        <w:tc>
          <w:tcPr>
            <w:tcW w:w="1540" w:type="dxa"/>
            <w:vAlign w:val="bottom"/>
            <w:tcBorders>
              <w:bottom w:val="single" w:sz="8" w:color="CCEEFF"/>
            </w:tcBorders>
            <w:gridSpan w:val="3"/>
            <w:shd w:val="clear" w:color="auto" w:fill="CCEEFF"/>
          </w:tcPr>
          <w:p>
            <w:pPr>
              <w:spacing w:after="0"/>
              <w:rPr>
                <w:sz w:val="14"/>
                <w:szCs w:val="14"/>
                <w:color w:val="auto"/>
              </w:rPr>
            </w:pPr>
          </w:p>
        </w:tc>
        <w:tc>
          <w:tcPr>
            <w:tcW w:w="380" w:type="dxa"/>
            <w:vAlign w:val="bottom"/>
            <w:tcBorders>
              <w:bottom w:val="single" w:sz="8" w:color="CCEEFF"/>
              <w:right w:val="single" w:sz="8" w:color="CCEEFF"/>
            </w:tcBorders>
            <w:gridSpan w:val="3"/>
            <w:shd w:val="clear" w:color="auto" w:fill="CCEEFF"/>
          </w:tcPr>
          <w:p>
            <w:pPr>
              <w:spacing w:after="0"/>
              <w:rPr>
                <w:sz w:val="14"/>
                <w:szCs w:val="14"/>
                <w:color w:val="auto"/>
              </w:rPr>
            </w:pPr>
          </w:p>
        </w:tc>
        <w:tc>
          <w:tcPr>
            <w:tcW w:w="100" w:type="dxa"/>
            <w:vAlign w:val="bottom"/>
            <w:tcBorders>
              <w:bottom w:val="single" w:sz="8" w:color="0000EE"/>
              <w:right w:val="single" w:sz="8" w:color="CCEEFF"/>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w w:val="85"/>
              </w:rPr>
              <w:t>3</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00" w:type="dxa"/>
            <w:vAlign w:val="bottom"/>
            <w:gridSpan w:val="24"/>
          </w:tcPr>
          <w:p>
            <w:pPr>
              <w:spacing w:after="0" w:line="147" w:lineRule="exact"/>
              <w:rPr>
                <w:sz w:val="20"/>
                <w:szCs w:val="20"/>
                <w:color w:val="auto"/>
              </w:rPr>
            </w:pPr>
            <w:r>
              <w:rPr>
                <w:rFonts w:ascii="Times New Roman" w:cs="Times New Roman" w:eastAsia="Times New Roman" w:hAnsi="Times New Roman"/>
                <w:sz w:val="14"/>
                <w:szCs w:val="14"/>
                <w:color w:val="0000EE"/>
              </w:rPr>
              <w:t>THE COMPANY</w:t>
            </w:r>
          </w:p>
        </w:tc>
        <w:tc>
          <w:tcPr>
            <w:tcW w:w="480" w:type="dxa"/>
            <w:vAlign w:val="bottom"/>
            <w:gridSpan w:val="4"/>
          </w:tcPr>
          <w:p>
            <w:pPr>
              <w:jc w:val="right"/>
              <w:spacing w:after="0" w:line="147" w:lineRule="exact"/>
              <w:rPr>
                <w:sz w:val="20"/>
                <w:szCs w:val="20"/>
                <w:color w:val="auto"/>
              </w:rPr>
            </w:pPr>
            <w:r>
              <w:rPr>
                <w:rFonts w:ascii="Times New Roman" w:cs="Times New Roman" w:eastAsia="Times New Roman" w:hAnsi="Times New Roman"/>
                <w:sz w:val="14"/>
                <w:szCs w:val="14"/>
                <w:color w:val="0000EE"/>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960" w:type="dxa"/>
            <w:vAlign w:val="bottom"/>
            <w:tcBorders>
              <w:bottom w:val="single" w:sz="8" w:color="0000EE"/>
            </w:tcBorders>
            <w:gridSpan w:val="3"/>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5"/>
              </w:rPr>
              <w:t>RISK FACTORS</w:t>
            </w:r>
          </w:p>
        </w:tc>
        <w:tc>
          <w:tcPr>
            <w:tcW w:w="5040" w:type="dxa"/>
            <w:vAlign w:val="bottom"/>
            <w:tcBorders>
              <w:bottom w:val="single" w:sz="8" w:color="CCEEFF"/>
            </w:tcBorders>
            <w:gridSpan w:val="21"/>
            <w:shd w:val="clear" w:color="auto" w:fill="CCEEFF"/>
          </w:tcPr>
          <w:p>
            <w:pPr>
              <w:spacing w:after="0"/>
              <w:rPr>
                <w:sz w:val="14"/>
                <w:szCs w:val="14"/>
                <w:color w:val="auto"/>
              </w:rPr>
            </w:pPr>
          </w:p>
        </w:tc>
        <w:tc>
          <w:tcPr>
            <w:tcW w:w="380" w:type="dxa"/>
            <w:vAlign w:val="bottom"/>
            <w:tcBorders>
              <w:bottom w:val="single" w:sz="8" w:color="CCEEFF"/>
              <w:right w:val="single" w:sz="8" w:color="CCEEFF"/>
            </w:tcBorders>
            <w:gridSpan w:val="3"/>
            <w:shd w:val="clear" w:color="auto" w:fill="CCEEFF"/>
          </w:tcPr>
          <w:p>
            <w:pPr>
              <w:spacing w:after="0"/>
              <w:rPr>
                <w:sz w:val="14"/>
                <w:szCs w:val="14"/>
                <w:color w:val="auto"/>
              </w:rPr>
            </w:pPr>
          </w:p>
        </w:tc>
        <w:tc>
          <w:tcPr>
            <w:tcW w:w="100" w:type="dxa"/>
            <w:vAlign w:val="bottom"/>
            <w:tcBorders>
              <w:bottom w:val="single" w:sz="8" w:color="0000EE"/>
              <w:right w:val="single" w:sz="8" w:color="CCEEFF"/>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w w:val="85"/>
              </w:rPr>
              <w:t>6</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00" w:type="dxa"/>
            <w:vAlign w:val="bottom"/>
            <w:gridSpan w:val="24"/>
          </w:tcPr>
          <w:p>
            <w:pPr>
              <w:spacing w:after="0" w:line="147" w:lineRule="exact"/>
              <w:rPr>
                <w:sz w:val="20"/>
                <w:szCs w:val="20"/>
                <w:color w:val="auto"/>
              </w:rPr>
            </w:pPr>
            <w:r>
              <w:rPr>
                <w:rFonts w:ascii="Times New Roman" w:cs="Times New Roman" w:eastAsia="Times New Roman" w:hAnsi="Times New Roman"/>
                <w:sz w:val="14"/>
                <w:szCs w:val="14"/>
                <w:color w:val="0000EE"/>
              </w:rPr>
              <w:t>USE OF PROCEEDS</w:t>
            </w:r>
          </w:p>
        </w:tc>
        <w:tc>
          <w:tcPr>
            <w:tcW w:w="480" w:type="dxa"/>
            <w:vAlign w:val="bottom"/>
            <w:gridSpan w:val="4"/>
          </w:tcPr>
          <w:p>
            <w:pPr>
              <w:jc w:val="right"/>
              <w:spacing w:after="0" w:line="147" w:lineRule="exact"/>
              <w:rPr>
                <w:sz w:val="20"/>
                <w:szCs w:val="20"/>
                <w:color w:val="auto"/>
              </w:rPr>
            </w:pPr>
            <w:r>
              <w:rPr>
                <w:rFonts w:ascii="Times New Roman" w:cs="Times New Roman" w:eastAsia="Times New Roman" w:hAnsi="Times New Roman"/>
                <w:sz w:val="14"/>
                <w:szCs w:val="14"/>
                <w:color w:val="0000EE"/>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6000" w:type="dxa"/>
            <w:vAlign w:val="bottom"/>
            <w:gridSpan w:val="24"/>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rPr>
              <w:t>DESCRIPTION OF SECURITIES</w:t>
            </w:r>
          </w:p>
        </w:tc>
        <w:tc>
          <w:tcPr>
            <w:tcW w:w="480" w:type="dxa"/>
            <w:vAlign w:val="bottom"/>
            <w:tcBorders>
              <w:right w:val="single" w:sz="8" w:color="CCEEFF"/>
            </w:tcBorders>
            <w:gridSpan w:val="4"/>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rPr>
              <w:t>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6000" w:type="dxa"/>
            <w:vAlign w:val="bottom"/>
            <w:gridSpan w:val="24"/>
          </w:tcPr>
          <w:p>
            <w:pPr>
              <w:spacing w:after="0" w:line="147"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480" w:type="dxa"/>
            <w:vAlign w:val="bottom"/>
            <w:gridSpan w:val="4"/>
          </w:tcPr>
          <w:p>
            <w:pPr>
              <w:jc w:val="right"/>
              <w:spacing w:after="0" w:line="147" w:lineRule="exact"/>
              <w:rPr>
                <w:sz w:val="20"/>
                <w:szCs w:val="20"/>
                <w:color w:val="auto"/>
              </w:rPr>
            </w:pPr>
            <w:r>
              <w:rPr>
                <w:rFonts w:ascii="Times New Roman" w:cs="Times New Roman" w:eastAsia="Times New Roman" w:hAnsi="Times New Roman"/>
                <w:sz w:val="14"/>
                <w:szCs w:val="14"/>
                <w:color w:val="0000EE"/>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2560" w:type="dxa"/>
            <w:vAlign w:val="bottom"/>
            <w:gridSpan w:val="17"/>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7"/>
              </w:rPr>
              <w:t>DESCRIPTION OF DEPOSITARY SHARES</w:t>
            </w:r>
          </w:p>
        </w:tc>
        <w:tc>
          <w:tcPr>
            <w:tcW w:w="3440" w:type="dxa"/>
            <w:vAlign w:val="bottom"/>
            <w:gridSpan w:val="7"/>
            <w:shd w:val="clear" w:color="auto" w:fill="CCEEFF"/>
          </w:tcPr>
          <w:p>
            <w:pPr>
              <w:spacing w:after="0"/>
              <w:rPr>
                <w:sz w:val="12"/>
                <w:szCs w:val="12"/>
                <w:color w:val="auto"/>
              </w:rPr>
            </w:pPr>
          </w:p>
        </w:tc>
        <w:tc>
          <w:tcPr>
            <w:tcW w:w="480" w:type="dxa"/>
            <w:vAlign w:val="bottom"/>
            <w:tcBorders>
              <w:right w:val="single" w:sz="8" w:color="CCEEFF"/>
            </w:tcBorders>
            <w:gridSpan w:val="4"/>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rPr>
              <w:t>17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2560" w:type="dxa"/>
            <w:vAlign w:val="bottom"/>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3440" w:type="dxa"/>
            <w:vAlign w:val="bottom"/>
            <w:gridSpan w:val="7"/>
          </w:tcPr>
          <w:p>
            <w:pPr>
              <w:spacing w:after="0"/>
              <w:rPr>
                <w:sz w:val="12"/>
                <w:szCs w:val="12"/>
                <w:color w:val="auto"/>
              </w:rPr>
            </w:pPr>
          </w:p>
        </w:tc>
        <w:tc>
          <w:tcPr>
            <w:tcW w:w="480" w:type="dxa"/>
            <w:vAlign w:val="bottom"/>
            <w:gridSpan w:val="4"/>
          </w:tcPr>
          <w:p>
            <w:pPr>
              <w:jc w:val="right"/>
              <w:spacing w:after="0" w:line="147" w:lineRule="exact"/>
              <w:rPr>
                <w:sz w:val="20"/>
                <w:szCs w:val="20"/>
                <w:color w:val="auto"/>
              </w:rPr>
            </w:pPr>
            <w:r>
              <w:rPr>
                <w:rFonts w:ascii="Times New Roman" w:cs="Times New Roman" w:eastAsia="Times New Roman" w:hAnsi="Times New Roman"/>
                <w:sz w:val="14"/>
                <w:szCs w:val="14"/>
                <w:color w:val="0000EE"/>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6000" w:type="dxa"/>
            <w:vAlign w:val="bottom"/>
            <w:gridSpan w:val="24"/>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rPr>
              <w:t>DESCRIPTION OF WARRANTS</w:t>
            </w:r>
          </w:p>
        </w:tc>
        <w:tc>
          <w:tcPr>
            <w:tcW w:w="480" w:type="dxa"/>
            <w:vAlign w:val="bottom"/>
            <w:tcBorders>
              <w:right w:val="single" w:sz="8" w:color="CCEEFF"/>
            </w:tcBorders>
            <w:gridSpan w:val="4"/>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rPr>
              <w:t>21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1900" w:type="dxa"/>
            <w:vAlign w:val="bottom"/>
            <w:gridSpan w:val="12"/>
          </w:tcPr>
          <w:p>
            <w:pPr>
              <w:spacing w:after="0" w:line="147" w:lineRule="exact"/>
              <w:rPr>
                <w:sz w:val="20"/>
                <w:szCs w:val="20"/>
                <w:color w:val="auto"/>
              </w:rPr>
            </w:pPr>
            <w:r>
              <w:rPr>
                <w:rFonts w:ascii="Times New Roman" w:cs="Times New Roman" w:eastAsia="Times New Roman" w:hAnsi="Times New Roman"/>
                <w:sz w:val="14"/>
                <w:szCs w:val="14"/>
                <w:color w:val="0000EE"/>
              </w:rPr>
              <w:t>SELLING STOCKHOLDERS</w:t>
            </w:r>
          </w:p>
        </w:tc>
        <w:tc>
          <w:tcPr>
            <w:tcW w:w="4100" w:type="dxa"/>
            <w:vAlign w:val="bottom"/>
            <w:gridSpan w:val="12"/>
          </w:tcPr>
          <w:p>
            <w:pPr>
              <w:spacing w:after="0"/>
              <w:rPr>
                <w:sz w:val="12"/>
                <w:szCs w:val="12"/>
                <w:color w:val="auto"/>
              </w:rPr>
            </w:pPr>
          </w:p>
        </w:tc>
        <w:tc>
          <w:tcPr>
            <w:tcW w:w="480" w:type="dxa"/>
            <w:vAlign w:val="bottom"/>
            <w:gridSpan w:val="4"/>
          </w:tcPr>
          <w:p>
            <w:pPr>
              <w:jc w:val="right"/>
              <w:spacing w:after="0" w:line="147" w:lineRule="exact"/>
              <w:rPr>
                <w:sz w:val="20"/>
                <w:szCs w:val="20"/>
                <w:color w:val="auto"/>
              </w:rPr>
            </w:pPr>
            <w:r>
              <w:rPr>
                <w:rFonts w:ascii="Times New Roman" w:cs="Times New Roman" w:eastAsia="Times New Roman" w:hAnsi="Times New Roman"/>
                <w:sz w:val="14"/>
                <w:szCs w:val="14"/>
                <w:color w:val="0000EE"/>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1580" w:type="dxa"/>
            <w:vAlign w:val="bottom"/>
            <w:gridSpan w:val="8"/>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4420" w:type="dxa"/>
            <w:vAlign w:val="bottom"/>
            <w:gridSpan w:val="16"/>
            <w:shd w:val="clear" w:color="auto" w:fill="CCEEFF"/>
          </w:tcPr>
          <w:p>
            <w:pPr>
              <w:spacing w:after="0"/>
              <w:rPr>
                <w:sz w:val="12"/>
                <w:szCs w:val="12"/>
                <w:color w:val="auto"/>
              </w:rPr>
            </w:pPr>
          </w:p>
        </w:tc>
        <w:tc>
          <w:tcPr>
            <w:tcW w:w="480" w:type="dxa"/>
            <w:vAlign w:val="bottom"/>
            <w:tcBorders>
              <w:right w:val="single" w:sz="8" w:color="CCEEFF"/>
            </w:tcBorders>
            <w:gridSpan w:val="4"/>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rPr>
              <w:t>24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6000" w:type="dxa"/>
            <w:vAlign w:val="bottom"/>
            <w:gridSpan w:val="24"/>
          </w:tcPr>
          <w:p>
            <w:pPr>
              <w:spacing w:after="0" w:line="147" w:lineRule="exact"/>
              <w:rPr>
                <w:sz w:val="20"/>
                <w:szCs w:val="20"/>
                <w:color w:val="auto"/>
              </w:rPr>
            </w:pPr>
            <w:r>
              <w:rPr>
                <w:rFonts w:ascii="Times New Roman" w:cs="Times New Roman" w:eastAsia="Times New Roman" w:hAnsi="Times New Roman"/>
                <w:sz w:val="14"/>
                <w:szCs w:val="14"/>
                <w:color w:val="0000EE"/>
              </w:rPr>
              <w:t>U.S. FEDERAL INCOME TAX CONSIDERATIONS FOR NON-U.S. HOLDERS OF CLASS A</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tcBorders>
              <w:top w:val="single" w:sz="8" w:color="0000EE"/>
            </w:tcBorders>
            <w:gridSpan w:val="23"/>
          </w:tcPr>
          <w:p>
            <w:pPr>
              <w:ind w:left="120"/>
              <w:spacing w:after="0" w:line="147" w:lineRule="exact"/>
              <w:rPr>
                <w:sz w:val="20"/>
                <w:szCs w:val="20"/>
                <w:color w:val="auto"/>
              </w:rPr>
            </w:pPr>
            <w:r>
              <w:rPr>
                <w:rFonts w:ascii="Times New Roman" w:cs="Times New Roman" w:eastAsia="Times New Roman" w:hAnsi="Times New Roman"/>
                <w:sz w:val="14"/>
                <w:szCs w:val="14"/>
                <w:color w:val="0000EE"/>
              </w:rPr>
              <w:t>COMMON STOCK</w:t>
            </w:r>
          </w:p>
        </w:tc>
        <w:tc>
          <w:tcPr>
            <w:tcW w:w="560" w:type="dxa"/>
            <w:vAlign w:val="bottom"/>
          </w:tcPr>
          <w:p>
            <w:pPr>
              <w:spacing w:after="0"/>
              <w:rPr>
                <w:sz w:val="12"/>
                <w:szCs w:val="12"/>
                <w:color w:val="auto"/>
              </w:rPr>
            </w:pPr>
          </w:p>
        </w:tc>
        <w:tc>
          <w:tcPr>
            <w:tcW w:w="480" w:type="dxa"/>
            <w:vAlign w:val="bottom"/>
            <w:gridSpan w:val="4"/>
          </w:tcPr>
          <w:p>
            <w:pPr>
              <w:jc w:val="right"/>
              <w:spacing w:after="0" w:line="147" w:lineRule="exact"/>
              <w:rPr>
                <w:sz w:val="20"/>
                <w:szCs w:val="20"/>
                <w:color w:val="auto"/>
              </w:rPr>
            </w:pPr>
            <w:r>
              <w:rPr>
                <w:rFonts w:ascii="Times New Roman" w:cs="Times New Roman" w:eastAsia="Times New Roman" w:hAnsi="Times New Roman"/>
                <w:sz w:val="14"/>
                <w:szCs w:val="14"/>
                <w:color w:val="0000EE"/>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3580" w:type="dxa"/>
            <w:vAlign w:val="bottom"/>
            <w:gridSpan w:val="20"/>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7"/>
              </w:rPr>
              <w:t>CERTAIN ERISA AND BENEFIT PLAN CONSIDERATIONS</w:t>
            </w:r>
          </w:p>
        </w:tc>
        <w:tc>
          <w:tcPr>
            <w:tcW w:w="2420" w:type="dxa"/>
            <w:vAlign w:val="bottom"/>
            <w:gridSpan w:val="4"/>
            <w:shd w:val="clear" w:color="auto" w:fill="CCEEFF"/>
          </w:tcPr>
          <w:p>
            <w:pPr>
              <w:spacing w:after="0"/>
              <w:rPr>
                <w:sz w:val="12"/>
                <w:szCs w:val="12"/>
                <w:color w:val="auto"/>
              </w:rPr>
            </w:pPr>
          </w:p>
        </w:tc>
        <w:tc>
          <w:tcPr>
            <w:tcW w:w="480" w:type="dxa"/>
            <w:vAlign w:val="bottom"/>
            <w:tcBorders>
              <w:right w:val="single" w:sz="8" w:color="CCEEFF"/>
            </w:tcBorders>
            <w:gridSpan w:val="4"/>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rPr>
              <w:t>30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358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2420" w:type="dxa"/>
            <w:vAlign w:val="bottom"/>
            <w:gridSpan w:val="4"/>
          </w:tcPr>
          <w:p>
            <w:pPr>
              <w:spacing w:after="0"/>
              <w:rPr>
                <w:sz w:val="12"/>
                <w:szCs w:val="12"/>
                <w:color w:val="auto"/>
              </w:rPr>
            </w:pPr>
          </w:p>
        </w:tc>
        <w:tc>
          <w:tcPr>
            <w:tcW w:w="480" w:type="dxa"/>
            <w:vAlign w:val="bottom"/>
            <w:gridSpan w:val="4"/>
          </w:tcPr>
          <w:p>
            <w:pPr>
              <w:jc w:val="right"/>
              <w:spacing w:after="0" w:line="147" w:lineRule="exact"/>
              <w:rPr>
                <w:sz w:val="20"/>
                <w:szCs w:val="20"/>
                <w:color w:val="auto"/>
              </w:rPr>
            </w:pPr>
            <w:r>
              <w:rPr>
                <w:rFonts w:ascii="Times New Roman" w:cs="Times New Roman" w:eastAsia="Times New Roman" w:hAnsi="Times New Roman"/>
                <w:sz w:val="14"/>
                <w:szCs w:val="14"/>
                <w:color w:val="0000EE"/>
              </w:rPr>
              <w:t>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6000" w:type="dxa"/>
            <w:vAlign w:val="bottom"/>
            <w:gridSpan w:val="24"/>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rPr>
              <w:t>EXPERTS</w:t>
            </w:r>
          </w:p>
        </w:tc>
        <w:tc>
          <w:tcPr>
            <w:tcW w:w="480" w:type="dxa"/>
            <w:vAlign w:val="bottom"/>
            <w:tcBorders>
              <w:right w:val="single" w:sz="8" w:color="CCEEFF"/>
            </w:tcBorders>
            <w:gridSpan w:val="4"/>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rPr>
              <w:t>32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240" w:right="1259" w:firstLine="279"/>
        <w:spacing w:after="0" w:line="251" w:lineRule="auto"/>
        <w:rPr>
          <w:sz w:val="20"/>
          <w:szCs w:val="20"/>
          <w:color w:val="auto"/>
        </w:rPr>
      </w:pPr>
      <w:r>
        <w:rPr>
          <w:rFonts w:ascii="Times New Roman" w:cs="Times New Roman" w:eastAsia="Times New Roman" w:hAnsi="Times New Roman"/>
          <w:sz w:val="14"/>
          <w:szCs w:val="14"/>
          <w:color w:val="auto"/>
        </w:rPr>
        <w:t>We have not, and the selling securityholder has not, authorized any dealer, salesperson or other person to give any information or to make any representation other than those contained in or incorporated by reference into this prospectus supplement, the accompanying prospectus or any applicable free writing prospectus. You must not rely upon any information or representation not contained in or incorporated by reference into this prospectus supplement, the accompanying prospectus or any applicable free writing prospectus as if we had authorized it. This prospectus supplement, the accompanying prospectus and any applicable free writing prospectus do not constitute an offer to sell or the solicitation of an offer to buy any securities other than the registered securities to which they relate, nor does this prospectus supplement, the accompanying prospectus or any applicable free writing prospectus constitute an offer to sell or the solicitation of an offer to buy securities in any jurisdiction to any person to whom it is unlawful to make such offer or solicitation in such jurisdiction. You should not assume that the information contained in this prospectus supplement, the accompanying prospectus, the documents incorporated herein and therein by reference and any applicable free writing prospectus is correct on any date after their respective dates, even though this prospectus supplement, the accompanying prospectus or an applicable free writing prospectus is delivered or securities are sold on a later date. Our business, financial condition, results of operations and cash flows may have changed since those dates.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99695</wp:posOffset>
            </wp:positionV>
            <wp:extent cx="5412105"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2" w:name="page3"/>
    <w:bookmarkEnd w:id="2"/>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92" w:lineRule="exact"/>
        <w:rPr>
          <w:sz w:val="20"/>
          <w:szCs w:val="20"/>
          <w:color w:val="auto"/>
        </w:rPr>
      </w:pPr>
    </w:p>
    <w:p>
      <w:pPr>
        <w:ind w:left="1240" w:right="1299" w:firstLine="279"/>
        <w:spacing w:after="0" w:line="252"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are part of a registration statement that we filed with the Securities and Exchange Commission (the “SEC”). Our shelf registration statement allows us to offer from time to time a wide array of securities. In the accompanying prospectus, we provide you with a general description of the securities we may offer from time to time under our shelf registration statement and other general information that may apply to this offering. In this prospectus supplement, we provide you with specific information about the Class A common stock that the selling securityholder may sell in this offering. This prospectus supplement, the accompanying prospectus and the documents incorporated by reference herein and therein include important information about us, our Class A common stock and other information that you should know before investing. This prospectus supplement also adds, updates and changes information contained in the accompanying prospectus. You should carefully read both this prospectus supplement and the accompanying prospectus as well as additional information described under “Where You Can Find More Information” before investing in our Class A common stock.</w:t>
      </w:r>
    </w:p>
    <w:p>
      <w:pPr>
        <w:spacing w:after="0" w:line="61" w:lineRule="exact"/>
        <w:rPr>
          <w:sz w:val="20"/>
          <w:szCs w:val="20"/>
          <w:color w:val="auto"/>
        </w:rPr>
      </w:pPr>
    </w:p>
    <w:p>
      <w:pPr>
        <w:ind w:left="1240" w:right="1299" w:firstLine="279"/>
        <w:spacing w:after="0" w:line="259" w:lineRule="auto"/>
        <w:rPr>
          <w:sz w:val="20"/>
          <w:szCs w:val="20"/>
          <w:color w:val="auto"/>
        </w:rPr>
      </w:pPr>
      <w:r>
        <w:rPr>
          <w:rFonts w:ascii="Times New Roman" w:cs="Times New Roman" w:eastAsia="Times New Roman" w:hAnsi="Times New Roman"/>
          <w:sz w:val="14"/>
          <w:szCs w:val="14"/>
          <w:color w:val="auto"/>
        </w:rPr>
        <w:t>Generally, when we refer to this “prospectus supplement,” we are referring to both this prospectus supplement and the accompanying prospectus, as well as the documents incorporated by reference herein and therein. If information in this prospectus supplement is inconsistent with the accompanying prospectus, you should rely on this prospectus supplement.</w:t>
      </w:r>
    </w:p>
    <w:p>
      <w:pPr>
        <w:spacing w:after="0" w:line="57" w:lineRule="exact"/>
        <w:rPr>
          <w:sz w:val="20"/>
          <w:szCs w:val="20"/>
          <w:color w:val="auto"/>
        </w:rPr>
      </w:pPr>
    </w:p>
    <w:p>
      <w:pPr>
        <w:ind w:left="1240" w:right="1279" w:firstLine="279"/>
        <w:spacing w:after="0" w:line="257" w:lineRule="auto"/>
        <w:rPr>
          <w:sz w:val="20"/>
          <w:szCs w:val="20"/>
          <w:color w:val="auto"/>
        </w:rPr>
      </w:pPr>
      <w:r>
        <w:rPr>
          <w:rFonts w:ascii="Times New Roman" w:cs="Times New Roman" w:eastAsia="Times New Roman" w:hAnsi="Times New Roman"/>
          <w:sz w:val="14"/>
          <w:szCs w:val="14"/>
          <w:color w:val="auto"/>
        </w:rPr>
        <w:t>New Fortress Energy Inc. is a Delaware corporation. Our principal offices are located at 111 W. 19th Street, 8th Floor, New York, New York 10011 and our telephone number at that address is (516) 268-7400. Our website is located at www.newfortressenergy.com. The information on or otherwise accessible through our website does not constitute a part of this prospectus supplement or the accompanying prospectus and is not incorporated by reference into this prospectus supplement or the accompanying prospectus.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3" w:name="page4"/>
    <w:bookmarkEnd w:id="3"/>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92" w:lineRule="exact"/>
        <w:rPr>
          <w:sz w:val="20"/>
          <w:szCs w:val="20"/>
          <w:color w:val="auto"/>
        </w:rPr>
      </w:pPr>
    </w:p>
    <w:p>
      <w:pPr>
        <w:ind w:left="1240" w:right="1319" w:firstLine="279"/>
        <w:spacing w:after="0" w:line="264"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any documents incorporated by reference contain statements that are “forward-looking” within the meaning of the Private Securities Litigation Reform Act of 1995.</w:t>
      </w:r>
    </w:p>
    <w:p>
      <w:pPr>
        <w:spacing w:after="0" w:line="54" w:lineRule="exact"/>
        <w:rPr>
          <w:sz w:val="20"/>
          <w:szCs w:val="20"/>
          <w:color w:val="auto"/>
        </w:rPr>
      </w:pPr>
    </w:p>
    <w:p>
      <w:pPr>
        <w:ind w:left="1240" w:right="1259" w:firstLine="279"/>
        <w:spacing w:after="0" w:line="272" w:lineRule="auto"/>
        <w:rPr>
          <w:sz w:val="20"/>
          <w:szCs w:val="20"/>
          <w:color w:val="auto"/>
        </w:rPr>
      </w:pPr>
      <w:r>
        <w:rPr>
          <w:rFonts w:ascii="Times New Roman" w:cs="Times New Roman" w:eastAsia="Times New Roman" w:hAnsi="Times New Roman"/>
          <w:sz w:val="13"/>
          <w:szCs w:val="13"/>
          <w:color w:val="auto"/>
        </w:rPr>
        <w:t>All statements contained in this prospectus supplement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Forward-looking statements are subject to risks and uncertainties, including but not limited to the risks described in this prospectus supplement, the accompanying prospectus and any documents incorporated by reference, including the “Risk Factors” sections of this prospectus supplement, the accompanying prospectus and our reports and other documents filed with the SEC. When considering forward-looking statements, you should keep in mind the risks, uncertainties and other cautionary statements made in this prospectus supplement, the accompanying prospectus and the documents incorporated by reference. While it is impossible to identify all factors, factors that could cause actual results to differ materially from those estimated by us include:</w:t>
      </w:r>
    </w:p>
    <w:p>
      <w:pPr>
        <w:spacing w:after="0" w:line="51" w:lineRule="exact"/>
        <w:rPr>
          <w:sz w:val="20"/>
          <w:szCs w:val="20"/>
          <w:color w:val="auto"/>
        </w:rPr>
      </w:pPr>
    </w:p>
    <w:p>
      <w:pPr>
        <w:ind w:left="1800" w:right="1319" w:hanging="276"/>
        <w:spacing w:after="0" w:line="280" w:lineRule="auto"/>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our subsidiaries, affiliates, joint ventures and special purpose entities in which we invest and their ability to make dividends or distributions to us;</w:t>
      </w:r>
    </w:p>
    <w:p>
      <w:pPr>
        <w:spacing w:after="0" w:line="42" w:lineRule="exact"/>
        <w:rPr>
          <w:rFonts w:ascii="Times New Roman" w:cs="Times New Roman" w:eastAsia="Times New Roman" w:hAnsi="Times New Roman"/>
          <w:sz w:val="14"/>
          <w:szCs w:val="14"/>
          <w:color w:val="auto"/>
        </w:rPr>
      </w:pPr>
    </w:p>
    <w:p>
      <w:pPr>
        <w:ind w:left="1800" w:right="1379" w:hanging="276"/>
        <w:spacing w:after="0" w:line="280" w:lineRule="auto"/>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close certain refinancing transactions described in our public filings as contemplated or at all, or any similar alternative to such transactions on favorable terms or at all;</w:t>
      </w:r>
    </w:p>
    <w:p>
      <w:pPr>
        <w:spacing w:after="0" w:line="42"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construction and operational risks related to our facilities and assets, including cost overruns and delays;</w:t>
      </w:r>
    </w:p>
    <w:p>
      <w:pPr>
        <w:spacing w:after="0" w:line="89" w:lineRule="exact"/>
        <w:rPr>
          <w:rFonts w:ascii="Times New Roman" w:cs="Times New Roman" w:eastAsia="Times New Roman" w:hAnsi="Times New Roman"/>
          <w:sz w:val="14"/>
          <w:szCs w:val="14"/>
          <w:color w:val="auto"/>
        </w:rPr>
      </w:pPr>
    </w:p>
    <w:p>
      <w:pPr>
        <w:ind w:left="1800" w:right="1319" w:hanging="276"/>
        <w:spacing w:after="0" w:line="280" w:lineRule="auto"/>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liquefied natural gas (“LNG”) or natural gas to be a competitive source of energy in the markets in which we operate, and seek to operate;</w:t>
      </w:r>
    </w:p>
    <w:p>
      <w:pPr>
        <w:spacing w:after="0" w:line="42" w:lineRule="exact"/>
        <w:rPr>
          <w:rFonts w:ascii="Times New Roman" w:cs="Times New Roman" w:eastAsia="Times New Roman" w:hAnsi="Times New Roman"/>
          <w:sz w:val="14"/>
          <w:szCs w:val="14"/>
          <w:color w:val="auto"/>
        </w:rPr>
      </w:pPr>
    </w:p>
    <w:p>
      <w:pPr>
        <w:ind w:left="1800" w:right="1259" w:hanging="276"/>
        <w:spacing w:after="0" w:line="264" w:lineRule="auto"/>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spacing w:after="0" w:line="53"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delays or failure to obtain and maintain approvals and permits from governmental and regulatory agencies;</w:t>
      </w:r>
    </w:p>
    <w:p>
      <w:pPr>
        <w:spacing w:after="0" w:line="101" w:lineRule="exact"/>
        <w:rPr>
          <w:rFonts w:ascii="Times New Roman" w:cs="Times New Roman" w:eastAsia="Times New Roman" w:hAnsi="Times New Roman"/>
          <w:sz w:val="13"/>
          <w:szCs w:val="13"/>
          <w:color w:val="auto"/>
        </w:rPr>
      </w:pPr>
    </w:p>
    <w:p>
      <w:pPr>
        <w:ind w:left="1800" w:right="1739" w:hanging="276"/>
        <w:spacing w:after="0" w:line="280" w:lineRule="auto"/>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obtain a return on our investments for the development of our projects and assets and the implementation of our business strategy;</w:t>
      </w:r>
    </w:p>
    <w:p>
      <w:pPr>
        <w:spacing w:after="0" w:line="42"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maintain sufficient working capital for the development and operation of our business and assets;</w:t>
      </w:r>
    </w:p>
    <w:p>
      <w:pPr>
        <w:spacing w:after="0" w:line="101" w:lineRule="exact"/>
        <w:rPr>
          <w:rFonts w:ascii="Times New Roman" w:cs="Times New Roman" w:eastAsia="Times New Roman" w:hAnsi="Times New Roman"/>
          <w:sz w:val="13"/>
          <w:szCs w:val="13"/>
          <w:color w:val="auto"/>
        </w:rPr>
      </w:pPr>
    </w:p>
    <w:p>
      <w:pPr>
        <w:ind w:left="1800" w:hanging="276"/>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convert our customer pipeline into actual sales;</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asset, geographic or customer diversification, including loss of one or more of our customers;</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third parties in our business;</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cyclical or other changes in the demand for and price of LNG and natural gas;</w:t>
      </w:r>
    </w:p>
    <w:p>
      <w:pPr>
        <w:spacing w:after="0" w:line="89" w:lineRule="exact"/>
        <w:rPr>
          <w:rFonts w:ascii="Times New Roman" w:cs="Times New Roman" w:eastAsia="Times New Roman" w:hAnsi="Times New Roman"/>
          <w:sz w:val="14"/>
          <w:szCs w:val="14"/>
          <w:color w:val="auto"/>
        </w:rPr>
      </w:pPr>
    </w:p>
    <w:p>
      <w:pPr>
        <w:ind w:left="1800" w:right="1679" w:hanging="276"/>
        <w:spacing w:after="0" w:line="280" w:lineRule="auto"/>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procure LNG at necessary quantities or at favorable prices to meet customer demand, or otherwise to manage LNG supply and price risks, including hedging arrangements;</w:t>
      </w:r>
    </w:p>
    <w:p>
      <w:pPr>
        <w:spacing w:after="0" w:line="42"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successfully develop and implement our technological solutions;</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service our debt and comply with our covenant restrictions;</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obtain additional financing to effect our strategy;</w:t>
      </w:r>
    </w:p>
    <w:p>
      <w:pPr>
        <w:spacing w:after="0" w:line="89" w:lineRule="exact"/>
        <w:rPr>
          <w:rFonts w:ascii="Times New Roman" w:cs="Times New Roman" w:eastAsia="Times New Roman" w:hAnsi="Times New Roman"/>
          <w:sz w:val="14"/>
          <w:szCs w:val="14"/>
          <w:color w:val="auto"/>
        </w:rPr>
      </w:pPr>
    </w:p>
    <w:p>
      <w:pPr>
        <w:ind w:left="1800" w:right="1759" w:hanging="276"/>
        <w:spacing w:after="0" w:line="320" w:lineRule="auto"/>
        <w:tabs>
          <w:tab w:leader="none" w:pos="180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inability to successfully complete mergers, sales, divestments or similar transactions related to our businesses or assets or to integrate such businesses or assets and realize the anticipated benefits;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4" w:name="page5"/>
    <w:bookmarkEnd w:id="4"/>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ind w:left="1800" w:right="1719" w:hanging="276"/>
        <w:spacing w:after="0" w:line="280" w:lineRule="auto"/>
        <w:tabs>
          <w:tab w:leader="none" w:pos="18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political, social and other risks related to the jurisdictions in which we do, or seek to do, business;</w:t>
      </w:r>
    </w:p>
    <w:p>
      <w:pPr>
        <w:spacing w:after="0" w:line="42"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events or other natural or manmade disasters or phenomena;</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future pandemic or any other major health and safety incident;</w:t>
      </w:r>
    </w:p>
    <w:p>
      <w:pPr>
        <w:spacing w:after="0" w:line="89" w:lineRule="exact"/>
        <w:rPr>
          <w:rFonts w:ascii="Times New Roman" w:cs="Times New Roman" w:eastAsia="Times New Roman" w:hAnsi="Times New Roman"/>
          <w:sz w:val="14"/>
          <w:szCs w:val="14"/>
          <w:color w:val="auto"/>
        </w:rPr>
      </w:pPr>
    </w:p>
    <w:p>
      <w:pPr>
        <w:ind w:left="1800" w:right="1379" w:hanging="276"/>
        <w:spacing w:after="0" w:line="280" w:lineRule="auto"/>
        <w:tabs>
          <w:tab w:leader="none" w:pos="18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labor costs, disputes or strikes, and the unavailability of skilled workers or our failure to attract and retain qualified personnel;</w:t>
      </w:r>
    </w:p>
    <w:p>
      <w:pPr>
        <w:spacing w:after="0" w:line="42" w:lineRule="exact"/>
        <w:rPr>
          <w:rFonts w:ascii="Times New Roman" w:cs="Times New Roman" w:eastAsia="Times New Roman" w:hAnsi="Times New Roman"/>
          <w:sz w:val="14"/>
          <w:szCs w:val="14"/>
          <w:color w:val="auto"/>
        </w:rPr>
      </w:pPr>
    </w:p>
    <w:p>
      <w:pPr>
        <w:ind w:left="1800" w:right="1539" w:hanging="276"/>
        <w:spacing w:after="0" w:line="280" w:lineRule="auto"/>
        <w:tabs>
          <w:tab w:leader="none" w:pos="18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treatment of, or changes in tax laws applicable to, us or our business or of an investment in our Class A common stock; and</w:t>
      </w:r>
    </w:p>
    <w:p>
      <w:pPr>
        <w:spacing w:after="0" w:line="42" w:lineRule="exact"/>
        <w:rPr>
          <w:rFonts w:ascii="Times New Roman" w:cs="Times New Roman" w:eastAsia="Times New Roman" w:hAnsi="Times New Roman"/>
          <w:sz w:val="14"/>
          <w:szCs w:val="14"/>
          <w:color w:val="auto"/>
        </w:rPr>
      </w:pPr>
    </w:p>
    <w:p>
      <w:pPr>
        <w:ind w:left="1800" w:right="1499" w:hanging="276"/>
        <w:spacing w:after="0" w:line="264" w:lineRule="auto"/>
        <w:tabs>
          <w:tab w:leader="none" w:pos="18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identified, discussed or incorporated by reference in this prospectus supplement and the accompanying prospectus, including under the section entitled “Risk Factors,” and described in our other reports filed with the SEC.</w:t>
      </w:r>
    </w:p>
    <w:p>
      <w:pPr>
        <w:spacing w:after="0" w:line="54" w:lineRule="exact"/>
        <w:rPr>
          <w:sz w:val="20"/>
          <w:szCs w:val="20"/>
          <w:color w:val="auto"/>
        </w:rPr>
      </w:pPr>
    </w:p>
    <w:p>
      <w:pPr>
        <w:ind w:left="1240" w:right="1279" w:firstLine="279"/>
        <w:spacing w:after="0" w:line="253" w:lineRule="auto"/>
        <w:rPr>
          <w:sz w:val="20"/>
          <w:szCs w:val="20"/>
          <w:color w:val="auto"/>
        </w:rPr>
      </w:pPr>
      <w:r>
        <w:rPr>
          <w:rFonts w:ascii="Times New Roman" w:cs="Times New Roman" w:eastAsia="Times New Roman" w:hAnsi="Times New Roman"/>
          <w:sz w:val="14"/>
          <w:szCs w:val="14"/>
          <w:color w:val="auto"/>
        </w:rPr>
        <w:t>All forward-looking statements speak only as of the date of this prospectus supplement or, in the case of the accompanying prospectus or documents incorporated by reference, the date of any such document. You are cautioned not to place undue reliance on any forward-looking statements made by us or on our behalf.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except as may be required by law. Furthermore, we cannot guarantee future results, events, levels of activity, performance, projections or achievements.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5" w:name="page6"/>
    <w:bookmarkEnd w:id="5"/>
    <w:p>
      <w:pPr>
        <w:ind w:left="108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67945</wp:posOffset>
            </wp:positionV>
            <wp:extent cx="4377055" cy="6221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77055" cy="6221095"/>
                    </a:xfrm>
                    <a:prstGeom prst="rect">
                      <a:avLst/>
                    </a:prstGeom>
                    <a:noFill/>
                  </pic:spPr>
                </pic:pic>
              </a:graphicData>
            </a:graphic>
          </wp:anchor>
        </w:drawing>
      </w: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90" w:lineRule="exact"/>
        <w:rPr>
          <w:sz w:val="20"/>
          <w:szCs w:val="20"/>
          <w:color w:val="auto"/>
        </w:rPr>
      </w:pPr>
    </w:p>
    <w:p>
      <w:pPr>
        <w:ind w:left="1260" w:right="1279" w:firstLine="278"/>
        <w:spacing w:after="0" w:line="254" w:lineRule="auto"/>
        <w:rPr>
          <w:sz w:val="20"/>
          <w:szCs w:val="20"/>
          <w:color w:val="auto"/>
        </w:rPr>
      </w:pPr>
      <w:r>
        <w:rPr>
          <w:rFonts w:ascii="Times New Roman" w:cs="Times New Roman" w:eastAsia="Times New Roman" w:hAnsi="Times New Roman"/>
          <w:sz w:val="14"/>
          <w:szCs w:val="14"/>
          <w:i w:val="1"/>
          <w:iCs w:val="1"/>
          <w:color w:val="auto"/>
        </w:rPr>
        <w:t>This summary highlights information contained elsewhere in this prospectus supplement, the accompanying prospectus and the documents incorporated by reference. This summary does not contain all of the information you should consider before making a decision to invest in our Class A common stock. You should read this entire prospectus supplement and the accompanying prospectus, including the documents incorporated by reference herein and therein, carefully before making an investment decision, especially the sections entitled “Risk Factors” herein and therein and our consolidated financial statements and notes to those consolidated financial statements incorporated by reference herein and therein.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92" w:lineRule="exact"/>
        <w:rPr>
          <w:sz w:val="20"/>
          <w:szCs w:val="20"/>
          <w:color w:val="auto"/>
        </w:rPr>
      </w:pPr>
    </w:p>
    <w:p>
      <w:pPr>
        <w:ind w:left="1260" w:right="1359" w:firstLine="278"/>
        <w:spacing w:after="0" w:line="277" w:lineRule="auto"/>
        <w:rPr>
          <w:sz w:val="20"/>
          <w:szCs w:val="20"/>
          <w:color w:val="auto"/>
        </w:rPr>
      </w:pPr>
      <w:r>
        <w:rPr>
          <w:rFonts w:ascii="Times New Roman" w:cs="Times New Roman" w:eastAsia="Times New Roman" w:hAnsi="Times New Roman"/>
          <w:sz w:val="13"/>
          <w:szCs w:val="13"/>
          <w:color w:val="auto"/>
        </w:rPr>
        <w:t>We are a global energy infrastructure company founded to help address energy poverty and accelerate the world’s transition to reliable, affordable and clean energy. We own and operate natural gas and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companies providing power free from carbon emissions by leveraging our global portfolio of integrated energy infrastructure.</w:t>
      </w:r>
    </w:p>
    <w:p>
      <w:pPr>
        <w:spacing w:after="0" w:line="6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We deliver targeted energy solutions by employing an integrated LNG supply and delivery model:</w:t>
      </w:r>
    </w:p>
    <w:p>
      <w:pPr>
        <w:spacing w:after="0" w:line="88" w:lineRule="exact"/>
        <w:rPr>
          <w:sz w:val="20"/>
          <w:szCs w:val="20"/>
          <w:color w:val="auto"/>
        </w:rPr>
      </w:pPr>
    </w:p>
    <w:p>
      <w:pPr>
        <w:jc w:val="both"/>
        <w:ind w:left="1260" w:right="1299" w:firstLine="278"/>
        <w:spacing w:after="0" w:line="277" w:lineRule="auto"/>
        <w:rPr>
          <w:sz w:val="20"/>
          <w:szCs w:val="20"/>
          <w:color w:val="auto"/>
        </w:rPr>
      </w:pPr>
      <w:r>
        <w:rPr>
          <w:rFonts w:ascii="Times New Roman" w:cs="Times New Roman" w:eastAsia="Times New Roman" w:hAnsi="Times New Roman"/>
          <w:sz w:val="13"/>
          <w:szCs w:val="13"/>
          <w:i w:val="1"/>
          <w:iCs w:val="1"/>
          <w:color w:val="auto"/>
        </w:rPr>
        <w:t xml:space="preserve">LNG and Natural Gas Supply and Liquefaction </w:t>
      </w:r>
      <w:r>
        <w:rPr>
          <w:rFonts w:ascii="Times New Roman" w:cs="Times New Roman" w:eastAsia="Times New Roman" w:hAnsi="Times New Roman"/>
          <w:sz w:val="13"/>
          <w:szCs w:val="13"/>
          <w:color w:val="auto"/>
        </w:rPr>
        <w:t>– We supply LNG and natural gas to our own power plants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our customers. We typically supply LNG and natural gas regasified from LNG to our customers by entering into long-term supply contracts, which are generally based on an index such as Henry Hub plus a fixed fee component.</w:t>
      </w:r>
    </w:p>
    <w:p>
      <w:pPr>
        <w:spacing w:after="0" w:line="1" w:lineRule="exact"/>
        <w:rPr>
          <w:sz w:val="20"/>
          <w:szCs w:val="20"/>
          <w:color w:val="auto"/>
        </w:rPr>
      </w:pPr>
    </w:p>
    <w:p>
      <w:pPr>
        <w:ind w:left="1260" w:right="1239"/>
        <w:spacing w:after="0" w:line="252" w:lineRule="auto"/>
        <w:rPr>
          <w:sz w:val="20"/>
          <w:szCs w:val="20"/>
          <w:color w:val="auto"/>
        </w:rPr>
      </w:pPr>
      <w:r>
        <w:rPr>
          <w:rFonts w:ascii="Times New Roman" w:cs="Times New Roman" w:eastAsia="Times New Roman" w:hAnsi="Times New Roman"/>
          <w:sz w:val="14"/>
          <w:szCs w:val="14"/>
          <w:color w:val="auto"/>
        </w:rPr>
        <w:t>We acquire our LNG from third party suppliers in open market purchases and long-term supply agreements. In July 2024, we deployed our first offshore liquefaction facility, “Fast LNG” or “FLNG,” off the shore of Altamira, Mexico (“First FLNG Facility”) to provide a source of low-cost supply of LNG. In August 2024, the First FLNG Facility completed its first cargo load and sail operation.</w:t>
      </w:r>
    </w:p>
    <w:p>
      <w:pPr>
        <w:spacing w:after="0" w:line="59" w:lineRule="exact"/>
        <w:rPr>
          <w:sz w:val="20"/>
          <w:szCs w:val="20"/>
          <w:color w:val="auto"/>
        </w:rPr>
      </w:pPr>
    </w:p>
    <w:p>
      <w:pPr>
        <w:ind w:left="1260" w:right="1419" w:firstLine="278"/>
        <w:spacing w:after="0" w:line="296" w:lineRule="auto"/>
        <w:rPr>
          <w:sz w:val="20"/>
          <w:szCs w:val="20"/>
          <w:color w:val="auto"/>
        </w:rPr>
      </w:pPr>
      <w:r>
        <w:rPr>
          <w:rFonts w:ascii="Times New Roman" w:cs="Times New Roman" w:eastAsia="Times New Roman" w:hAnsi="Times New Roman"/>
          <w:sz w:val="13"/>
          <w:szCs w:val="13"/>
          <w:i w:val="1"/>
          <w:iCs w:val="1"/>
          <w:color w:val="auto"/>
        </w:rPr>
        <w:t xml:space="preserve">Shipping </w:t>
      </w:r>
      <w:r>
        <w:rPr>
          <w:rFonts w:ascii="Times New Roman" w:cs="Times New Roman" w:eastAsia="Times New Roman" w:hAnsi="Times New Roman"/>
          <w:sz w:val="13"/>
          <w:szCs w:val="13"/>
          <w:color w:val="auto"/>
        </w:rPr>
        <w:t>– We lease, own or operate a fleet of seven regasification units and 13 liquefied natural gas carriers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floating storage units. Ten vessels are owned by our former joint venture affiliate, Energos Infrastructure (“Energos”), and one is owned by NFE. We also charter vessels to and from third parties as well as from Energos.</w:t>
      </w:r>
    </w:p>
    <w:p>
      <w:pPr>
        <w:spacing w:after="0" w:line="32" w:lineRule="exact"/>
        <w:rPr>
          <w:sz w:val="20"/>
          <w:szCs w:val="20"/>
          <w:color w:val="auto"/>
        </w:rPr>
      </w:pPr>
    </w:p>
    <w:p>
      <w:pPr>
        <w:ind w:left="1260" w:right="1359" w:firstLine="27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Facilities </w:t>
      </w:r>
      <w:r>
        <w:rPr>
          <w:rFonts w:ascii="Times New Roman" w:cs="Times New Roman" w:eastAsia="Times New Roman" w:hAnsi="Times New Roman"/>
          <w:sz w:val="14"/>
          <w:szCs w:val="14"/>
          <w:color w:val="auto"/>
        </w:rPr>
        <w:t>– Through our network of current and planned downstream facilities and logistics assets, we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strategically positioned to deliver gas and power solutions to our customers seeking either to transition from environmentally dirtier distillate fuels such as automotive diesel oil and heavy fuel oil or to purchase natural gas to meet their current fuel needs.</w:t>
      </w:r>
    </w:p>
    <w:p>
      <w:pPr>
        <w:spacing w:after="0" w:line="56" w:lineRule="exact"/>
        <w:rPr>
          <w:sz w:val="20"/>
          <w:szCs w:val="20"/>
          <w:color w:val="auto"/>
        </w:rPr>
      </w:pPr>
    </w:p>
    <w:p>
      <w:pPr>
        <w:jc w:val="both"/>
        <w:ind w:left="1260" w:right="1299" w:firstLine="278"/>
        <w:spacing w:after="0" w:line="264" w:lineRule="auto"/>
        <w:rPr>
          <w:sz w:val="20"/>
          <w:szCs w:val="20"/>
          <w:color w:val="auto"/>
        </w:rPr>
      </w:pPr>
      <w:r>
        <w:rPr>
          <w:rFonts w:ascii="Times New Roman" w:cs="Times New Roman" w:eastAsia="Times New Roman" w:hAnsi="Times New Roman"/>
          <w:sz w:val="14"/>
          <w:szCs w:val="14"/>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hydrogen project.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Our Business Model</w:t>
      </w:r>
    </w:p>
    <w:p>
      <w:pPr>
        <w:spacing w:after="0" w:line="92" w:lineRule="exact"/>
        <w:rPr>
          <w:sz w:val="20"/>
          <w:szCs w:val="20"/>
          <w:color w:val="auto"/>
        </w:rPr>
      </w:pPr>
    </w:p>
    <w:p>
      <w:pPr>
        <w:ind w:left="1260" w:right="1259" w:firstLine="278"/>
        <w:spacing w:after="0" w:line="253" w:lineRule="auto"/>
        <w:rPr>
          <w:sz w:val="20"/>
          <w:szCs w:val="20"/>
          <w:color w:val="auto"/>
        </w:rPr>
      </w:pPr>
      <w:r>
        <w:rPr>
          <w:rFonts w:ascii="Times New Roman" w:cs="Times New Roman" w:eastAsia="Times New Roman" w:hAnsi="Times New Roman"/>
          <w:sz w:val="14"/>
          <w:szCs w:val="14"/>
          <w:color w:val="auto"/>
        </w:rPr>
        <w:t>As an integrated gas-to-power energy infrastructure company, our business model spans the entire production and delivery chain from natural gas procurement and liquefaction to shipping, logistics, facilities and conversion or development of natural gas-fired power generation. Historically, natural gas procurement or liquefaction, transportation, regasification and power generation projects have been developed separately and have required multilateral or traditional financing sources, which has inhibited the introduction of natural gas-fired power in many developing countries. In executing our business model, we have the capability to build or arrange any necessary infrastructure ourselves without reliance on multilateral financing sources or traditional project finance structures, so that we maintain our strategic flexibility and optimize our portfolio.</w:t>
      </w:r>
    </w:p>
    <w:p>
      <w:pPr>
        <w:spacing w:after="0" w:line="9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We currently conduct our operations at the following facilities:</w:t>
      </w:r>
    </w:p>
    <w:p>
      <w:pPr>
        <w:spacing w:after="0" w:line="90" w:lineRule="exact"/>
        <w:rPr>
          <w:sz w:val="20"/>
          <w:szCs w:val="20"/>
          <w:color w:val="auto"/>
        </w:rPr>
      </w:pPr>
    </w:p>
    <w:p>
      <w:pPr>
        <w:ind w:left="1800" w:hanging="263"/>
        <w:spacing w:after="0"/>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LNG storage and regasification facility at the Port of Montego Bay, Jamaica;</w:t>
      </w:r>
    </w:p>
    <w:p>
      <w:pPr>
        <w:spacing w:after="0" w:line="89" w:lineRule="exact"/>
        <w:rPr>
          <w:rFonts w:ascii="Times New Roman" w:cs="Times New Roman" w:eastAsia="Times New Roman" w:hAnsi="Times New Roman"/>
          <w:sz w:val="14"/>
          <w:szCs w:val="14"/>
          <w:color w:val="auto"/>
        </w:rPr>
      </w:pPr>
    </w:p>
    <w:p>
      <w:pPr>
        <w:ind w:left="1800" w:hanging="263"/>
        <w:spacing w:after="0"/>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marine LNG storage and regasification facility in Old Harbour, Jamaica;</w:t>
      </w:r>
    </w:p>
    <w:p>
      <w:pPr>
        <w:spacing w:after="0" w:line="89" w:lineRule="exact"/>
        <w:rPr>
          <w:rFonts w:ascii="Times New Roman" w:cs="Times New Roman" w:eastAsia="Times New Roman" w:hAnsi="Times New Roman"/>
          <w:sz w:val="14"/>
          <w:szCs w:val="14"/>
          <w:color w:val="auto"/>
        </w:rPr>
      </w:pPr>
    </w:p>
    <w:p>
      <w:pPr>
        <w:ind w:left="1800" w:hanging="263"/>
        <w:spacing w:after="0"/>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dual-fired combined heat and power facility in Clarendon, Jamaica;</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6" w:name="page7"/>
    <w:bookmarkEnd w:id="6"/>
    <w:p>
      <w:pPr>
        <w:ind w:left="108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67945</wp:posOffset>
            </wp:positionV>
            <wp:extent cx="4377055" cy="3235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77055" cy="3235960"/>
                    </a:xfrm>
                    <a:prstGeom prst="rect">
                      <a:avLst/>
                    </a:prstGeom>
                    <a:noFill/>
                  </pic:spPr>
                </pic:pic>
              </a:graphicData>
            </a:graphic>
          </wp:anchor>
        </w:drawing>
      </w:r>
    </w:p>
    <w:p>
      <w:pPr>
        <w:spacing w:after="0" w:line="359" w:lineRule="exact"/>
        <w:rPr>
          <w:sz w:val="20"/>
          <w:szCs w:val="20"/>
          <w:color w:val="auto"/>
        </w:rPr>
      </w:pPr>
    </w:p>
    <w:p>
      <w:pPr>
        <w:ind w:left="1800" w:hanging="263"/>
        <w:spacing w:after="0"/>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landed micro-fuel handling facility in San Juan, Puerto Rico;</w:t>
      </w:r>
    </w:p>
    <w:p>
      <w:pPr>
        <w:spacing w:after="0" w:line="89" w:lineRule="exact"/>
        <w:rPr>
          <w:rFonts w:ascii="Times New Roman" w:cs="Times New Roman" w:eastAsia="Times New Roman" w:hAnsi="Times New Roman"/>
          <w:sz w:val="14"/>
          <w:szCs w:val="14"/>
          <w:color w:val="auto"/>
        </w:rPr>
      </w:pPr>
    </w:p>
    <w:p>
      <w:pPr>
        <w:ind w:left="1800" w:right="1539" w:hanging="263"/>
        <w:spacing w:after="0" w:line="280"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LNG receiving facility and gas-fired power plant at the Port of Pichilingue in Baja California Sur, Mexico;</w:t>
      </w:r>
    </w:p>
    <w:p>
      <w:pPr>
        <w:spacing w:after="0" w:line="42" w:lineRule="exact"/>
        <w:rPr>
          <w:rFonts w:ascii="Times New Roman" w:cs="Times New Roman" w:eastAsia="Times New Roman" w:hAnsi="Times New Roman"/>
          <w:sz w:val="14"/>
          <w:szCs w:val="14"/>
          <w:color w:val="auto"/>
        </w:rPr>
      </w:pPr>
    </w:p>
    <w:p>
      <w:pPr>
        <w:ind w:left="1800" w:hanging="263"/>
        <w:spacing w:after="0"/>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floating storage and regasification unit located in Barcarena, Brazil; and</w:t>
      </w:r>
    </w:p>
    <w:p>
      <w:pPr>
        <w:spacing w:after="0" w:line="89" w:lineRule="exact"/>
        <w:rPr>
          <w:rFonts w:ascii="Times New Roman" w:cs="Times New Roman" w:eastAsia="Times New Roman" w:hAnsi="Times New Roman"/>
          <w:sz w:val="14"/>
          <w:szCs w:val="14"/>
          <w:color w:val="auto"/>
        </w:rPr>
      </w:pPr>
    </w:p>
    <w:p>
      <w:pPr>
        <w:ind w:left="1800" w:hanging="263"/>
        <w:spacing w:after="0"/>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First FLNG Facility.</w:t>
      </w:r>
    </w:p>
    <w:p>
      <w:pPr>
        <w:spacing w:after="0" w:line="90" w:lineRule="exact"/>
        <w:rPr>
          <w:sz w:val="20"/>
          <w:szCs w:val="20"/>
          <w:color w:val="auto"/>
        </w:rPr>
      </w:pPr>
    </w:p>
    <w:p>
      <w:pPr>
        <w:ind w:left="1260" w:right="1239" w:firstLine="278"/>
        <w:spacing w:after="0" w:line="274" w:lineRule="auto"/>
        <w:rPr>
          <w:sz w:val="20"/>
          <w:szCs w:val="20"/>
          <w:color w:val="auto"/>
        </w:rPr>
      </w:pPr>
      <w:r>
        <w:rPr>
          <w:rFonts w:ascii="Times New Roman" w:cs="Times New Roman" w:eastAsia="Times New Roman" w:hAnsi="Times New Roman"/>
          <w:sz w:val="13"/>
          <w:szCs w:val="13"/>
          <w:color w:val="auto"/>
        </w:rPr>
        <w:t>In addition, we are currently developing facilities in Brazil, Nicaragua, Ireland and other locations, as described in more detail in our Annual Report on Form 10-K for the year ended December 31, 2023 and in our Quarterly Reports on Form 10-Q for the three and six months ended March 31, 2024 and June 30, 2024. As more of our projects further develop and come online, we expect that our net capital expenditures, defined as cash payments for new and under-development projects less proceeds from related asset sales and direct asset refinancings, will decrease significantly in 2025, which we believe will beneficially impact our liquidity and operational flexibility. We are in active discussions with additional customers to develop projects in multiple regions around the world who may have significant demand for additional power, LNG and natural gas, although there can be no assurance that these discussions will result in additional contracts or that we will be able to achieve our target pricing or margins.</w:t>
      </w:r>
    </w:p>
    <w:p>
      <w:pPr>
        <w:spacing w:after="0" w:line="2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2" w:lineRule="exact"/>
        <w:rPr>
          <w:sz w:val="20"/>
          <w:szCs w:val="20"/>
          <w:color w:val="auto"/>
        </w:rPr>
      </w:pPr>
    </w:p>
    <w:p>
      <w:pPr>
        <w:jc w:val="both"/>
        <w:ind w:left="1260" w:right="1299" w:firstLine="278"/>
        <w:spacing w:after="0" w:line="264" w:lineRule="auto"/>
        <w:rPr>
          <w:sz w:val="20"/>
          <w:szCs w:val="20"/>
          <w:color w:val="auto"/>
        </w:rPr>
      </w:pPr>
      <w:r>
        <w:rPr>
          <w:rFonts w:ascii="Times New Roman" w:cs="Times New Roman" w:eastAsia="Times New Roman" w:hAnsi="Times New Roman"/>
          <w:sz w:val="14"/>
          <w:szCs w:val="14"/>
          <w:color w:val="auto"/>
        </w:rPr>
        <w:t>NFE LLC was formed as a Delaware limited liability company by New Fortress Energy Holdings on August 6, 2018. On August 7, 2020, effective as of the Conversion Effective Time, NFE LLC was converted from a Delaware limited liability company to NFE Inc., a Delaware corporation.</w:t>
      </w:r>
    </w:p>
    <w:p>
      <w:pPr>
        <w:spacing w:after="0" w:line="54" w:lineRule="exact"/>
        <w:rPr>
          <w:sz w:val="20"/>
          <w:szCs w:val="20"/>
          <w:color w:val="auto"/>
        </w:rPr>
      </w:pPr>
    </w:p>
    <w:p>
      <w:pPr>
        <w:ind w:left="1260" w:right="1299" w:firstLine="278"/>
        <w:spacing w:after="0" w:line="257" w:lineRule="auto"/>
        <w:rPr>
          <w:sz w:val="20"/>
          <w:szCs w:val="20"/>
          <w:color w:val="auto"/>
        </w:rPr>
      </w:pPr>
      <w:r>
        <w:rPr>
          <w:rFonts w:ascii="Times New Roman" w:cs="Times New Roman" w:eastAsia="Times New Roman" w:hAnsi="Times New Roman"/>
          <w:sz w:val="14"/>
          <w:szCs w:val="14"/>
          <w:color w:val="auto"/>
        </w:rPr>
        <w:t>Our principal executive office is located at 111 W. 19th Street, 8th Floor, New York, New York 10011 and our telephone number is (516) 268-7400. We maintain a website at www.newfortressenergy.com. We have included our website address in this prospectus supplement solely as an inactive textual reference. The information on or otherwise accessible through our website does not constitute a part of, and is not incorporated by reference into, this prospectus supplement or the accompanying prospectus.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7" w:name="page8"/>
    <w:bookmarkEnd w:id="7"/>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92" w:lineRule="exact"/>
        <w:rPr>
          <w:sz w:val="20"/>
          <w:szCs w:val="20"/>
          <w:color w:val="auto"/>
        </w:rPr>
      </w:pPr>
    </w:p>
    <w:p>
      <w:pPr>
        <w:ind w:left="1240" w:right="1339" w:firstLine="279"/>
        <w:spacing w:after="0" w:line="252" w:lineRule="auto"/>
        <w:rPr>
          <w:sz w:val="20"/>
          <w:szCs w:val="20"/>
          <w:color w:val="auto"/>
        </w:rPr>
      </w:pPr>
      <w:r>
        <w:rPr>
          <w:rFonts w:ascii="Times New Roman" w:cs="Times New Roman" w:eastAsia="Times New Roman" w:hAnsi="Times New Roman"/>
          <w:sz w:val="14"/>
          <w:szCs w:val="14"/>
          <w:color w:val="auto"/>
        </w:rPr>
        <w:t>Before you invest in our Class A common stock, in addition to the other information in this prospectus supplement, the accompanying prospectus, the documents incorporated by reference herein or therein or other offering materials, you should carefully consider the risk factors in any prospectus supplement as well as the risk factors under the heading “Risk Factors” contained in Part I, Item 1A. in our Annual Report on Form 10-K for the year ended December 31, 2023 and in our Quarterly Reports on Form 10-Q for the quarters ended March 31, 2024 and June 30, 2024, which are incorporated by reference into this prospectus supplement and the accompanying prospectus, as the same may be amended, supplemented or superseded from time to time by our filings under Sections 13(a), 13(c), 14 and 15(d) of the Securities Exchange Act of 1934, as amended (the “Exchange Act”). These risks could materially and adversely affect our business, operating results, cash flows and financial condition and could result in a partial or complete loss of your investment. See “Where You Can Find More Information” and “Cautionary Note Regarding Forward-Looking Statements.”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8" w:name="page9"/>
    <w:bookmarkEnd w:id="8"/>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color w:val="auto"/>
        </w:rPr>
        <w:t>We will not receive any of the proceeds from the sale of shares by the selling securityholder in this offering. .</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9" w:name="page10"/>
    <w:bookmarkEnd w:id="9"/>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SELLING SECURITYHOLDER</w:t>
      </w:r>
    </w:p>
    <w:p>
      <w:pPr>
        <w:spacing w:after="0" w:line="92" w:lineRule="exact"/>
        <w:rPr>
          <w:sz w:val="20"/>
          <w:szCs w:val="20"/>
          <w:color w:val="auto"/>
        </w:rPr>
      </w:pPr>
    </w:p>
    <w:p>
      <w:pPr>
        <w:ind w:left="1240" w:right="1259" w:firstLine="279"/>
        <w:spacing w:after="0" w:line="253" w:lineRule="auto"/>
        <w:rPr>
          <w:sz w:val="20"/>
          <w:szCs w:val="20"/>
          <w:color w:val="auto"/>
        </w:rPr>
      </w:pPr>
      <w:r>
        <w:rPr>
          <w:rFonts w:ascii="Times New Roman" w:cs="Times New Roman" w:eastAsia="Times New Roman" w:hAnsi="Times New Roman"/>
          <w:sz w:val="14"/>
          <w:szCs w:val="14"/>
          <w:color w:val="auto"/>
        </w:rPr>
        <w:t>This prospectus supplement relates to the resale from time to time of up to a total of 10,804,718 shares of our Class A common stock by the selling securityholder identified in this prospectus supplement, including the pledgees, donees, transferees or other successors in interest of the selling securityholder. Such shares of our Class A common stock may be issued upon the conversion, repurchase or redemption of 96,746 shares of our Series B Convertible Preferred Stock. The following table sets forth information with respect to the current beneficial ownership of the selling securityholder, the number of shares of Class A common stock being offered hereby by the selling securityholder and information with respect to shares to be beneficially owned by the selling securityholder after completion of this offering, assuming all shares that may be offered from time to time by the selling securityholder pursuant to this prospectus supplement are sold.</w:t>
      </w:r>
    </w:p>
    <w:p>
      <w:pPr>
        <w:spacing w:after="0" w:line="60" w:lineRule="exact"/>
        <w:rPr>
          <w:sz w:val="20"/>
          <w:szCs w:val="20"/>
          <w:color w:val="auto"/>
        </w:rPr>
      </w:pPr>
    </w:p>
    <w:p>
      <w:pPr>
        <w:ind w:left="1240" w:right="1319" w:firstLine="279"/>
        <w:spacing w:after="0" w:line="253" w:lineRule="auto"/>
        <w:rPr>
          <w:sz w:val="20"/>
          <w:szCs w:val="20"/>
          <w:color w:val="auto"/>
        </w:rPr>
      </w:pPr>
      <w:r>
        <w:rPr>
          <w:rFonts w:ascii="Times New Roman" w:cs="Times New Roman" w:eastAsia="Times New Roman" w:hAnsi="Times New Roman"/>
          <w:sz w:val="14"/>
          <w:szCs w:val="14"/>
          <w:color w:val="auto"/>
        </w:rPr>
        <w:t>The shares listed in the table below may be issued upon the conversion, repurchase or redemption of the shares of our Series B Convertible Preferred Stock that were issued to the selling securityholder in exchange for the selling securityholder’s 96,746 shares of our 4.8% Series A Convertible Preferred Stock, par value $0.01 per share (the “Preferred Exchange”). In connection with the Preferred Exchange, the entity listed under “Selling Securityholder” in the table below is party to a Registration Rights Agreement with us pursuant to which such entity and its respective permitted transferees have the right, in certain circumstances, to require us to register such shares of our Class A common stock under the Securities Act of 1933, as amended (the “Securities Act”), for sale into the public markets.</w:t>
      </w:r>
    </w:p>
    <w:p>
      <w:pPr>
        <w:spacing w:after="0" w:line="63" w:lineRule="exact"/>
        <w:rPr>
          <w:sz w:val="20"/>
          <w:szCs w:val="20"/>
          <w:color w:val="auto"/>
        </w:rPr>
      </w:pPr>
    </w:p>
    <w:p>
      <w:pPr>
        <w:ind w:left="1240" w:right="1279" w:firstLine="279"/>
        <w:spacing w:after="0" w:line="252" w:lineRule="auto"/>
        <w:rPr>
          <w:sz w:val="20"/>
          <w:szCs w:val="20"/>
          <w:color w:val="auto"/>
        </w:rPr>
      </w:pPr>
      <w:r>
        <w:rPr>
          <w:rFonts w:ascii="Times New Roman" w:cs="Times New Roman" w:eastAsia="Times New Roman" w:hAnsi="Times New Roman"/>
          <w:sz w:val="14"/>
          <w:szCs w:val="14"/>
          <w:color w:val="auto"/>
        </w:rPr>
        <w:t>Beneficial ownership is determined under the rules of the SEC, and such information is not necessarily indicative of beneficial ownership for any other purpose. Under such rules, beneficial ownership includes any shares as to which a person has sole or shared voting power or investment power and any shares which the person has the right to acquire within 60 days through the exercise of any option, warrant or right, through conversion of any security or pursuant to the automatic termination of a power of attorney or revocation of a trust, discretionary account or similar arrangement. Percentages are calculated in accordance with applicable SEC rules and are based on beneficial ownership as provided by the selling securityholder to us and 251,416,989 shares of our Class A common stock issued and outstanding as of October 2, 2024, based on the 205,067,047 shares of our Class A common stock outstanding as of August 6, 2024 and giving effect to the issuance of 46,349,942 shares of our Class A common stock issued pursuant to a prospectus supplement dated October 2, 2024 and its accompanying prospectus.</w:t>
      </w:r>
    </w:p>
    <w:p>
      <w:pPr>
        <w:spacing w:after="0" w:line="161" w:lineRule="exact"/>
        <w:rPr>
          <w:sz w:val="20"/>
          <w:szCs w:val="20"/>
          <w:color w:val="auto"/>
        </w:rPr>
      </w:pPr>
    </w:p>
    <w:tbl>
      <w:tblPr>
        <w:tblLayout w:type="fixed"/>
        <w:tblInd w:w="1240" w:type="dxa"/>
        <w:tblCellMar>
          <w:top w:w="0" w:type="dxa"/>
          <w:left w:w="0" w:type="dxa"/>
          <w:bottom w:w="0" w:type="dxa"/>
          <w:right w:w="0" w:type="dxa"/>
        </w:tblCellMar>
      </w:tblPr>
      <w:tr>
        <w:trPr>
          <w:trHeight w:val="126"/>
        </w:trPr>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Shares Offered</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900" w:type="dxa"/>
            <w:vAlign w:val="bottom"/>
          </w:tcPr>
          <w:p>
            <w:pPr>
              <w:spacing w:after="0"/>
              <w:rPr>
                <w:sz w:val="9"/>
                <w:szCs w:val="9"/>
                <w:color w:val="auto"/>
              </w:rPr>
            </w:pPr>
          </w:p>
        </w:tc>
        <w:tc>
          <w:tcPr>
            <w:tcW w:w="1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Ownership</w:t>
            </w:r>
          </w:p>
        </w:tc>
        <w:tc>
          <w:tcPr>
            <w:tcW w:w="200" w:type="dxa"/>
            <w:vAlign w:val="bottom"/>
          </w:tcPr>
          <w:p>
            <w:pPr>
              <w:spacing w:after="0"/>
              <w:rPr>
                <w:sz w:val="9"/>
                <w:szCs w:val="9"/>
                <w:color w:val="auto"/>
              </w:rPr>
            </w:pPr>
          </w:p>
        </w:tc>
        <w:tc>
          <w:tcPr>
            <w:tcW w:w="7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5"/>
              </w:rPr>
              <w:t>by this</w:t>
            </w:r>
          </w:p>
        </w:tc>
        <w:tc>
          <w:tcPr>
            <w:tcW w:w="200" w:type="dxa"/>
            <w:vAlign w:val="bottom"/>
          </w:tcPr>
          <w:p>
            <w:pPr>
              <w:spacing w:after="0"/>
              <w:rPr>
                <w:sz w:val="9"/>
                <w:szCs w:val="9"/>
                <w:color w:val="auto"/>
              </w:rPr>
            </w:pPr>
          </w:p>
        </w:tc>
        <w:tc>
          <w:tcPr>
            <w:tcW w:w="1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Ownership</w:t>
            </w:r>
          </w:p>
        </w:tc>
        <w:tc>
          <w:tcPr>
            <w:tcW w:w="0" w:type="dxa"/>
            <w:vAlign w:val="bottom"/>
          </w:tcPr>
          <w:p>
            <w:pPr>
              <w:spacing w:after="0"/>
              <w:rPr>
                <w:sz w:val="1"/>
                <w:szCs w:val="1"/>
                <w:color w:val="auto"/>
              </w:rPr>
            </w:pPr>
          </w:p>
        </w:tc>
      </w:tr>
      <w:tr>
        <w:trPr>
          <w:trHeight w:val="115"/>
        </w:trPr>
        <w:tc>
          <w:tcPr>
            <w:tcW w:w="190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7"/>
              </w:rPr>
              <w:t>Prospectus</w:t>
            </w:r>
          </w:p>
        </w:tc>
        <w:tc>
          <w:tcPr>
            <w:tcW w:w="200" w:type="dxa"/>
            <w:vAlign w:val="bottom"/>
          </w:tcPr>
          <w:p>
            <w:pPr>
              <w:spacing w:after="0"/>
              <w:rPr>
                <w:sz w:val="9"/>
                <w:szCs w:val="9"/>
                <w:color w:val="auto"/>
              </w:rPr>
            </w:pPr>
          </w:p>
        </w:tc>
        <w:tc>
          <w:tcPr>
            <w:tcW w:w="17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Before Offering</w:t>
            </w:r>
          </w:p>
        </w:tc>
        <w:tc>
          <w:tcPr>
            <w:tcW w:w="20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Supplement</w:t>
            </w:r>
          </w:p>
        </w:tc>
        <w:tc>
          <w:tcPr>
            <w:tcW w:w="200" w:type="dxa"/>
            <w:vAlign w:val="bottom"/>
          </w:tcPr>
          <w:p>
            <w:pPr>
              <w:spacing w:after="0"/>
              <w:rPr>
                <w:sz w:val="13"/>
                <w:szCs w:val="13"/>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After Offering</w:t>
            </w:r>
          </w:p>
        </w:tc>
        <w:tc>
          <w:tcPr>
            <w:tcW w:w="0" w:type="dxa"/>
            <w:vAlign w:val="bottom"/>
          </w:tcPr>
          <w:p>
            <w:pPr>
              <w:spacing w:after="0"/>
              <w:rPr>
                <w:sz w:val="1"/>
                <w:szCs w:val="1"/>
                <w:color w:val="auto"/>
              </w:rPr>
            </w:pPr>
          </w:p>
        </w:tc>
      </w:tr>
      <w:tr>
        <w:trPr>
          <w:trHeight w:val="116"/>
        </w:trPr>
        <w:tc>
          <w:tcPr>
            <w:tcW w:w="1900" w:type="dxa"/>
            <w:vAlign w:val="bottom"/>
          </w:tcPr>
          <w:p>
            <w:pPr>
              <w:spacing w:after="0"/>
              <w:rPr>
                <w:sz w:val="10"/>
                <w:szCs w:val="10"/>
                <w:color w:val="auto"/>
              </w:rPr>
            </w:pPr>
          </w:p>
        </w:tc>
        <w:tc>
          <w:tcPr>
            <w:tcW w:w="7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Shares of</w:t>
            </w:r>
          </w:p>
        </w:tc>
        <w:tc>
          <w:tcPr>
            <w:tcW w:w="200" w:type="dxa"/>
            <w:vAlign w:val="bottom"/>
          </w:tcPr>
          <w:p>
            <w:pPr>
              <w:spacing w:after="0"/>
              <w:rPr>
                <w:sz w:val="10"/>
                <w:szCs w:val="10"/>
                <w:color w:val="auto"/>
              </w:rPr>
            </w:pPr>
          </w:p>
        </w:tc>
        <w:tc>
          <w:tcPr>
            <w:tcW w:w="7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200" w:type="dxa"/>
            <w:vAlign w:val="bottom"/>
          </w:tcPr>
          <w:p>
            <w:pPr>
              <w:spacing w:after="0"/>
              <w:rPr>
                <w:sz w:val="10"/>
                <w:szCs w:val="10"/>
                <w:color w:val="auto"/>
              </w:rPr>
            </w:pPr>
          </w:p>
        </w:tc>
        <w:tc>
          <w:tcPr>
            <w:tcW w:w="7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Shares of</w:t>
            </w:r>
          </w:p>
        </w:tc>
        <w:tc>
          <w:tcPr>
            <w:tcW w:w="200" w:type="dxa"/>
            <w:vAlign w:val="bottom"/>
          </w:tcPr>
          <w:p>
            <w:pPr>
              <w:spacing w:after="0"/>
              <w:rPr>
                <w:sz w:val="10"/>
                <w:szCs w:val="10"/>
                <w:color w:val="auto"/>
              </w:rPr>
            </w:pPr>
          </w:p>
        </w:tc>
        <w:tc>
          <w:tcPr>
            <w:tcW w:w="7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Shares of</w:t>
            </w:r>
          </w:p>
        </w:tc>
        <w:tc>
          <w:tcPr>
            <w:tcW w:w="200" w:type="dxa"/>
            <w:vAlign w:val="bottom"/>
          </w:tcPr>
          <w:p>
            <w:pPr>
              <w:spacing w:after="0"/>
              <w:rPr>
                <w:sz w:val="10"/>
                <w:szCs w:val="10"/>
                <w:color w:val="auto"/>
              </w:rPr>
            </w:pPr>
          </w:p>
        </w:tc>
        <w:tc>
          <w:tcPr>
            <w:tcW w:w="7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 of</w:t>
            </w:r>
          </w:p>
        </w:tc>
        <w:tc>
          <w:tcPr>
            <w:tcW w:w="0" w:type="dxa"/>
            <w:vAlign w:val="bottom"/>
          </w:tcPr>
          <w:p>
            <w:pPr>
              <w:spacing w:after="0"/>
              <w:rPr>
                <w:sz w:val="1"/>
                <w:szCs w:val="1"/>
                <w:color w:val="auto"/>
              </w:rPr>
            </w:pPr>
          </w:p>
        </w:tc>
      </w:tr>
      <w:tr>
        <w:trPr>
          <w:trHeight w:val="115"/>
        </w:trPr>
        <w:tc>
          <w:tcPr>
            <w:tcW w:w="1900" w:type="dxa"/>
            <w:vAlign w:val="bottom"/>
          </w:tcPr>
          <w:p>
            <w:pPr>
              <w:spacing w:after="0"/>
              <w:rPr>
                <w:sz w:val="9"/>
                <w:szCs w:val="9"/>
                <w:color w:val="auto"/>
              </w:rPr>
            </w:pPr>
          </w:p>
        </w:tc>
        <w:tc>
          <w:tcPr>
            <w:tcW w:w="7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Class A</w:t>
            </w:r>
          </w:p>
        </w:tc>
        <w:tc>
          <w:tcPr>
            <w:tcW w:w="200" w:type="dxa"/>
            <w:vAlign w:val="bottom"/>
          </w:tcPr>
          <w:p>
            <w:pPr>
              <w:spacing w:after="0"/>
              <w:rPr>
                <w:sz w:val="9"/>
                <w:szCs w:val="9"/>
                <w:color w:val="auto"/>
              </w:rPr>
            </w:pPr>
          </w:p>
        </w:tc>
        <w:tc>
          <w:tcPr>
            <w:tcW w:w="7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Class A</w:t>
            </w:r>
          </w:p>
        </w:tc>
        <w:tc>
          <w:tcPr>
            <w:tcW w:w="200" w:type="dxa"/>
            <w:vAlign w:val="bottom"/>
          </w:tcPr>
          <w:p>
            <w:pPr>
              <w:spacing w:after="0"/>
              <w:rPr>
                <w:sz w:val="9"/>
                <w:szCs w:val="9"/>
                <w:color w:val="auto"/>
              </w:rPr>
            </w:pPr>
          </w:p>
        </w:tc>
        <w:tc>
          <w:tcPr>
            <w:tcW w:w="7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Class A</w:t>
            </w:r>
          </w:p>
        </w:tc>
        <w:tc>
          <w:tcPr>
            <w:tcW w:w="200" w:type="dxa"/>
            <w:vAlign w:val="bottom"/>
          </w:tcPr>
          <w:p>
            <w:pPr>
              <w:spacing w:after="0"/>
              <w:rPr>
                <w:sz w:val="9"/>
                <w:szCs w:val="9"/>
                <w:color w:val="auto"/>
              </w:rPr>
            </w:pPr>
          </w:p>
        </w:tc>
        <w:tc>
          <w:tcPr>
            <w:tcW w:w="7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Class A</w:t>
            </w:r>
          </w:p>
        </w:tc>
        <w:tc>
          <w:tcPr>
            <w:tcW w:w="200" w:type="dxa"/>
            <w:vAlign w:val="bottom"/>
          </w:tcPr>
          <w:p>
            <w:pPr>
              <w:spacing w:after="0"/>
              <w:rPr>
                <w:sz w:val="9"/>
                <w:szCs w:val="9"/>
                <w:color w:val="auto"/>
              </w:rPr>
            </w:pPr>
          </w:p>
        </w:tc>
        <w:tc>
          <w:tcPr>
            <w:tcW w:w="7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Class A</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Selling Securityholder</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0" w:type="dxa"/>
            <w:vAlign w:val="bottom"/>
          </w:tcPr>
          <w:p>
            <w:pPr>
              <w:spacing w:after="0"/>
              <w:rPr>
                <w:sz w:val="1"/>
                <w:szCs w:val="1"/>
                <w:color w:val="auto"/>
              </w:rPr>
            </w:pPr>
          </w:p>
        </w:tc>
      </w:tr>
      <w:tr>
        <w:trPr>
          <w:trHeight w:val="182"/>
        </w:trPr>
        <w:tc>
          <w:tcPr>
            <w:tcW w:w="19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Ceiba Energy US LP</w:t>
            </w:r>
            <w:r>
              <w:rPr>
                <w:rFonts w:ascii="Times New Roman" w:cs="Times New Roman" w:eastAsia="Times New Roman" w:hAnsi="Times New Roman"/>
                <w:sz w:val="21"/>
                <w:szCs w:val="21"/>
                <w:color w:val="auto"/>
                <w:vertAlign w:val="superscript"/>
              </w:rPr>
              <w:t>(1)</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10,804,718</w:t>
            </w:r>
          </w:p>
        </w:tc>
        <w:tc>
          <w:tcPr>
            <w:tcW w:w="96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4"/>
                <w:szCs w:val="14"/>
                <w:color w:val="auto"/>
              </w:rPr>
              <w:t>4.3%</w:t>
            </w:r>
          </w:p>
        </w:tc>
        <w:tc>
          <w:tcPr>
            <w:tcW w:w="9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4"/>
                <w:szCs w:val="14"/>
                <w:color w:val="auto"/>
              </w:rPr>
              <w:t>10,804,718</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42"/>
        </w:trPr>
        <w:tc>
          <w:tcPr>
            <w:tcW w:w="19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119380</wp:posOffset>
            </wp:positionV>
            <wp:extent cx="63690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203" w:lineRule="exact"/>
        <w:rPr>
          <w:sz w:val="20"/>
          <w:szCs w:val="20"/>
          <w:color w:val="auto"/>
        </w:rPr>
      </w:pPr>
    </w:p>
    <w:p>
      <w:pPr>
        <w:ind w:left="1520" w:right="1299" w:hanging="275"/>
        <w:spacing w:after="0" w:line="237" w:lineRule="auto"/>
        <w:tabs>
          <w:tab w:leader="none" w:pos="152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Ceiba Energy US LP is controlled by a board of managers comprised of four individuals. Any actions by Ceiba Energy US LP with respect to the disposition or voting of shares of Class A common stock are managed by the board of managers. The principal business address of Ceiba Energy US LP is 7676 Woodway Dr., Suite 325, Houston, Texas 77063.</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99695</wp:posOffset>
            </wp:positionV>
            <wp:extent cx="5412105"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10" w:name="page11"/>
    <w:bookmarkEnd w:id="10"/>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92" w:lineRule="exact"/>
        <w:rPr>
          <w:sz w:val="20"/>
          <w:szCs w:val="20"/>
          <w:color w:val="auto"/>
        </w:rPr>
      </w:pPr>
    </w:p>
    <w:p>
      <w:pPr>
        <w:ind w:left="1240" w:right="1319" w:firstLine="279"/>
        <w:spacing w:after="0" w:line="257" w:lineRule="auto"/>
        <w:rPr>
          <w:sz w:val="20"/>
          <w:szCs w:val="20"/>
          <w:color w:val="auto"/>
        </w:rPr>
      </w:pPr>
      <w:r>
        <w:rPr>
          <w:rFonts w:ascii="Times New Roman" w:cs="Times New Roman" w:eastAsia="Times New Roman" w:hAnsi="Times New Roman"/>
          <w:sz w:val="14"/>
          <w:szCs w:val="14"/>
          <w:color w:val="auto"/>
        </w:rPr>
        <w:t>The resale shares covered by this prospectus supplement and the accompanying prospectus may be offered and sold from time to time by the selling securityholder, including certain transferees who may later hold interest in the shares of Class A common stock covered by this prospectus. We will not receive any of the proceeds from the sale of shares of our Class A common stock covered by this prospectus supplement. We will pay all expenses of the registration of the Class A common stock and certain other expenses.</w:t>
      </w:r>
    </w:p>
    <w:p>
      <w:pPr>
        <w:spacing w:after="0" w:line="57" w:lineRule="exact"/>
        <w:rPr>
          <w:sz w:val="20"/>
          <w:szCs w:val="20"/>
          <w:color w:val="auto"/>
        </w:rPr>
      </w:pPr>
    </w:p>
    <w:p>
      <w:pPr>
        <w:ind w:left="1240" w:right="1299" w:firstLine="279"/>
        <w:spacing w:after="0" w:line="253" w:lineRule="auto"/>
        <w:rPr>
          <w:sz w:val="20"/>
          <w:szCs w:val="20"/>
          <w:color w:val="auto"/>
        </w:rPr>
      </w:pPr>
      <w:r>
        <w:rPr>
          <w:rFonts w:ascii="Times New Roman" w:cs="Times New Roman" w:eastAsia="Times New Roman" w:hAnsi="Times New Roman"/>
          <w:sz w:val="14"/>
          <w:szCs w:val="14"/>
          <w:color w:val="auto"/>
        </w:rPr>
        <w:t>The selling securityholder may sell all or a portion of the shares of Class A common stock beneficially owned by the selling securityholder and offered hereby from time to time directly or through one or more underwriters, broker-dealers or agents. If the shares of Class A common stock are sold through underwriters or broker-dealers, the applicable selling securityholder will be responsible for underwriting discounts or commissions or agent’s commissions. The shares of Class A common stock may be sold in one or more transactions at fixed prices (which may be changed), at prevailing market prices at the time of the sale, at prices related to the prevailing market prices, at varying prices determined at the time of sale, or at negotiated prices. These sales may be effected in transactions, which may involve crosses or block transactions,</w:t>
      </w:r>
    </w:p>
    <w:p>
      <w:pPr>
        <w:spacing w:after="0" w:line="63" w:lineRule="exact"/>
        <w:rPr>
          <w:sz w:val="20"/>
          <w:szCs w:val="20"/>
          <w:color w:val="auto"/>
        </w:rPr>
      </w:pPr>
    </w:p>
    <w:p>
      <w:pPr>
        <w:ind w:left="1800" w:right="1579" w:hanging="276"/>
        <w:spacing w:after="0" w:line="280"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any national securities exchange or quotation service on which our Class A common stock may be listed or quoted at the time of sale;</w:t>
      </w:r>
    </w:p>
    <w:p>
      <w:pPr>
        <w:spacing w:after="0" w:line="42"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over-the-counter market;</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transactions otherwise than on these exchanges or systems or in the over-the-counter market;</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of options, whether such options are listed on an options exchange or otherwise;</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ordinary brokerage transactions and transactions in which the broker-dealer solicits purchasers;</w:t>
      </w:r>
    </w:p>
    <w:p>
      <w:pPr>
        <w:spacing w:after="0" w:line="89" w:lineRule="exact"/>
        <w:rPr>
          <w:rFonts w:ascii="Times New Roman" w:cs="Times New Roman" w:eastAsia="Times New Roman" w:hAnsi="Times New Roman"/>
          <w:sz w:val="14"/>
          <w:szCs w:val="14"/>
          <w:color w:val="auto"/>
        </w:rPr>
      </w:pPr>
    </w:p>
    <w:p>
      <w:pPr>
        <w:ind w:left="1800" w:right="1539" w:hanging="276"/>
        <w:spacing w:after="0" w:line="280"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block trades in which the broker-dealer will attempt to sell the shares as agent but may position and resell a portion of the block as principal to facilitate the transaction;</w:t>
      </w:r>
    </w:p>
    <w:p>
      <w:pPr>
        <w:spacing w:after="0" w:line="42"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purchases by a broker-dealer as principal and resale by the broker-dealer for its account;</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 exchange distribution in accordance with the rules of the applicable exchange;</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privately negotiated transactions;</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short sales;</w:t>
      </w:r>
    </w:p>
    <w:p>
      <w:pPr>
        <w:spacing w:after="0" w:line="89" w:lineRule="exact"/>
        <w:rPr>
          <w:rFonts w:ascii="Times New Roman" w:cs="Times New Roman" w:eastAsia="Times New Roman" w:hAnsi="Times New Roman"/>
          <w:sz w:val="14"/>
          <w:szCs w:val="14"/>
          <w:color w:val="auto"/>
        </w:rPr>
      </w:pPr>
    </w:p>
    <w:p>
      <w:pPr>
        <w:ind w:left="1800" w:right="1279" w:hanging="276"/>
        <w:spacing w:after="0" w:line="280"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which broker-dealers may agree with the selling securityholder to sell a specified number of such shares at a stipulated price per share;</w:t>
      </w:r>
    </w:p>
    <w:p>
      <w:pPr>
        <w:spacing w:after="0" w:line="42" w:lineRule="exact"/>
        <w:rPr>
          <w:rFonts w:ascii="Times New Roman" w:cs="Times New Roman" w:eastAsia="Times New Roman" w:hAnsi="Times New Roman"/>
          <w:sz w:val="14"/>
          <w:szCs w:val="14"/>
          <w:color w:val="auto"/>
        </w:rPr>
      </w:pPr>
    </w:p>
    <w:p>
      <w:pPr>
        <w:ind w:left="1800" w:right="1319" w:hanging="276"/>
        <w:spacing w:after="0" w:line="264"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settlement of short sales, or sales of put, call or other types of options, forward delivery contracts, swaps, offerings of structured equity-linked securities, or other derivative, convertible or exchangeable securities or transactions;</w:t>
      </w:r>
    </w:p>
    <w:p>
      <w:pPr>
        <w:spacing w:after="0" w:line="53" w:lineRule="exact"/>
        <w:rPr>
          <w:rFonts w:ascii="Times New Roman" w:cs="Times New Roman" w:eastAsia="Times New Roman" w:hAnsi="Times New Roman"/>
          <w:sz w:val="14"/>
          <w:szCs w:val="14"/>
          <w:color w:val="auto"/>
        </w:rPr>
      </w:pPr>
    </w:p>
    <w:p>
      <w:pPr>
        <w:ind w:left="1800" w:right="1379" w:hanging="276"/>
        <w:spacing w:after="0" w:line="259"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which the selling securityholder enters into options, forwards or other transactions that require the selling securityholder to deliver, in a transaction exempt from registration under the Securities Act, the securities to a broker-dealer or an affiliate of a broker-dealer or other third party who may then become a selling securityholder and publicly resell or otherwise transfer the securities under this prospectus;</w:t>
      </w:r>
    </w:p>
    <w:p>
      <w:pPr>
        <w:spacing w:after="0" w:line="57"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 combination of any such methods of sale; and</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method permitted pursuant to applicable law.</w:t>
      </w:r>
    </w:p>
    <w:p>
      <w:pPr>
        <w:spacing w:after="0" w:line="90" w:lineRule="exact"/>
        <w:rPr>
          <w:sz w:val="20"/>
          <w:szCs w:val="20"/>
          <w:color w:val="auto"/>
        </w:rPr>
      </w:pPr>
    </w:p>
    <w:p>
      <w:pPr>
        <w:ind w:left="1240" w:right="1359" w:firstLine="279"/>
        <w:spacing w:after="0" w:line="255" w:lineRule="auto"/>
        <w:rPr>
          <w:sz w:val="20"/>
          <w:szCs w:val="20"/>
          <w:color w:val="auto"/>
        </w:rPr>
      </w:pPr>
      <w:r>
        <w:rPr>
          <w:rFonts w:ascii="Times New Roman" w:cs="Times New Roman" w:eastAsia="Times New Roman" w:hAnsi="Times New Roman"/>
          <w:sz w:val="14"/>
          <w:szCs w:val="14"/>
          <w:color w:val="auto"/>
        </w:rPr>
        <w:t>If the selling securityholder effects such transactions by selling shares of Class A common stock to or through underwriters, broker-dealers or agents, such underwriters, broker-dealers or agents may receive commissions in the form of discounts, concessions or commissions from the selling securityholder or commissions from purchasers of the shares of Class A common stock for whom they may act as agent or to whom they may sell as principal (which discounts, concessions or commissions as to particular underwriters, broker-dealers or agents may be in excess of those customary in the types of transactions involved).</w:t>
      </w:r>
    </w:p>
    <w:p>
      <w:pPr>
        <w:spacing w:after="0" w:line="60" w:lineRule="exact"/>
        <w:rPr>
          <w:sz w:val="20"/>
          <w:szCs w:val="20"/>
          <w:color w:val="auto"/>
        </w:rPr>
      </w:pPr>
    </w:p>
    <w:p>
      <w:pPr>
        <w:ind w:left="1240" w:right="1719" w:firstLine="279"/>
        <w:spacing w:after="0" w:line="264" w:lineRule="auto"/>
        <w:rPr>
          <w:sz w:val="20"/>
          <w:szCs w:val="20"/>
          <w:color w:val="auto"/>
        </w:rPr>
      </w:pPr>
      <w:r>
        <w:rPr>
          <w:rFonts w:ascii="Times New Roman" w:cs="Times New Roman" w:eastAsia="Times New Roman" w:hAnsi="Times New Roman"/>
          <w:sz w:val="14"/>
          <w:szCs w:val="14"/>
          <w:color w:val="auto"/>
        </w:rPr>
        <w:t>The selling securityholder may pledge or grant a security interest in some or all of the shares of Class A common stock owned by the selling securityholder and, if they default in the performance of their secured obligations, the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11" w:name="page12"/>
    <w:bookmarkEnd w:id="11"/>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ind w:left="1240" w:right="1259"/>
        <w:spacing w:after="0" w:line="252" w:lineRule="auto"/>
        <w:rPr>
          <w:sz w:val="20"/>
          <w:szCs w:val="20"/>
          <w:color w:val="auto"/>
        </w:rPr>
      </w:pPr>
      <w:r>
        <w:rPr>
          <w:rFonts w:ascii="Times New Roman" w:cs="Times New Roman" w:eastAsia="Times New Roman" w:hAnsi="Times New Roman"/>
          <w:sz w:val="14"/>
          <w:szCs w:val="14"/>
          <w:color w:val="auto"/>
        </w:rPr>
        <w:t>pledgees or secured parties may offer and sell the shares of Class A common stock from time to time pursuant to this prospectus supplement, or under an amendment to this prospectus supplement under Rule 424(b)(3) or other applicable provision of the Securities Act, amending, if necessary, the list of selling securityholders to include the pledgee, transferee or other successors-in-interest as selling securityholders under this prospectus supplement. The selling securityholder also may transfer and donate the shares of Class A common stock in other circumstances, in which case the transferees, donees, pledgees or other successors-in-interest will be the selling beneficial owners for purposes of this prospectus supplement. The selling securityholder may also enter into option or other transactions, including the issuance of convertible or exchangeable securities with broker-dealers, financial institutions or other investors or the creation of one or more derivative, convertible or exchangeable securities which require the delivery to such broker-dealer, financial institution or other investors of Class A common stock offered by this prospectus, which Class A common stock such broker-dealer, financial institution or other investors may resell pursuant to this prospectus (as supplemented or amended to reflect such transaction).</w:t>
      </w:r>
    </w:p>
    <w:p>
      <w:pPr>
        <w:spacing w:after="0" w:line="61" w:lineRule="exact"/>
        <w:rPr>
          <w:sz w:val="20"/>
          <w:szCs w:val="20"/>
          <w:color w:val="auto"/>
        </w:rPr>
      </w:pPr>
    </w:p>
    <w:p>
      <w:pPr>
        <w:ind w:left="1240" w:right="1259" w:firstLine="279"/>
        <w:spacing w:after="0" w:line="259" w:lineRule="auto"/>
        <w:rPr>
          <w:sz w:val="20"/>
          <w:szCs w:val="20"/>
          <w:color w:val="auto"/>
        </w:rPr>
      </w:pPr>
      <w:r>
        <w:rPr>
          <w:rFonts w:ascii="Times New Roman" w:cs="Times New Roman" w:eastAsia="Times New Roman" w:hAnsi="Times New Roman"/>
          <w:sz w:val="14"/>
          <w:szCs w:val="14"/>
          <w:color w:val="auto"/>
        </w:rPr>
        <w:t>The selling securityholder may also sell shares under Rule 144 under the Securities Act, if available, rather than under this prospectus supplement. The selling securityholder is not obligated to, and there is no assurance that the selling securityholder will, sell all or any of the shares we are registering. The selling securityholder may transfer, devise or gift such shares by other means not described in this prospectus supplement.</w:t>
      </w:r>
    </w:p>
    <w:p>
      <w:pPr>
        <w:spacing w:after="0" w:line="57" w:lineRule="exact"/>
        <w:rPr>
          <w:sz w:val="20"/>
          <w:szCs w:val="20"/>
          <w:color w:val="auto"/>
        </w:rPr>
      </w:pPr>
    </w:p>
    <w:p>
      <w:pPr>
        <w:ind w:left="1240" w:right="1359" w:firstLine="279"/>
        <w:spacing w:after="0" w:line="253" w:lineRule="auto"/>
        <w:rPr>
          <w:sz w:val="20"/>
          <w:szCs w:val="20"/>
          <w:color w:val="auto"/>
        </w:rPr>
      </w:pPr>
      <w:r>
        <w:rPr>
          <w:rFonts w:ascii="Times New Roman" w:cs="Times New Roman" w:eastAsia="Times New Roman" w:hAnsi="Times New Roman"/>
          <w:sz w:val="14"/>
          <w:szCs w:val="14"/>
          <w:color w:val="auto"/>
        </w:rPr>
        <w:t>The selling securityholder and any broker-dealer participating in the distribution of the shares of Class A common stock may be deemed to be “underwriters” within the meaning of the Securities Act, and any commission paid, or any discounts or concessions allowed to, the selling securityholder or broker-dealer may be deemed to be underwriting commissions or discounts under the Securities Act. At the time a particular offering of the shares of Class A common stock is made, a prospectus supplement, if required, will be distributed which will set forth the aggregate amount of shares of Class A common stock being offered and the terms of the offering, including the name or names of any broker-dealers or agents, any discounts, commissions and other terms constituting compensation from the selling securityholder and any discounts, commissions or concessions allowed or reallowed or paid to broker-dealers.</w:t>
      </w:r>
    </w:p>
    <w:p>
      <w:pPr>
        <w:spacing w:after="0" w:line="60" w:lineRule="exact"/>
        <w:rPr>
          <w:sz w:val="20"/>
          <w:szCs w:val="20"/>
          <w:color w:val="auto"/>
        </w:rPr>
      </w:pPr>
    </w:p>
    <w:p>
      <w:pPr>
        <w:ind w:left="1240" w:right="1399" w:firstLine="279"/>
        <w:spacing w:after="0" w:line="259" w:lineRule="auto"/>
        <w:rPr>
          <w:sz w:val="20"/>
          <w:szCs w:val="20"/>
          <w:color w:val="auto"/>
        </w:rPr>
      </w:pPr>
      <w:r>
        <w:rPr>
          <w:rFonts w:ascii="Times New Roman" w:cs="Times New Roman" w:eastAsia="Times New Roman" w:hAnsi="Times New Roman"/>
          <w:sz w:val="14"/>
          <w:szCs w:val="14"/>
          <w:color w:val="auto"/>
        </w:rPr>
        <w:t>Under the securities laws of some states, the shares of Class A common stock may be sold in such states only through registered or licensed brokers or dealers. In addition, in some states the shares of Class A common stock may not be sold unless such shares have been registered or qualified for sale in such state or an exemption from registration or qualification is available and is complied with.</w:t>
      </w:r>
    </w:p>
    <w:p>
      <w:pPr>
        <w:spacing w:after="0" w:line="57" w:lineRule="exact"/>
        <w:rPr>
          <w:sz w:val="20"/>
          <w:szCs w:val="20"/>
          <w:color w:val="auto"/>
        </w:rPr>
      </w:pPr>
    </w:p>
    <w:p>
      <w:pPr>
        <w:ind w:left="1240" w:right="1419" w:firstLine="279"/>
        <w:spacing w:after="0" w:line="280" w:lineRule="auto"/>
        <w:rPr>
          <w:sz w:val="20"/>
          <w:szCs w:val="20"/>
          <w:color w:val="auto"/>
        </w:rPr>
      </w:pPr>
      <w:r>
        <w:rPr>
          <w:rFonts w:ascii="Times New Roman" w:cs="Times New Roman" w:eastAsia="Times New Roman" w:hAnsi="Times New Roman"/>
          <w:sz w:val="14"/>
          <w:szCs w:val="14"/>
          <w:color w:val="auto"/>
        </w:rPr>
        <w:t>There can be no assurance that the selling securityholder will sell any or all of the shares of Class A common stock registered pursuant to the registration statement of which this prospectus supplement forms a part.</w:t>
      </w:r>
    </w:p>
    <w:p>
      <w:pPr>
        <w:spacing w:after="0" w:line="42" w:lineRule="exact"/>
        <w:rPr>
          <w:sz w:val="20"/>
          <w:szCs w:val="20"/>
          <w:color w:val="auto"/>
        </w:rPr>
      </w:pPr>
    </w:p>
    <w:p>
      <w:pPr>
        <w:ind w:left="1240" w:right="1299" w:firstLine="279"/>
        <w:spacing w:after="0" w:line="253" w:lineRule="auto"/>
        <w:rPr>
          <w:sz w:val="20"/>
          <w:szCs w:val="20"/>
          <w:color w:val="auto"/>
        </w:rPr>
      </w:pPr>
      <w:r>
        <w:rPr>
          <w:rFonts w:ascii="Times New Roman" w:cs="Times New Roman" w:eastAsia="Times New Roman" w:hAnsi="Times New Roman"/>
          <w:sz w:val="14"/>
          <w:szCs w:val="14"/>
          <w:color w:val="auto"/>
        </w:rPr>
        <w:t>The selling securityholder and any other person participating in such distribution will be subject to applicable provisions of the Exchange Act, and the rules and regulations thereunder, including, without limitation, Regulation M under the Exchange Act, which may limit the timing of purchases and sales of any of the shares of Class A common stock by the selling securityholder and any other participating person. Regulation M may also restrict the ability of any person engaged in the distribution of the shares of Class A common stock to engage in market-making activities with respect to the shares of Class A common stock. All of the foregoing may affect the marketability of the shares of Class A common stock and the ability of any person or entity to engage in market-making activities with respect to the shares of Class A common stock.</w:t>
      </w:r>
    </w:p>
    <w:p>
      <w:pPr>
        <w:spacing w:after="0" w:line="63" w:lineRule="exact"/>
        <w:rPr>
          <w:sz w:val="20"/>
          <w:szCs w:val="20"/>
          <w:color w:val="auto"/>
        </w:rPr>
      </w:pPr>
    </w:p>
    <w:p>
      <w:pPr>
        <w:ind w:left="1240" w:right="1339" w:firstLine="279"/>
        <w:spacing w:after="0" w:line="264" w:lineRule="auto"/>
        <w:rPr>
          <w:sz w:val="20"/>
          <w:szCs w:val="20"/>
          <w:color w:val="auto"/>
        </w:rPr>
      </w:pPr>
      <w:r>
        <w:rPr>
          <w:rFonts w:ascii="Times New Roman" w:cs="Times New Roman" w:eastAsia="Times New Roman" w:hAnsi="Times New Roman"/>
          <w:sz w:val="14"/>
          <w:szCs w:val="14"/>
          <w:color w:val="auto"/>
        </w:rPr>
        <w:t>Pursuant to the Registration Rights Agreement between us and the selling securityholder, we have agreed to indemnify and hold harmless, to the full extent permitted by law, the selling securityholder from and against certain liabilities incurred in connection with the registration of the selling securityholder’s shares.</w:t>
      </w:r>
    </w:p>
    <w:p>
      <w:pPr>
        <w:spacing w:after="0" w:line="54" w:lineRule="exact"/>
        <w:rPr>
          <w:sz w:val="20"/>
          <w:szCs w:val="20"/>
          <w:color w:val="auto"/>
        </w:rPr>
      </w:pPr>
    </w:p>
    <w:p>
      <w:pPr>
        <w:ind w:left="1240" w:right="1599" w:firstLine="279"/>
        <w:spacing w:after="0" w:line="280" w:lineRule="auto"/>
        <w:rPr>
          <w:sz w:val="20"/>
          <w:szCs w:val="20"/>
          <w:color w:val="auto"/>
        </w:rPr>
      </w:pPr>
      <w:r>
        <w:rPr>
          <w:rFonts w:ascii="Times New Roman" w:cs="Times New Roman" w:eastAsia="Times New Roman" w:hAnsi="Times New Roman"/>
          <w:sz w:val="14"/>
          <w:szCs w:val="14"/>
          <w:color w:val="auto"/>
        </w:rPr>
        <w:t>Once sold under the registration statement of which this prospectus supplement forms a part, the shares of Class A common stock will be freely tradable in the hands of persons other than our affiliates.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12" w:name="page13"/>
    <w:bookmarkEnd w:id="12"/>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92" w:lineRule="exact"/>
        <w:rPr>
          <w:sz w:val="20"/>
          <w:szCs w:val="20"/>
          <w:color w:val="auto"/>
        </w:rPr>
      </w:pPr>
    </w:p>
    <w:p>
      <w:pPr>
        <w:ind w:left="1240" w:right="1499" w:firstLine="279"/>
        <w:spacing w:after="0" w:line="280" w:lineRule="auto"/>
        <w:rPr>
          <w:sz w:val="20"/>
          <w:szCs w:val="20"/>
          <w:color w:val="auto"/>
        </w:rPr>
      </w:pPr>
      <w:r>
        <w:rPr>
          <w:rFonts w:ascii="Times New Roman" w:cs="Times New Roman" w:eastAsia="Times New Roman" w:hAnsi="Times New Roman"/>
          <w:sz w:val="14"/>
          <w:szCs w:val="14"/>
          <w:color w:val="auto"/>
        </w:rPr>
        <w:t>Certain legal matters will be passed upon for us by Skadden, Arps, Slate, Meagher &amp; Flom LLP, New York, New York.</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92" w:lineRule="exact"/>
        <w:rPr>
          <w:sz w:val="20"/>
          <w:szCs w:val="20"/>
          <w:color w:val="auto"/>
        </w:rPr>
      </w:pPr>
    </w:p>
    <w:p>
      <w:pPr>
        <w:ind w:left="1240" w:right="1379" w:firstLine="279"/>
        <w:spacing w:after="0" w:line="255" w:lineRule="auto"/>
        <w:rPr>
          <w:sz w:val="20"/>
          <w:szCs w:val="20"/>
          <w:color w:val="auto"/>
        </w:rPr>
      </w:pPr>
      <w:r>
        <w:rPr>
          <w:rFonts w:ascii="Times New Roman" w:cs="Times New Roman" w:eastAsia="Times New Roman" w:hAnsi="Times New Roman"/>
          <w:sz w:val="14"/>
          <w:szCs w:val="14"/>
          <w:color w:val="auto"/>
        </w:rPr>
        <w:t>Ernst &amp; Young LLP,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supplement and elsewhere in the registration statement. Our financial statements are incorporated by reference in reliance on Ernst &amp; Young LLP’s reports, given on their authority as experts in accounting and auditing.</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99695</wp:posOffset>
            </wp:positionV>
            <wp:extent cx="5412105"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13" w:name="page14"/>
    <w:bookmarkEnd w:id="13"/>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92" w:lineRule="exact"/>
        <w:rPr>
          <w:sz w:val="20"/>
          <w:szCs w:val="20"/>
          <w:color w:val="auto"/>
        </w:rPr>
      </w:pPr>
    </w:p>
    <w:p>
      <w:pPr>
        <w:jc w:val="both"/>
        <w:ind w:left="1240" w:right="1399" w:firstLine="279"/>
        <w:spacing w:after="0" w:line="264"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54" w:lineRule="exact"/>
        <w:rPr>
          <w:sz w:val="20"/>
          <w:szCs w:val="20"/>
          <w:color w:val="auto"/>
        </w:rPr>
      </w:pPr>
    </w:p>
    <w:p>
      <w:pPr>
        <w:ind w:left="1240" w:right="1319" w:firstLine="279"/>
        <w:spacing w:after="0" w:line="253"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supplement and any accompanying prospectus,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supplement, any accompanying prospectus, any subsequently filed document deemed incorporated by reference or any free writing prospectus prepared by or on behalf of us. This prospectus supplement and any accompanying prospectus incorporate by reference the documents set forth below that we have previously filed with the SEC (other than information deemed furnished and not filed in accordance with SEC rules, including Items 2.02 and 7.01 of Form 8-K):</w:t>
      </w:r>
    </w:p>
    <w:p>
      <w:pPr>
        <w:spacing w:after="0" w:line="60" w:lineRule="exact"/>
        <w:rPr>
          <w:sz w:val="20"/>
          <w:szCs w:val="20"/>
          <w:color w:val="auto"/>
        </w:rPr>
      </w:pPr>
    </w:p>
    <w:p>
      <w:pPr>
        <w:ind w:left="1800" w:right="1359" w:hanging="276"/>
        <w:spacing w:after="0" w:line="280" w:lineRule="auto"/>
        <w:tabs>
          <w:tab w:leader="none" w:pos="1800" w:val="left"/>
        </w:tabs>
        <w:numPr>
          <w:ilvl w:val="0"/>
          <w:numId w:val="7"/>
        </w:numPr>
        <w:rPr>
          <w:rFonts w:ascii="Times New Roman" w:cs="Times New Roman" w:eastAsia="Times New Roman" w:hAnsi="Times New Roman"/>
          <w:sz w:val="14"/>
          <w:szCs w:val="14"/>
          <w:u w:val="single" w:color="auto"/>
          <w:color w:val="0000EE"/>
        </w:rPr>
      </w:pPr>
      <w:hyperlink r:id="rId25">
        <w:r>
          <w:rPr>
            <w:rFonts w:ascii="Times New Roman" w:cs="Times New Roman" w:eastAsia="Times New Roman" w:hAnsi="Times New Roman"/>
            <w:sz w:val="14"/>
            <w:szCs w:val="14"/>
            <w:color w:val="auto"/>
          </w:rPr>
          <w:t xml:space="preserve">our Annual Report on Form 10-K for the year ended December 31, 2023, filed with the SEC on </w:t>
        </w:r>
        <w:r>
          <w:rPr>
            <w:rFonts w:ascii="Times New Roman" w:cs="Times New Roman" w:eastAsia="Times New Roman" w:hAnsi="Times New Roman"/>
            <w:sz w:val="14"/>
            <w:szCs w:val="14"/>
            <w:u w:val="single" w:color="auto"/>
            <w:color w:val="0000EE"/>
          </w:rPr>
          <w:t>February</w:t>
        </w:r>
      </w:hyperlink>
      <w:r>
        <w:rPr>
          <w:rFonts w:ascii="Times New Roman" w:cs="Times New Roman" w:eastAsia="Times New Roman" w:hAnsi="Times New Roman"/>
          <w:sz w:val="14"/>
          <w:szCs w:val="14"/>
          <w:color w:val="auto"/>
        </w:rPr>
        <w:t xml:space="preserve"> </w:t>
      </w:r>
      <w:hyperlink r:id="rId25">
        <w:r>
          <w:rPr>
            <w:rFonts w:ascii="Times New Roman" w:cs="Times New Roman" w:eastAsia="Times New Roman" w:hAnsi="Times New Roman"/>
            <w:sz w:val="14"/>
            <w:szCs w:val="14"/>
            <w:u w:val="single" w:color="auto"/>
            <w:color w:val="0000EE"/>
          </w:rPr>
          <w:t>29, 2024;</w:t>
        </w:r>
      </w:hyperlink>
    </w:p>
    <w:p>
      <w:pPr>
        <w:spacing w:after="0" w:line="42" w:lineRule="exact"/>
        <w:rPr>
          <w:rFonts w:ascii="Times New Roman" w:cs="Times New Roman" w:eastAsia="Times New Roman" w:hAnsi="Times New Roman"/>
          <w:sz w:val="14"/>
          <w:szCs w:val="14"/>
          <w:u w:val="single" w:color="auto"/>
          <w:color w:val="0000EE"/>
        </w:rPr>
      </w:pPr>
    </w:p>
    <w:p>
      <w:pPr>
        <w:ind w:left="1800" w:right="1339" w:hanging="276"/>
        <w:spacing w:after="0" w:line="280" w:lineRule="auto"/>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quarters ended March 31, 2024 and June 30, 2024, filed with the SEC on </w:t>
      </w:r>
      <w:hyperlink r:id="rId26">
        <w:r>
          <w:rPr>
            <w:rFonts w:ascii="Times New Roman" w:cs="Times New Roman" w:eastAsia="Times New Roman" w:hAnsi="Times New Roman"/>
            <w:sz w:val="14"/>
            <w:szCs w:val="14"/>
            <w:u w:val="single" w:color="auto"/>
            <w:color w:val="0000EE"/>
          </w:rPr>
          <w:t>May 9,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27">
        <w:r>
          <w:rPr>
            <w:rFonts w:ascii="Times New Roman" w:cs="Times New Roman" w:eastAsia="Times New Roman" w:hAnsi="Times New Roman"/>
            <w:sz w:val="14"/>
            <w:szCs w:val="14"/>
            <w:u w:val="single" w:color="auto"/>
            <w:color w:val="0000EE"/>
          </w:rPr>
          <w:t>August 9, 2024</w:t>
        </w:r>
      </w:hyperlink>
      <w:r>
        <w:rPr>
          <w:rFonts w:ascii="Times New Roman" w:cs="Times New Roman" w:eastAsia="Times New Roman" w:hAnsi="Times New Roman"/>
          <w:sz w:val="14"/>
          <w:szCs w:val="14"/>
          <w:color w:val="auto"/>
        </w:rPr>
        <w:t>, respectively;</w:t>
      </w:r>
    </w:p>
    <w:p>
      <w:pPr>
        <w:spacing w:after="0" w:line="42" w:lineRule="exact"/>
        <w:rPr>
          <w:rFonts w:ascii="Times New Roman" w:cs="Times New Roman" w:eastAsia="Times New Roman" w:hAnsi="Times New Roman"/>
          <w:sz w:val="14"/>
          <w:szCs w:val="14"/>
          <w:color w:val="auto"/>
        </w:rPr>
      </w:pPr>
    </w:p>
    <w:p>
      <w:pPr>
        <w:jc w:val="both"/>
        <w:ind w:left="1800" w:right="1379" w:hanging="276"/>
        <w:spacing w:after="0" w:line="264" w:lineRule="auto"/>
        <w:tabs>
          <w:tab w:leader="none" w:pos="1800" w:val="left"/>
        </w:tabs>
        <w:numPr>
          <w:ilvl w:val="0"/>
          <w:numId w:val="7"/>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with the SEC on </w:t>
      </w:r>
      <w:hyperlink r:id="rId28">
        <w:r>
          <w:rPr>
            <w:rFonts w:ascii="Times New Roman" w:cs="Times New Roman" w:eastAsia="Times New Roman" w:hAnsi="Times New Roman"/>
            <w:sz w:val="14"/>
            <w:szCs w:val="14"/>
            <w:u w:val="single" w:color="auto"/>
            <w:color w:val="0000EE"/>
          </w:rPr>
          <w:t>March 4, 2024</w:t>
        </w:r>
      </w:hyperlink>
      <w:r>
        <w:rPr>
          <w:rFonts w:ascii="Times New Roman" w:cs="Times New Roman" w:eastAsia="Times New Roman" w:hAnsi="Times New Roman"/>
          <w:sz w:val="14"/>
          <w:szCs w:val="14"/>
          <w:color w:val="auto"/>
        </w:rPr>
        <w:t xml:space="preserve">, </w:t>
      </w:r>
      <w:hyperlink r:id="rId29">
        <w:r>
          <w:rPr>
            <w:rFonts w:ascii="Times New Roman" w:cs="Times New Roman" w:eastAsia="Times New Roman" w:hAnsi="Times New Roman"/>
            <w:sz w:val="14"/>
            <w:szCs w:val="14"/>
            <w:u w:val="single" w:color="auto"/>
            <w:color w:val="0000EE"/>
          </w:rPr>
          <w:t>March 6, 2024</w:t>
        </w:r>
      </w:hyperlink>
      <w:r>
        <w:rPr>
          <w:rFonts w:ascii="Times New Roman" w:cs="Times New Roman" w:eastAsia="Times New Roman" w:hAnsi="Times New Roman"/>
          <w:sz w:val="14"/>
          <w:szCs w:val="14"/>
          <w:color w:val="auto"/>
        </w:rPr>
        <w:t xml:space="preserve">, </w:t>
      </w:r>
      <w:hyperlink r:id="rId30">
        <w:r>
          <w:rPr>
            <w:rFonts w:ascii="Times New Roman" w:cs="Times New Roman" w:eastAsia="Times New Roman" w:hAnsi="Times New Roman"/>
            <w:sz w:val="14"/>
            <w:szCs w:val="14"/>
            <w:u w:val="single" w:color="auto"/>
            <w:color w:val="0000EE"/>
          </w:rPr>
          <w:t>March 8, 2024</w:t>
        </w:r>
      </w:hyperlink>
      <w:r>
        <w:rPr>
          <w:rFonts w:ascii="Times New Roman" w:cs="Times New Roman" w:eastAsia="Times New Roman" w:hAnsi="Times New Roman"/>
          <w:sz w:val="14"/>
          <w:szCs w:val="14"/>
          <w:color w:val="auto"/>
        </w:rPr>
        <w:t xml:space="preserve">, </w:t>
      </w:r>
      <w:hyperlink r:id="rId31">
        <w:r>
          <w:rPr>
            <w:rFonts w:ascii="Times New Roman" w:cs="Times New Roman" w:eastAsia="Times New Roman" w:hAnsi="Times New Roman"/>
            <w:sz w:val="14"/>
            <w:szCs w:val="14"/>
            <w:u w:val="single" w:color="auto"/>
            <w:color w:val="0000EE"/>
          </w:rPr>
          <w:t>March 25,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32">
        <w:r>
          <w:rPr>
            <w:rFonts w:ascii="Times New Roman" w:cs="Times New Roman" w:eastAsia="Times New Roman" w:hAnsi="Times New Roman"/>
            <w:sz w:val="14"/>
            <w:szCs w:val="14"/>
            <w:u w:val="single" w:color="auto"/>
            <w:color w:val="0000EE"/>
          </w:rPr>
          <w:t>March 27,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33">
        <w:r>
          <w:rPr>
            <w:rFonts w:ascii="Times New Roman" w:cs="Times New Roman" w:eastAsia="Times New Roman" w:hAnsi="Times New Roman"/>
            <w:sz w:val="14"/>
            <w:szCs w:val="14"/>
            <w:u w:val="single" w:color="auto"/>
            <w:color w:val="0000EE"/>
          </w:rPr>
          <w:t>June 14,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34">
        <w:r>
          <w:rPr>
            <w:rFonts w:ascii="Times New Roman" w:cs="Times New Roman" w:eastAsia="Times New Roman" w:hAnsi="Times New Roman"/>
            <w:sz w:val="14"/>
            <w:szCs w:val="14"/>
            <w:u w:val="single" w:color="auto"/>
            <w:color w:val="0000EE"/>
          </w:rPr>
          <w:t>July 25,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35">
        <w:r>
          <w:rPr>
            <w:rFonts w:ascii="Times New Roman" w:cs="Times New Roman" w:eastAsia="Times New Roman" w:hAnsi="Times New Roman"/>
            <w:sz w:val="14"/>
            <w:szCs w:val="14"/>
            <w:u w:val="single" w:color="auto"/>
            <w:color w:val="0000EE"/>
          </w:rPr>
          <w:t>September 6,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36">
        <w:r>
          <w:rPr>
            <w:rFonts w:ascii="Times New Roman" w:cs="Times New Roman" w:eastAsia="Times New Roman" w:hAnsi="Times New Roman"/>
            <w:sz w:val="14"/>
            <w:szCs w:val="14"/>
            <w:u w:val="single" w:color="auto"/>
            <w:color w:val="0000EE"/>
          </w:rPr>
          <w:t>September 27,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37">
        <w:r>
          <w:rPr>
            <w:rFonts w:ascii="Times New Roman" w:cs="Times New Roman" w:eastAsia="Times New Roman" w:hAnsi="Times New Roman"/>
            <w:sz w:val="14"/>
            <w:szCs w:val="14"/>
            <w:u w:val="single" w:color="auto"/>
            <w:color w:val="0000EE"/>
          </w:rPr>
          <w:t>September 30,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38">
        <w:r>
          <w:rPr>
            <w:rFonts w:ascii="Times New Roman" w:cs="Times New Roman" w:eastAsia="Times New Roman" w:hAnsi="Times New Roman"/>
            <w:sz w:val="14"/>
            <w:szCs w:val="14"/>
            <w:u w:val="single" w:color="auto"/>
            <w:color w:val="0000EE"/>
          </w:rPr>
          <w:t>October 1,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39">
        <w:r>
          <w:rPr>
            <w:rFonts w:ascii="Times New Roman" w:cs="Times New Roman" w:eastAsia="Times New Roman" w:hAnsi="Times New Roman"/>
            <w:sz w:val="14"/>
            <w:szCs w:val="14"/>
            <w:u w:val="single" w:color="auto"/>
            <w:color w:val="0000EE"/>
          </w:rPr>
          <w:t xml:space="preserve">October 1, 2024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40">
        <w:r>
          <w:rPr>
            <w:rFonts w:ascii="Times New Roman" w:cs="Times New Roman" w:eastAsia="Times New Roman" w:hAnsi="Times New Roman"/>
            <w:sz w:val="14"/>
            <w:szCs w:val="14"/>
            <w:u w:val="single" w:color="auto"/>
            <w:color w:val="0000EE"/>
          </w:rPr>
          <w:t>October 2,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p>
    <w:p>
      <w:pPr>
        <w:spacing w:after="0" w:line="53" w:lineRule="exact"/>
        <w:rPr>
          <w:rFonts w:ascii="Times New Roman" w:cs="Times New Roman" w:eastAsia="Times New Roman" w:hAnsi="Times New Roman"/>
          <w:sz w:val="14"/>
          <w:szCs w:val="14"/>
          <w:color w:val="0000EE"/>
        </w:rPr>
      </w:pPr>
    </w:p>
    <w:p>
      <w:pPr>
        <w:ind w:left="1800" w:right="1379" w:hanging="276"/>
        <w:spacing w:after="0" w:line="280" w:lineRule="auto"/>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Registration Statement on Form 8-A/A for registration of Class A common stock pursuant to Section 12(b) of the Exchange Act, filed on </w:t>
      </w:r>
      <w:hyperlink r:id="rId41">
        <w:r>
          <w:rPr>
            <w:rFonts w:ascii="Times New Roman" w:cs="Times New Roman" w:eastAsia="Times New Roman" w:hAnsi="Times New Roman"/>
            <w:sz w:val="14"/>
            <w:szCs w:val="14"/>
            <w:u w:val="single" w:color="auto"/>
            <w:color w:val="0000EE"/>
          </w:rPr>
          <w:t>August 7, 2020</w:t>
        </w:r>
      </w:hyperlink>
      <w:r>
        <w:rPr>
          <w:rFonts w:ascii="Times New Roman" w:cs="Times New Roman" w:eastAsia="Times New Roman" w:hAnsi="Times New Roman"/>
          <w:sz w:val="14"/>
          <w:szCs w:val="14"/>
          <w:color w:val="auto"/>
        </w:rPr>
        <w:t>.</w:t>
      </w:r>
    </w:p>
    <w:p>
      <w:pPr>
        <w:spacing w:after="0" w:line="42" w:lineRule="exact"/>
        <w:rPr>
          <w:rFonts w:ascii="Times New Roman" w:cs="Times New Roman" w:eastAsia="Times New Roman" w:hAnsi="Times New Roman"/>
          <w:sz w:val="14"/>
          <w:szCs w:val="14"/>
          <w:color w:val="0000EE"/>
        </w:rPr>
      </w:pPr>
    </w:p>
    <w:p>
      <w:pPr>
        <w:ind w:left="1240" w:right="1399" w:firstLine="279"/>
        <w:spacing w:after="0" w:line="255" w:lineRule="auto"/>
        <w:rPr>
          <w:sz w:val="20"/>
          <w:szCs w:val="20"/>
          <w:color w:val="auto"/>
        </w:rPr>
      </w:pPr>
      <w:r>
        <w:rPr>
          <w:rFonts w:ascii="Times New Roman" w:cs="Times New Roman" w:eastAsia="Times New Roman" w:hAnsi="Times New Roman"/>
          <w:sz w:val="14"/>
          <w:szCs w:val="14"/>
          <w:color w:val="auto"/>
        </w:rPr>
        <w:t>All documents filed by us pursuant to Sections 13(a), 13(c), 14 or 15(d) of the Exchange Act (i) after the date of the initial filing of the registration statement of which this prospectus supplement is a part and prior to effectiveness of the registration statement and (ii) after the date of this prospectus supplement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60" w:lineRule="exact"/>
        <w:rPr>
          <w:rFonts w:ascii="Times New Roman" w:cs="Times New Roman" w:eastAsia="Times New Roman" w:hAnsi="Times New Roman"/>
          <w:sz w:val="14"/>
          <w:szCs w:val="14"/>
          <w:color w:val="0000EE"/>
        </w:rPr>
      </w:pPr>
    </w:p>
    <w:p>
      <w:pPr>
        <w:ind w:left="1240" w:right="1259" w:firstLine="279"/>
        <w:spacing w:after="0" w:line="257" w:lineRule="auto"/>
        <w:rPr>
          <w:sz w:val="20"/>
          <w:szCs w:val="20"/>
          <w:color w:val="auto"/>
        </w:rPr>
      </w:pPr>
      <w:r>
        <w:rPr>
          <w:rFonts w:ascii="Times New Roman" w:cs="Times New Roman" w:eastAsia="Times New Roman" w:hAnsi="Times New Roman"/>
          <w:sz w:val="14"/>
          <w:szCs w:val="14"/>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99"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color w:val="auto"/>
        </w:rPr>
        <w:t>New Fortress Energy Inc.</w:t>
      </w:r>
    </w:p>
    <w:p>
      <w:pPr>
        <w:spacing w:after="0" w:line="21"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color w:val="auto"/>
        </w:rPr>
        <w:t>Investor Relations</w:t>
      </w:r>
    </w:p>
    <w:p>
      <w:pPr>
        <w:spacing w:after="0" w:line="6" w:lineRule="exact"/>
        <w:rPr>
          <w:rFonts w:ascii="Times New Roman" w:cs="Times New Roman" w:eastAsia="Times New Roman" w:hAnsi="Times New Roman"/>
          <w:sz w:val="14"/>
          <w:szCs w:val="14"/>
          <w:color w:val="0000EE"/>
        </w:rPr>
      </w:pPr>
    </w:p>
    <w:p>
      <w:pPr>
        <w:ind w:left="3700"/>
        <w:spacing w:after="0"/>
        <w:rPr>
          <w:sz w:val="20"/>
          <w:szCs w:val="20"/>
          <w:color w:val="auto"/>
        </w:rPr>
      </w:pPr>
      <w:r>
        <w:rPr>
          <w:rFonts w:ascii="Times New Roman" w:cs="Times New Roman" w:eastAsia="Times New Roman" w:hAnsi="Times New Roman"/>
          <w:sz w:val="14"/>
          <w:szCs w:val="14"/>
          <w:color w:val="auto"/>
        </w:rPr>
        <w:t>111 W. 19th Street, 8th Floor</w:t>
      </w:r>
    </w:p>
    <w:p>
      <w:pPr>
        <w:spacing w:after="0" w:line="6" w:lineRule="exact"/>
        <w:rPr>
          <w:rFonts w:ascii="Times New Roman" w:cs="Times New Roman" w:eastAsia="Times New Roman" w:hAnsi="Times New Roman"/>
          <w:sz w:val="14"/>
          <w:szCs w:val="14"/>
          <w:color w:val="0000EE"/>
        </w:rPr>
      </w:pPr>
    </w:p>
    <w:p>
      <w:pPr>
        <w:ind w:left="3720"/>
        <w:spacing w:after="0"/>
        <w:rPr>
          <w:sz w:val="20"/>
          <w:szCs w:val="20"/>
          <w:color w:val="auto"/>
        </w:rPr>
      </w:pPr>
      <w:r>
        <w:rPr>
          <w:rFonts w:ascii="Times New Roman" w:cs="Times New Roman" w:eastAsia="Times New Roman" w:hAnsi="Times New Roman"/>
          <w:sz w:val="14"/>
          <w:szCs w:val="14"/>
          <w:color w:val="auto"/>
        </w:rPr>
        <w:t>New York, New York 10011</w:t>
      </w:r>
    </w:p>
    <w:p>
      <w:pPr>
        <w:spacing w:after="0" w:line="6" w:lineRule="exact"/>
        <w:rPr>
          <w:rFonts w:ascii="Times New Roman" w:cs="Times New Roman" w:eastAsia="Times New Roman" w:hAnsi="Times New Roman"/>
          <w:sz w:val="14"/>
          <w:szCs w:val="14"/>
          <w:color w:val="0000EE"/>
        </w:rPr>
      </w:pPr>
    </w:p>
    <w:p>
      <w:pPr>
        <w:ind w:left="4400" w:right="4079" w:hanging="331"/>
        <w:spacing w:after="0" w:line="507" w:lineRule="auto"/>
        <w:tabs>
          <w:tab w:leader="none" w:pos="439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268-7400 S-9</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153670</wp:posOffset>
            </wp:positionH>
            <wp:positionV relativeFrom="paragraph">
              <wp:posOffset>-26670</wp:posOffset>
            </wp:positionV>
            <wp:extent cx="5412105"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14" w:name="page15"/>
    <w:bookmarkEnd w:id="14"/>
    <w:p>
      <w:pPr>
        <w:ind w:left="13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132080</wp:posOffset>
            </wp:positionV>
            <wp:extent cx="1545590" cy="404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1545590" cy="404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Class A Common Stock</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Preferred Stock</w:t>
      </w:r>
    </w:p>
    <w:p>
      <w:pPr>
        <w:jc w:val="center"/>
        <w:ind w:right="19"/>
        <w:spacing w:after="0" w:line="230" w:lineRule="auto"/>
        <w:rPr>
          <w:sz w:val="20"/>
          <w:szCs w:val="20"/>
          <w:color w:val="auto"/>
        </w:rPr>
      </w:pPr>
      <w:r>
        <w:rPr>
          <w:rFonts w:ascii="Times New Roman" w:cs="Times New Roman" w:eastAsia="Times New Roman" w:hAnsi="Times New Roman"/>
          <w:sz w:val="17"/>
          <w:szCs w:val="17"/>
          <w:b w:val="1"/>
          <w:bCs w:val="1"/>
          <w:color w:val="auto"/>
        </w:rPr>
        <w:t>Depositary Shares</w:t>
      </w:r>
    </w:p>
    <w:p>
      <w:pPr>
        <w:jc w:val="center"/>
        <w:ind w:right="19"/>
        <w:spacing w:after="0" w:line="231" w:lineRule="auto"/>
        <w:rPr>
          <w:sz w:val="20"/>
          <w:szCs w:val="20"/>
          <w:color w:val="auto"/>
        </w:rPr>
      </w:pPr>
      <w:r>
        <w:rPr>
          <w:rFonts w:ascii="Times New Roman" w:cs="Times New Roman" w:eastAsia="Times New Roman" w:hAnsi="Times New Roman"/>
          <w:sz w:val="17"/>
          <w:szCs w:val="17"/>
          <w:b w:val="1"/>
          <w:bCs w:val="1"/>
          <w:color w:val="auto"/>
        </w:rPr>
        <w:t>Debt Securities</w:t>
      </w:r>
    </w:p>
    <w:p>
      <w:pPr>
        <w:jc w:val="center"/>
        <w:ind w:right="19"/>
        <w:spacing w:after="0" w:line="231" w:lineRule="auto"/>
        <w:rPr>
          <w:sz w:val="20"/>
          <w:szCs w:val="20"/>
          <w:color w:val="auto"/>
        </w:rPr>
      </w:pPr>
      <w:r>
        <w:rPr>
          <w:rFonts w:ascii="Times New Roman" w:cs="Times New Roman" w:eastAsia="Times New Roman" w:hAnsi="Times New Roman"/>
          <w:sz w:val="17"/>
          <w:szCs w:val="17"/>
          <w:b w:val="1"/>
          <w:bCs w:val="1"/>
          <w:color w:val="auto"/>
        </w:rPr>
        <w:t>Warrants</w:t>
      </w:r>
    </w:p>
    <w:p>
      <w:pPr>
        <w:jc w:val="center"/>
        <w:ind w:right="19"/>
        <w:spacing w:after="0" w:line="231" w:lineRule="auto"/>
        <w:rPr>
          <w:sz w:val="20"/>
          <w:szCs w:val="20"/>
          <w:color w:val="auto"/>
        </w:rPr>
      </w:pPr>
      <w:r>
        <w:rPr>
          <w:rFonts w:ascii="Times New Roman" w:cs="Times New Roman" w:eastAsia="Times New Roman" w:hAnsi="Times New Roman"/>
          <w:sz w:val="17"/>
          <w:szCs w:val="17"/>
          <w:b w:val="1"/>
          <w:bCs w:val="1"/>
          <w:color w:val="auto"/>
        </w:rPr>
        <w:t>and</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114,670,972 Shares of Class A Common Stock Offered by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109855</wp:posOffset>
            </wp:positionV>
            <wp:extent cx="84899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848995" cy="6350"/>
                    </a:xfrm>
                    <a:prstGeom prst="rect">
                      <a:avLst/>
                    </a:prstGeom>
                    <a:noFill/>
                  </pic:spPr>
                </pic:pic>
              </a:graphicData>
            </a:graphic>
          </wp:anchor>
        </w:drawing>
      </w:r>
    </w:p>
    <w:p>
      <w:pPr>
        <w:spacing w:after="0" w:line="232" w:lineRule="exact"/>
        <w:rPr>
          <w:sz w:val="20"/>
          <w:szCs w:val="20"/>
          <w:color w:val="auto"/>
        </w:rPr>
      </w:pPr>
    </w:p>
    <w:p>
      <w:pPr>
        <w:ind w:left="1320" w:right="1359" w:firstLine="278"/>
        <w:spacing w:after="0" w:line="253" w:lineRule="auto"/>
        <w:rPr>
          <w:sz w:val="20"/>
          <w:szCs w:val="20"/>
          <w:color w:val="auto"/>
        </w:rPr>
      </w:pPr>
      <w:r>
        <w:rPr>
          <w:rFonts w:ascii="Times New Roman" w:cs="Times New Roman" w:eastAsia="Times New Roman" w:hAnsi="Times New Roman"/>
          <w:sz w:val="14"/>
          <w:szCs w:val="14"/>
          <w:color w:val="auto"/>
        </w:rPr>
        <w:t>This prospectus relates to shares of our Class A common stock, par value $0.01 per share (“Class A common stock”), shares of our preferred stock, par value $0.01 per share (“preferred stock”), depositary receipts, representing fractional shares of our preferred stock (the “depositary shares”), debt securities, which may be senior debt securities or subordinated debt securities, and warrants to purchase shares of our Class A common stock, preferred stock or our debt securities which we may offer and sell from time to time in one or more offerings. In addition, the selling stockholders named in this prospectus or in any supplement to this prospectus may offer and sell Class A common stock from time to time. We will not receive any of the proceeds from the sale of our Class A common stock by the selling stockholders.</w:t>
      </w:r>
    </w:p>
    <w:p>
      <w:pPr>
        <w:spacing w:after="0" w:line="63" w:lineRule="exact"/>
        <w:rPr>
          <w:sz w:val="20"/>
          <w:szCs w:val="20"/>
          <w:color w:val="auto"/>
        </w:rPr>
      </w:pPr>
    </w:p>
    <w:p>
      <w:pPr>
        <w:ind w:left="1320" w:right="1499" w:firstLine="278"/>
        <w:spacing w:after="0" w:line="264" w:lineRule="auto"/>
        <w:rPr>
          <w:sz w:val="20"/>
          <w:szCs w:val="20"/>
          <w:color w:val="auto"/>
        </w:rPr>
      </w:pPr>
      <w:r>
        <w:rPr>
          <w:rFonts w:ascii="Times New Roman" w:cs="Times New Roman" w:eastAsia="Times New Roman" w:hAnsi="Times New Roman"/>
          <w:sz w:val="14"/>
          <w:szCs w:val="14"/>
          <w:color w:val="auto"/>
        </w:rPr>
        <w:t>If required, we will provide the specific prices and terms of these securities in one or more supplements to this prospectus at the time of offering. You should read this prospectus and any accompanying prospectus supplement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123190</wp:posOffset>
            </wp:positionV>
            <wp:extent cx="84899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848995" cy="6350"/>
                    </a:xfrm>
                    <a:prstGeom prst="rect">
                      <a:avLst/>
                    </a:prstGeom>
                    <a:noFill/>
                  </pic:spPr>
                </pic:pic>
              </a:graphicData>
            </a:graphic>
          </wp:anchor>
        </w:drawing>
      </w:r>
    </w:p>
    <w:p>
      <w:pPr>
        <w:spacing w:after="0" w:line="251" w:lineRule="exact"/>
        <w:rPr>
          <w:sz w:val="20"/>
          <w:szCs w:val="20"/>
          <w:color w:val="auto"/>
        </w:rPr>
      </w:pPr>
    </w:p>
    <w:p>
      <w:pPr>
        <w:ind w:left="1320" w:right="1459" w:firstLine="278"/>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Investing in our securities involves a number of risks. See “Risk Factors” on page </w:t>
      </w:r>
      <w:r>
        <w:rPr>
          <w:rFonts w:ascii="Times New Roman" w:cs="Times New Roman" w:eastAsia="Times New Roman" w:hAnsi="Times New Roman"/>
          <w:sz w:val="14"/>
          <w:szCs w:val="14"/>
          <w:b w:val="1"/>
          <w:bCs w:val="1"/>
          <w:u w:val="single" w:color="auto"/>
          <w:color w:val="0000EE"/>
        </w:rPr>
        <w:t>6</w:t>
      </w:r>
      <w:r>
        <w:rPr>
          <w:rFonts w:ascii="Times New Roman" w:cs="Times New Roman" w:eastAsia="Times New Roman" w:hAnsi="Times New Roman"/>
          <w:sz w:val="14"/>
          <w:szCs w:val="14"/>
          <w:b w:val="1"/>
          <w:bCs w:val="1"/>
          <w:color w:val="auto"/>
        </w:rPr>
        <w:t xml:space="preserve"> before you make your investment decision.</w:t>
      </w:r>
    </w:p>
    <w:p>
      <w:pPr>
        <w:spacing w:after="0" w:line="40" w:lineRule="exact"/>
        <w:rPr>
          <w:sz w:val="20"/>
          <w:szCs w:val="20"/>
          <w:color w:val="auto"/>
        </w:rPr>
      </w:pPr>
    </w:p>
    <w:p>
      <w:pPr>
        <w:ind w:left="1320" w:right="1359" w:firstLine="278"/>
        <w:spacing w:after="0" w:line="285" w:lineRule="auto"/>
        <w:rPr>
          <w:sz w:val="20"/>
          <w:szCs w:val="20"/>
          <w:color w:val="auto"/>
        </w:rPr>
      </w:pPr>
      <w:r>
        <w:rPr>
          <w:rFonts w:ascii="Times New Roman" w:cs="Times New Roman" w:eastAsia="Times New Roman" w:hAnsi="Times New Roman"/>
          <w:sz w:val="13"/>
          <w:szCs w:val="13"/>
          <w:color w:val="auto"/>
        </w:rPr>
        <w:t>We or the selling stockholders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42" w:lineRule="exact"/>
        <w:rPr>
          <w:sz w:val="20"/>
          <w:szCs w:val="20"/>
          <w:color w:val="auto"/>
        </w:rPr>
      </w:pPr>
    </w:p>
    <w:p>
      <w:pPr>
        <w:ind w:left="1320" w:right="1359" w:firstLine="278"/>
        <w:spacing w:after="0" w:line="264" w:lineRule="auto"/>
        <w:rPr>
          <w:sz w:val="20"/>
          <w:szCs w:val="20"/>
          <w:color w:val="auto"/>
        </w:rPr>
      </w:pPr>
      <w:r>
        <w:rPr>
          <w:rFonts w:ascii="Times New Roman" w:cs="Times New Roman" w:eastAsia="Times New Roman" w:hAnsi="Times New Roman"/>
          <w:sz w:val="14"/>
          <w:szCs w:val="14"/>
          <w:color w:val="auto"/>
        </w:rPr>
        <w:t>Our Class A common stock is listed on Nasdaq Global Select Market under the trading symbol “NFE.” Each prospectus supplement will indicate whether the securities offered thereby will be listed on any securities exchange.</w:t>
      </w:r>
    </w:p>
    <w:p>
      <w:pPr>
        <w:spacing w:after="0" w:line="52" w:lineRule="exact"/>
        <w:rPr>
          <w:sz w:val="20"/>
          <w:szCs w:val="20"/>
          <w:color w:val="auto"/>
        </w:rPr>
      </w:pPr>
    </w:p>
    <w:p>
      <w:pPr>
        <w:ind w:left="1320" w:right="1359" w:firstLine="278"/>
        <w:spacing w:after="0" w:line="266"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121920</wp:posOffset>
            </wp:positionV>
            <wp:extent cx="84899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84899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March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100965</wp:posOffset>
            </wp:positionV>
            <wp:extent cx="5412105"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15" w:name="page16"/>
    <w:bookmarkEnd w:id="15"/>
    <w:tbl>
      <w:tblPr>
        <w:tblLayout w:type="fixed"/>
        <w:tblInd w:w="1240" w:type="dxa"/>
        <w:tblCellMar>
          <w:top w:w="0" w:type="dxa"/>
          <w:left w:w="0" w:type="dxa"/>
          <w:bottom w:w="0" w:type="dxa"/>
          <w:right w:w="0" w:type="dxa"/>
        </w:tblCellMar>
      </w:tblPr>
      <w:tr>
        <w:trPr>
          <w:trHeight w:val="126"/>
        </w:trPr>
        <w:tc>
          <w:tcPr>
            <w:tcW w:w="6020" w:type="dxa"/>
            <w:vAlign w:val="bottom"/>
            <w:gridSpan w:val="22"/>
          </w:tcPr>
          <w:p>
            <w:pPr>
              <w:spacing w:after="0"/>
              <w:rPr>
                <w:sz w:val="20"/>
                <w:szCs w:val="20"/>
                <w:color w:val="auto"/>
              </w:rPr>
            </w:pPr>
            <w:r>
              <w:rPr>
                <w:rFonts w:ascii="Times New Roman" w:cs="Times New Roman" w:eastAsia="Times New Roman" w:hAnsi="Times New Roman"/>
                <w:sz w:val="11"/>
                <w:szCs w:val="11"/>
                <w:b w:val="1"/>
                <w:bCs w:val="1"/>
                <w:color w:val="0000EE"/>
              </w:rPr>
              <w:t>TABLE OF CONTENTS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3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8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4"/>
                <w:szCs w:val="14"/>
                <w:color w:val="0000EE"/>
                <w:w w:val="97"/>
              </w:rPr>
              <w:t>ABOUT THIS PROSPECTUS</w:t>
            </w:r>
          </w:p>
        </w:tc>
        <w:tc>
          <w:tcPr>
            <w:tcW w:w="4280" w:type="dxa"/>
            <w:vAlign w:val="bottom"/>
            <w:gridSpan w:val="10"/>
            <w:shd w:val="clear" w:color="auto" w:fill="CCEEFF"/>
          </w:tcPr>
          <w:p>
            <w:pPr>
              <w:spacing w:after="0"/>
              <w:rPr>
                <w:sz w:val="19"/>
                <w:szCs w:val="19"/>
                <w:color w:val="auto"/>
              </w:rPr>
            </w:pPr>
          </w:p>
        </w:tc>
        <w:tc>
          <w:tcPr>
            <w:tcW w:w="5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0000EE"/>
              </w:rPr>
              <w:t>1</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6000" w:type="dxa"/>
            <w:vAlign w:val="bottom"/>
            <w:gridSpan w:val="21"/>
          </w:tcPr>
          <w:p>
            <w:pPr>
              <w:spacing w:after="0" w:line="147"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500" w:type="dxa"/>
            <w:vAlign w:val="bottom"/>
            <w:gridSpan w:val="4"/>
          </w:tcPr>
          <w:p>
            <w:pPr>
              <w:jc w:val="right"/>
              <w:ind w:right="20"/>
              <w:spacing w:after="0" w:line="147" w:lineRule="exact"/>
              <w:rPr>
                <w:sz w:val="20"/>
                <w:szCs w:val="20"/>
                <w:color w:val="auto"/>
              </w:rPr>
            </w:pPr>
            <w:r>
              <w:rPr>
                <w:rFonts w:ascii="Times New Roman" w:cs="Times New Roman" w:eastAsia="Times New Roman" w:hAnsi="Times New Roman"/>
                <w:sz w:val="14"/>
                <w:szCs w:val="14"/>
                <w:color w:val="0000EE"/>
              </w:rPr>
              <w:t>2</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4460" w:type="dxa"/>
            <w:vAlign w:val="bottom"/>
            <w:gridSpan w:val="19"/>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7"/>
              </w:rPr>
              <w:t>CAUTIONARY NOTE REGARDING FORWARD-LOOKING STATEMENTS</w:t>
            </w:r>
          </w:p>
        </w:tc>
        <w:tc>
          <w:tcPr>
            <w:tcW w:w="1540" w:type="dxa"/>
            <w:vAlign w:val="bottom"/>
            <w:gridSpan w:val="2"/>
            <w:shd w:val="clear" w:color="auto" w:fill="CCEEFF"/>
          </w:tcPr>
          <w:p>
            <w:pPr>
              <w:spacing w:after="0"/>
              <w:rPr>
                <w:sz w:val="12"/>
                <w:szCs w:val="12"/>
                <w:color w:val="auto"/>
              </w:rPr>
            </w:pPr>
          </w:p>
        </w:tc>
        <w:tc>
          <w:tcPr>
            <w:tcW w:w="500" w:type="dxa"/>
            <w:vAlign w:val="bottom"/>
            <w:gridSpan w:val="4"/>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0000EE"/>
              </w:rPr>
              <w:t>3</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4460" w:type="dxa"/>
            <w:vAlign w:val="bottom"/>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THE COMPANY</w:t>
            </w:r>
          </w:p>
        </w:tc>
        <w:tc>
          <w:tcPr>
            <w:tcW w:w="1540" w:type="dxa"/>
            <w:vAlign w:val="bottom"/>
            <w:gridSpan w:val="2"/>
          </w:tcPr>
          <w:p>
            <w:pPr>
              <w:spacing w:after="0"/>
              <w:rPr>
                <w:sz w:val="12"/>
                <w:szCs w:val="12"/>
                <w:color w:val="auto"/>
              </w:rPr>
            </w:pPr>
          </w:p>
        </w:tc>
        <w:tc>
          <w:tcPr>
            <w:tcW w:w="500" w:type="dxa"/>
            <w:vAlign w:val="bottom"/>
            <w:gridSpan w:val="4"/>
          </w:tcPr>
          <w:p>
            <w:pPr>
              <w:jc w:val="right"/>
              <w:ind w:right="20"/>
              <w:spacing w:after="0" w:line="147" w:lineRule="exact"/>
              <w:rPr>
                <w:sz w:val="20"/>
                <w:szCs w:val="20"/>
                <w:color w:val="auto"/>
              </w:rPr>
            </w:pPr>
            <w:r>
              <w:rPr>
                <w:rFonts w:ascii="Times New Roman" w:cs="Times New Roman" w:eastAsia="Times New Roman" w:hAnsi="Times New Roman"/>
                <w:sz w:val="14"/>
                <w:szCs w:val="14"/>
                <w:color w:val="0000EE"/>
              </w:rPr>
              <w:t>5</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960" w:type="dxa"/>
            <w:vAlign w:val="bottom"/>
            <w:gridSpan w:val="3"/>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5"/>
              </w:rPr>
              <w:t>RISK FACTORS</w:t>
            </w:r>
          </w:p>
        </w:tc>
        <w:tc>
          <w:tcPr>
            <w:tcW w:w="5040" w:type="dxa"/>
            <w:vAlign w:val="bottom"/>
            <w:gridSpan w:val="18"/>
            <w:shd w:val="clear" w:color="auto" w:fill="CCEEFF"/>
          </w:tcPr>
          <w:p>
            <w:pPr>
              <w:spacing w:after="0"/>
              <w:rPr>
                <w:sz w:val="12"/>
                <w:szCs w:val="12"/>
                <w:color w:val="auto"/>
              </w:rPr>
            </w:pPr>
          </w:p>
        </w:tc>
        <w:tc>
          <w:tcPr>
            <w:tcW w:w="500" w:type="dxa"/>
            <w:vAlign w:val="bottom"/>
            <w:gridSpan w:val="4"/>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0000EE"/>
              </w:rPr>
              <w:t>6</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6000" w:type="dxa"/>
            <w:vAlign w:val="bottom"/>
            <w:gridSpan w:val="21"/>
          </w:tcPr>
          <w:p>
            <w:pPr>
              <w:spacing w:after="0" w:line="147" w:lineRule="exact"/>
              <w:rPr>
                <w:sz w:val="20"/>
                <w:szCs w:val="20"/>
                <w:color w:val="auto"/>
              </w:rPr>
            </w:pPr>
            <w:r>
              <w:rPr>
                <w:rFonts w:ascii="Times New Roman" w:cs="Times New Roman" w:eastAsia="Times New Roman" w:hAnsi="Times New Roman"/>
                <w:sz w:val="14"/>
                <w:szCs w:val="14"/>
                <w:color w:val="0000EE"/>
              </w:rPr>
              <w:t>USE OF PROCEEDS</w:t>
            </w:r>
          </w:p>
        </w:tc>
        <w:tc>
          <w:tcPr>
            <w:tcW w:w="500" w:type="dxa"/>
            <w:vAlign w:val="bottom"/>
            <w:gridSpan w:val="4"/>
          </w:tcPr>
          <w:p>
            <w:pPr>
              <w:jc w:val="right"/>
              <w:ind w:right="20"/>
              <w:spacing w:after="0" w:line="147" w:lineRule="exact"/>
              <w:rPr>
                <w:sz w:val="20"/>
                <w:szCs w:val="20"/>
                <w:color w:val="auto"/>
              </w:rPr>
            </w:pPr>
            <w:r>
              <w:rPr>
                <w:rFonts w:ascii="Times New Roman" w:cs="Times New Roman" w:eastAsia="Times New Roman" w:hAnsi="Times New Roman"/>
                <w:sz w:val="14"/>
                <w:szCs w:val="14"/>
                <w:color w:val="0000EE"/>
              </w:rPr>
              <w:t>7</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6000" w:type="dxa"/>
            <w:vAlign w:val="bottom"/>
            <w:gridSpan w:val="21"/>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rPr>
              <w:t>DESCRIPTION OF SECURITIES</w:t>
            </w:r>
          </w:p>
        </w:tc>
        <w:tc>
          <w:tcPr>
            <w:tcW w:w="500" w:type="dxa"/>
            <w:vAlign w:val="bottom"/>
            <w:gridSpan w:val="4"/>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0000EE"/>
              </w:rPr>
              <w:t>8</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6000" w:type="dxa"/>
            <w:vAlign w:val="bottom"/>
            <w:gridSpan w:val="21"/>
          </w:tcPr>
          <w:p>
            <w:pPr>
              <w:spacing w:after="0" w:line="147"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500" w:type="dxa"/>
            <w:vAlign w:val="bottom"/>
            <w:gridSpan w:val="4"/>
          </w:tcPr>
          <w:p>
            <w:pPr>
              <w:jc w:val="right"/>
              <w:ind w:right="20"/>
              <w:spacing w:after="0" w:line="147" w:lineRule="exact"/>
              <w:rPr>
                <w:sz w:val="20"/>
                <w:szCs w:val="20"/>
                <w:color w:val="auto"/>
              </w:rPr>
            </w:pPr>
            <w:r>
              <w:rPr>
                <w:rFonts w:ascii="Times New Roman" w:cs="Times New Roman" w:eastAsia="Times New Roman" w:hAnsi="Times New Roman"/>
                <w:sz w:val="14"/>
                <w:szCs w:val="14"/>
                <w:color w:val="0000EE"/>
              </w:rPr>
              <w:t>9</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2560" w:type="dxa"/>
            <w:vAlign w:val="bottom"/>
            <w:gridSpan w:val="16"/>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7"/>
              </w:rPr>
              <w:t>DESCRIPTION OF DEPOSITARY SHARES</w:t>
            </w:r>
          </w:p>
        </w:tc>
        <w:tc>
          <w:tcPr>
            <w:tcW w:w="3440" w:type="dxa"/>
            <w:vAlign w:val="bottom"/>
            <w:gridSpan w:val="5"/>
            <w:shd w:val="clear" w:color="auto" w:fill="CCEEFF"/>
          </w:tcPr>
          <w:p>
            <w:pPr>
              <w:spacing w:after="0"/>
              <w:rPr>
                <w:sz w:val="12"/>
                <w:szCs w:val="12"/>
                <w:color w:val="auto"/>
              </w:rPr>
            </w:pPr>
          </w:p>
        </w:tc>
        <w:tc>
          <w:tcPr>
            <w:tcW w:w="500" w:type="dxa"/>
            <w:vAlign w:val="bottom"/>
            <w:gridSpan w:val="4"/>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rPr>
              <w:t>17</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2560" w:type="dxa"/>
            <w:vAlign w:val="bottom"/>
            <w:gridSpan w:val="16"/>
          </w:tcPr>
          <w:p>
            <w:pPr>
              <w:spacing w:after="0" w:line="147"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3440" w:type="dxa"/>
            <w:vAlign w:val="bottom"/>
            <w:gridSpan w:val="5"/>
          </w:tcPr>
          <w:p>
            <w:pPr>
              <w:spacing w:after="0"/>
              <w:rPr>
                <w:sz w:val="12"/>
                <w:szCs w:val="12"/>
                <w:color w:val="auto"/>
              </w:rPr>
            </w:pPr>
          </w:p>
        </w:tc>
        <w:tc>
          <w:tcPr>
            <w:tcW w:w="500" w:type="dxa"/>
            <w:vAlign w:val="bottom"/>
            <w:gridSpan w:val="4"/>
          </w:tcPr>
          <w:p>
            <w:pPr>
              <w:jc w:val="right"/>
              <w:spacing w:after="0" w:line="147" w:lineRule="exact"/>
              <w:rPr>
                <w:sz w:val="20"/>
                <w:szCs w:val="20"/>
                <w:color w:val="auto"/>
              </w:rPr>
            </w:pPr>
            <w:r>
              <w:rPr>
                <w:rFonts w:ascii="Times New Roman" w:cs="Times New Roman" w:eastAsia="Times New Roman" w:hAnsi="Times New Roman"/>
                <w:sz w:val="14"/>
                <w:szCs w:val="14"/>
                <w:color w:val="0000EE"/>
              </w:rPr>
              <w:t>19</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6000" w:type="dxa"/>
            <w:vAlign w:val="bottom"/>
            <w:gridSpan w:val="21"/>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rPr>
              <w:t>DESCRIPTION OF WARRANTS</w:t>
            </w:r>
          </w:p>
        </w:tc>
        <w:tc>
          <w:tcPr>
            <w:tcW w:w="500" w:type="dxa"/>
            <w:vAlign w:val="bottom"/>
            <w:gridSpan w:val="4"/>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rPr>
              <w:t>21</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1900" w:type="dxa"/>
            <w:vAlign w:val="bottom"/>
            <w:gridSpan w:val="12"/>
          </w:tcPr>
          <w:p>
            <w:pPr>
              <w:spacing w:after="0" w:line="147" w:lineRule="exact"/>
              <w:rPr>
                <w:sz w:val="20"/>
                <w:szCs w:val="20"/>
                <w:color w:val="auto"/>
              </w:rPr>
            </w:pPr>
            <w:r>
              <w:rPr>
                <w:rFonts w:ascii="Times New Roman" w:cs="Times New Roman" w:eastAsia="Times New Roman" w:hAnsi="Times New Roman"/>
                <w:sz w:val="14"/>
                <w:szCs w:val="14"/>
                <w:color w:val="0000EE"/>
              </w:rPr>
              <w:t>SELLING STOCKHOLDERS</w:t>
            </w:r>
          </w:p>
        </w:tc>
        <w:tc>
          <w:tcPr>
            <w:tcW w:w="4100" w:type="dxa"/>
            <w:vAlign w:val="bottom"/>
            <w:gridSpan w:val="9"/>
          </w:tcPr>
          <w:p>
            <w:pPr>
              <w:spacing w:after="0"/>
              <w:rPr>
                <w:sz w:val="12"/>
                <w:szCs w:val="12"/>
                <w:color w:val="auto"/>
              </w:rPr>
            </w:pPr>
          </w:p>
        </w:tc>
        <w:tc>
          <w:tcPr>
            <w:tcW w:w="500" w:type="dxa"/>
            <w:vAlign w:val="bottom"/>
            <w:gridSpan w:val="4"/>
          </w:tcPr>
          <w:p>
            <w:pPr>
              <w:jc w:val="right"/>
              <w:spacing w:after="0" w:line="147" w:lineRule="exact"/>
              <w:rPr>
                <w:sz w:val="20"/>
                <w:szCs w:val="20"/>
                <w:color w:val="auto"/>
              </w:rPr>
            </w:pPr>
            <w:r>
              <w:rPr>
                <w:rFonts w:ascii="Times New Roman" w:cs="Times New Roman" w:eastAsia="Times New Roman" w:hAnsi="Times New Roman"/>
                <w:sz w:val="14"/>
                <w:szCs w:val="14"/>
                <w:color w:val="0000EE"/>
              </w:rPr>
              <w:t>22</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1580" w:type="dxa"/>
            <w:vAlign w:val="bottom"/>
            <w:gridSpan w:val="9"/>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4420" w:type="dxa"/>
            <w:vAlign w:val="bottom"/>
            <w:gridSpan w:val="12"/>
            <w:shd w:val="clear" w:color="auto" w:fill="CCEEFF"/>
          </w:tcPr>
          <w:p>
            <w:pPr>
              <w:spacing w:after="0"/>
              <w:rPr>
                <w:sz w:val="12"/>
                <w:szCs w:val="12"/>
                <w:color w:val="auto"/>
              </w:rPr>
            </w:pPr>
          </w:p>
        </w:tc>
        <w:tc>
          <w:tcPr>
            <w:tcW w:w="500" w:type="dxa"/>
            <w:vAlign w:val="bottom"/>
            <w:gridSpan w:val="4"/>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rPr>
              <w:t>24</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6000" w:type="dxa"/>
            <w:vAlign w:val="bottom"/>
            <w:gridSpan w:val="21"/>
          </w:tcPr>
          <w:p>
            <w:pPr>
              <w:spacing w:after="0" w:line="147" w:lineRule="exact"/>
              <w:rPr>
                <w:sz w:val="20"/>
                <w:szCs w:val="20"/>
                <w:color w:val="auto"/>
              </w:rPr>
            </w:pPr>
            <w:r>
              <w:rPr>
                <w:rFonts w:ascii="Times New Roman" w:cs="Times New Roman" w:eastAsia="Times New Roman" w:hAnsi="Times New Roman"/>
                <w:sz w:val="14"/>
                <w:szCs w:val="14"/>
                <w:color w:val="0000EE"/>
              </w:rPr>
              <w:t>U.S. FEDERAL INCOME TAX CONSIDERATIONS FOR NON-U.S. HOLDERS OF CLASS A</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tcBorders>
              <w:top w:val="single" w:sz="8" w:color="0000EE"/>
            </w:tcBorders>
            <w:gridSpan w:val="20"/>
          </w:tcPr>
          <w:p>
            <w:pPr>
              <w:ind w:left="120"/>
              <w:spacing w:after="0" w:line="147" w:lineRule="exact"/>
              <w:rPr>
                <w:sz w:val="20"/>
                <w:szCs w:val="20"/>
                <w:color w:val="auto"/>
              </w:rPr>
            </w:pPr>
            <w:r>
              <w:rPr>
                <w:rFonts w:ascii="Times New Roman" w:cs="Times New Roman" w:eastAsia="Times New Roman" w:hAnsi="Times New Roman"/>
                <w:sz w:val="14"/>
                <w:szCs w:val="14"/>
                <w:color w:val="0000EE"/>
              </w:rPr>
              <w:t>COMMON STOCK</w:t>
            </w:r>
          </w:p>
        </w:tc>
        <w:tc>
          <w:tcPr>
            <w:tcW w:w="560" w:type="dxa"/>
            <w:vAlign w:val="bottom"/>
          </w:tcPr>
          <w:p>
            <w:pPr>
              <w:spacing w:after="0"/>
              <w:rPr>
                <w:sz w:val="12"/>
                <w:szCs w:val="12"/>
                <w:color w:val="auto"/>
              </w:rPr>
            </w:pPr>
          </w:p>
        </w:tc>
        <w:tc>
          <w:tcPr>
            <w:tcW w:w="500" w:type="dxa"/>
            <w:vAlign w:val="bottom"/>
            <w:gridSpan w:val="4"/>
          </w:tcPr>
          <w:p>
            <w:pPr>
              <w:jc w:val="right"/>
              <w:spacing w:after="0" w:line="147" w:lineRule="exact"/>
              <w:rPr>
                <w:sz w:val="20"/>
                <w:szCs w:val="20"/>
                <w:color w:val="auto"/>
              </w:rPr>
            </w:pPr>
            <w:r>
              <w:rPr>
                <w:rFonts w:ascii="Times New Roman" w:cs="Times New Roman" w:eastAsia="Times New Roman" w:hAnsi="Times New Roman"/>
                <w:sz w:val="14"/>
                <w:szCs w:val="14"/>
                <w:color w:val="0000EE"/>
              </w:rPr>
              <w:t>27</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358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7"/>
              </w:rPr>
              <w:t>CERTAIN ERISA AND BENEFIT PLAN CONSIDERATIONS</w:t>
            </w:r>
          </w:p>
        </w:tc>
        <w:tc>
          <w:tcPr>
            <w:tcW w:w="2420" w:type="dxa"/>
            <w:vAlign w:val="bottom"/>
            <w:gridSpan w:val="3"/>
            <w:shd w:val="clear" w:color="auto" w:fill="CCEEFF"/>
          </w:tcPr>
          <w:p>
            <w:pPr>
              <w:spacing w:after="0"/>
              <w:rPr>
                <w:sz w:val="12"/>
                <w:szCs w:val="12"/>
                <w:color w:val="auto"/>
              </w:rPr>
            </w:pPr>
          </w:p>
        </w:tc>
        <w:tc>
          <w:tcPr>
            <w:tcW w:w="500" w:type="dxa"/>
            <w:vAlign w:val="bottom"/>
            <w:gridSpan w:val="4"/>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rPr>
              <w:t>30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3580" w:type="dxa"/>
            <w:vAlign w:val="bottom"/>
            <w:gridSpan w:val="18"/>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2420" w:type="dxa"/>
            <w:vAlign w:val="bottom"/>
            <w:gridSpan w:val="3"/>
          </w:tcPr>
          <w:p>
            <w:pPr>
              <w:spacing w:after="0"/>
              <w:rPr>
                <w:sz w:val="12"/>
                <w:szCs w:val="12"/>
                <w:color w:val="auto"/>
              </w:rPr>
            </w:pPr>
          </w:p>
        </w:tc>
        <w:tc>
          <w:tcPr>
            <w:tcW w:w="500" w:type="dxa"/>
            <w:vAlign w:val="bottom"/>
            <w:gridSpan w:val="4"/>
          </w:tcPr>
          <w:p>
            <w:pPr>
              <w:jc w:val="right"/>
              <w:spacing w:after="0" w:line="147" w:lineRule="exact"/>
              <w:rPr>
                <w:sz w:val="20"/>
                <w:szCs w:val="20"/>
                <w:color w:val="auto"/>
              </w:rPr>
            </w:pPr>
            <w:r>
              <w:rPr>
                <w:rFonts w:ascii="Times New Roman" w:cs="Times New Roman" w:eastAsia="Times New Roman" w:hAnsi="Times New Roman"/>
                <w:sz w:val="14"/>
                <w:szCs w:val="14"/>
                <w:color w:val="0000EE"/>
              </w:rPr>
              <w:t>32</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6000" w:type="dxa"/>
            <w:vAlign w:val="bottom"/>
            <w:gridSpan w:val="21"/>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rPr>
              <w:t>EXPERTS</w:t>
            </w:r>
          </w:p>
        </w:tc>
        <w:tc>
          <w:tcPr>
            <w:tcW w:w="500" w:type="dxa"/>
            <w:vAlign w:val="bottom"/>
            <w:gridSpan w:val="4"/>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rPr>
              <w:t>32</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99695</wp:posOffset>
            </wp:positionV>
            <wp:extent cx="5412105"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2" w:right="1440" w:bottom="1440" w:gutter="0" w:footer="0" w:header="0"/>
        </w:sectPr>
      </w:pPr>
    </w:p>
    <w:bookmarkStart w:id="16" w:name="page17"/>
    <w:bookmarkEnd w:id="16"/>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92" w:lineRule="exact"/>
        <w:rPr>
          <w:sz w:val="20"/>
          <w:szCs w:val="20"/>
          <w:color w:val="auto"/>
        </w:rPr>
      </w:pPr>
    </w:p>
    <w:p>
      <w:pPr>
        <w:ind w:left="1240" w:right="1339" w:firstLine="279"/>
        <w:spacing w:after="0" w:line="252"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on Form S-3 that we filed with the Securities and Exchange Commission (the “SEC”) as a “well-known seasoned issuer” (“WKSI”) as defined in Rule 405 under the Securities Act of 1933, as amended (the “Securities Act”). Under this shelf registration process, we may sell from time to time any combination of the securities described in this prospectus. In addition, certain of our stockholders may sell up to 114,670,972 shares of Class A common stock from time to time in one or more offerings. This prospectus only provides you with a general description of the securities that we and the selling stockholders may offer. Each time we or any stockholders offer, issue or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61" w:lineRule="exact"/>
        <w:rPr>
          <w:sz w:val="20"/>
          <w:szCs w:val="20"/>
          <w:color w:val="auto"/>
        </w:rPr>
      </w:pPr>
    </w:p>
    <w:p>
      <w:pPr>
        <w:ind w:left="1240" w:right="1259" w:firstLine="279"/>
        <w:spacing w:after="0" w:line="254" w:lineRule="auto"/>
        <w:rPr>
          <w:sz w:val="20"/>
          <w:szCs w:val="20"/>
          <w:color w:val="auto"/>
        </w:rPr>
      </w:pPr>
      <w:r>
        <w:rPr>
          <w:rFonts w:ascii="Times New Roman" w:cs="Times New Roman" w:eastAsia="Times New Roman" w:hAnsi="Times New Roman"/>
          <w:sz w:val="14"/>
          <w:szCs w:val="14"/>
          <w:color w:val="auto"/>
        </w:rPr>
        <w:t>Neither we nor the selling stockholders have authorized anyone to provide you with any information other than that contained in or incorporated by reference into this prospectus, any accompanying prospectus supplement and any free writing prospectus prepared by or on behalf of us. Neither we nor the selling stockholders take responsibility for, and can provide no assurance as to the reliability of, any other information that others may give you. Neither we nor the selling stockholders are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61" w:lineRule="exact"/>
        <w:rPr>
          <w:sz w:val="20"/>
          <w:szCs w:val="20"/>
          <w:color w:val="auto"/>
        </w:rPr>
      </w:pPr>
    </w:p>
    <w:p>
      <w:pPr>
        <w:ind w:left="1240" w:right="1359" w:firstLine="279"/>
        <w:spacing w:after="0" w:line="280" w:lineRule="auto"/>
        <w:rPr>
          <w:sz w:val="20"/>
          <w:szCs w:val="20"/>
          <w:color w:val="auto"/>
        </w:rPr>
      </w:pPr>
      <w:r>
        <w:rPr>
          <w:rFonts w:ascii="Times New Roman" w:cs="Times New Roman" w:eastAsia="Times New Roman" w:hAnsi="Times New Roman"/>
          <w:sz w:val="14"/>
          <w:szCs w:val="14"/>
          <w:color w:val="auto"/>
        </w:rPr>
        <w:t>The information in this prospectus is accurate as of the date on the front cover. You should not assume that the information contained in this prospectus is accurate as of any other date.</w:t>
      </w:r>
    </w:p>
    <w:p>
      <w:pPr>
        <w:spacing w:after="0" w:line="42" w:lineRule="exact"/>
        <w:rPr>
          <w:sz w:val="20"/>
          <w:szCs w:val="20"/>
          <w:color w:val="auto"/>
        </w:rPr>
      </w:pPr>
    </w:p>
    <w:p>
      <w:pPr>
        <w:ind w:left="1240" w:right="1299" w:firstLine="279"/>
        <w:spacing w:after="0" w:line="280" w:lineRule="auto"/>
        <w:rPr>
          <w:sz w:val="20"/>
          <w:szCs w:val="20"/>
          <w:color w:val="auto"/>
        </w:rPr>
      </w:pPr>
      <w:r>
        <w:rPr>
          <w:rFonts w:ascii="Times New Roman" w:cs="Times New Roman" w:eastAsia="Times New Roman" w:hAnsi="Times New Roman"/>
          <w:sz w:val="14"/>
          <w:szCs w:val="14"/>
          <w:color w:val="auto"/>
        </w:rPr>
        <w:t>When used in this prospectus, the terms “NFE,” “we,” “our” and “us” refer to New Fortress Energy Inc. and its consolidated subsidiaries, unless otherwise specified or the context otherwise requires.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17" w:name="page18"/>
    <w:bookmarkEnd w:id="17"/>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92" w:lineRule="exact"/>
        <w:rPr>
          <w:sz w:val="20"/>
          <w:szCs w:val="20"/>
          <w:color w:val="auto"/>
        </w:rPr>
      </w:pPr>
    </w:p>
    <w:p>
      <w:pPr>
        <w:jc w:val="both"/>
        <w:ind w:left="1240" w:right="1399" w:firstLine="279"/>
        <w:spacing w:after="0" w:line="264"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54" w:lineRule="exact"/>
        <w:rPr>
          <w:sz w:val="20"/>
          <w:szCs w:val="20"/>
          <w:color w:val="auto"/>
        </w:rPr>
      </w:pPr>
    </w:p>
    <w:p>
      <w:pPr>
        <w:ind w:left="1240" w:right="1279" w:firstLine="279"/>
        <w:spacing w:after="0" w:line="253"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60" w:lineRule="exact"/>
        <w:rPr>
          <w:sz w:val="20"/>
          <w:szCs w:val="20"/>
          <w:color w:val="auto"/>
        </w:rPr>
      </w:pPr>
    </w:p>
    <w:p>
      <w:pPr>
        <w:ind w:left="1800" w:right="1559" w:hanging="276"/>
        <w:spacing w:after="0" w:line="280" w:lineRule="auto"/>
        <w:tabs>
          <w:tab w:leader="none" w:pos="1800" w:val="left"/>
        </w:tabs>
        <w:numPr>
          <w:ilvl w:val="0"/>
          <w:numId w:val="9"/>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Annual Report on Form 10-K for the fiscal year ended December 31, 2023, filed with the SEC on </w:t>
      </w:r>
      <w:hyperlink r:id="rId25">
        <w:r>
          <w:rPr>
            <w:rFonts w:ascii="Times New Roman" w:cs="Times New Roman" w:eastAsia="Times New Roman" w:hAnsi="Times New Roman"/>
            <w:sz w:val="14"/>
            <w:szCs w:val="14"/>
            <w:u w:val="single" w:color="auto"/>
            <w:color w:val="0000EE"/>
          </w:rPr>
          <w:t>February 29, 2024</w:t>
        </w:r>
      </w:hyperlink>
      <w:r>
        <w:rPr>
          <w:rFonts w:ascii="Times New Roman" w:cs="Times New Roman" w:eastAsia="Times New Roman" w:hAnsi="Times New Roman"/>
          <w:sz w:val="14"/>
          <w:szCs w:val="14"/>
          <w:color w:val="000000"/>
        </w:rPr>
        <w:t>;</w:t>
      </w:r>
    </w:p>
    <w:p>
      <w:pPr>
        <w:spacing w:after="0" w:line="42" w:lineRule="exact"/>
        <w:rPr>
          <w:rFonts w:ascii="Times New Roman" w:cs="Times New Roman" w:eastAsia="Times New Roman" w:hAnsi="Times New Roman"/>
          <w:sz w:val="14"/>
          <w:szCs w:val="14"/>
          <w:color w:val="0000EE"/>
        </w:rPr>
      </w:pPr>
    </w:p>
    <w:p>
      <w:pPr>
        <w:ind w:left="1800" w:right="1839" w:hanging="276"/>
        <w:spacing w:after="0" w:line="280"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Registration Statement on Form 8-A/A for registration of Class A common stock pursuant to Section 12(b) of the Exchange Act, filed on </w:t>
      </w:r>
      <w:hyperlink r:id="rId41">
        <w:r>
          <w:rPr>
            <w:rFonts w:ascii="Times New Roman" w:cs="Times New Roman" w:eastAsia="Times New Roman" w:hAnsi="Times New Roman"/>
            <w:sz w:val="14"/>
            <w:szCs w:val="14"/>
            <w:u w:val="single" w:color="auto"/>
            <w:color w:val="0000EE"/>
          </w:rPr>
          <w:t>August 7, 2020</w:t>
        </w:r>
      </w:hyperlink>
      <w:r>
        <w:rPr>
          <w:rFonts w:ascii="Times New Roman" w:cs="Times New Roman" w:eastAsia="Times New Roman" w:hAnsi="Times New Roman"/>
          <w:sz w:val="14"/>
          <w:szCs w:val="14"/>
          <w:color w:val="auto"/>
        </w:rPr>
        <w:t>; and</w:t>
      </w:r>
    </w:p>
    <w:p>
      <w:pPr>
        <w:spacing w:after="0" w:line="42" w:lineRule="exact"/>
        <w:rPr>
          <w:rFonts w:ascii="Times New Roman" w:cs="Times New Roman" w:eastAsia="Times New Roman" w:hAnsi="Times New Roman"/>
          <w:sz w:val="14"/>
          <w:szCs w:val="14"/>
          <w:color w:val="auto"/>
        </w:rPr>
      </w:pPr>
    </w:p>
    <w:p>
      <w:pPr>
        <w:ind w:left="1800" w:right="1579" w:hanging="276"/>
        <w:spacing w:after="0" w:line="264"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portions of our Definitive Proxy Statement on Schedule 14A for our 2023 Annual Meeting of Shareholders, filed with the SEC on </w:t>
      </w:r>
      <w:hyperlink r:id="rId50">
        <w:r>
          <w:rPr>
            <w:rFonts w:ascii="Times New Roman" w:cs="Times New Roman" w:eastAsia="Times New Roman" w:hAnsi="Times New Roman"/>
            <w:sz w:val="14"/>
            <w:szCs w:val="14"/>
            <w:u w:val="single" w:color="auto"/>
            <w:color w:val="0000EE"/>
          </w:rPr>
          <w:t>April 5, 2023</w:t>
        </w:r>
      </w:hyperlink>
      <w:r>
        <w:rPr>
          <w:rFonts w:ascii="Times New Roman" w:cs="Times New Roman" w:eastAsia="Times New Roman" w:hAnsi="Times New Roman"/>
          <w:sz w:val="14"/>
          <w:szCs w:val="14"/>
          <w:color w:val="auto"/>
        </w:rPr>
        <w:t>, that are incorporated by reference into our Annual Report on Form 10-K for the fiscal year ended December 31, 2022.</w:t>
      </w:r>
    </w:p>
    <w:p>
      <w:pPr>
        <w:spacing w:after="0" w:line="54" w:lineRule="exact"/>
        <w:rPr>
          <w:rFonts w:ascii="Times New Roman" w:cs="Times New Roman" w:eastAsia="Times New Roman" w:hAnsi="Times New Roman"/>
          <w:sz w:val="14"/>
          <w:szCs w:val="14"/>
          <w:color w:val="auto"/>
        </w:rPr>
      </w:pPr>
    </w:p>
    <w:p>
      <w:pPr>
        <w:ind w:left="1240" w:right="1279" w:firstLine="279"/>
        <w:spacing w:after="0" w:line="255" w:lineRule="auto"/>
        <w:rPr>
          <w:sz w:val="20"/>
          <w:szCs w:val="20"/>
          <w:color w:val="auto"/>
        </w:rPr>
      </w:pPr>
      <w:r>
        <w:rPr>
          <w:rFonts w:ascii="Times New Roman" w:cs="Times New Roman" w:eastAsia="Times New Roman" w:hAnsi="Times New Roman"/>
          <w:sz w:val="14"/>
          <w:szCs w:val="14"/>
          <w:color w:val="auto"/>
        </w:rPr>
        <w:t>All documents filed by us pursuant to Sections 13(a), 13(c), 14 or 15(d) of the Exchange Act (i) after the date of the initial filing of the registration statement of which this prospectus is a part and prior to effectiveness of the registration statement and (ii)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60" w:lineRule="exact"/>
        <w:rPr>
          <w:rFonts w:ascii="Times New Roman" w:cs="Times New Roman" w:eastAsia="Times New Roman" w:hAnsi="Times New Roman"/>
          <w:sz w:val="14"/>
          <w:szCs w:val="14"/>
          <w:color w:val="auto"/>
        </w:rPr>
      </w:pPr>
    </w:p>
    <w:p>
      <w:pPr>
        <w:ind w:left="1240" w:right="1259" w:firstLine="279"/>
        <w:spacing w:after="0" w:line="257" w:lineRule="auto"/>
        <w:rPr>
          <w:sz w:val="20"/>
          <w:szCs w:val="20"/>
          <w:color w:val="auto"/>
        </w:rPr>
      </w:pPr>
      <w:r>
        <w:rPr>
          <w:rFonts w:ascii="Times New Roman" w:cs="Times New Roman" w:eastAsia="Times New Roman" w:hAnsi="Times New Roman"/>
          <w:sz w:val="14"/>
          <w:szCs w:val="14"/>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99"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New Fortress Energy Inc.</w:t>
      </w:r>
    </w:p>
    <w:p>
      <w:pPr>
        <w:spacing w:after="0" w:line="21"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Investor Relations</w:t>
      </w:r>
    </w:p>
    <w:p>
      <w:pPr>
        <w:spacing w:after="0" w:line="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111 W. 19th Street, 8th Floor</w:t>
      </w:r>
    </w:p>
    <w:p>
      <w:pPr>
        <w:spacing w:after="0" w:line="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New York, NY 10011</w:t>
      </w:r>
    </w:p>
    <w:p>
      <w:pPr>
        <w:spacing w:after="0" w:line="6" w:lineRule="exact"/>
        <w:rPr>
          <w:rFonts w:ascii="Times New Roman" w:cs="Times New Roman" w:eastAsia="Times New Roman" w:hAnsi="Times New Roman"/>
          <w:sz w:val="14"/>
          <w:szCs w:val="14"/>
          <w:color w:val="auto"/>
        </w:rPr>
      </w:pPr>
    </w:p>
    <w:p>
      <w:pPr>
        <w:ind w:left="4400" w:hanging="331"/>
        <w:spacing w:after="0"/>
        <w:tabs>
          <w:tab w:leader="none" w:pos="44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268-7400</w:t>
      </w:r>
    </w:p>
    <w:p>
      <w:pPr>
        <w:spacing w:after="0" w:line="158" w:lineRule="exact"/>
        <w:rPr>
          <w:rFonts w:ascii="Times New Roman" w:cs="Times New Roman" w:eastAsia="Times New Roman" w:hAnsi="Times New Roman"/>
          <w:sz w:val="14"/>
          <w:szCs w:val="14"/>
          <w:color w:val="auto"/>
        </w:rPr>
      </w:pPr>
    </w:p>
    <w:p>
      <w:pPr>
        <w:ind w:left="4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153670</wp:posOffset>
            </wp:positionH>
            <wp:positionV relativeFrom="paragraph">
              <wp:posOffset>99695</wp:posOffset>
            </wp:positionV>
            <wp:extent cx="5412105"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18" w:name="page19"/>
    <w:bookmarkEnd w:id="18"/>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92" w:lineRule="exact"/>
        <w:rPr>
          <w:sz w:val="20"/>
          <w:szCs w:val="20"/>
          <w:color w:val="auto"/>
        </w:rPr>
      </w:pPr>
    </w:p>
    <w:p>
      <w:pPr>
        <w:ind w:left="1240" w:right="1319" w:firstLine="279"/>
        <w:spacing w:after="0" w:line="264"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and any documents incorporated by reference contain statements that are “forward-looking” within the meaning of the Private Securities Litigation Reform Act of 1995.</w:t>
      </w:r>
    </w:p>
    <w:p>
      <w:pPr>
        <w:spacing w:after="0" w:line="54" w:lineRule="exact"/>
        <w:rPr>
          <w:sz w:val="20"/>
          <w:szCs w:val="20"/>
          <w:color w:val="auto"/>
        </w:rPr>
      </w:pPr>
    </w:p>
    <w:p>
      <w:pPr>
        <w:ind w:left="1240" w:right="1259" w:firstLine="279"/>
        <w:spacing w:after="0" w:line="251" w:lineRule="auto"/>
        <w:rPr>
          <w:sz w:val="20"/>
          <w:szCs w:val="20"/>
          <w:color w:val="auto"/>
        </w:rPr>
      </w:pPr>
      <w:r>
        <w:rPr>
          <w:rFonts w:ascii="Times New Roman" w:cs="Times New Roman" w:eastAsia="Times New Roman" w:hAnsi="Times New Roman"/>
          <w:sz w:val="14"/>
          <w:szCs w:val="14"/>
          <w:color w:val="auto"/>
        </w:rPr>
        <w:t>All statements contained in this prospectus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Forward-looking statements are subject to risks and uncertainties, including but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 While it is impossible to identify all such factors, factors that could cause actual results to differ materially from those estimated by us include:</w:t>
      </w:r>
    </w:p>
    <w:p>
      <w:pPr>
        <w:spacing w:after="0" w:line="66" w:lineRule="exact"/>
        <w:rPr>
          <w:sz w:val="20"/>
          <w:szCs w:val="20"/>
          <w:color w:val="auto"/>
        </w:rPr>
      </w:pPr>
    </w:p>
    <w:p>
      <w:pPr>
        <w:ind w:left="1800" w:right="1319" w:hanging="276"/>
        <w:spacing w:after="0" w:line="280" w:lineRule="auto"/>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our subsidiaries, affiliates, joint ventures and special purpose entities in which we invest and their ability to make dividends or distributions to us;</w:t>
      </w:r>
    </w:p>
    <w:p>
      <w:pPr>
        <w:spacing w:after="0" w:line="42"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construction and operational risks related to our facilities and assets, including cost overruns and delays;</w:t>
      </w:r>
    </w:p>
    <w:p>
      <w:pPr>
        <w:spacing w:after="0" w:line="89" w:lineRule="exact"/>
        <w:rPr>
          <w:rFonts w:ascii="Times New Roman" w:cs="Times New Roman" w:eastAsia="Times New Roman" w:hAnsi="Times New Roman"/>
          <w:sz w:val="14"/>
          <w:szCs w:val="14"/>
          <w:color w:val="auto"/>
        </w:rPr>
      </w:pPr>
    </w:p>
    <w:p>
      <w:pPr>
        <w:ind w:left="1800" w:right="1499" w:hanging="276"/>
        <w:spacing w:after="0" w:line="280" w:lineRule="auto"/>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LNG (as defined herein) or natural gas to be a competitive source of energy in the markets in which we operate, and seek to operate;</w:t>
      </w:r>
    </w:p>
    <w:p>
      <w:pPr>
        <w:spacing w:after="0" w:line="42" w:lineRule="exact"/>
        <w:rPr>
          <w:rFonts w:ascii="Times New Roman" w:cs="Times New Roman" w:eastAsia="Times New Roman" w:hAnsi="Times New Roman"/>
          <w:sz w:val="14"/>
          <w:szCs w:val="14"/>
          <w:color w:val="auto"/>
        </w:rPr>
      </w:pPr>
    </w:p>
    <w:p>
      <w:pPr>
        <w:ind w:left="1800" w:right="1259" w:hanging="276"/>
        <w:spacing w:after="0" w:line="264" w:lineRule="auto"/>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spacing w:after="0" w:line="53"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delays or failure to obtain and maintain approvals and permits from governmental and regulatory agencies;</w:t>
      </w:r>
    </w:p>
    <w:p>
      <w:pPr>
        <w:spacing w:after="0" w:line="101" w:lineRule="exact"/>
        <w:rPr>
          <w:rFonts w:ascii="Times New Roman" w:cs="Times New Roman" w:eastAsia="Times New Roman" w:hAnsi="Times New Roman"/>
          <w:sz w:val="13"/>
          <w:szCs w:val="13"/>
          <w:color w:val="auto"/>
        </w:rPr>
      </w:pPr>
    </w:p>
    <w:p>
      <w:pPr>
        <w:ind w:left="1800" w:right="1739" w:hanging="276"/>
        <w:spacing w:after="0" w:line="280" w:lineRule="auto"/>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obtain a return on our investments for the development of our projects and assets and the implementation of our business strategy;</w:t>
      </w:r>
    </w:p>
    <w:p>
      <w:pPr>
        <w:spacing w:after="0" w:line="42"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maintain sufficient working capital for the development and operation of our business and assets;</w:t>
      </w:r>
    </w:p>
    <w:p>
      <w:pPr>
        <w:spacing w:after="0" w:line="101" w:lineRule="exact"/>
        <w:rPr>
          <w:rFonts w:ascii="Times New Roman" w:cs="Times New Roman" w:eastAsia="Times New Roman" w:hAnsi="Times New Roman"/>
          <w:sz w:val="13"/>
          <w:szCs w:val="13"/>
          <w:color w:val="auto"/>
        </w:rPr>
      </w:pPr>
    </w:p>
    <w:p>
      <w:pPr>
        <w:ind w:left="1800" w:hanging="276"/>
        <w:spacing w:after="0"/>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convert our customer pipeline into actual sales;</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asset, geographic or customer diversification, including loss of one or more of our customers;</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third parties in our business;</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cyclical or other changes in the demand for and price of LNG and natural gas;</w:t>
      </w:r>
    </w:p>
    <w:p>
      <w:pPr>
        <w:spacing w:after="0" w:line="89" w:lineRule="exact"/>
        <w:rPr>
          <w:rFonts w:ascii="Times New Roman" w:cs="Times New Roman" w:eastAsia="Times New Roman" w:hAnsi="Times New Roman"/>
          <w:sz w:val="14"/>
          <w:szCs w:val="14"/>
          <w:color w:val="auto"/>
        </w:rPr>
      </w:pPr>
    </w:p>
    <w:p>
      <w:pPr>
        <w:ind w:left="1800" w:right="1679" w:hanging="276"/>
        <w:spacing w:after="0" w:line="280" w:lineRule="auto"/>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procure LNG at necessary quantities or at favorable prices to meet customer demand, or otherwise to manage LNG supply and price risks, including hedging arrangements;</w:t>
      </w:r>
    </w:p>
    <w:p>
      <w:pPr>
        <w:spacing w:after="0" w:line="42"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successfully develop and implement our technological solutions;</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service our debt and comply with our covenant restrictions;</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obtain additional financing to effect our strategy;</w:t>
      </w:r>
    </w:p>
    <w:p>
      <w:pPr>
        <w:spacing w:after="0" w:line="89" w:lineRule="exact"/>
        <w:rPr>
          <w:rFonts w:ascii="Times New Roman" w:cs="Times New Roman" w:eastAsia="Times New Roman" w:hAnsi="Times New Roman"/>
          <w:sz w:val="14"/>
          <w:szCs w:val="14"/>
          <w:color w:val="auto"/>
        </w:rPr>
      </w:pPr>
    </w:p>
    <w:p>
      <w:pPr>
        <w:ind w:left="1800" w:right="1759" w:hanging="276"/>
        <w:spacing w:after="0" w:line="320" w:lineRule="auto"/>
        <w:tabs>
          <w:tab w:leader="none" w:pos="18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inability to successfully complete mergers, sales, divestments or similar transactions related to our businesses or assets or to integrate such businesses or assets and realize the anticipated benefits;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19" w:name="page20"/>
    <w:bookmarkEnd w:id="19"/>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ind w:left="1800" w:right="1719" w:hanging="276"/>
        <w:spacing w:after="0" w:line="280" w:lineRule="auto"/>
        <w:tabs>
          <w:tab w:leader="none" w:pos="18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political, social and other risks related to the jurisdictions in which we do, or seek to do, business;</w:t>
      </w:r>
    </w:p>
    <w:p>
      <w:pPr>
        <w:spacing w:after="0" w:line="42"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events or other natural or manmade disasters or phenomena;</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future pandemic or any other major health and safety incident;</w:t>
      </w:r>
    </w:p>
    <w:p>
      <w:pPr>
        <w:spacing w:after="0" w:line="89" w:lineRule="exact"/>
        <w:rPr>
          <w:rFonts w:ascii="Times New Roman" w:cs="Times New Roman" w:eastAsia="Times New Roman" w:hAnsi="Times New Roman"/>
          <w:sz w:val="14"/>
          <w:szCs w:val="14"/>
          <w:color w:val="auto"/>
        </w:rPr>
      </w:pPr>
    </w:p>
    <w:p>
      <w:pPr>
        <w:ind w:left="1800" w:right="1379" w:hanging="276"/>
        <w:spacing w:after="0" w:line="280" w:lineRule="auto"/>
        <w:tabs>
          <w:tab w:leader="none" w:pos="18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labor costs, disputes or strikes, and the unavailability of skilled workers or our failure to attract and retain qualified personnel;</w:t>
      </w:r>
    </w:p>
    <w:p>
      <w:pPr>
        <w:spacing w:after="0" w:line="42" w:lineRule="exact"/>
        <w:rPr>
          <w:rFonts w:ascii="Times New Roman" w:cs="Times New Roman" w:eastAsia="Times New Roman" w:hAnsi="Times New Roman"/>
          <w:sz w:val="14"/>
          <w:szCs w:val="14"/>
          <w:color w:val="auto"/>
        </w:rPr>
      </w:pPr>
    </w:p>
    <w:p>
      <w:pPr>
        <w:ind w:left="1800" w:right="1539" w:hanging="276"/>
        <w:spacing w:after="0" w:line="280" w:lineRule="auto"/>
        <w:tabs>
          <w:tab w:leader="none" w:pos="18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treatment of, or changes in tax laws applicable to, us or our business or of an investment in our Class A common stock; and</w:t>
      </w:r>
    </w:p>
    <w:p>
      <w:pPr>
        <w:spacing w:after="0" w:line="42" w:lineRule="exact"/>
        <w:rPr>
          <w:rFonts w:ascii="Times New Roman" w:cs="Times New Roman" w:eastAsia="Times New Roman" w:hAnsi="Times New Roman"/>
          <w:sz w:val="14"/>
          <w:szCs w:val="14"/>
          <w:color w:val="auto"/>
        </w:rPr>
      </w:pPr>
    </w:p>
    <w:p>
      <w:pPr>
        <w:ind w:left="1800" w:right="1599" w:hanging="276"/>
        <w:spacing w:after="0" w:line="280" w:lineRule="auto"/>
        <w:tabs>
          <w:tab w:leader="none" w:pos="18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described in the “Risk Factors” section of our Annual Report on Form 10-K and our other filings with the SEC.</w:t>
      </w:r>
    </w:p>
    <w:p>
      <w:pPr>
        <w:spacing w:after="0" w:line="42" w:lineRule="exact"/>
        <w:rPr>
          <w:sz w:val="20"/>
          <w:szCs w:val="20"/>
          <w:color w:val="auto"/>
        </w:rPr>
      </w:pPr>
    </w:p>
    <w:p>
      <w:pPr>
        <w:ind w:left="1240" w:right="1279" w:firstLine="279"/>
        <w:spacing w:after="0" w:line="253" w:lineRule="auto"/>
        <w:rPr>
          <w:sz w:val="20"/>
          <w:szCs w:val="20"/>
          <w:color w:val="auto"/>
        </w:rPr>
      </w:pPr>
      <w:r>
        <w:rPr>
          <w:rFonts w:ascii="Times New Roman" w:cs="Times New Roman" w:eastAsia="Times New Roman" w:hAnsi="Times New Roman"/>
          <w:sz w:val="14"/>
          <w:szCs w:val="14"/>
          <w:color w:val="auto"/>
        </w:rPr>
        <w:t>All forward-looking statements speak only as of the date of this prospectus or, in the case of any accompanying prospectus supplement or documents incorporated by reference, the date of any such document. You are cautioned not to place undue reliance on any forward-looking statements made by us or on our behalf.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except as may be required by law. Furthermore, we cannot guarantee future results, events, levels of activity, performance, projections or achievements.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20" w:name="page21"/>
    <w:bookmarkEnd w:id="20"/>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7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2" w:lineRule="exact"/>
        <w:rPr>
          <w:sz w:val="20"/>
          <w:szCs w:val="20"/>
          <w:color w:val="auto"/>
        </w:rPr>
      </w:pPr>
    </w:p>
    <w:p>
      <w:pPr>
        <w:ind w:left="1240" w:right="1279" w:firstLine="279"/>
        <w:spacing w:after="0" w:line="253" w:lineRule="auto"/>
        <w:rPr>
          <w:sz w:val="20"/>
          <w:szCs w:val="20"/>
          <w:color w:val="auto"/>
        </w:rPr>
      </w:pPr>
      <w:r>
        <w:rPr>
          <w:rFonts w:ascii="Times New Roman" w:cs="Times New Roman" w:eastAsia="Times New Roman" w:hAnsi="Times New Roman"/>
          <w:sz w:val="14"/>
          <w:szCs w:val="14"/>
          <w:color w:val="auto"/>
        </w:rPr>
        <w:t>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companies providing power free from carbon emissions by leveraging our global portfolio of integrated energy infrastructure.</w:t>
      </w:r>
    </w:p>
    <w:p>
      <w:pPr>
        <w:spacing w:after="0" w:line="9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We deliver targeted energy solutions by employing an integrated LNG supply and delivery model:</w:t>
      </w:r>
    </w:p>
    <w:p>
      <w:pPr>
        <w:spacing w:after="0" w:line="88" w:lineRule="exact"/>
        <w:rPr>
          <w:sz w:val="20"/>
          <w:szCs w:val="20"/>
          <w:color w:val="auto"/>
        </w:rPr>
      </w:pPr>
    </w:p>
    <w:p>
      <w:pPr>
        <w:jc w:val="both"/>
        <w:ind w:left="1240" w:right="1299" w:firstLine="279"/>
        <w:spacing w:after="0" w:line="277" w:lineRule="auto"/>
        <w:rPr>
          <w:sz w:val="20"/>
          <w:szCs w:val="20"/>
          <w:color w:val="auto"/>
        </w:rPr>
      </w:pPr>
      <w:r>
        <w:rPr>
          <w:rFonts w:ascii="Times New Roman" w:cs="Times New Roman" w:eastAsia="Times New Roman" w:hAnsi="Times New Roman"/>
          <w:sz w:val="13"/>
          <w:szCs w:val="13"/>
          <w:i w:val="1"/>
          <w:iCs w:val="1"/>
          <w:color w:val="auto"/>
        </w:rPr>
        <w:t xml:space="preserve">LNG and Natural Gas Supply and Liquefaction </w:t>
      </w:r>
      <w:r>
        <w:rPr>
          <w:rFonts w:ascii="Times New Roman" w:cs="Times New Roman" w:eastAsia="Times New Roman" w:hAnsi="Times New Roman"/>
          <w:sz w:val="13"/>
          <w:szCs w:val="13"/>
          <w:color w:val="auto"/>
        </w:rPr>
        <w:t>– We supply LNG and natural gas to our own power plants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our customers. We typically supply LNG and natural gas regasified from LNG to our customers by entering into long-term supply contracts, which are generally based on an index such as Henry Hub plus a fixed fee component.</w:t>
      </w:r>
    </w:p>
    <w:p>
      <w:pPr>
        <w:spacing w:after="0" w:line="1" w:lineRule="exact"/>
        <w:rPr>
          <w:sz w:val="20"/>
          <w:szCs w:val="20"/>
          <w:color w:val="auto"/>
        </w:rPr>
      </w:pPr>
    </w:p>
    <w:p>
      <w:pPr>
        <w:ind w:left="1240" w:right="1299"/>
        <w:spacing w:after="0" w:line="252" w:lineRule="auto"/>
        <w:rPr>
          <w:sz w:val="20"/>
          <w:szCs w:val="20"/>
          <w:color w:val="auto"/>
        </w:rPr>
      </w:pPr>
      <w:r>
        <w:rPr>
          <w:rFonts w:ascii="Times New Roman" w:cs="Times New Roman" w:eastAsia="Times New Roman" w:hAnsi="Times New Roman"/>
          <w:sz w:val="14"/>
          <w:szCs w:val="14"/>
          <w:color w:val="auto"/>
        </w:rPr>
        <w:t>We acquire our LNG from third party suppliers in open market purchases and long-term supply agreements; we also manufacture LNG at our liquefaction and storage facility in Miami, Florida (the “Miami Facility”). Beginning in 2024, we expect to deploy our first offshore liquefaction facility, “Fast LNG” or “FLNG,” to provide a source of low-cost supply of LNG.</w:t>
      </w:r>
    </w:p>
    <w:p>
      <w:pPr>
        <w:spacing w:after="0" w:line="59" w:lineRule="exact"/>
        <w:rPr>
          <w:sz w:val="20"/>
          <w:szCs w:val="20"/>
          <w:color w:val="auto"/>
        </w:rPr>
      </w:pPr>
    </w:p>
    <w:p>
      <w:pPr>
        <w:ind w:left="1240" w:right="1459" w:firstLine="279"/>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Shipping </w:t>
      </w:r>
      <w:r>
        <w:rPr>
          <w:rFonts w:ascii="Times New Roman" w:cs="Times New Roman" w:eastAsia="Times New Roman" w:hAnsi="Times New Roman"/>
          <w:sz w:val="14"/>
          <w:szCs w:val="14"/>
          <w:color w:val="auto"/>
        </w:rPr>
        <w:t>– We lease, own or operate a fleet of seven regasification units and 13 liquefied natural gas carriers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floating storage units. Ten vessels are owned by our joint venture affiliate, Energos Infrastructure. We also charter vessels to and from third parties as well as from Energos.</w:t>
      </w:r>
    </w:p>
    <w:p>
      <w:pPr>
        <w:spacing w:after="0" w:line="50" w:lineRule="exact"/>
        <w:rPr>
          <w:sz w:val="20"/>
          <w:szCs w:val="20"/>
          <w:color w:val="auto"/>
        </w:rPr>
      </w:pPr>
    </w:p>
    <w:p>
      <w:pPr>
        <w:ind w:left="1240" w:right="1379" w:firstLine="279"/>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Facilities </w:t>
      </w:r>
      <w:r>
        <w:rPr>
          <w:rFonts w:ascii="Times New Roman" w:cs="Times New Roman" w:eastAsia="Times New Roman" w:hAnsi="Times New Roman"/>
          <w:sz w:val="14"/>
          <w:szCs w:val="14"/>
          <w:color w:val="auto"/>
        </w:rPr>
        <w:t>– Through our network of current and planned downstream facilities and logistics assets, we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strategically positioned to deliver gas and power solutions to our customers seeking either to transition from environmentally dirtier distillate fuels such as automotive diesel oil and heavy fuel oil or to purchase natural gas to meet their current fuel needs.</w:t>
      </w:r>
    </w:p>
    <w:p>
      <w:pPr>
        <w:spacing w:after="0" w:line="56" w:lineRule="exact"/>
        <w:rPr>
          <w:sz w:val="20"/>
          <w:szCs w:val="20"/>
          <w:color w:val="auto"/>
        </w:rPr>
      </w:pPr>
    </w:p>
    <w:p>
      <w:pPr>
        <w:jc w:val="both"/>
        <w:ind w:left="1240" w:right="1319" w:firstLine="279"/>
        <w:spacing w:after="0" w:line="264" w:lineRule="auto"/>
        <w:rPr>
          <w:sz w:val="20"/>
          <w:szCs w:val="20"/>
          <w:color w:val="auto"/>
        </w:rPr>
      </w:pPr>
      <w:r>
        <w:rPr>
          <w:rFonts w:ascii="Times New Roman" w:cs="Times New Roman" w:eastAsia="Times New Roman" w:hAnsi="Times New Roman"/>
          <w:sz w:val="14"/>
          <w:szCs w:val="14"/>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hydrogen project.</w:t>
      </w:r>
    </w:p>
    <w:p>
      <w:pPr>
        <w:spacing w:after="0" w:line="13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Our Business Model</w:t>
      </w:r>
    </w:p>
    <w:p>
      <w:pPr>
        <w:spacing w:after="0" w:line="92" w:lineRule="exact"/>
        <w:rPr>
          <w:sz w:val="20"/>
          <w:szCs w:val="20"/>
          <w:color w:val="auto"/>
        </w:rPr>
      </w:pPr>
    </w:p>
    <w:p>
      <w:pPr>
        <w:ind w:left="1240" w:right="1279" w:firstLine="279"/>
        <w:spacing w:after="0" w:line="253" w:lineRule="auto"/>
        <w:rPr>
          <w:sz w:val="20"/>
          <w:szCs w:val="20"/>
          <w:color w:val="auto"/>
        </w:rPr>
      </w:pPr>
      <w:r>
        <w:rPr>
          <w:rFonts w:ascii="Times New Roman" w:cs="Times New Roman" w:eastAsia="Times New Roman" w:hAnsi="Times New Roman"/>
          <w:sz w:val="14"/>
          <w:szCs w:val="14"/>
          <w:color w:val="auto"/>
        </w:rPr>
        <w:t>As an integrated gas-to-power energy infrastructure company, our business model spans the entire production and delivery chain from natural gas procurement and liquefaction to shipping, logistics, facilities and conversion or development of natural gas-fired power generation. Historically, natural gas procurement or liquefaction, transportation, regasification and power generation projects have been developed separately and have required multilateral or traditional financing sources, which has inhibited the introduction of natural gas-fired power in many developing countries. In executing our business model, we have the capability to build or arrange any necessary infrastructure ourselves without reliance on multilateral financing sources or traditional project finance structures, so that we maintain our strategic flexibility and optimize our portfolio.</w:t>
      </w:r>
    </w:p>
    <w:p>
      <w:pPr>
        <w:spacing w:after="0" w:line="9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We currently conduct our operations at the following facilities:</w:t>
      </w:r>
    </w:p>
    <w:p>
      <w:pPr>
        <w:spacing w:after="0" w:line="48" w:lineRule="exact"/>
        <w:rPr>
          <w:sz w:val="20"/>
          <w:szCs w:val="20"/>
          <w:color w:val="auto"/>
        </w:rPr>
      </w:pPr>
    </w:p>
    <w:p>
      <w:pPr>
        <w:ind w:left="1800" w:hanging="276"/>
        <w:spacing w:after="0"/>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LNG storage and regasification facility at the Port of Montego Bay, Jamaica,</w:t>
      </w:r>
    </w:p>
    <w:p>
      <w:pPr>
        <w:spacing w:after="0" w:line="47"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marine LNG storage and regasification facility in Old Harbour, Jamaica</w:t>
      </w:r>
    </w:p>
    <w:p>
      <w:pPr>
        <w:spacing w:after="0" w:line="47"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dual-fired combined heat and power facility in Clarendon, Jamaica,</w:t>
      </w:r>
    </w:p>
    <w:p>
      <w:pPr>
        <w:spacing w:after="0" w:line="47"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landed micro-fuel handling facility in San Juan, Puerto Rico,</w:t>
      </w:r>
    </w:p>
    <w:p>
      <w:pPr>
        <w:spacing w:after="0" w:line="47" w:lineRule="exact"/>
        <w:rPr>
          <w:rFonts w:ascii="Times New Roman" w:cs="Times New Roman" w:eastAsia="Times New Roman" w:hAnsi="Times New Roman"/>
          <w:sz w:val="14"/>
          <w:szCs w:val="14"/>
          <w:color w:val="auto"/>
        </w:rPr>
      </w:pPr>
    </w:p>
    <w:p>
      <w:pPr>
        <w:ind w:left="1800" w:right="1559" w:hanging="276"/>
        <w:spacing w:after="0" w:line="280" w:lineRule="auto"/>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LNG receiving facility and gas-fired power plant at the Port of Pichilingue in Baja California Sur, Mexico, and</w:t>
      </w:r>
    </w:p>
    <w:p>
      <w:pPr>
        <w:ind w:left="1800" w:hanging="276"/>
        <w:spacing w:after="0"/>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Miami Facility.</w:t>
      </w:r>
    </w:p>
    <w:p>
      <w:pPr>
        <w:spacing w:after="0" w:line="90" w:lineRule="exact"/>
        <w:rPr>
          <w:sz w:val="20"/>
          <w:szCs w:val="20"/>
          <w:color w:val="auto"/>
        </w:rPr>
      </w:pPr>
    </w:p>
    <w:p>
      <w:pPr>
        <w:ind w:left="1240" w:right="1279" w:firstLine="279"/>
        <w:spacing w:after="0" w:line="257" w:lineRule="auto"/>
        <w:rPr>
          <w:sz w:val="20"/>
          <w:szCs w:val="20"/>
          <w:color w:val="auto"/>
        </w:rPr>
      </w:pPr>
      <w:r>
        <w:rPr>
          <w:rFonts w:ascii="Times New Roman" w:cs="Times New Roman" w:eastAsia="Times New Roman" w:hAnsi="Times New Roman"/>
          <w:sz w:val="14"/>
          <w:szCs w:val="14"/>
          <w:color w:val="auto"/>
        </w:rPr>
        <w:t>In addition, we are currently developing facilities in Brazil, Nicaragua, Ireland and other locations, as described below in more detail. We are in active discussions with additional customers to develop projects in multiple regions around the world who may have significant demand for additional power, LNG and natural gas, although there can be no assurance that these discussions will result in additional contracts or that we will be able to achieve our target pricing or margins.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99695</wp:posOffset>
            </wp:positionV>
            <wp:extent cx="5412105"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21" w:name="page22"/>
    <w:bookmarkEnd w:id="21"/>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92" w:lineRule="exact"/>
        <w:rPr>
          <w:sz w:val="20"/>
          <w:szCs w:val="20"/>
          <w:color w:val="auto"/>
        </w:rPr>
      </w:pPr>
    </w:p>
    <w:p>
      <w:pPr>
        <w:ind w:left="1240" w:right="1279" w:firstLine="279"/>
        <w:spacing w:after="0" w:line="253" w:lineRule="auto"/>
        <w:rPr>
          <w:sz w:val="20"/>
          <w:szCs w:val="20"/>
          <w:color w:val="auto"/>
        </w:rPr>
      </w:pPr>
      <w:r>
        <w:rPr>
          <w:rFonts w:ascii="Times New Roman" w:cs="Times New Roman" w:eastAsia="Times New Roman" w:hAnsi="Times New Roman"/>
          <w:sz w:val="14"/>
          <w:szCs w:val="14"/>
          <w:color w:val="auto"/>
        </w:rPr>
        <w:t>Before you invest in any of our securities, in addition to the other information in this prospectus and any prospectus supplement or other offering materials, you should carefully consider the risk factors in any prospectus supplement as well as under the heading “Risk Factors” contained in Part I, Item 1A. in our Annual Report on Form 10-K for the year ended December 31, 2023, which is incorporated by reference into this prospectus and any prospectus supplement, as the same may be amended, supplemented or superseded from time to time by our filings under Sections 13(a), 13(c), 14 and 15(d) of the Exchange Act. These risks could materially and adversely affect our business, operating results, cash flows and financial condition and could result in a partial or complete loss of your investment. See “Where You Can Find More Information” and “Cautionary Note Regarding Forward-Looking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22" w:name="page23"/>
    <w:bookmarkEnd w:id="22"/>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92" w:lineRule="exact"/>
        <w:rPr>
          <w:sz w:val="20"/>
          <w:szCs w:val="20"/>
          <w:color w:val="auto"/>
        </w:rPr>
      </w:pPr>
    </w:p>
    <w:p>
      <w:pPr>
        <w:ind w:left="1240" w:right="1419" w:firstLine="279"/>
        <w:spacing w:after="0" w:line="264" w:lineRule="auto"/>
        <w:rPr>
          <w:sz w:val="20"/>
          <w:szCs w:val="20"/>
          <w:color w:val="auto"/>
        </w:rPr>
      </w:pPr>
      <w:r>
        <w:rPr>
          <w:rFonts w:ascii="Times New Roman" w:cs="Times New Roman" w:eastAsia="Times New Roman" w:hAnsi="Times New Roman"/>
          <w:sz w:val="14"/>
          <w:szCs w:val="14"/>
          <w:color w:val="auto"/>
        </w:rPr>
        <w:t>Except as otherwise set forth in any accompanying prospectus supplement, we expect to use the net proceeds from the sale of securities for general corporate purposes, including the financing of our operations, the possible repayment of indebtedness, and possible business acquisitions.</w:t>
      </w:r>
    </w:p>
    <w:p>
      <w:pPr>
        <w:spacing w:after="0" w:line="54" w:lineRule="exact"/>
        <w:rPr>
          <w:sz w:val="20"/>
          <w:szCs w:val="20"/>
          <w:color w:val="auto"/>
        </w:rPr>
      </w:pPr>
    </w:p>
    <w:p>
      <w:pPr>
        <w:ind w:left="1240" w:right="1339" w:firstLine="279"/>
        <w:spacing w:after="0" w:line="280" w:lineRule="auto"/>
        <w:rPr>
          <w:sz w:val="20"/>
          <w:szCs w:val="20"/>
          <w:color w:val="auto"/>
        </w:rPr>
      </w:pPr>
      <w:r>
        <w:rPr>
          <w:rFonts w:ascii="Times New Roman" w:cs="Times New Roman" w:eastAsia="Times New Roman" w:hAnsi="Times New Roman"/>
          <w:sz w:val="14"/>
          <w:szCs w:val="14"/>
          <w:color w:val="auto"/>
        </w:rPr>
        <w:t>Unless set forth in an accompanying prospectus supplement, we will not receive any proceeds in the event that securities are sold by a selling stockholder.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23" w:name="page24"/>
    <w:bookmarkEnd w:id="23"/>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92" w:lineRule="exact"/>
        <w:rPr>
          <w:sz w:val="20"/>
          <w:szCs w:val="20"/>
          <w:color w:val="auto"/>
        </w:rPr>
      </w:pPr>
    </w:p>
    <w:p>
      <w:pPr>
        <w:ind w:left="1240" w:right="1279" w:firstLine="279"/>
        <w:spacing w:after="0" w:line="257" w:lineRule="auto"/>
        <w:rPr>
          <w:sz w:val="20"/>
          <w:szCs w:val="20"/>
          <w:color w:val="auto"/>
        </w:rPr>
      </w:pPr>
      <w:r>
        <w:rPr>
          <w:rFonts w:ascii="Times New Roman" w:cs="Times New Roman" w:eastAsia="Times New Roman" w:hAnsi="Times New Roman"/>
          <w:sz w:val="14"/>
          <w:szCs w:val="14"/>
          <w:color w:val="auto"/>
        </w:rPr>
        <w:t>This prospectus contains summary descriptions of the Class A common stock, preferred stock, depositary shares, debt securities and warrants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24" w:name="page25"/>
    <w:bookmarkEnd w:id="24"/>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20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2" w:lineRule="exact"/>
        <w:rPr>
          <w:sz w:val="20"/>
          <w:szCs w:val="20"/>
          <w:color w:val="auto"/>
        </w:rPr>
      </w:pPr>
    </w:p>
    <w:p>
      <w:pPr>
        <w:ind w:left="1240" w:right="1259" w:firstLine="279"/>
        <w:spacing w:after="0" w:line="255" w:lineRule="auto"/>
        <w:rPr>
          <w:sz w:val="20"/>
          <w:szCs w:val="20"/>
          <w:color w:val="auto"/>
        </w:rPr>
      </w:pPr>
      <w:r>
        <w:rPr>
          <w:rFonts w:ascii="Times New Roman" w:cs="Times New Roman" w:eastAsia="Times New Roman" w:hAnsi="Times New Roman"/>
          <w:sz w:val="14"/>
          <w:szCs w:val="14"/>
          <w:color w:val="auto"/>
        </w:rPr>
        <w:t>The following description of shares of New Fortress Energy Inc. (the “Company,” “NFE,” “our” or “we”) is based upon the provisions of the General Corporation Law of the State of Delaware (the “DGCL”), the Certificate of Incorporation of the Company (the “Certificate of Incorporation”) and the Bylaws of the Company (the “Bylaws”). The summary is not complete and is subject to, and is qualified in its entirety by express reference to, the provisions of applicable law and to the Certificate of Incorporation and the Bylaws. See “Where You Can Find More Information.”</w:t>
      </w:r>
    </w:p>
    <w:p>
      <w:pPr>
        <w:spacing w:after="0" w:line="18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Authorized Capital Stock</w:t>
      </w:r>
    </w:p>
    <w:p>
      <w:pPr>
        <w:spacing w:after="0" w:line="92" w:lineRule="exact"/>
        <w:rPr>
          <w:sz w:val="20"/>
          <w:szCs w:val="20"/>
          <w:color w:val="auto"/>
        </w:rPr>
      </w:pPr>
    </w:p>
    <w:p>
      <w:pPr>
        <w:ind w:left="1240" w:right="1259" w:firstLine="279"/>
        <w:spacing w:after="0" w:line="253" w:lineRule="auto"/>
        <w:rPr>
          <w:sz w:val="20"/>
          <w:szCs w:val="20"/>
          <w:color w:val="auto"/>
        </w:rPr>
      </w:pPr>
      <w:r>
        <w:rPr>
          <w:rFonts w:ascii="Times New Roman" w:cs="Times New Roman" w:eastAsia="Times New Roman" w:hAnsi="Times New Roman"/>
          <w:sz w:val="14"/>
          <w:szCs w:val="14"/>
          <w:color w:val="auto"/>
        </w:rPr>
        <w:t>Under our Certificate of Incorporation, we are authorized to issue up to 750 million shares of Class A common stock, each having a par value of one cent ($0.01), 50 million shares of Class B common stock, each having a par value of one cent ($0.01), and 200 million shares of preferred stock, each having a par value of one cent ($0.01). Our Class A common stock are registered pursuant to Section 12 of the Securities Exchange Act of 1934, as amended (the “Exchange Act”), and are listed on the Nasdaq Global Select Market (“Nasdaq”) under the symbol “NFE.” Our Class B common stock are not registered pursuant to Section 12 of the Exchange Act nor listed on any securities exchange. As of February 26, 2024, there were 205,033,557 shares of Class A common stock outstanding. As of the date hereof, there are no shares of Class B common stock or preferred stock outstanding.</w:t>
      </w:r>
    </w:p>
    <w:p>
      <w:pPr>
        <w:spacing w:after="0" w:line="18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Class A Common Stock</w:t>
      </w:r>
    </w:p>
    <w:p>
      <w:pPr>
        <w:spacing w:after="0" w:line="90" w:lineRule="exact"/>
        <w:rPr>
          <w:sz w:val="20"/>
          <w:szCs w:val="20"/>
          <w:color w:val="auto"/>
        </w:rPr>
      </w:pPr>
    </w:p>
    <w:p>
      <w:pPr>
        <w:ind w:left="1240" w:right="1319" w:firstLine="279"/>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Voting Rights. </w:t>
      </w:r>
      <w:r>
        <w:rPr>
          <w:rFonts w:ascii="Times New Roman" w:cs="Times New Roman" w:eastAsia="Times New Roman" w:hAnsi="Times New Roman"/>
          <w:sz w:val="14"/>
          <w:szCs w:val="14"/>
          <w:color w:val="auto"/>
        </w:rPr>
        <w:t>Holders of Class A common stock are entitled to one vote per share held of record on all matters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be voted upon by the stockholders. Holders of our Class A common stock and Class B common stock vote together as a single class on all matters presented to our stockholders for their vote or approval, except that the amendment of certain provisions of our Certificate of Incorporation or Bylaws that would have a material adverse effect on the rights or preferences of any class or series of shares in relation to other classes or series of shares must be approved by the holders of a majority of the outstanding shares of the class or series affected. The holders of Class A common stock do not have cumulative voting rights in the election of directors.</w:t>
      </w:r>
    </w:p>
    <w:p>
      <w:pPr>
        <w:spacing w:after="0" w:line="61" w:lineRule="exact"/>
        <w:rPr>
          <w:sz w:val="20"/>
          <w:szCs w:val="20"/>
          <w:color w:val="auto"/>
        </w:rPr>
      </w:pPr>
    </w:p>
    <w:p>
      <w:pPr>
        <w:ind w:left="1240" w:right="1259" w:firstLine="279"/>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Dividend Rights. </w:t>
      </w:r>
      <w:r>
        <w:rPr>
          <w:rFonts w:ascii="Times New Roman" w:cs="Times New Roman" w:eastAsia="Times New Roman" w:hAnsi="Times New Roman"/>
          <w:sz w:val="14"/>
          <w:szCs w:val="14"/>
          <w:color w:val="auto"/>
        </w:rPr>
        <w:t>Holders of our Class A common stock are entitled to ratably receive dividends when and if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declared by our board of directors out of funds legally available for that purpose, subject to any statutory or contractual restrictions on the payment of dividends and to any prior rights and preferences that may be applicable to any outstanding preferred stock.</w:t>
      </w:r>
    </w:p>
    <w:p>
      <w:pPr>
        <w:spacing w:after="0" w:line="54" w:lineRule="exact"/>
        <w:rPr>
          <w:sz w:val="20"/>
          <w:szCs w:val="20"/>
          <w:color w:val="auto"/>
        </w:rPr>
      </w:pPr>
    </w:p>
    <w:p>
      <w:pPr>
        <w:ind w:left="1240" w:right="1499" w:firstLine="279"/>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Liquidation Rights. </w:t>
      </w:r>
      <w:r>
        <w:rPr>
          <w:rFonts w:ascii="Times New Roman" w:cs="Times New Roman" w:eastAsia="Times New Roman" w:hAnsi="Times New Roman"/>
          <w:sz w:val="14"/>
          <w:szCs w:val="14"/>
          <w:color w:val="auto"/>
        </w:rPr>
        <w:t>Upon our dissolution, liquidation or winding up, after payment in full of all amounts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required to be paid to creditors and to the holders of preferred stock having liquidation preferences, if any, the holders of our Class A common stock will be entitled to receive our remaining assets available for distribution in accordance with the DGCL.</w:t>
      </w:r>
    </w:p>
    <w:p>
      <w:pPr>
        <w:spacing w:after="0" w:line="54" w:lineRule="exact"/>
        <w:rPr>
          <w:sz w:val="20"/>
          <w:szCs w:val="20"/>
          <w:color w:val="auto"/>
        </w:rPr>
      </w:pPr>
    </w:p>
    <w:p>
      <w:pPr>
        <w:jc w:val="both"/>
        <w:ind w:left="1240" w:right="1599" w:firstLine="279"/>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Other Matters. </w:t>
      </w:r>
      <w:r>
        <w:rPr>
          <w:rFonts w:ascii="Times New Roman" w:cs="Times New Roman" w:eastAsia="Times New Roman" w:hAnsi="Times New Roman"/>
          <w:sz w:val="14"/>
          <w:szCs w:val="14"/>
          <w:color w:val="auto"/>
        </w:rPr>
        <w:t>The Class A common stock have no preemptive or conversion rights and are not subject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further calls or assessment by us. There are no redemption or sinking fund provisions applicable to the Class A common stock. All outstanding Class A common stock are fully paid and non-assessable.</w:t>
      </w:r>
    </w:p>
    <w:p>
      <w:pPr>
        <w:spacing w:after="0" w:line="17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Class B Common Stock</w:t>
      </w:r>
    </w:p>
    <w:p>
      <w:pPr>
        <w:spacing w:after="0" w:line="90" w:lineRule="exact"/>
        <w:rPr>
          <w:sz w:val="20"/>
          <w:szCs w:val="20"/>
          <w:color w:val="auto"/>
        </w:rPr>
      </w:pPr>
    </w:p>
    <w:p>
      <w:pPr>
        <w:ind w:left="1240" w:right="1259" w:firstLine="279"/>
        <w:spacing w:after="0" w:line="254" w:lineRule="auto"/>
        <w:rPr>
          <w:sz w:val="20"/>
          <w:szCs w:val="20"/>
          <w:color w:val="auto"/>
        </w:rPr>
      </w:pPr>
      <w:r>
        <w:rPr>
          <w:rFonts w:ascii="Times New Roman" w:cs="Times New Roman" w:eastAsia="Times New Roman" w:hAnsi="Times New Roman"/>
          <w:sz w:val="14"/>
          <w:szCs w:val="14"/>
          <w:i w:val="1"/>
          <w:iCs w:val="1"/>
          <w:color w:val="auto"/>
        </w:rPr>
        <w:t>Generally</w:t>
      </w:r>
      <w:r>
        <w:rPr>
          <w:rFonts w:ascii="Times New Roman" w:cs="Times New Roman" w:eastAsia="Times New Roman" w:hAnsi="Times New Roman"/>
          <w:sz w:val="14"/>
          <w:szCs w:val="14"/>
          <w:color w:val="auto"/>
        </w:rPr>
        <w:t>. Prior to the exchange of all of the units (the “NFI LLC Units”) (other than NFI LLC Units owned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NFE or its subsidiaries) of New Fortress Intermediate LLC (“NFI”) and all of the shares of Class B common stock for shares of Class A common stock (the “Exchange Transactions”), the NFI unitholders held one share of Class B common stock for each NFI LLC Unit that they held. Accordingly, prior to the Exchange Transactions, the NFI unitholders had a number of votes in NFE equal to the aggregate number of NFI LLC Units that they held. Following the Exchange Transactions and as of the date hereof, there are no shares of Class B common stock outstanding and all of the NFI LLC Units are owned by NFE or its subsidiaries. Shares of Class B common stock cannot be transferred without transferring an equal number of NFI LLC Units and vice versa.</w:t>
      </w:r>
    </w:p>
    <w:p>
      <w:pPr>
        <w:spacing w:after="0" w:line="58" w:lineRule="exact"/>
        <w:rPr>
          <w:sz w:val="20"/>
          <w:szCs w:val="20"/>
          <w:color w:val="auto"/>
        </w:rPr>
      </w:pPr>
    </w:p>
    <w:p>
      <w:pPr>
        <w:ind w:left="1240" w:right="1539" w:firstLine="279"/>
        <w:spacing w:after="0" w:line="323" w:lineRule="auto"/>
        <w:rPr>
          <w:sz w:val="20"/>
          <w:szCs w:val="20"/>
          <w:color w:val="auto"/>
        </w:rPr>
      </w:pPr>
      <w:r>
        <w:rPr>
          <w:rFonts w:ascii="Times New Roman" w:cs="Times New Roman" w:eastAsia="Times New Roman" w:hAnsi="Times New Roman"/>
          <w:sz w:val="13"/>
          <w:szCs w:val="13"/>
          <w:i w:val="1"/>
          <w:iCs w:val="1"/>
          <w:color w:val="auto"/>
        </w:rPr>
        <w:t>Voting Rights</w:t>
      </w:r>
      <w:r>
        <w:rPr>
          <w:rFonts w:ascii="Times New Roman" w:cs="Times New Roman" w:eastAsia="Times New Roman" w:hAnsi="Times New Roman"/>
          <w:sz w:val="13"/>
          <w:szCs w:val="13"/>
          <w:color w:val="auto"/>
        </w:rPr>
        <w:t>. Holders of our Class B common stock are entitled to one vote per share held of record on all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matters to be voted upon by the shareholders. Holders of our Class A common stock and Class B common stock</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99695</wp:posOffset>
            </wp:positionV>
            <wp:extent cx="5412105"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25" w:name="page26"/>
    <w:bookmarkEnd w:id="25"/>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ind w:left="1240" w:right="1339"/>
        <w:spacing w:after="0" w:line="257" w:lineRule="auto"/>
        <w:rPr>
          <w:sz w:val="20"/>
          <w:szCs w:val="20"/>
          <w:color w:val="auto"/>
        </w:rPr>
      </w:pPr>
      <w:r>
        <w:rPr>
          <w:rFonts w:ascii="Times New Roman" w:cs="Times New Roman" w:eastAsia="Times New Roman" w:hAnsi="Times New Roman"/>
          <w:sz w:val="14"/>
          <w:szCs w:val="14"/>
          <w:color w:val="auto"/>
        </w:rPr>
        <w:t>vote together as a single class on all matters presented to our shareholders for their vote or approval, except that the amendment of certain provisions of our Certificate of Incorporation or Bylaws that would have a material adverse effect on the rights or preferences of any class or series of stock in relation to other classes or series of shares must be approved by the holders of a majority of the outstanding stock of the class or series affected. The holders of Class B common stock do not have cumulative voting rights in the election of directors.</w:t>
      </w:r>
    </w:p>
    <w:p>
      <w:pPr>
        <w:spacing w:after="0" w:line="55" w:lineRule="exact"/>
        <w:rPr>
          <w:sz w:val="20"/>
          <w:szCs w:val="20"/>
          <w:color w:val="auto"/>
        </w:rPr>
      </w:pPr>
    </w:p>
    <w:p>
      <w:pPr>
        <w:ind w:left="1240" w:right="1339" w:firstLine="279"/>
        <w:spacing w:after="0" w:line="254" w:lineRule="auto"/>
        <w:rPr>
          <w:sz w:val="20"/>
          <w:szCs w:val="20"/>
          <w:color w:val="auto"/>
        </w:rPr>
      </w:pPr>
      <w:r>
        <w:rPr>
          <w:rFonts w:ascii="Times New Roman" w:cs="Times New Roman" w:eastAsia="Times New Roman" w:hAnsi="Times New Roman"/>
          <w:sz w:val="14"/>
          <w:szCs w:val="14"/>
          <w:i w:val="1"/>
          <w:iCs w:val="1"/>
          <w:color w:val="auto"/>
        </w:rPr>
        <w:t>Dividend and Liquidation Rights</w:t>
      </w:r>
      <w:r>
        <w:rPr>
          <w:rFonts w:ascii="Times New Roman" w:cs="Times New Roman" w:eastAsia="Times New Roman" w:hAnsi="Times New Roman"/>
          <w:sz w:val="14"/>
          <w:szCs w:val="14"/>
          <w:color w:val="auto"/>
        </w:rPr>
        <w:t>. Holders of our Class B common stock do not have any right to receive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dividends, unless the dividend consists of our Class B common stock or of rights, options, warrants or other securities convertible or exercisable into or exchangeable for Class B common stock paid proportionally with respect to each outstanding Class B common stock and a dividend consisting of Class A common stock or of rights, options, warrants or other securities convertible or exercisable into or exchangeable for Class A common stock on the same terms is simultaneously paid to the holders of Class A common stock. Holders of our Class B common stock do not have any right to receive a distribution upon our liquidation or winding up.</w:t>
      </w:r>
    </w:p>
    <w:p>
      <w:pPr>
        <w:spacing w:after="0" w:line="61" w:lineRule="exact"/>
        <w:rPr>
          <w:sz w:val="20"/>
          <w:szCs w:val="20"/>
          <w:color w:val="auto"/>
        </w:rPr>
      </w:pPr>
    </w:p>
    <w:p>
      <w:pPr>
        <w:ind w:left="1240" w:right="1319" w:firstLine="279"/>
        <w:spacing w:after="0" w:line="260" w:lineRule="auto"/>
        <w:rPr>
          <w:sz w:val="20"/>
          <w:szCs w:val="20"/>
          <w:color w:val="auto"/>
        </w:rPr>
      </w:pPr>
      <w:r>
        <w:rPr>
          <w:rFonts w:ascii="Times New Roman" w:cs="Times New Roman" w:eastAsia="Times New Roman" w:hAnsi="Times New Roman"/>
          <w:sz w:val="14"/>
          <w:szCs w:val="14"/>
          <w:i w:val="1"/>
          <w:iCs w:val="1"/>
          <w:color w:val="auto"/>
        </w:rPr>
        <w:t>Redemption Right</w:t>
      </w:r>
      <w:r>
        <w:rPr>
          <w:rFonts w:ascii="Times New Roman" w:cs="Times New Roman" w:eastAsia="Times New Roman" w:hAnsi="Times New Roman"/>
          <w:sz w:val="14"/>
          <w:szCs w:val="14"/>
          <w:color w:val="auto"/>
        </w:rPr>
        <w:t>. Pursuant to the limited liability company agreement of NFI, each holder of NFI LLC Units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has the right to redeem his or her NFI LLC Units, together with an equal number of shares of Class B common stock, for shares of Class A common stock (or cash at the Company’s election, subject to customary conversion rate adjustments for stock splits, stock dividends and reclassifications).</w:t>
      </w:r>
    </w:p>
    <w:p>
      <w:pPr>
        <w:spacing w:after="0" w:line="16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2" w:lineRule="exact"/>
        <w:rPr>
          <w:sz w:val="20"/>
          <w:szCs w:val="20"/>
          <w:color w:val="auto"/>
        </w:rPr>
      </w:pPr>
    </w:p>
    <w:p>
      <w:pPr>
        <w:ind w:left="1240" w:right="1259" w:firstLine="279"/>
        <w:spacing w:after="0" w:line="257" w:lineRule="auto"/>
        <w:rPr>
          <w:sz w:val="20"/>
          <w:szCs w:val="20"/>
          <w:color w:val="auto"/>
        </w:rPr>
      </w:pPr>
      <w:r>
        <w:rPr>
          <w:rFonts w:ascii="Times New Roman" w:cs="Times New Roman" w:eastAsia="Times New Roman" w:hAnsi="Times New Roman"/>
          <w:sz w:val="14"/>
          <w:szCs w:val="14"/>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The rights with respect to one or more classes or series of preferred stock may be more favorable to the holder(s) thereof than the rights attached to our Class A common stock.</w:t>
      </w:r>
    </w:p>
    <w:p>
      <w:pPr>
        <w:spacing w:after="0" w:line="16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0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i w:val="1"/>
          <w:iCs w:val="1"/>
          <w:color w:val="auto"/>
        </w:rPr>
        <w:t>Duties</w:t>
      </w:r>
    </w:p>
    <w:p>
      <w:pPr>
        <w:spacing w:after="0" w:line="92" w:lineRule="exact"/>
        <w:rPr>
          <w:sz w:val="20"/>
          <w:szCs w:val="20"/>
          <w:color w:val="auto"/>
        </w:rPr>
      </w:pPr>
    </w:p>
    <w:p>
      <w:pPr>
        <w:jc w:val="both"/>
        <w:ind w:left="1240" w:right="1479" w:firstLine="279"/>
        <w:spacing w:after="0" w:line="264" w:lineRule="auto"/>
        <w:rPr>
          <w:sz w:val="20"/>
          <w:szCs w:val="20"/>
          <w:color w:val="auto"/>
        </w:rPr>
      </w:pPr>
      <w:r>
        <w:rPr>
          <w:rFonts w:ascii="Times New Roman" w:cs="Times New Roman" w:eastAsia="Times New Roman" w:hAnsi="Times New Roman"/>
          <w:sz w:val="14"/>
          <w:szCs w:val="14"/>
          <w:color w:val="auto"/>
        </w:rPr>
        <w:t>American Stock Transfer &amp; Trust Company, LLC is the registrar and transfer agent for the Class A common stock. We pay all fees charged by the transfer agent for transfers of Class A common stock except the following, which must be paid by our Class A stockholders:</w:t>
      </w:r>
    </w:p>
    <w:p>
      <w:pPr>
        <w:spacing w:after="0" w:line="54" w:lineRule="exact"/>
        <w:rPr>
          <w:sz w:val="20"/>
          <w:szCs w:val="20"/>
          <w:color w:val="auto"/>
        </w:rPr>
      </w:pPr>
    </w:p>
    <w:p>
      <w:pPr>
        <w:ind w:left="1800" w:hanging="276"/>
        <w:spacing w:after="0"/>
        <w:tabs>
          <w:tab w:leader="none" w:pos="1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surety bond premiums to replace lost or stolen certificates, taxes and other governmental charges;</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special charges for services requested by a holder of a Class A share; and</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similar fees or charges.</w:t>
      </w:r>
    </w:p>
    <w:p>
      <w:pPr>
        <w:spacing w:after="0" w:line="90" w:lineRule="exact"/>
        <w:rPr>
          <w:sz w:val="20"/>
          <w:szCs w:val="20"/>
          <w:color w:val="auto"/>
        </w:rPr>
      </w:pPr>
    </w:p>
    <w:p>
      <w:pPr>
        <w:ind w:left="1240" w:right="1299" w:firstLine="279"/>
        <w:spacing w:after="0" w:line="259" w:lineRule="auto"/>
        <w:rPr>
          <w:sz w:val="20"/>
          <w:szCs w:val="20"/>
          <w:color w:val="auto"/>
        </w:rPr>
      </w:pPr>
      <w:r>
        <w:rPr>
          <w:rFonts w:ascii="Times New Roman" w:cs="Times New Roman" w:eastAsia="Times New Roman" w:hAnsi="Times New Roman"/>
          <w:sz w:val="14"/>
          <w:szCs w:val="14"/>
          <w:color w:val="auto"/>
        </w:rPr>
        <w:t>There are no charges to our Class A shareholders for disbursements of any dividends. We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6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i w:val="1"/>
          <w:iCs w:val="1"/>
          <w:color w:val="auto"/>
        </w:rPr>
        <w:t>Resignation or Removal</w:t>
      </w:r>
    </w:p>
    <w:p>
      <w:pPr>
        <w:spacing w:after="0" w:line="1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The transfer agent may resign, by notice to us, or be removed by us.</w:t>
      </w:r>
    </w:p>
    <w:p>
      <w:pPr>
        <w:spacing w:after="0" w:line="19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Transfer of Class A common stock and Class B common stock</w:t>
      </w:r>
    </w:p>
    <w:p>
      <w:pPr>
        <w:spacing w:after="0" w:line="92" w:lineRule="exact"/>
        <w:rPr>
          <w:sz w:val="20"/>
          <w:szCs w:val="20"/>
          <w:color w:val="auto"/>
        </w:rPr>
      </w:pPr>
    </w:p>
    <w:p>
      <w:pPr>
        <w:jc w:val="both"/>
        <w:ind w:left="1240" w:right="1399" w:firstLine="279"/>
        <w:spacing w:after="0" w:line="264" w:lineRule="auto"/>
        <w:rPr>
          <w:sz w:val="20"/>
          <w:szCs w:val="20"/>
          <w:color w:val="auto"/>
        </w:rPr>
      </w:pPr>
      <w:r>
        <w:rPr>
          <w:rFonts w:ascii="Times New Roman" w:cs="Times New Roman" w:eastAsia="Times New Roman" w:hAnsi="Times New Roman"/>
          <w:sz w:val="14"/>
          <w:szCs w:val="14"/>
          <w:color w:val="auto"/>
        </w:rPr>
        <w:t>We may, at our discretion, treat the nominee holder of a share of Class A common stock or Class B common stock as the absolute owner. In that case, the beneficial holder’s rights are limited solely to those that it has against the nominee holder as a result of any agreement between the beneficial owner and the nominee holder.</w:t>
      </w:r>
    </w:p>
    <w:p>
      <w:pPr>
        <w:spacing w:after="0" w:line="54" w:lineRule="exact"/>
        <w:rPr>
          <w:sz w:val="20"/>
          <w:szCs w:val="20"/>
          <w:color w:val="auto"/>
        </w:rPr>
      </w:pPr>
    </w:p>
    <w:p>
      <w:pPr>
        <w:ind w:left="1240" w:right="1639" w:firstLine="279"/>
        <w:spacing w:after="0" w:line="280" w:lineRule="auto"/>
        <w:rPr>
          <w:sz w:val="20"/>
          <w:szCs w:val="20"/>
          <w:color w:val="auto"/>
        </w:rPr>
      </w:pPr>
      <w:r>
        <w:rPr>
          <w:rFonts w:ascii="Times New Roman" w:cs="Times New Roman" w:eastAsia="Times New Roman" w:hAnsi="Times New Roman"/>
          <w:sz w:val="14"/>
          <w:szCs w:val="14"/>
          <w:color w:val="auto"/>
        </w:rPr>
        <w:t>Class A common stock and Class B common stock are securities and any transfers are subject to the laws governing the transfer of securities.</w:t>
      </w:r>
    </w:p>
    <w:p>
      <w:pPr>
        <w:spacing w:after="0" w:line="42" w:lineRule="exact"/>
        <w:rPr>
          <w:sz w:val="20"/>
          <w:szCs w:val="20"/>
          <w:color w:val="auto"/>
        </w:rPr>
      </w:pPr>
    </w:p>
    <w:p>
      <w:pPr>
        <w:ind w:left="1240" w:right="1279" w:firstLine="279"/>
        <w:spacing w:after="0" w:line="264" w:lineRule="auto"/>
        <w:rPr>
          <w:sz w:val="20"/>
          <w:szCs w:val="20"/>
          <w:color w:val="auto"/>
        </w:rPr>
      </w:pPr>
      <w:r>
        <w:rPr>
          <w:rFonts w:ascii="Times New Roman" w:cs="Times New Roman" w:eastAsia="Times New Roman" w:hAnsi="Times New Roman"/>
          <w:sz w:val="14"/>
          <w:szCs w:val="14"/>
          <w:color w:val="auto"/>
        </w:rPr>
        <w:t>Until a share of Class A common stock or Class B common stock has been transferred on our books, we and the transfer agent may treat the record holder of the Class A common stock or Class B common stock as the absolute owner for all purposes, except as otherwise required by law or stock exchange regulations.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99695</wp:posOffset>
            </wp:positionV>
            <wp:extent cx="5412105"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26" w:name="page27"/>
    <w:bookmarkEnd w:id="26"/>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Our Certificate of Incorporation and Bylaws</w:t>
      </w:r>
    </w:p>
    <w:p>
      <w:pPr>
        <w:spacing w:after="0" w:line="1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Organization and Duration</w:t>
      </w:r>
    </w:p>
    <w:p>
      <w:pPr>
        <w:spacing w:after="0" w:line="92" w:lineRule="exact"/>
        <w:rPr>
          <w:sz w:val="20"/>
          <w:szCs w:val="20"/>
          <w:color w:val="auto"/>
        </w:rPr>
      </w:pPr>
    </w:p>
    <w:p>
      <w:pPr>
        <w:jc w:val="both"/>
        <w:ind w:left="1240" w:right="1339" w:firstLine="279"/>
        <w:spacing w:after="0" w:line="264" w:lineRule="auto"/>
        <w:rPr>
          <w:sz w:val="20"/>
          <w:szCs w:val="20"/>
          <w:color w:val="auto"/>
        </w:rPr>
      </w:pPr>
      <w:r>
        <w:rPr>
          <w:rFonts w:ascii="Times New Roman" w:cs="Times New Roman" w:eastAsia="Times New Roman" w:hAnsi="Times New Roman"/>
          <w:sz w:val="14"/>
          <w:szCs w:val="14"/>
          <w:color w:val="auto"/>
        </w:rPr>
        <w:t>New Fortress Energy LLC was formed on August 6, 2018. On August 7, 2020, we converted from a Delaware limited liability company named New Fortress Energy LLC to a Delaware corporation named New Fortress Energy Inc. The Company will remain in existence until dissolved in accordance with the DGCL.</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Purpose</w:t>
      </w:r>
    </w:p>
    <w:p>
      <w:pPr>
        <w:spacing w:after="0" w:line="92" w:lineRule="exact"/>
        <w:rPr>
          <w:sz w:val="20"/>
          <w:szCs w:val="20"/>
          <w:color w:val="auto"/>
        </w:rPr>
      </w:pPr>
    </w:p>
    <w:p>
      <w:pPr>
        <w:jc w:val="both"/>
        <w:ind w:left="1240" w:right="1339" w:firstLine="279"/>
        <w:spacing w:after="0" w:line="264" w:lineRule="auto"/>
        <w:rPr>
          <w:sz w:val="20"/>
          <w:szCs w:val="20"/>
          <w:color w:val="auto"/>
        </w:rPr>
      </w:pPr>
      <w:r>
        <w:rPr>
          <w:rFonts w:ascii="Times New Roman" w:cs="Times New Roman" w:eastAsia="Times New Roman" w:hAnsi="Times New Roman"/>
          <w:sz w:val="14"/>
          <w:szCs w:val="14"/>
          <w:color w:val="auto"/>
        </w:rPr>
        <w:t>Under our organizational documents, we are permitted to engage in any business activity that lawfully may be conducted by a corporation organized under Delaware law and, in connection therewith, to exercise all of the rights and powers conferred upon us pursuant to the agreements relating to such business activity.</w:t>
      </w:r>
    </w:p>
    <w:p>
      <w:pPr>
        <w:spacing w:after="0" w:line="22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Amendment of Our Organizational Documents</w:t>
      </w:r>
    </w:p>
    <w:p>
      <w:pPr>
        <w:spacing w:after="0" w:line="92" w:lineRule="exact"/>
        <w:rPr>
          <w:sz w:val="20"/>
          <w:szCs w:val="20"/>
          <w:color w:val="auto"/>
        </w:rPr>
      </w:pPr>
    </w:p>
    <w:p>
      <w:pPr>
        <w:ind w:left="1240" w:right="1339" w:firstLine="279"/>
        <w:spacing w:after="0" w:line="257" w:lineRule="auto"/>
        <w:rPr>
          <w:sz w:val="20"/>
          <w:szCs w:val="20"/>
          <w:color w:val="auto"/>
        </w:rPr>
      </w:pPr>
      <w:r>
        <w:rPr>
          <w:rFonts w:ascii="Times New Roman" w:cs="Times New Roman" w:eastAsia="Times New Roman" w:hAnsi="Times New Roman"/>
          <w:sz w:val="14"/>
          <w:szCs w:val="14"/>
          <w:color w:val="auto"/>
        </w:rPr>
        <w:t>Amendments to our Certificate of Incorporation may be proposed only by or with the consent of our board of directors. To adopt a proposed amendment to our Certificate of Incorporation or Bylaws, our board of directors is generally required to seek written approval of the holders of the number of shares required to approve the amendment or call a meeting of our stockholders to consider and vote upon the proposed amendment. Except as set forth below, an amendment must be approved by holders of a majority of the outstanding shares.</w:t>
      </w:r>
    </w:p>
    <w:p>
      <w:pPr>
        <w:spacing w:after="0" w:line="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i w:val="1"/>
          <w:iCs w:val="1"/>
          <w:color w:val="auto"/>
        </w:rPr>
        <w:t xml:space="preserve">Prohibited Amendments. </w:t>
      </w:r>
      <w:r>
        <w:rPr>
          <w:rFonts w:ascii="Times New Roman" w:cs="Times New Roman" w:eastAsia="Times New Roman" w:hAnsi="Times New Roman"/>
          <w:sz w:val="14"/>
          <w:szCs w:val="14"/>
          <w:color w:val="auto"/>
        </w:rPr>
        <w:t>No amendment may be made that would:</w:t>
      </w:r>
    </w:p>
    <w:p>
      <w:pPr>
        <w:spacing w:after="0" w:line="92" w:lineRule="exact"/>
        <w:rPr>
          <w:sz w:val="20"/>
          <w:szCs w:val="20"/>
          <w:color w:val="auto"/>
        </w:rPr>
      </w:pPr>
    </w:p>
    <w:p>
      <w:pPr>
        <w:ind w:left="1800" w:right="1319" w:hanging="276"/>
        <w:spacing w:after="0" w:line="280" w:lineRule="auto"/>
        <w:tabs>
          <w:tab w:leader="none" w:pos="18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enlarge the obligations of any stockholder without such stockholder’s consent, unless approved by at least a majority of the type or class of shares so affected; or</w:t>
      </w:r>
    </w:p>
    <w:p>
      <w:pPr>
        <w:spacing w:after="0" w:line="42"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term of existence of our company.</w:t>
      </w:r>
    </w:p>
    <w:p>
      <w:pPr>
        <w:spacing w:after="0" w:line="90" w:lineRule="exact"/>
        <w:rPr>
          <w:sz w:val="20"/>
          <w:szCs w:val="20"/>
          <w:color w:val="auto"/>
        </w:rPr>
      </w:pPr>
    </w:p>
    <w:p>
      <w:pPr>
        <w:ind w:left="1240" w:right="1339" w:firstLine="279"/>
        <w:spacing w:after="0" w:line="320" w:lineRule="auto"/>
        <w:rPr>
          <w:sz w:val="20"/>
          <w:szCs w:val="20"/>
          <w:color w:val="auto"/>
        </w:rPr>
      </w:pPr>
      <w:r>
        <w:rPr>
          <w:rFonts w:ascii="Times New Roman" w:cs="Times New Roman" w:eastAsia="Times New Roman" w:hAnsi="Times New Roman"/>
          <w:sz w:val="13"/>
          <w:szCs w:val="13"/>
          <w:color w:val="auto"/>
        </w:rPr>
        <w:t>The provision of our organizational documents preventing the amendments having the effects described in any of the clauses above can be amended upon the approval of holders of at least two-thirds of the outstanding shares.</w:t>
      </w:r>
    </w:p>
    <w:p>
      <w:pPr>
        <w:spacing w:after="0" w:line="17" w:lineRule="exact"/>
        <w:rPr>
          <w:sz w:val="20"/>
          <w:szCs w:val="20"/>
          <w:color w:val="auto"/>
        </w:rPr>
      </w:pPr>
    </w:p>
    <w:p>
      <w:pPr>
        <w:ind w:left="1240" w:right="1559" w:firstLine="279"/>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No Stockholder Approval. </w:t>
      </w:r>
      <w:r>
        <w:rPr>
          <w:rFonts w:ascii="Times New Roman" w:cs="Times New Roman" w:eastAsia="Times New Roman" w:hAnsi="Times New Roman"/>
          <w:sz w:val="14"/>
          <w:szCs w:val="14"/>
          <w:color w:val="auto"/>
        </w:rPr>
        <w:t>Our board of directors may generally make amendments to our Bylaws, and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certain circumstances to our Certificate of Incorporation, without the approval of any stockholder or assignee to reflect:</w:t>
      </w:r>
    </w:p>
    <w:p>
      <w:pPr>
        <w:spacing w:after="0" w:line="52" w:lineRule="exact"/>
        <w:rPr>
          <w:sz w:val="20"/>
          <w:szCs w:val="20"/>
          <w:color w:val="auto"/>
        </w:rPr>
      </w:pPr>
    </w:p>
    <w:p>
      <w:pPr>
        <w:ind w:left="1800" w:right="1659" w:hanging="276"/>
        <w:spacing w:after="0" w:line="280" w:lineRule="auto"/>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our name, the location of our principal place of our business, our registered agent or our registered office;</w:t>
      </w:r>
    </w:p>
    <w:p>
      <w:pPr>
        <w:spacing w:after="0" w:line="42" w:lineRule="exact"/>
        <w:rPr>
          <w:rFonts w:ascii="Times New Roman" w:cs="Times New Roman" w:eastAsia="Times New Roman" w:hAnsi="Times New Roman"/>
          <w:sz w:val="14"/>
          <w:szCs w:val="14"/>
          <w:color w:val="auto"/>
        </w:rPr>
      </w:pPr>
    </w:p>
    <w:p>
      <w:pPr>
        <w:ind w:left="1800" w:right="1299" w:hanging="276"/>
        <w:spacing w:after="0" w:line="257" w:lineRule="auto"/>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whether or not substantially similar to plan asset regulations currently applied or proposed;</w:t>
      </w:r>
    </w:p>
    <w:p>
      <w:pPr>
        <w:spacing w:after="0" w:line="57" w:lineRule="exact"/>
        <w:rPr>
          <w:rFonts w:ascii="Times New Roman" w:cs="Times New Roman" w:eastAsia="Times New Roman" w:hAnsi="Times New Roman"/>
          <w:sz w:val="14"/>
          <w:szCs w:val="14"/>
          <w:color w:val="auto"/>
        </w:rPr>
      </w:pPr>
    </w:p>
    <w:p>
      <w:pPr>
        <w:ind w:left="1800" w:right="1399" w:hanging="276"/>
        <w:spacing w:after="0" w:line="280" w:lineRule="auto"/>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amendment that our board of directors determines to be necessary or appropriate for the authorization of additional securities;</w:t>
      </w:r>
    </w:p>
    <w:p>
      <w:pPr>
        <w:spacing w:after="0" w:line="42" w:lineRule="exact"/>
        <w:rPr>
          <w:rFonts w:ascii="Times New Roman" w:cs="Times New Roman" w:eastAsia="Times New Roman" w:hAnsi="Times New Roman"/>
          <w:sz w:val="14"/>
          <w:szCs w:val="14"/>
          <w:color w:val="auto"/>
        </w:rPr>
      </w:pPr>
    </w:p>
    <w:p>
      <w:pPr>
        <w:ind w:left="1800" w:right="1319" w:hanging="276"/>
        <w:spacing w:after="0" w:line="280" w:lineRule="auto"/>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amendment expressly permitted in our organizational documents to be made by our board of directors acting alone;</w:t>
      </w:r>
    </w:p>
    <w:p>
      <w:pPr>
        <w:spacing w:after="0" w:line="42" w:lineRule="exact"/>
        <w:rPr>
          <w:rFonts w:ascii="Times New Roman" w:cs="Times New Roman" w:eastAsia="Times New Roman" w:hAnsi="Times New Roman"/>
          <w:sz w:val="14"/>
          <w:szCs w:val="14"/>
          <w:color w:val="auto"/>
        </w:rPr>
      </w:pPr>
    </w:p>
    <w:p>
      <w:pPr>
        <w:ind w:left="1800" w:right="1279" w:hanging="276"/>
        <w:spacing w:after="0" w:line="280" w:lineRule="auto"/>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amendment effected, necessitated or contemplated by a merger agreement that has been approved under the terms of our organizational documents;</w:t>
      </w:r>
    </w:p>
    <w:p>
      <w:pPr>
        <w:spacing w:after="0" w:line="42" w:lineRule="exact"/>
        <w:rPr>
          <w:rFonts w:ascii="Times New Roman" w:cs="Times New Roman" w:eastAsia="Times New Roman" w:hAnsi="Times New Roman"/>
          <w:sz w:val="14"/>
          <w:szCs w:val="14"/>
          <w:color w:val="auto"/>
        </w:rPr>
      </w:pPr>
    </w:p>
    <w:p>
      <w:pPr>
        <w:ind w:left="1800" w:right="1339" w:hanging="276"/>
        <w:spacing w:after="0" w:line="264" w:lineRule="auto"/>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amendment that our board of directors determines to be necessary or appropriate for the formation by us of, or our investment in, any corporation, partnership or other entity, as otherwise permitted by our organizational documents;</w:t>
      </w:r>
    </w:p>
    <w:p>
      <w:pPr>
        <w:spacing w:after="0" w:line="53"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our fiscal year or taxable year and related changes; and</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amendments substantially similar to any of the matters described in the clauses above.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99695</wp:posOffset>
            </wp:positionV>
            <wp:extent cx="5412105"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27" w:name="page28"/>
    <w:bookmarkEnd w:id="27"/>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ind w:left="1240" w:right="1879" w:firstLine="279"/>
        <w:spacing w:after="0" w:line="280" w:lineRule="auto"/>
        <w:rPr>
          <w:sz w:val="20"/>
          <w:szCs w:val="20"/>
          <w:color w:val="auto"/>
        </w:rPr>
      </w:pPr>
      <w:r>
        <w:rPr>
          <w:rFonts w:ascii="Times New Roman" w:cs="Times New Roman" w:eastAsia="Times New Roman" w:hAnsi="Times New Roman"/>
          <w:sz w:val="14"/>
          <w:szCs w:val="14"/>
          <w:color w:val="auto"/>
        </w:rPr>
        <w:t>In addition, our board of directors may make amendments to our Bylaws without the approval of any stockholder or assignee if our board of directors determines that those amendments:</w:t>
      </w:r>
    </w:p>
    <w:p>
      <w:pPr>
        <w:spacing w:after="0" w:line="42" w:lineRule="exact"/>
        <w:rPr>
          <w:sz w:val="20"/>
          <w:szCs w:val="20"/>
          <w:color w:val="auto"/>
        </w:rPr>
      </w:pPr>
    </w:p>
    <w:p>
      <w:pPr>
        <w:ind w:left="1800" w:hanging="276"/>
        <w:spacing w:after="0"/>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adversely affect the stockholders in any material respect;</w:t>
      </w:r>
    </w:p>
    <w:p>
      <w:pPr>
        <w:spacing w:after="0" w:line="89" w:lineRule="exact"/>
        <w:rPr>
          <w:rFonts w:ascii="Times New Roman" w:cs="Times New Roman" w:eastAsia="Times New Roman" w:hAnsi="Times New Roman"/>
          <w:sz w:val="14"/>
          <w:szCs w:val="14"/>
          <w:color w:val="auto"/>
        </w:rPr>
      </w:pPr>
    </w:p>
    <w:p>
      <w:pPr>
        <w:jc w:val="both"/>
        <w:ind w:left="1800" w:right="1259" w:hanging="276"/>
        <w:spacing w:after="0" w:line="264" w:lineRule="auto"/>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53" w:lineRule="exact"/>
        <w:rPr>
          <w:rFonts w:ascii="Times New Roman" w:cs="Times New Roman" w:eastAsia="Times New Roman" w:hAnsi="Times New Roman"/>
          <w:sz w:val="14"/>
          <w:szCs w:val="14"/>
          <w:color w:val="auto"/>
        </w:rPr>
      </w:pPr>
    </w:p>
    <w:p>
      <w:pPr>
        <w:ind w:left="1800" w:right="1439" w:hanging="276"/>
        <w:spacing w:after="0" w:line="259" w:lineRule="auto"/>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stockholders;</w:t>
      </w:r>
    </w:p>
    <w:p>
      <w:pPr>
        <w:spacing w:after="0" w:line="57" w:lineRule="exact"/>
        <w:rPr>
          <w:rFonts w:ascii="Times New Roman" w:cs="Times New Roman" w:eastAsia="Times New Roman" w:hAnsi="Times New Roman"/>
          <w:sz w:val="14"/>
          <w:szCs w:val="14"/>
          <w:color w:val="auto"/>
        </w:rPr>
      </w:pPr>
    </w:p>
    <w:p>
      <w:pPr>
        <w:ind w:left="1800" w:right="2019" w:hanging="276"/>
        <w:spacing w:after="0" w:line="280" w:lineRule="auto"/>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necessary or appropriate for any action taken by our board of directors relating to splits or combinations of shares under the provisions of our Bylaws; or</w:t>
      </w:r>
    </w:p>
    <w:p>
      <w:pPr>
        <w:spacing w:after="0" w:line="42" w:lineRule="exact"/>
        <w:rPr>
          <w:rFonts w:ascii="Times New Roman" w:cs="Times New Roman" w:eastAsia="Times New Roman" w:hAnsi="Times New Roman"/>
          <w:sz w:val="14"/>
          <w:szCs w:val="14"/>
          <w:color w:val="auto"/>
        </w:rPr>
      </w:pPr>
    </w:p>
    <w:p>
      <w:pPr>
        <w:ind w:left="1800" w:right="1759" w:hanging="276"/>
        <w:spacing w:after="0" w:line="280" w:lineRule="auto"/>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required to effect the intent of the provisions of our organizational documents or are otherwise contemplated by our organizational documents.</w:t>
      </w:r>
    </w:p>
    <w:p>
      <w:pPr>
        <w:spacing w:after="0" w:line="24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Merger, Sale or Other Disposition of Assets</w:t>
      </w:r>
    </w:p>
    <w:p>
      <w:pPr>
        <w:spacing w:after="0" w:line="9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Pursuant to the provisions of the DGCL, our board of directors is generally prohibited, without the prior</w:t>
      </w:r>
    </w:p>
    <w:p>
      <w:pPr>
        <w:spacing w:after="0" w:line="2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approval of holders of a majority of the total combined voting power of all of our Class A common stock and</w:t>
      </w:r>
    </w:p>
    <w:p>
      <w:pPr>
        <w:spacing w:after="0" w:line="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Class B common stock, from causing us to, among other things, merge, sell, exchange or otherwise dispose of all or</w:t>
      </w:r>
    </w:p>
    <w:p>
      <w:pPr>
        <w:spacing w:after="0" w:line="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3"/>
          <w:szCs w:val="13"/>
          <w:color w:val="auto"/>
        </w:rPr>
        <w:t>substantially all of our assets in a single transaction or a series of related transactions, or approving on our behalf the</w:t>
      </w:r>
    </w:p>
    <w:p>
      <w:pPr>
        <w:spacing w:after="0" w:line="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sale, exchange or other disposition of all or substantially all of our assets, provided that our board of directors may</w:t>
      </w:r>
    </w:p>
    <w:p>
      <w:pPr>
        <w:spacing w:after="0" w:line="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3"/>
          <w:szCs w:val="13"/>
          <w:color w:val="auto"/>
        </w:rPr>
        <w:t>mortgage, pledge, hypothecate or grant a security interest in all or substantially all of our assets without the approval</w:t>
      </w:r>
    </w:p>
    <w:p>
      <w:pPr>
        <w:spacing w:after="0" w:line="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of any stockholder. Our board of directors may also sell all or substantially all of our assets under a foreclosure or</w:t>
      </w:r>
    </w:p>
    <w:p>
      <w:pPr>
        <w:spacing w:after="0" w:line="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other realization upon the encumbrances above without that approval.</w:t>
      </w:r>
    </w:p>
    <w:p>
      <w:pPr>
        <w:spacing w:after="0" w:line="26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Books and Reports</w:t>
      </w:r>
    </w:p>
    <w:p>
      <w:pPr>
        <w:spacing w:after="0" w:line="92" w:lineRule="exact"/>
        <w:rPr>
          <w:sz w:val="20"/>
          <w:szCs w:val="20"/>
          <w:color w:val="auto"/>
        </w:rPr>
      </w:pPr>
    </w:p>
    <w:p>
      <w:pPr>
        <w:ind w:left="1240" w:right="1439" w:firstLine="279"/>
        <w:spacing w:after="0" w:line="264" w:lineRule="auto"/>
        <w:rPr>
          <w:sz w:val="20"/>
          <w:szCs w:val="20"/>
          <w:color w:val="auto"/>
        </w:rPr>
      </w:pPr>
      <w:r>
        <w:rPr>
          <w:rFonts w:ascii="Times New Roman" w:cs="Times New Roman" w:eastAsia="Times New Roman" w:hAnsi="Times New Roman"/>
          <w:sz w:val="14"/>
          <w:szCs w:val="14"/>
          <w:color w:val="auto"/>
        </w:rPr>
        <w:t>We are required to keep appropriate books of our business at our principal offices. The books are maintained for both tax and financial reporting purposes on an accrual basis. For financial reporting purposes and for tax purposes, our fiscal year is the calendar year.</w:t>
      </w:r>
    </w:p>
    <w:p>
      <w:pPr>
        <w:spacing w:after="0" w:line="25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Anti-Takeover Effects of Delaware Law and Our Organizational Documents</w:t>
      </w:r>
    </w:p>
    <w:p>
      <w:pPr>
        <w:spacing w:after="0" w:line="92" w:lineRule="exact"/>
        <w:rPr>
          <w:sz w:val="20"/>
          <w:szCs w:val="20"/>
          <w:color w:val="auto"/>
        </w:rPr>
      </w:pPr>
    </w:p>
    <w:p>
      <w:pPr>
        <w:ind w:left="1240" w:right="1319" w:firstLine="279"/>
        <w:spacing w:after="0" w:line="259" w:lineRule="auto"/>
        <w:rPr>
          <w:sz w:val="20"/>
          <w:szCs w:val="20"/>
          <w:color w:val="auto"/>
        </w:rPr>
      </w:pPr>
      <w:r>
        <w:rPr>
          <w:rFonts w:ascii="Times New Roman" w:cs="Times New Roman" w:eastAsia="Times New Roman" w:hAnsi="Times New Roman"/>
          <w:sz w:val="14"/>
          <w:szCs w:val="14"/>
          <w:color w:val="auto"/>
        </w:rPr>
        <w:t>The following is a summary of certain provisions of our organizational documents that may be deemed to have an anti-takeover effect and may delay, deter or prevent a tender offer or takeover attempt that a stockholder might consider to be in its best interest, including those attempts that might result in a premium over the market price for the Class A common stock held by Class A stockholders.</w:t>
      </w:r>
    </w:p>
    <w:p>
      <w:pPr>
        <w:spacing w:after="0" w:line="55" w:lineRule="exact"/>
        <w:rPr>
          <w:sz w:val="20"/>
          <w:szCs w:val="20"/>
          <w:color w:val="auto"/>
        </w:rPr>
      </w:pPr>
    </w:p>
    <w:p>
      <w:pPr>
        <w:ind w:left="1240" w:right="1279" w:firstLine="279"/>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Issuance of Additional Interests. </w:t>
      </w:r>
      <w:r>
        <w:rPr>
          <w:rFonts w:ascii="Times New Roman" w:cs="Times New Roman" w:eastAsia="Times New Roman" w:hAnsi="Times New Roman"/>
          <w:sz w:val="14"/>
          <w:szCs w:val="14"/>
          <w:color w:val="auto"/>
        </w:rPr>
        <w:t>Our organizational documents authorize us to issue up to 750 million shares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Class A common stock, 50 million shares of Class B common stock and 200 million shares of preferred stock for the consideration and on the terms and conditions determined by our board of directors without the approval of the stockholders, subject to the requirements of Nasdaq. These additional shares may be utilized for a variety of corporate purposes, including future offerings to raise additional capital and corporate acquisitions. The existence of authorized but unissued shares could render more difficult or discourage an attempt to obtain control over us by means of a proxy contest, tender offer, merger or otherwise.</w:t>
      </w:r>
    </w:p>
    <w:p>
      <w:pPr>
        <w:spacing w:after="0" w:line="6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i w:val="1"/>
          <w:iCs w:val="1"/>
          <w:color w:val="auto"/>
        </w:rPr>
        <w:t xml:space="preserve">Delaware Business Combination Statute—Section 203. </w:t>
      </w:r>
      <w:r>
        <w:rPr>
          <w:rFonts w:ascii="Times New Roman" w:cs="Times New Roman" w:eastAsia="Times New Roman" w:hAnsi="Times New Roman"/>
          <w:sz w:val="14"/>
          <w:szCs w:val="14"/>
          <w:color w:val="auto"/>
        </w:rPr>
        <w:t>We are a corporation organized under Delaware law.</w:t>
      </w:r>
    </w:p>
    <w:p>
      <w:pPr>
        <w:spacing w:after="0" w:line="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Some provisions of Delaware law may delay or prevent a transaction that would cause a change in our control.</w:t>
      </w:r>
    </w:p>
    <w:p>
      <w:pPr>
        <w:spacing w:after="0" w:line="75" w:lineRule="exact"/>
        <w:rPr>
          <w:sz w:val="20"/>
          <w:szCs w:val="20"/>
          <w:color w:val="auto"/>
        </w:rPr>
      </w:pPr>
    </w:p>
    <w:p>
      <w:pPr>
        <w:ind w:left="1240" w:right="1339" w:firstLine="279"/>
        <w:spacing w:after="0" w:line="259" w:lineRule="auto"/>
        <w:rPr>
          <w:sz w:val="20"/>
          <w:szCs w:val="20"/>
          <w:color w:val="auto"/>
        </w:rPr>
      </w:pPr>
      <w:r>
        <w:rPr>
          <w:rFonts w:ascii="Times New Roman" w:cs="Times New Roman" w:eastAsia="Times New Roman" w:hAnsi="Times New Roman"/>
          <w:sz w:val="14"/>
          <w:szCs w:val="14"/>
          <w:color w:val="auto"/>
        </w:rPr>
        <w:t>Section 203 of the DGCL restricts certain business combinations with interested stockholders in certain situations. In general, this statute prohibits a publicly held Delaware corporation from engaging in a business combination with an interested stockholder for a period of three years after the date of the transaction by which that person became an interested stockholder, unless the business combination is approved in a prescribed manner.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99695</wp:posOffset>
            </wp:positionV>
            <wp:extent cx="5412105"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28" w:name="page29"/>
    <w:bookmarkEnd w:id="28"/>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ind w:left="1240" w:right="1379" w:firstLine="279"/>
        <w:spacing w:after="0" w:line="294" w:lineRule="auto"/>
        <w:rPr>
          <w:sz w:val="20"/>
          <w:szCs w:val="20"/>
          <w:color w:val="auto"/>
        </w:rPr>
      </w:pPr>
      <w:r>
        <w:rPr>
          <w:rFonts w:ascii="Times New Roman" w:cs="Times New Roman" w:eastAsia="Times New Roman" w:hAnsi="Times New Roman"/>
          <w:sz w:val="13"/>
          <w:szCs w:val="13"/>
          <w:color w:val="auto"/>
        </w:rPr>
        <w:t>We have opted out of Section 203 of the DGCL; however, our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36" w:lineRule="exact"/>
        <w:rPr>
          <w:sz w:val="20"/>
          <w:szCs w:val="20"/>
          <w:color w:val="auto"/>
        </w:rPr>
      </w:pPr>
    </w:p>
    <w:p>
      <w:pPr>
        <w:ind w:left="1800" w:right="1619" w:hanging="276"/>
        <w:spacing w:after="0" w:line="280"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our board of directors approved either the business combination or the transaction which resulted in the stockholder becoming an interested stockholder;</w:t>
      </w:r>
    </w:p>
    <w:p>
      <w:pPr>
        <w:spacing w:after="0" w:line="42" w:lineRule="exact"/>
        <w:rPr>
          <w:rFonts w:ascii="Times New Roman" w:cs="Times New Roman" w:eastAsia="Times New Roman" w:hAnsi="Times New Roman"/>
          <w:sz w:val="14"/>
          <w:szCs w:val="14"/>
          <w:color w:val="auto"/>
        </w:rPr>
      </w:pPr>
    </w:p>
    <w:p>
      <w:pPr>
        <w:ind w:left="1800" w:right="1359" w:hanging="276"/>
        <w:spacing w:after="0" w:line="264"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 becoming an interested stockholder, the interested stockholder owned at least 85% of our voting stock outstanding at the time the transaction commenced, excluding certain shares; or</w:t>
      </w:r>
    </w:p>
    <w:p>
      <w:pPr>
        <w:spacing w:after="0" w:line="53" w:lineRule="exact"/>
        <w:rPr>
          <w:rFonts w:ascii="Times New Roman" w:cs="Times New Roman" w:eastAsia="Times New Roman" w:hAnsi="Times New Roman"/>
          <w:sz w:val="14"/>
          <w:szCs w:val="14"/>
          <w:color w:val="auto"/>
        </w:rPr>
      </w:pPr>
    </w:p>
    <w:p>
      <w:pPr>
        <w:jc w:val="both"/>
        <w:ind w:left="1800" w:right="1419" w:hanging="276"/>
        <w:spacing w:after="0" w:line="264"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that time, the business combination is approved by our board of directors and by the affirmative vote of holders of at least two-thirds of our outstanding voting stock that is not owned by the interested stockholder.</w:t>
      </w:r>
    </w:p>
    <w:p>
      <w:pPr>
        <w:spacing w:after="0" w:line="5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The restrictions described above do not apply if (a) the Company does not have a class of voting stock that is:</w:t>
      </w:r>
    </w:p>
    <w:p>
      <w:pPr>
        <w:spacing w:after="0" w:line="21" w:lineRule="exact"/>
        <w:rPr>
          <w:sz w:val="20"/>
          <w:szCs w:val="20"/>
          <w:color w:val="auto"/>
        </w:rPr>
      </w:pPr>
    </w:p>
    <w:p>
      <w:pPr>
        <w:ind w:left="1240" w:right="1259" w:firstLine="5"/>
        <w:spacing w:after="0" w:line="250" w:lineRule="auto"/>
        <w:tabs>
          <w:tab w:leader="none" w:pos="140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listed on a national securities exchange; or (ii) held of record by more than 2,000 stockholders, unless any of the foregoing results from action taken, directly or indirectly, by an interested stockholder or from a transaction in which a person becomes an interested stockholder; or (b) a stockholder becomes an interested stockholder inadvertently and (i) as soon as practicable divests itself of ownership of sufficient shares so that the stockholder ceases to be an interested stockholder; and (ii) would not, at any time within the three year period immediately prior to a business combination between the Company and such stockholder, have been an interested stockholder but for the inadvertent acquisition of ownership.</w:t>
      </w:r>
    </w:p>
    <w:p>
      <w:pPr>
        <w:spacing w:after="0" w:line="65" w:lineRule="exact"/>
        <w:rPr>
          <w:sz w:val="20"/>
          <w:szCs w:val="20"/>
          <w:color w:val="auto"/>
        </w:rPr>
      </w:pPr>
    </w:p>
    <w:p>
      <w:pPr>
        <w:ind w:left="1240" w:right="1259" w:firstLine="279"/>
        <w:spacing w:after="0" w:line="252" w:lineRule="auto"/>
        <w:rPr>
          <w:sz w:val="20"/>
          <w:szCs w:val="20"/>
          <w:color w:val="auto"/>
        </w:rPr>
      </w:pPr>
      <w:r>
        <w:rPr>
          <w:rFonts w:ascii="Times New Roman" w:cs="Times New Roman" w:eastAsia="Times New Roman" w:hAnsi="Times New Roman"/>
          <w:sz w:val="14"/>
          <w:szCs w:val="14"/>
          <w:color w:val="auto"/>
        </w:rPr>
        <w:t>Generally, a “business combination” includes a merger, asset or stock sale or other transaction resulting in a financial benefit to the interested stockholder.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Our Certificate of Incorporation provides that certain entities controlled by Wesley R. Edens and Randal A. Nardone (the “Consenting Entities”) and NFE SMRS Holdings LLC and any of their respective direct or indirect transferees (except in the context of a public offering), and any group as to which such persons are a party, do not constitute “interested stockholders” for purposes of this provision. Additionally, the “interested stockholders” definition does not include any person whose ownership of shares in excess of 15% of our outstanding voting stock is the result of any action taken solely by us. For purposes of this description only, “voting stock” has the meaning given to it in Section 203 of the DGCL.</w:t>
      </w:r>
    </w:p>
    <w:p>
      <w:pPr>
        <w:spacing w:after="0" w:line="63" w:lineRule="exact"/>
        <w:rPr>
          <w:sz w:val="20"/>
          <w:szCs w:val="20"/>
          <w:color w:val="auto"/>
        </w:rPr>
      </w:pPr>
    </w:p>
    <w:p>
      <w:pPr>
        <w:ind w:left="1240" w:right="1339" w:firstLine="279"/>
        <w:spacing w:after="0" w:line="254" w:lineRule="auto"/>
        <w:rPr>
          <w:sz w:val="20"/>
          <w:szCs w:val="20"/>
          <w:color w:val="auto"/>
        </w:rPr>
      </w:pPr>
      <w:r>
        <w:rPr>
          <w:rFonts w:ascii="Times New Roman" w:cs="Times New Roman" w:eastAsia="Times New Roman" w:hAnsi="Times New Roman"/>
          <w:sz w:val="14"/>
          <w:szCs w:val="14"/>
          <w:color w:val="auto"/>
        </w:rPr>
        <w:t>Under certain circumstances, this provision makes it more difficult for a person who is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approved either the business combination or the transaction which resulted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9" w:lineRule="exact"/>
        <w:rPr>
          <w:sz w:val="20"/>
          <w:szCs w:val="20"/>
          <w:color w:val="auto"/>
        </w:rPr>
      </w:pPr>
    </w:p>
    <w:p>
      <w:pPr>
        <w:ind w:left="1240" w:right="1319" w:firstLine="279"/>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Other Provisions of Our Organizational Documents. </w:t>
      </w:r>
      <w:r>
        <w:rPr>
          <w:rFonts w:ascii="Times New Roman" w:cs="Times New Roman" w:eastAsia="Times New Roman" w:hAnsi="Times New Roman"/>
          <w:sz w:val="14"/>
          <w:szCs w:val="14"/>
          <w:color w:val="auto"/>
        </w:rPr>
        <w:t>Our Certificate of Incorporation provides that our board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consist of not fewer than one and not more than fifteen directors as the board of directors may from time to time determine, subject to the consent rights of the Consenting Entities described under “Description of Capital Stock—Consent Rights” below. Our board of directors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stockholders, instead of one, will generally be required to effect a change in a majority of our board of directors.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29" w:name="page30"/>
    <w:bookmarkEnd w:id="29"/>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ind w:left="1240" w:right="1319" w:firstLine="279"/>
        <w:spacing w:after="0" w:line="294" w:lineRule="auto"/>
        <w:rPr>
          <w:sz w:val="20"/>
          <w:szCs w:val="20"/>
          <w:color w:val="auto"/>
        </w:rPr>
      </w:pPr>
      <w:r>
        <w:rPr>
          <w:rFonts w:ascii="Times New Roman" w:cs="Times New Roman" w:eastAsia="Times New Roman" w:hAnsi="Times New Roman"/>
          <w:sz w:val="13"/>
          <w:szCs w:val="13"/>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stockholders to be in their best interest.</w:t>
      </w:r>
    </w:p>
    <w:p>
      <w:pPr>
        <w:spacing w:after="0" w:line="36" w:lineRule="exact"/>
        <w:rPr>
          <w:sz w:val="20"/>
          <w:szCs w:val="20"/>
          <w:color w:val="auto"/>
        </w:rPr>
      </w:pPr>
    </w:p>
    <w:p>
      <w:pPr>
        <w:jc w:val="both"/>
        <w:ind w:left="1240" w:right="1279" w:firstLine="279"/>
        <w:spacing w:after="0" w:line="264" w:lineRule="auto"/>
        <w:rPr>
          <w:sz w:val="20"/>
          <w:szCs w:val="20"/>
          <w:color w:val="auto"/>
        </w:rPr>
      </w:pPr>
      <w:r>
        <w:rPr>
          <w:rFonts w:ascii="Times New Roman" w:cs="Times New Roman" w:eastAsia="Times New Roman" w:hAnsi="Times New Roman"/>
          <w:sz w:val="14"/>
          <w:szCs w:val="14"/>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54" w:lineRule="exact"/>
        <w:rPr>
          <w:sz w:val="20"/>
          <w:szCs w:val="20"/>
          <w:color w:val="auto"/>
        </w:rPr>
      </w:pPr>
    </w:p>
    <w:p>
      <w:pPr>
        <w:ind w:left="1240" w:right="1359" w:firstLine="279"/>
        <w:spacing w:after="0" w:line="264" w:lineRule="auto"/>
        <w:rPr>
          <w:sz w:val="20"/>
          <w:szCs w:val="20"/>
          <w:color w:val="auto"/>
        </w:rPr>
      </w:pPr>
      <w:r>
        <w:rPr>
          <w:rFonts w:ascii="Times New Roman" w:cs="Times New Roman" w:eastAsia="Times New Roman" w:hAnsi="Times New Roman"/>
          <w:sz w:val="14"/>
          <w:szCs w:val="14"/>
          <w:color w:val="auto"/>
        </w:rPr>
        <w:t>Pursuant to our Certificate of Incorporation, preferred stock may be issued from time to time, and the board of directors is authorized to determine and alter all designations, preferences, rights, powers and duties without limitation. See “Description of Capital Stock—Preferred Stock.”</w:t>
      </w:r>
    </w:p>
    <w:p>
      <w:pPr>
        <w:spacing w:after="0" w:line="52" w:lineRule="exact"/>
        <w:rPr>
          <w:sz w:val="20"/>
          <w:szCs w:val="20"/>
          <w:color w:val="auto"/>
        </w:rPr>
      </w:pPr>
    </w:p>
    <w:p>
      <w:pPr>
        <w:ind w:left="1240" w:right="1299" w:firstLine="279"/>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Ability of Our Stockholders to Act. </w:t>
      </w:r>
      <w:r>
        <w:rPr>
          <w:rFonts w:ascii="Times New Roman" w:cs="Times New Roman" w:eastAsia="Times New Roman" w:hAnsi="Times New Roman"/>
          <w:sz w:val="14"/>
          <w:szCs w:val="14"/>
          <w:color w:val="auto"/>
        </w:rPr>
        <w:t>Our organizational documents do not permit our stockholders to call special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stockholders meetings, except that if any Consenting Entities or their affiliates collectively own outstanding voting shares that represent a majority of the total combined voting power of all of our outstanding shares of Class A common stock and Class B common stock then entitled to vote at an election of directors, such Consenting Entities may call a special meeting of the stockholders. Special meetings of stockholders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stockholder of record entitled to vote at such meeting not less than 10 or more than 60 days before the date of such meeting, unless otherwise required by law.</w:t>
      </w:r>
    </w:p>
    <w:p>
      <w:pPr>
        <w:spacing w:after="0" w:line="62" w:lineRule="exact"/>
        <w:rPr>
          <w:sz w:val="20"/>
          <w:szCs w:val="20"/>
          <w:color w:val="auto"/>
        </w:rPr>
      </w:pPr>
    </w:p>
    <w:p>
      <w:pPr>
        <w:ind w:left="1240" w:right="1299" w:firstLine="279"/>
        <w:spacing w:after="0" w:line="257" w:lineRule="auto"/>
        <w:rPr>
          <w:sz w:val="20"/>
          <w:szCs w:val="20"/>
          <w:color w:val="auto"/>
        </w:rPr>
      </w:pPr>
      <w:r>
        <w:rPr>
          <w:rFonts w:ascii="Times New Roman" w:cs="Times New Roman" w:eastAsia="Times New Roman" w:hAnsi="Times New Roman"/>
          <w:sz w:val="14"/>
          <w:szCs w:val="14"/>
          <w:color w:val="auto"/>
        </w:rPr>
        <w:t>Our organizational documents permit our stockholders to consent in writing to take any action in lieu of taking such action at a duly called annual or special meeting of our stockholders if a consent or consents in writing, setting forth the action so taken, shall be signed by the stockholders having not less than the minimum number of votes that would be necessary to authorize or take such action at a meeting at which all stockholders entitled to vote thereon were present and voted.</w:t>
      </w:r>
    </w:p>
    <w:p>
      <w:pPr>
        <w:spacing w:after="0" w:line="57" w:lineRule="exact"/>
        <w:rPr>
          <w:sz w:val="20"/>
          <w:szCs w:val="20"/>
          <w:color w:val="auto"/>
        </w:rPr>
      </w:pPr>
    </w:p>
    <w:p>
      <w:pPr>
        <w:ind w:left="1240" w:right="1259" w:firstLine="279"/>
        <w:spacing w:after="0" w:line="251" w:lineRule="auto"/>
        <w:rPr>
          <w:sz w:val="20"/>
          <w:szCs w:val="20"/>
          <w:color w:val="auto"/>
        </w:rPr>
      </w:pPr>
      <w:r>
        <w:rPr>
          <w:rFonts w:ascii="Times New Roman" w:cs="Times New Roman" w:eastAsia="Times New Roman" w:hAnsi="Times New Roman"/>
          <w:sz w:val="14"/>
          <w:szCs w:val="14"/>
          <w:color w:val="auto"/>
        </w:rPr>
        <w:t>Our organizational documents provide that nominations of persons for election to our board of directors may be made at any annual meeting of our stockholders, or at any special meeting of our stockholders called for the purpose of electing directors, (a) by or at the direction of our board of directors or (b) by certain stockholders. In addition to any other applicable requirements, for business to be properly brought before an annual meeting by a stockholder, such stockholder must have given timely notice thereof in proper written form to our secretary. To be timely, a stockholder’s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stockholders; provided, however, that in the event that the annual meeting is called for a date that is not within 30 days before or after such anniversary date, notice by a stockholder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27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Removal of Members of Our Board of Directors</w:t>
      </w:r>
    </w:p>
    <w:p>
      <w:pPr>
        <w:spacing w:after="0" w:line="92" w:lineRule="exact"/>
        <w:rPr>
          <w:sz w:val="20"/>
          <w:szCs w:val="20"/>
          <w:color w:val="auto"/>
        </w:rPr>
      </w:pPr>
    </w:p>
    <w:p>
      <w:pPr>
        <w:jc w:val="both"/>
        <w:ind w:left="1240" w:right="1379" w:firstLine="279"/>
        <w:spacing w:after="0" w:line="259" w:lineRule="auto"/>
        <w:rPr>
          <w:sz w:val="20"/>
          <w:szCs w:val="20"/>
          <w:color w:val="auto"/>
        </w:rPr>
      </w:pPr>
      <w:r>
        <w:rPr>
          <w:rFonts w:ascii="Times New Roman" w:cs="Times New Roman" w:eastAsia="Times New Roman" w:hAnsi="Times New Roman"/>
          <w:sz w:val="14"/>
          <w:szCs w:val="14"/>
          <w:color w:val="auto"/>
        </w:rPr>
        <w:t>A director or the entire board of directors may be removed, with or without cause, at any time, by holders of a majority of the total combined voting power of all of our outstanding shares of Class A common stock and Class B common stock then entitled to vote at an election of directors. The vacancy in the board of directors caused by any such removal will be filled by a vote of the majority of directors then in office.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99695</wp:posOffset>
            </wp:positionV>
            <wp:extent cx="5412105"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30" w:name="page31"/>
    <w:bookmarkEnd w:id="30"/>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Forum Selection</w:t>
      </w:r>
    </w:p>
    <w:p>
      <w:pPr>
        <w:spacing w:after="0" w:line="92" w:lineRule="exact"/>
        <w:rPr>
          <w:sz w:val="20"/>
          <w:szCs w:val="20"/>
          <w:color w:val="auto"/>
        </w:rPr>
      </w:pPr>
    </w:p>
    <w:p>
      <w:pPr>
        <w:ind w:left="1240" w:right="1419" w:firstLine="279"/>
        <w:spacing w:after="0" w:line="264" w:lineRule="auto"/>
        <w:rPr>
          <w:sz w:val="20"/>
          <w:szCs w:val="20"/>
          <w:color w:val="auto"/>
        </w:rPr>
      </w:pPr>
      <w:r>
        <w:rPr>
          <w:rFonts w:ascii="Times New Roman" w:cs="Times New Roman" w:eastAsia="Times New Roman" w:hAnsi="Times New Roman"/>
          <w:sz w:val="14"/>
          <w:szCs w:val="14"/>
          <w:color w:val="auto"/>
        </w:rPr>
        <w:t>Our Bylaws provide that unless we consent in writing to the selection of an alternative forum, the Court of Chancery of the State of Delaware will, to the fullest extent permitted by applicable law, be the sole and exclusive forum for:</w:t>
      </w:r>
    </w:p>
    <w:p>
      <w:pPr>
        <w:spacing w:after="0" w:line="54" w:lineRule="exact"/>
        <w:rPr>
          <w:sz w:val="20"/>
          <w:szCs w:val="20"/>
          <w:color w:val="auto"/>
        </w:rPr>
      </w:pPr>
    </w:p>
    <w:p>
      <w:pPr>
        <w:ind w:left="1800" w:hanging="276"/>
        <w:spacing w:after="0"/>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our behalf;</w:t>
      </w:r>
    </w:p>
    <w:p>
      <w:pPr>
        <w:spacing w:after="0" w:line="89" w:lineRule="exact"/>
        <w:rPr>
          <w:rFonts w:ascii="Times New Roman" w:cs="Times New Roman" w:eastAsia="Times New Roman" w:hAnsi="Times New Roman"/>
          <w:sz w:val="14"/>
          <w:szCs w:val="14"/>
          <w:color w:val="auto"/>
        </w:rPr>
      </w:pPr>
    </w:p>
    <w:p>
      <w:pPr>
        <w:ind w:left="1800" w:right="1879" w:hanging="276"/>
        <w:spacing w:after="0" w:line="280" w:lineRule="auto"/>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of breach of a fiduciary duty owed by any of our directors, officers, employees or agents to us or our stockholders;</w:t>
      </w:r>
    </w:p>
    <w:p>
      <w:pPr>
        <w:spacing w:after="0" w:line="42" w:lineRule="exact"/>
        <w:rPr>
          <w:rFonts w:ascii="Times New Roman" w:cs="Times New Roman" w:eastAsia="Times New Roman" w:hAnsi="Times New Roman"/>
          <w:sz w:val="14"/>
          <w:szCs w:val="14"/>
          <w:color w:val="auto"/>
        </w:rPr>
      </w:pPr>
    </w:p>
    <w:p>
      <w:pPr>
        <w:ind w:left="1800" w:right="1279" w:hanging="276"/>
        <w:spacing w:after="0" w:line="280" w:lineRule="auto"/>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or any director or officer or other employee of ours arising pursuant to any provision of the DGCL or our organizational documents; or</w:t>
      </w:r>
    </w:p>
    <w:p>
      <w:pPr>
        <w:spacing w:after="0" w:line="42" w:lineRule="exact"/>
        <w:rPr>
          <w:rFonts w:ascii="Times New Roman" w:cs="Times New Roman" w:eastAsia="Times New Roman" w:hAnsi="Times New Roman"/>
          <w:sz w:val="14"/>
          <w:szCs w:val="14"/>
          <w:color w:val="auto"/>
        </w:rPr>
      </w:pPr>
    </w:p>
    <w:p>
      <w:pPr>
        <w:ind w:left="1800" w:right="1279" w:hanging="276"/>
        <w:spacing w:after="0" w:line="264" w:lineRule="auto"/>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54" w:lineRule="exact"/>
        <w:rPr>
          <w:sz w:val="20"/>
          <w:szCs w:val="20"/>
          <w:color w:val="auto"/>
        </w:rPr>
      </w:pPr>
    </w:p>
    <w:p>
      <w:pPr>
        <w:ind w:left="1240" w:right="1259" w:firstLine="279"/>
        <w:spacing w:after="0" w:line="254" w:lineRule="auto"/>
        <w:rPr>
          <w:sz w:val="20"/>
          <w:szCs w:val="20"/>
          <w:color w:val="auto"/>
        </w:rPr>
      </w:pPr>
      <w:r>
        <w:rPr>
          <w:rFonts w:ascii="Times New Roman" w:cs="Times New Roman" w:eastAsia="Times New Roman" w:hAnsi="Times New Roman"/>
          <w:sz w:val="14"/>
          <w:szCs w:val="14"/>
          <w:color w:val="auto"/>
        </w:rPr>
        <w:t>The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w:t>
      </w:r>
    </w:p>
    <w:p>
      <w:pPr>
        <w:spacing w:after="0" w:line="61" w:lineRule="exact"/>
        <w:rPr>
          <w:sz w:val="20"/>
          <w:szCs w:val="20"/>
          <w:color w:val="auto"/>
        </w:rPr>
      </w:pPr>
    </w:p>
    <w:p>
      <w:pPr>
        <w:ind w:left="1240" w:right="1279" w:firstLine="279"/>
        <w:spacing w:after="0" w:line="253" w:lineRule="auto"/>
        <w:rPr>
          <w:sz w:val="20"/>
          <w:szCs w:val="20"/>
          <w:color w:val="auto"/>
        </w:rPr>
      </w:pPr>
      <w:r>
        <w:rPr>
          <w:rFonts w:ascii="Times New Roman" w:cs="Times New Roman" w:eastAsia="Times New Roman" w:hAnsi="Times New Roman"/>
          <w:sz w:val="14"/>
          <w:szCs w:val="14"/>
          <w:color w:val="auto"/>
        </w:rPr>
        <w:t>Our Bylaws also provide that any person or entity purchasing or otherwise acquiring any interest in our shares will be deemed to have notice of, and to have consented to, this forum selection provision. Although we believe these provisions will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organizational documents has been challenged in legal proceedings, and it is possible that, in connection with one or more actions or proceedings described above, a court could rule that this provision in our Bylaws is inapplicable or unenforceable.</w:t>
      </w:r>
    </w:p>
    <w:p>
      <w:pPr>
        <w:spacing w:after="0" w:line="18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Consent Rights</w:t>
      </w:r>
    </w:p>
    <w:p>
      <w:pPr>
        <w:spacing w:after="0" w:line="92" w:lineRule="exact"/>
        <w:rPr>
          <w:sz w:val="20"/>
          <w:szCs w:val="20"/>
          <w:color w:val="auto"/>
        </w:rPr>
      </w:pPr>
    </w:p>
    <w:p>
      <w:pPr>
        <w:ind w:left="1240" w:right="1359" w:firstLine="279"/>
        <w:spacing w:after="0" w:line="257" w:lineRule="auto"/>
        <w:rPr>
          <w:sz w:val="20"/>
          <w:szCs w:val="20"/>
          <w:color w:val="auto"/>
        </w:rPr>
      </w:pPr>
      <w:r>
        <w:rPr>
          <w:rFonts w:ascii="Times New Roman" w:cs="Times New Roman" w:eastAsia="Times New Roman" w:hAnsi="Times New Roman"/>
          <w:sz w:val="14"/>
          <w:szCs w:val="14"/>
          <w:color w:val="auto"/>
        </w:rPr>
        <w:t>So long as the Consenting Entities or their affiliates collectively, directly or indirectly, own at least 30% of the outstanding shares of Class A common stock and Class B common stock,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w:t>
      </w:r>
    </w:p>
    <w:p>
      <w:pPr>
        <w:spacing w:after="0" w:line="57" w:lineRule="exact"/>
        <w:rPr>
          <w:sz w:val="20"/>
          <w:szCs w:val="20"/>
          <w:color w:val="auto"/>
        </w:rPr>
      </w:pPr>
    </w:p>
    <w:p>
      <w:pPr>
        <w:ind w:left="1800" w:right="1659" w:hanging="276"/>
        <w:spacing w:after="0" w:line="280" w:lineRule="auto"/>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change, through any acquisition, disposition of assets or otherwise, in the nature of our business or operations and our subsidiaries as of February 4, 2019;</w:t>
      </w:r>
    </w:p>
    <w:p>
      <w:pPr>
        <w:spacing w:after="0" w:line="42" w:lineRule="exact"/>
        <w:rPr>
          <w:rFonts w:ascii="Times New Roman" w:cs="Times New Roman" w:eastAsia="Times New Roman" w:hAnsi="Times New Roman"/>
          <w:sz w:val="14"/>
          <w:szCs w:val="14"/>
          <w:color w:val="auto"/>
        </w:rPr>
      </w:pPr>
    </w:p>
    <w:p>
      <w:pPr>
        <w:ind w:left="1800" w:right="1559" w:hanging="276"/>
        <w:spacing w:after="0" w:line="280" w:lineRule="auto"/>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terminating Wesley Edens as our chief executive officer or as Chairman of the Board of Directors and hiring or appointing his successor;</w:t>
      </w:r>
    </w:p>
    <w:p>
      <w:pPr>
        <w:spacing w:after="0" w:line="42" w:lineRule="exact"/>
        <w:rPr>
          <w:rFonts w:ascii="Times New Roman" w:cs="Times New Roman" w:eastAsia="Times New Roman" w:hAnsi="Times New Roman"/>
          <w:sz w:val="14"/>
          <w:szCs w:val="14"/>
          <w:color w:val="auto"/>
        </w:rPr>
      </w:pPr>
    </w:p>
    <w:p>
      <w:pPr>
        <w:ind w:left="1800" w:right="1319" w:hanging="276"/>
        <w:spacing w:after="0" w:line="294" w:lineRule="auto"/>
        <w:tabs>
          <w:tab w:leader="none" w:pos="18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transaction that, if consummated, would constitute a Change of Control (as defined in our Certificate of Incorporation) or entering into any definitive agreement or series of related agreements that govern any transaction or series of related transactions that, if consummated, would result in a Change of Control;</w:t>
      </w:r>
    </w:p>
    <w:p>
      <w:pPr>
        <w:spacing w:after="0" w:line="35" w:lineRule="exact"/>
        <w:rPr>
          <w:rFonts w:ascii="Times New Roman" w:cs="Times New Roman" w:eastAsia="Times New Roman" w:hAnsi="Times New Roman"/>
          <w:sz w:val="13"/>
          <w:szCs w:val="13"/>
          <w:color w:val="auto"/>
        </w:rPr>
      </w:pPr>
    </w:p>
    <w:p>
      <w:pPr>
        <w:ind w:left="1800" w:right="1559" w:hanging="276"/>
        <w:spacing w:after="0" w:line="280" w:lineRule="auto"/>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increase or decrease in the size of the board of directors, committees of the board of directors and board and committees of our subsidiaries;</w:t>
      </w:r>
    </w:p>
    <w:p>
      <w:pPr>
        <w:spacing w:after="0" w:line="42" w:lineRule="exact"/>
        <w:rPr>
          <w:rFonts w:ascii="Times New Roman" w:cs="Times New Roman" w:eastAsia="Times New Roman" w:hAnsi="Times New Roman"/>
          <w:sz w:val="14"/>
          <w:szCs w:val="14"/>
          <w:color w:val="auto"/>
        </w:rPr>
      </w:pPr>
    </w:p>
    <w:p>
      <w:pPr>
        <w:ind w:left="1800" w:right="1299" w:hanging="276"/>
        <w:spacing w:after="0" w:line="280" w:lineRule="auto"/>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voluntary election by us or any of our subsidiaries to liquidate or dissolve or commence bankruptcy or insolvency proceedings or the adoption of a plan with respect to any of the foregoing; and</w:t>
      </w:r>
    </w:p>
    <w:p>
      <w:pPr>
        <w:spacing w:after="0" w:line="42" w:lineRule="exact"/>
        <w:rPr>
          <w:rFonts w:ascii="Times New Roman" w:cs="Times New Roman" w:eastAsia="Times New Roman" w:hAnsi="Times New Roman"/>
          <w:sz w:val="14"/>
          <w:szCs w:val="14"/>
          <w:color w:val="auto"/>
        </w:rPr>
      </w:pPr>
    </w:p>
    <w:p>
      <w:pPr>
        <w:ind w:left="1800" w:right="1359" w:hanging="276"/>
        <w:spacing w:after="0" w:line="264" w:lineRule="auto"/>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amendment, modification or waiver of our organizational documents or any other of our governing documents following the date of our Certificate of Incorporation that materially and adversely affects any Consenting Entity or any of their affiliates.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31" w:name="page32"/>
    <w:bookmarkEnd w:id="31"/>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Corporate Opportunity</w:t>
      </w:r>
    </w:p>
    <w:p>
      <w:pPr>
        <w:spacing w:after="0" w:line="92" w:lineRule="exact"/>
        <w:rPr>
          <w:sz w:val="20"/>
          <w:szCs w:val="20"/>
          <w:color w:val="auto"/>
        </w:rPr>
      </w:pPr>
    </w:p>
    <w:p>
      <w:pPr>
        <w:ind w:left="1240" w:right="1359" w:firstLine="279"/>
        <w:spacing w:after="0" w:line="254" w:lineRule="auto"/>
        <w:rPr>
          <w:sz w:val="20"/>
          <w:szCs w:val="20"/>
          <w:color w:val="auto"/>
        </w:rPr>
      </w:pPr>
      <w:r>
        <w:rPr>
          <w:rFonts w:ascii="Times New Roman" w:cs="Times New Roman" w:eastAsia="Times New Roman" w:hAnsi="Times New Roman"/>
          <w:sz w:val="14"/>
          <w:szCs w:val="14"/>
          <w:color w:val="auto"/>
        </w:rPr>
        <w:t>Under our Certificate of Incorporation, we renounce, to the fullest extent permitted by Section 122(17) of the DGCL, any interest or expectancy of the Company in, or in being offered, an opportunity to participate in, any Business Opportunity. A “Business Opportunity” is any matter, transaction or interest that is presented to, or acquired, created or developed by, or which otherwise comes into the possession of, any of our directors who is not an employee of the Company (collectively, “Covered Persons”), unless such matter, transaction or interest is presented to, or acquired, created or developed by, or otherwise comes into the possession of, a Covered Person solely in such Covered Person’s capacity as a director of the Company.</w:t>
      </w:r>
    </w:p>
    <w:p>
      <w:pPr>
        <w:spacing w:after="0" w:line="61" w:lineRule="exact"/>
        <w:rPr>
          <w:sz w:val="20"/>
          <w:szCs w:val="20"/>
          <w:color w:val="auto"/>
        </w:rPr>
      </w:pPr>
    </w:p>
    <w:p>
      <w:pPr>
        <w:jc w:val="both"/>
        <w:ind w:left="1240" w:right="1259" w:firstLine="279"/>
        <w:spacing w:after="0" w:line="256" w:lineRule="auto"/>
        <w:rPr>
          <w:sz w:val="20"/>
          <w:szCs w:val="20"/>
          <w:color w:val="auto"/>
        </w:rPr>
      </w:pPr>
      <w:r>
        <w:rPr>
          <w:rFonts w:ascii="Times New Roman" w:cs="Times New Roman" w:eastAsia="Times New Roman" w:hAnsi="Times New Roman"/>
          <w:sz w:val="14"/>
          <w:szCs w:val="14"/>
          <w:color w:val="auto"/>
        </w:rPr>
        <w:t>To the fullest extent permitted by law, we waive any claim against a Covered Person, and agree to indemnify all Covered Persons against any claim, that is based on fiduciary duties, the corporate opportunity doctrine or any other legal theory which could limit any Covered Person from pursuing or engaging in any Business Opportunity.</w:t>
      </w:r>
    </w:p>
    <w:p>
      <w:pPr>
        <w:spacing w:after="0" w:line="1" w:lineRule="exact"/>
        <w:rPr>
          <w:sz w:val="20"/>
          <w:szCs w:val="20"/>
          <w:color w:val="auto"/>
        </w:rPr>
      </w:pPr>
    </w:p>
    <w:p>
      <w:pPr>
        <w:ind w:left="1240" w:right="1279"/>
        <w:spacing w:after="0" w:line="252" w:lineRule="auto"/>
        <w:rPr>
          <w:sz w:val="20"/>
          <w:szCs w:val="20"/>
          <w:color w:val="auto"/>
        </w:rPr>
      </w:pPr>
      <w:r>
        <w:rPr>
          <w:rFonts w:ascii="Times New Roman" w:cs="Times New Roman" w:eastAsia="Times New Roman" w:hAnsi="Times New Roman"/>
          <w:sz w:val="14"/>
          <w:szCs w:val="14"/>
          <w:color w:val="auto"/>
        </w:rPr>
        <w:t>Directors have no obligation under the Certificate of Incorporation or as a result of any duty expressed or implied by law to present Business Opportunities to the Company that may become available to affiliates of such director. None of the Company, any stockholder or any other person has any rights by virtue of a director’s duties as a director or our organizational documents in any business ventures of any director.</w:t>
      </w:r>
    </w:p>
    <w:p>
      <w:pPr>
        <w:spacing w:after="0" w:line="2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Shareholders’ Agreement</w:t>
      </w:r>
    </w:p>
    <w:p>
      <w:pPr>
        <w:spacing w:after="0" w:line="92" w:lineRule="exact"/>
        <w:rPr>
          <w:sz w:val="20"/>
          <w:szCs w:val="20"/>
          <w:color w:val="auto"/>
        </w:rPr>
      </w:pPr>
    </w:p>
    <w:p>
      <w:pPr>
        <w:ind w:left="1240" w:right="1279" w:firstLine="279"/>
        <w:spacing w:after="0" w:line="251" w:lineRule="auto"/>
        <w:rPr>
          <w:sz w:val="20"/>
          <w:szCs w:val="20"/>
          <w:color w:val="auto"/>
        </w:rPr>
      </w:pPr>
      <w:r>
        <w:rPr>
          <w:rFonts w:ascii="Times New Roman" w:cs="Times New Roman" w:eastAsia="Times New Roman" w:hAnsi="Times New Roman"/>
          <w:sz w:val="14"/>
          <w:szCs w:val="14"/>
          <w:color w:val="auto"/>
        </w:rPr>
        <w:t>In connection with our initial public offering, we entered into a shareholders’ agreement (the “Shareholders’ Agreement”) with New Fortress Energy Holdings LLC, Wesley R. Edens and Randal A. Nardone. In connection with the Exchange Transactions, certain of the former members of New Fortress Energy Holdings LLC signed a joinder and became party to the Shareholders’ Agreement. The Shareholders’ Agreement provides the Consenting Entities or their respective affiliates with the right to designate a certain number of individuals to be nominated for election to our board of directors so long as the Consenting Entities and their respective affiliates collectively beneficially own at least 5% of the outstanding Class A common stock and Class B common stock. The Shareholders’ Agreement also provides that the parties to the Shareholders’ Agreement (including certain direct or indirect former members of New Fortress Energy Holdings LLC) (i) shall vote their shares in favor of such nominees and (ii) are entitled to certain registration rights with respect to their Class A common stock. In addition our Certificate of Incorporation provides the Consenting Entities the right to approve certain material transactions so long as the Consenting Entities and their affiliates collectively, directly or indirectly, own at least 30% of the outstanding Class A common stock and Class B common stock.</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99695</wp:posOffset>
            </wp:positionV>
            <wp:extent cx="5412105"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32" w:name="page33"/>
    <w:bookmarkEnd w:id="32"/>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DEPOSITARY SHARES</w:t>
      </w:r>
    </w:p>
    <w:p>
      <w:pPr>
        <w:spacing w:after="0" w:line="92" w:lineRule="exact"/>
        <w:rPr>
          <w:sz w:val="20"/>
          <w:szCs w:val="20"/>
          <w:color w:val="auto"/>
        </w:rPr>
      </w:pPr>
    </w:p>
    <w:p>
      <w:pPr>
        <w:ind w:left="1240" w:right="1379" w:firstLine="279"/>
        <w:spacing w:after="0" w:line="264" w:lineRule="auto"/>
        <w:rPr>
          <w:sz w:val="20"/>
          <w:szCs w:val="20"/>
          <w:color w:val="auto"/>
        </w:rPr>
      </w:pPr>
      <w:r>
        <w:rPr>
          <w:rFonts w:ascii="Times New Roman" w:cs="Times New Roman" w:eastAsia="Times New Roman" w:hAnsi="Times New Roman"/>
          <w:sz w:val="14"/>
          <w:szCs w:val="14"/>
          <w:color w:val="auto"/>
        </w:rPr>
        <w:t>This section describes the general terms and provisions of the depositary shares. The applicable prospectus supplement will describe the specific terms of the depositary shares offered by that prospectus supplement and any general terms outlined in this section that will not apply to those depositary shares.</w:t>
      </w:r>
    </w:p>
    <w:p>
      <w:pPr>
        <w:spacing w:after="0" w:line="54" w:lineRule="exact"/>
        <w:rPr>
          <w:sz w:val="20"/>
          <w:szCs w:val="20"/>
          <w:color w:val="auto"/>
        </w:rPr>
      </w:pPr>
    </w:p>
    <w:p>
      <w:pPr>
        <w:ind w:left="1240" w:right="1419" w:firstLine="279"/>
        <w:spacing w:after="0" w:line="254" w:lineRule="auto"/>
        <w:rPr>
          <w:sz w:val="20"/>
          <w:szCs w:val="20"/>
          <w:color w:val="auto"/>
        </w:rPr>
      </w:pPr>
      <w:r>
        <w:rPr>
          <w:rFonts w:ascii="Times New Roman" w:cs="Times New Roman" w:eastAsia="Times New Roman" w:hAnsi="Times New Roman"/>
          <w:sz w:val="14"/>
          <w:szCs w:val="14"/>
          <w:color w:val="auto"/>
        </w:rPr>
        <w:t>We may issue depositary receipts representing interests in shares of particular series of preferred stock which are called depositary shares. We will deposit the shares of preferred stock of a series which are the subject of depositary shares with a depositary to be named in the applicable prospectus supplement, which will hold the preferred stock for the benefit of the holders of the depositary shares, in accordance with a deposit agreement between the depositary and us. The holders of depositary shares will be entitled to all the rights and preferences of the preferred stock to which the depositary shares relate, including dividend, voting, conversion, redemption and liquidation rights, to the extent of their interests in the preferred stock.</w:t>
      </w:r>
    </w:p>
    <w:p>
      <w:pPr>
        <w:spacing w:after="0" w:line="61" w:lineRule="exact"/>
        <w:rPr>
          <w:sz w:val="20"/>
          <w:szCs w:val="20"/>
          <w:color w:val="auto"/>
        </w:rPr>
      </w:pPr>
    </w:p>
    <w:p>
      <w:pPr>
        <w:jc w:val="both"/>
        <w:ind w:left="1240" w:right="1459" w:firstLine="279"/>
        <w:spacing w:after="0" w:line="264" w:lineRule="auto"/>
        <w:rPr>
          <w:sz w:val="20"/>
          <w:szCs w:val="20"/>
          <w:color w:val="auto"/>
        </w:rPr>
      </w:pPr>
      <w:r>
        <w:rPr>
          <w:rFonts w:ascii="Times New Roman" w:cs="Times New Roman" w:eastAsia="Times New Roman" w:hAnsi="Times New Roman"/>
          <w:sz w:val="14"/>
          <w:szCs w:val="14"/>
          <w:color w:val="auto"/>
        </w:rPr>
        <w:t>While the deposit agreement relating to a particular series of preferred stock may have provisions applicable solely to that series of preferred stock, all deposit agreements relating to preferred stock we issue will include the following provisions:</w:t>
      </w:r>
    </w:p>
    <w:p>
      <w:pPr>
        <w:spacing w:after="0" w:line="13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Dividends and Other Distributions</w:t>
      </w:r>
    </w:p>
    <w:p>
      <w:pPr>
        <w:spacing w:after="0" w:line="92" w:lineRule="exact"/>
        <w:rPr>
          <w:sz w:val="20"/>
          <w:szCs w:val="20"/>
          <w:color w:val="auto"/>
        </w:rPr>
      </w:pPr>
    </w:p>
    <w:p>
      <w:pPr>
        <w:ind w:left="1240" w:right="1259" w:firstLine="279"/>
        <w:spacing w:after="0" w:line="254" w:lineRule="auto"/>
        <w:rPr>
          <w:sz w:val="20"/>
          <w:szCs w:val="20"/>
          <w:color w:val="auto"/>
        </w:rPr>
      </w:pPr>
      <w:r>
        <w:rPr>
          <w:rFonts w:ascii="Times New Roman" w:cs="Times New Roman" w:eastAsia="Times New Roman" w:hAnsi="Times New Roman"/>
          <w:sz w:val="14"/>
          <w:szCs w:val="14"/>
          <w:color w:val="auto"/>
        </w:rPr>
        <w:t>Each time we pay a cash dividend or make any other type of cash distribution with regard to preferred stock of a series, the depositary will distribute to the holder of record of each depositary share relating to that series of preferred stock an amount equal to the dividend or other distribution per depositary share the depositary receives. If there is a distribution of property other than cash, the depositary either will distribute the property to the holders of depositary shares in proportion to the depositary shares held by each of them, or the depositary will, if we approve, sell the property and distribute the net proceeds to the holders of the depositary shares in proportion to the depositary shares held by them.</w:t>
      </w:r>
    </w:p>
    <w:p>
      <w:pPr>
        <w:spacing w:after="0" w:line="1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Withdrawal of Preferred Stock</w:t>
      </w:r>
    </w:p>
    <w:p>
      <w:pPr>
        <w:spacing w:after="0" w:line="92" w:lineRule="exact"/>
        <w:rPr>
          <w:sz w:val="20"/>
          <w:szCs w:val="20"/>
          <w:color w:val="auto"/>
        </w:rPr>
      </w:pPr>
    </w:p>
    <w:p>
      <w:pPr>
        <w:ind w:left="1240" w:right="1539" w:firstLine="279"/>
        <w:spacing w:after="0" w:line="264" w:lineRule="auto"/>
        <w:rPr>
          <w:sz w:val="20"/>
          <w:szCs w:val="20"/>
          <w:color w:val="auto"/>
        </w:rPr>
      </w:pPr>
      <w:r>
        <w:rPr>
          <w:rFonts w:ascii="Times New Roman" w:cs="Times New Roman" w:eastAsia="Times New Roman" w:hAnsi="Times New Roman"/>
          <w:sz w:val="14"/>
          <w:szCs w:val="14"/>
          <w:color w:val="auto"/>
        </w:rPr>
        <w:t>A holder of depositary shares will be entitled to receive, upon surrender of depositary receipts representing depositary shares, the number of whole or fractional shares of the applicable series of preferred stock, and any money or other property, to which the depositary shares relate.</w:t>
      </w:r>
    </w:p>
    <w:p>
      <w:pPr>
        <w:spacing w:after="0" w:line="13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Redemption of Depositary Shares</w:t>
      </w:r>
    </w:p>
    <w:p>
      <w:pPr>
        <w:spacing w:after="0" w:line="92" w:lineRule="exact"/>
        <w:rPr>
          <w:sz w:val="20"/>
          <w:szCs w:val="20"/>
          <w:color w:val="auto"/>
        </w:rPr>
      </w:pPr>
    </w:p>
    <w:p>
      <w:pPr>
        <w:ind w:left="1240" w:right="1279" w:firstLine="279"/>
        <w:spacing w:after="0" w:line="257" w:lineRule="auto"/>
        <w:rPr>
          <w:sz w:val="20"/>
          <w:szCs w:val="20"/>
          <w:color w:val="auto"/>
        </w:rPr>
      </w:pPr>
      <w:r>
        <w:rPr>
          <w:rFonts w:ascii="Times New Roman" w:cs="Times New Roman" w:eastAsia="Times New Roman" w:hAnsi="Times New Roman"/>
          <w:sz w:val="14"/>
          <w:szCs w:val="14"/>
          <w:color w:val="auto"/>
        </w:rPr>
        <w:t>Whenever we redeem shares of preferred stock held by a depositary, the depositary will be required to redeem, on the same redemption date, depositary shares constituting, in total, the number of shares of preferred stock held by the depositary which we redeem, subject to the depositary’s receiving the redemption price of those shares of preferred stock. If fewer than all the depositary shares relating to a series are to be redeemed, the depositary shares to be redeemed will be selected by lot or by another method we determine to be equitable.</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Voting</w:t>
      </w:r>
    </w:p>
    <w:p>
      <w:pPr>
        <w:spacing w:after="0" w:line="92" w:lineRule="exact"/>
        <w:rPr>
          <w:sz w:val="20"/>
          <w:szCs w:val="20"/>
          <w:color w:val="auto"/>
        </w:rPr>
      </w:pPr>
    </w:p>
    <w:p>
      <w:pPr>
        <w:ind w:left="1240" w:right="1279" w:firstLine="279"/>
        <w:spacing w:after="0" w:line="255" w:lineRule="auto"/>
        <w:rPr>
          <w:sz w:val="20"/>
          <w:szCs w:val="20"/>
          <w:color w:val="auto"/>
        </w:rPr>
      </w:pPr>
      <w:r>
        <w:rPr>
          <w:rFonts w:ascii="Times New Roman" w:cs="Times New Roman" w:eastAsia="Times New Roman" w:hAnsi="Times New Roman"/>
          <w:sz w:val="14"/>
          <w:szCs w:val="14"/>
          <w:color w:val="auto"/>
        </w:rPr>
        <w:t>Any time we send a notice of meeting or other materials relating to a meeting to the holders of a series of preferred stock to which depositary shares relate, we will provide the depositary with sufficient copies of those materials so they can be sent to all holders of record of the applicable depositary shares, and the depositary will send those materials to the holders of record of the depositary shares on the record date for the meeting. The depositary will solicit voting instructions from holders of depositary shares and will vote or not vote the preferred stock to which the depositary shares relate in accordance with those instructions.</w:t>
      </w:r>
    </w:p>
    <w:p>
      <w:pPr>
        <w:spacing w:after="0" w:line="1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Liquidation Preference</w:t>
      </w:r>
    </w:p>
    <w:p>
      <w:pPr>
        <w:spacing w:after="0" w:line="92" w:lineRule="exact"/>
        <w:rPr>
          <w:sz w:val="20"/>
          <w:szCs w:val="20"/>
          <w:color w:val="auto"/>
        </w:rPr>
      </w:pPr>
    </w:p>
    <w:p>
      <w:pPr>
        <w:ind w:left="1240" w:right="1299" w:firstLine="279"/>
        <w:spacing w:after="0" w:line="264" w:lineRule="auto"/>
        <w:rPr>
          <w:sz w:val="20"/>
          <w:szCs w:val="20"/>
          <w:color w:val="auto"/>
        </w:rPr>
      </w:pPr>
      <w:r>
        <w:rPr>
          <w:rFonts w:ascii="Times New Roman" w:cs="Times New Roman" w:eastAsia="Times New Roman" w:hAnsi="Times New Roman"/>
          <w:sz w:val="14"/>
          <w:szCs w:val="14"/>
          <w:color w:val="auto"/>
        </w:rPr>
        <w:t>In the event of our liquidation, dissolution or winding up, the holder of each depositary share will be entitled to what the holder of the depositary share would have received if the holder had owned the number of shares (or fraction of a share) of preferred stock which is represented by the depositary share.</w:t>
      </w:r>
    </w:p>
    <w:p>
      <w:pPr>
        <w:spacing w:after="0" w:line="13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Conversion</w:t>
      </w:r>
    </w:p>
    <w:p>
      <w:pPr>
        <w:spacing w:after="0" w:line="92" w:lineRule="exact"/>
        <w:rPr>
          <w:sz w:val="20"/>
          <w:szCs w:val="20"/>
          <w:color w:val="auto"/>
        </w:rPr>
      </w:pPr>
    </w:p>
    <w:p>
      <w:pPr>
        <w:ind w:left="1240" w:right="1419" w:firstLine="279"/>
        <w:spacing w:after="0" w:line="257" w:lineRule="auto"/>
        <w:rPr>
          <w:sz w:val="20"/>
          <w:szCs w:val="20"/>
          <w:color w:val="auto"/>
        </w:rPr>
      </w:pPr>
      <w:r>
        <w:rPr>
          <w:rFonts w:ascii="Times New Roman" w:cs="Times New Roman" w:eastAsia="Times New Roman" w:hAnsi="Times New Roman"/>
          <w:sz w:val="14"/>
          <w:szCs w:val="14"/>
          <w:color w:val="auto"/>
        </w:rPr>
        <w:t>If shares of a series of preferred stock are convertible into Class A common stock or other of our securities or property, holders of depositary shares relating to that series of preferred stock will, if they surrender depositary receipts representing depositary shares and appropriate instructions to convert them, receive the Class A common stock or other securities or property into which the number of shares (or fractions of shares) of preferred stock to which the depositary shares relate could at the time be converted.</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33" w:name="page34"/>
    <w:bookmarkEnd w:id="33"/>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Amendment and Termination of a Deposit Agreement</w:t>
      </w:r>
    </w:p>
    <w:p>
      <w:pPr>
        <w:spacing w:after="0" w:line="92" w:lineRule="exact"/>
        <w:rPr>
          <w:sz w:val="20"/>
          <w:szCs w:val="20"/>
          <w:color w:val="auto"/>
        </w:rPr>
      </w:pPr>
    </w:p>
    <w:p>
      <w:pPr>
        <w:ind w:left="1240" w:right="1299" w:firstLine="279"/>
        <w:spacing w:after="0" w:line="252" w:lineRule="auto"/>
        <w:rPr>
          <w:sz w:val="20"/>
          <w:szCs w:val="20"/>
          <w:color w:val="auto"/>
        </w:rPr>
      </w:pPr>
      <w:r>
        <w:rPr>
          <w:rFonts w:ascii="Times New Roman" w:cs="Times New Roman" w:eastAsia="Times New Roman" w:hAnsi="Times New Roman"/>
          <w:sz w:val="14"/>
          <w:szCs w:val="14"/>
          <w:color w:val="auto"/>
        </w:rPr>
        <w:t>We and the depositary may amend a deposit agreement, except that an amendment which materially and adversely affects the rights of holders of depositary shares, or would be materially and adversely inconsistent with the rights granted to the holders of the preferred stock to which they relate, must be approved by holders of at least two-thirds of the outstanding depositary shares. No amendment will impair the right of a holder of depositary shares to surrender the depositary receipts evidencing those depositary shares and receive the preferred stock to which they relate, except as required to comply with law. We may terminate a deposit agreement with the consent of holders of a majority of the depositary shares to which it relates. Upon termination of a deposit agreement, the depositary will make the whole or fractional shares of preferred stock to which the depositary shares issued under the deposit agreement relate available to the holders of those depositary shares. A deposit agreement will automatically terminate if:</w:t>
      </w:r>
    </w:p>
    <w:p>
      <w:pPr>
        <w:spacing w:after="0" w:line="64" w:lineRule="exact"/>
        <w:rPr>
          <w:sz w:val="20"/>
          <w:szCs w:val="20"/>
          <w:color w:val="auto"/>
        </w:rPr>
      </w:pPr>
    </w:p>
    <w:p>
      <w:pPr>
        <w:ind w:left="1800" w:hanging="276"/>
        <w:spacing w:after="0"/>
        <w:tabs>
          <w:tab w:leader="none" w:pos="18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depositary shares to which it relates have been redeemed or converted; or</w:t>
      </w:r>
    </w:p>
    <w:p>
      <w:pPr>
        <w:spacing w:after="0" w:line="89" w:lineRule="exact"/>
        <w:rPr>
          <w:rFonts w:ascii="Times New Roman" w:cs="Times New Roman" w:eastAsia="Times New Roman" w:hAnsi="Times New Roman"/>
          <w:sz w:val="14"/>
          <w:szCs w:val="14"/>
          <w:color w:val="auto"/>
        </w:rPr>
      </w:pPr>
    </w:p>
    <w:p>
      <w:pPr>
        <w:ind w:left="1800" w:right="1299" w:hanging="276"/>
        <w:spacing w:after="0" w:line="280" w:lineRule="auto"/>
        <w:tabs>
          <w:tab w:leader="none" w:pos="18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has made a final distribution to the holders of the depositary shares issued under the deposit agreement upon our liquidation, dissolution or winding up.</w:t>
      </w:r>
    </w:p>
    <w:p>
      <w:pPr>
        <w:spacing w:after="0" w:line="24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92" w:lineRule="exact"/>
        <w:rPr>
          <w:sz w:val="20"/>
          <w:szCs w:val="20"/>
          <w:color w:val="auto"/>
        </w:rPr>
      </w:pPr>
    </w:p>
    <w:p>
      <w:pPr>
        <w:jc w:val="both"/>
        <w:ind w:left="1240" w:right="1399" w:firstLine="279"/>
        <w:spacing w:after="0" w:line="276" w:lineRule="auto"/>
        <w:rPr>
          <w:sz w:val="20"/>
          <w:szCs w:val="20"/>
          <w:color w:val="auto"/>
        </w:rPr>
      </w:pPr>
      <w:r>
        <w:rPr>
          <w:rFonts w:ascii="Times New Roman" w:cs="Times New Roman" w:eastAsia="Times New Roman" w:hAnsi="Times New Roman"/>
          <w:sz w:val="13"/>
          <w:szCs w:val="13"/>
          <w:color w:val="auto"/>
        </w:rPr>
        <w:t>There will be provisions: (1) requiring the depositary to forward to holders of record of depositary shares any reports or communications from us which the depositary receives with respect to the preferred stock to which the depositary shares relate; (2) regarding compensation of the depositary; (3) regarding resignation of the depositary;</w:t>
      </w:r>
    </w:p>
    <w:p>
      <w:pPr>
        <w:spacing w:after="0" w:line="1" w:lineRule="exact"/>
        <w:rPr>
          <w:sz w:val="20"/>
          <w:szCs w:val="20"/>
          <w:color w:val="auto"/>
        </w:rPr>
      </w:pPr>
    </w:p>
    <w:p>
      <w:pPr>
        <w:ind w:left="1240" w:right="1459" w:firstLine="5"/>
        <w:spacing w:after="0" w:line="253" w:lineRule="auto"/>
        <w:tabs>
          <w:tab w:leader="none" w:pos="143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liability and the liability of the depositary under the deposit agreement (usually to failure to act in good faith, gross negligence or willful misconduct); and (5) indemnifying the depositary against certain possible liabilities.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99695</wp:posOffset>
            </wp:positionV>
            <wp:extent cx="5412105"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34" w:name="page35"/>
    <w:bookmarkEnd w:id="34"/>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92" w:lineRule="exact"/>
        <w:rPr>
          <w:sz w:val="20"/>
          <w:szCs w:val="20"/>
          <w:color w:val="auto"/>
        </w:rPr>
      </w:pPr>
    </w:p>
    <w:p>
      <w:pPr>
        <w:ind w:left="1240" w:right="1459" w:firstLine="279"/>
        <w:spacing w:after="0" w:line="280" w:lineRule="auto"/>
        <w:rPr>
          <w:sz w:val="20"/>
          <w:szCs w:val="20"/>
          <w:color w:val="auto"/>
        </w:rPr>
      </w:pPr>
      <w:r>
        <w:rPr>
          <w:rFonts w:ascii="Times New Roman" w:cs="Times New Roman" w:eastAsia="Times New Roman" w:hAnsi="Times New Roman"/>
          <w:sz w:val="14"/>
          <w:szCs w:val="14"/>
          <w:color w:val="auto"/>
        </w:rPr>
        <w:t>We may offer debt securities in one or more series, which may be senior debt securities or subordinated debt securities and which may be convertible into another security.</w:t>
      </w:r>
    </w:p>
    <w:p>
      <w:pPr>
        <w:spacing w:after="0" w:line="42" w:lineRule="exact"/>
        <w:rPr>
          <w:sz w:val="20"/>
          <w:szCs w:val="20"/>
          <w:color w:val="auto"/>
        </w:rPr>
      </w:pPr>
    </w:p>
    <w:p>
      <w:pPr>
        <w:ind w:left="1240" w:right="1299" w:firstLine="279"/>
        <w:spacing w:after="0" w:line="274" w:lineRule="auto"/>
        <w:rPr>
          <w:sz w:val="20"/>
          <w:szCs w:val="20"/>
          <w:color w:val="auto"/>
        </w:rPr>
      </w:pPr>
      <w:r>
        <w:rPr>
          <w:rFonts w:ascii="Times New Roman" w:cs="Times New Roman" w:eastAsia="Times New Roman" w:hAnsi="Times New Roman"/>
          <w:sz w:val="13"/>
          <w:szCs w:val="13"/>
          <w:color w:val="auto"/>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U.S. Bank Trust Company, National Association (as successor to U.S. Bank, National Association), as trustee, or such other trustee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48" w:lineRule="exact"/>
        <w:rPr>
          <w:sz w:val="20"/>
          <w:szCs w:val="20"/>
          <w:color w:val="auto"/>
        </w:rPr>
      </w:pPr>
    </w:p>
    <w:p>
      <w:pPr>
        <w:ind w:left="1240" w:right="1439" w:firstLine="279"/>
        <w:spacing w:after="0" w:line="264" w:lineRule="auto"/>
        <w:rPr>
          <w:sz w:val="20"/>
          <w:szCs w:val="20"/>
          <w:color w:val="auto"/>
        </w:rPr>
      </w:pPr>
      <w:r>
        <w:rPr>
          <w:rFonts w:ascii="Times New Roman" w:cs="Times New Roman" w:eastAsia="Times New Roman" w:hAnsi="Times New Roman"/>
          <w:sz w:val="14"/>
          <w:szCs w:val="14"/>
          <w:color w:val="auto"/>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spacing w:after="0" w:line="43" w:lineRule="exact"/>
        <w:rPr>
          <w:sz w:val="20"/>
          <w:szCs w:val="20"/>
          <w:color w:val="auto"/>
        </w:rPr>
      </w:pPr>
    </w:p>
    <w:p>
      <w:pPr>
        <w:ind w:left="1800" w:right="1559" w:hanging="276"/>
        <w:spacing w:after="0" w:line="280" w:lineRule="auto"/>
        <w:tabs>
          <w:tab w:leader="none" w:pos="1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aggregate principal amount of the debt securities and any limit on the aggregate principal amount of such series;</w:t>
      </w:r>
    </w:p>
    <w:p>
      <w:pPr>
        <w:spacing w:after="0" w:line="31"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subordination provisions for any subordinated debt securities;</w:t>
      </w:r>
    </w:p>
    <w:p>
      <w:pPr>
        <w:spacing w:after="0" w:line="68"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date(s) or method for determining same;</w:t>
      </w:r>
    </w:p>
    <w:p>
      <w:pPr>
        <w:spacing w:after="0" w:line="7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or the method for determining same;</w:t>
      </w:r>
    </w:p>
    <w:p>
      <w:pPr>
        <w:spacing w:after="0" w:line="79" w:lineRule="exact"/>
        <w:rPr>
          <w:rFonts w:ascii="Times New Roman" w:cs="Times New Roman" w:eastAsia="Times New Roman" w:hAnsi="Times New Roman"/>
          <w:sz w:val="14"/>
          <w:szCs w:val="14"/>
          <w:color w:val="auto"/>
        </w:rPr>
      </w:pPr>
    </w:p>
    <w:p>
      <w:pPr>
        <w:ind w:left="1800" w:right="1419" w:hanging="276"/>
        <w:spacing w:after="0" w:line="264" w:lineRule="auto"/>
        <w:tabs>
          <w:tab w:leader="none" w:pos="1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32" w:lineRule="exact"/>
        <w:rPr>
          <w:rFonts w:ascii="Times New Roman" w:cs="Times New Roman" w:eastAsia="Times New Roman" w:hAnsi="Times New Roman"/>
          <w:sz w:val="14"/>
          <w:szCs w:val="14"/>
          <w:color w:val="auto"/>
        </w:rPr>
      </w:pPr>
    </w:p>
    <w:p>
      <w:pPr>
        <w:ind w:left="1800" w:right="1319" w:hanging="276"/>
        <w:spacing w:after="0" w:line="280" w:lineRule="auto"/>
        <w:tabs>
          <w:tab w:leader="none" w:pos="1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convertible or exchangeable into other securities and any related terms and conditions;</w:t>
      </w:r>
    </w:p>
    <w:p>
      <w:pPr>
        <w:spacing w:after="0" w:line="31"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or early repayment provisions;</w:t>
      </w:r>
    </w:p>
    <w:p>
      <w:pPr>
        <w:spacing w:after="0" w:line="7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authorized denominations;</w:t>
      </w:r>
    </w:p>
    <w:p>
      <w:pPr>
        <w:spacing w:after="0" w:line="68"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the principal amount of debt securities payable upon acceleration;</w:t>
      </w:r>
    </w:p>
    <w:p>
      <w:pPr>
        <w:spacing w:after="0" w:line="79" w:lineRule="exact"/>
        <w:rPr>
          <w:rFonts w:ascii="Times New Roman" w:cs="Times New Roman" w:eastAsia="Times New Roman" w:hAnsi="Times New Roman"/>
          <w:sz w:val="14"/>
          <w:szCs w:val="14"/>
          <w:color w:val="auto"/>
        </w:rPr>
      </w:pPr>
    </w:p>
    <w:p>
      <w:pPr>
        <w:ind w:left="1800" w:right="1259" w:hanging="276"/>
        <w:spacing w:after="0" w:line="280" w:lineRule="auto"/>
        <w:tabs>
          <w:tab w:leader="none" w:pos="1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place(s) where payment of principal and interest may be made, where debt securities may be presented and where notices or demands upon the company may be made;</w:t>
      </w:r>
    </w:p>
    <w:p>
      <w:pPr>
        <w:spacing w:after="0" w:line="31" w:lineRule="exact"/>
        <w:rPr>
          <w:rFonts w:ascii="Times New Roman" w:cs="Times New Roman" w:eastAsia="Times New Roman" w:hAnsi="Times New Roman"/>
          <w:sz w:val="14"/>
          <w:szCs w:val="14"/>
          <w:color w:val="auto"/>
        </w:rPr>
      </w:pPr>
    </w:p>
    <w:p>
      <w:pPr>
        <w:ind w:left="1800" w:right="1759" w:hanging="276"/>
        <w:spacing w:after="0" w:line="280" w:lineRule="auto"/>
        <w:tabs>
          <w:tab w:leader="none" w:pos="1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or forms of the debt securities of the series including such legends as may be required by applicable law;</w:t>
      </w:r>
    </w:p>
    <w:p>
      <w:pPr>
        <w:spacing w:after="0" w:line="21" w:lineRule="exact"/>
        <w:rPr>
          <w:rFonts w:ascii="Times New Roman" w:cs="Times New Roman" w:eastAsia="Times New Roman" w:hAnsi="Times New Roman"/>
          <w:sz w:val="14"/>
          <w:szCs w:val="14"/>
          <w:color w:val="auto"/>
        </w:rPr>
      </w:pPr>
    </w:p>
    <w:p>
      <w:pPr>
        <w:ind w:left="1800" w:right="1419" w:hanging="276"/>
        <w:spacing w:after="0" w:line="280" w:lineRule="auto"/>
        <w:tabs>
          <w:tab w:leader="none" w:pos="1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whole or in part in the form of one or more global securities and the date as of which the securities are dated if other than the date of original issuance;</w:t>
      </w:r>
    </w:p>
    <w:p>
      <w:pPr>
        <w:spacing w:after="0" w:line="31"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secured and the terms of such security;</w:t>
      </w:r>
    </w:p>
    <w:p>
      <w:pPr>
        <w:spacing w:after="0" w:line="7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discount or premium, if any, with which the debt securities will be issued;</w:t>
      </w:r>
    </w:p>
    <w:p>
      <w:pPr>
        <w:spacing w:after="0" w:line="68"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covenants applicable to the particular debt securities being issued;</w:t>
      </w:r>
    </w:p>
    <w:p>
      <w:pPr>
        <w:spacing w:after="0" w:line="79" w:lineRule="exact"/>
        <w:rPr>
          <w:rFonts w:ascii="Times New Roman" w:cs="Times New Roman" w:eastAsia="Times New Roman" w:hAnsi="Times New Roman"/>
          <w:sz w:val="14"/>
          <w:szCs w:val="14"/>
          <w:color w:val="auto"/>
        </w:rPr>
      </w:pPr>
    </w:p>
    <w:p>
      <w:pPr>
        <w:ind w:left="1800" w:right="1459" w:hanging="276"/>
        <w:spacing w:after="0" w:line="280" w:lineRule="auto"/>
        <w:tabs>
          <w:tab w:leader="none" w:pos="1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additions or changes in the defaults and events of default applicable to the particular debt securities being issued;</w:t>
      </w:r>
    </w:p>
    <w:p>
      <w:pPr>
        <w:spacing w:after="0" w:line="21" w:lineRule="exact"/>
        <w:rPr>
          <w:rFonts w:ascii="Times New Roman" w:cs="Times New Roman" w:eastAsia="Times New Roman" w:hAnsi="Times New Roman"/>
          <w:sz w:val="14"/>
          <w:szCs w:val="14"/>
          <w:color w:val="auto"/>
        </w:rPr>
      </w:pPr>
    </w:p>
    <w:p>
      <w:pPr>
        <w:ind w:left="1800" w:right="1599" w:hanging="276"/>
        <w:spacing w:after="0" w:line="280" w:lineRule="auto"/>
        <w:tabs>
          <w:tab w:leader="none" w:pos="1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guarantors of each series, if any, and the extent of the guarantees (including provisions relating to seniority, subordination and release of the guarantees), if any;</w:t>
      </w:r>
    </w:p>
    <w:p>
      <w:pPr>
        <w:spacing w:after="0" w:line="31" w:lineRule="exact"/>
        <w:rPr>
          <w:rFonts w:ascii="Times New Roman" w:cs="Times New Roman" w:eastAsia="Times New Roman" w:hAnsi="Times New Roman"/>
          <w:sz w:val="14"/>
          <w:szCs w:val="14"/>
          <w:color w:val="auto"/>
        </w:rPr>
      </w:pPr>
    </w:p>
    <w:p>
      <w:pPr>
        <w:ind w:left="1800" w:right="1779" w:hanging="276"/>
        <w:spacing w:after="0" w:line="280" w:lineRule="auto"/>
        <w:tabs>
          <w:tab w:leader="none" w:pos="1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currencies or currency units in which the purchase price for, the principal of and any premium and any interest on, the debt securities will be payable;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99695</wp:posOffset>
            </wp:positionV>
            <wp:extent cx="5412105" cy="13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35" w:name="page36"/>
    <w:bookmarkEnd w:id="35"/>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ind w:left="1800" w:right="1519" w:hanging="276"/>
        <w:spacing w:after="0" w:line="280" w:lineRule="auto"/>
        <w:tabs>
          <w:tab w:leader="none" w:pos="18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period within which, the manner in which and the terms and conditions upon which we or the holders of the debt securities can select the payment currency;</w:t>
      </w:r>
    </w:p>
    <w:p>
      <w:pPr>
        <w:spacing w:after="0" w:line="31" w:lineRule="exact"/>
        <w:rPr>
          <w:rFonts w:ascii="Times New Roman" w:cs="Times New Roman" w:eastAsia="Times New Roman" w:hAnsi="Times New Roman"/>
          <w:sz w:val="14"/>
          <w:szCs w:val="14"/>
          <w:color w:val="auto"/>
        </w:rPr>
      </w:pPr>
    </w:p>
    <w:p>
      <w:pPr>
        <w:ind w:left="1800" w:right="1399" w:hanging="276"/>
        <w:spacing w:after="0" w:line="280" w:lineRule="auto"/>
        <w:tabs>
          <w:tab w:leader="none" w:pos="18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or right to redeem, purchase or repay debt securities under a sinking fund, amortization or analogous provision;</w:t>
      </w:r>
    </w:p>
    <w:p>
      <w:pPr>
        <w:spacing w:after="0" w:line="31"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 or conditions on the transferability of the debt securities;</w:t>
      </w:r>
    </w:p>
    <w:p>
      <w:pPr>
        <w:spacing w:after="0" w:line="68"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granting special rights to holders of the debt securities upon occurrence of specified events;</w:t>
      </w:r>
    </w:p>
    <w:p>
      <w:pPr>
        <w:spacing w:after="0" w:line="79" w:lineRule="exact"/>
        <w:rPr>
          <w:rFonts w:ascii="Times New Roman" w:cs="Times New Roman" w:eastAsia="Times New Roman" w:hAnsi="Times New Roman"/>
          <w:sz w:val="14"/>
          <w:szCs w:val="14"/>
          <w:color w:val="auto"/>
        </w:rPr>
      </w:pPr>
    </w:p>
    <w:p>
      <w:pPr>
        <w:ind w:left="1800" w:right="1759" w:hanging="276"/>
        <w:spacing w:after="0" w:line="280" w:lineRule="auto"/>
        <w:tabs>
          <w:tab w:leader="none" w:pos="18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changes relating to compensation or reimbursement of the trustee of the series of debt securities;</w:t>
      </w:r>
    </w:p>
    <w:p>
      <w:pPr>
        <w:spacing w:after="0" w:line="31" w:lineRule="exact"/>
        <w:rPr>
          <w:rFonts w:ascii="Times New Roman" w:cs="Times New Roman" w:eastAsia="Times New Roman" w:hAnsi="Times New Roman"/>
          <w:sz w:val="14"/>
          <w:szCs w:val="14"/>
          <w:color w:val="auto"/>
        </w:rPr>
      </w:pPr>
    </w:p>
    <w:p>
      <w:pPr>
        <w:jc w:val="both"/>
        <w:ind w:left="1800" w:right="1479" w:hanging="276"/>
        <w:spacing w:after="0" w:line="264" w:lineRule="auto"/>
        <w:tabs>
          <w:tab w:leader="none" w:pos="18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relating to the modification of the indenture both with and without the consent of holders of debt securities issued under the indenture and the execution of supplemental indentures for such series; and</w:t>
      </w:r>
    </w:p>
    <w:p>
      <w:pPr>
        <w:spacing w:after="0" w:line="32" w:lineRule="exact"/>
        <w:rPr>
          <w:rFonts w:ascii="Times New Roman" w:cs="Times New Roman" w:eastAsia="Times New Roman" w:hAnsi="Times New Roman"/>
          <w:sz w:val="14"/>
          <w:szCs w:val="14"/>
          <w:color w:val="auto"/>
        </w:rPr>
      </w:pPr>
    </w:p>
    <w:p>
      <w:pPr>
        <w:ind w:left="1800" w:right="1259" w:hanging="276"/>
        <w:spacing w:after="0" w:line="264" w:lineRule="auto"/>
        <w:tabs>
          <w:tab w:leader="none" w:pos="18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13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2" w:lineRule="exact"/>
        <w:rPr>
          <w:sz w:val="20"/>
          <w:szCs w:val="20"/>
          <w:color w:val="auto"/>
        </w:rPr>
      </w:pPr>
    </w:p>
    <w:p>
      <w:pPr>
        <w:ind w:left="1240" w:right="1299" w:firstLine="279"/>
        <w:spacing w:after="0" w:line="257" w:lineRule="auto"/>
        <w:rPr>
          <w:sz w:val="20"/>
          <w:szCs w:val="20"/>
          <w:color w:val="auto"/>
        </w:rPr>
      </w:pPr>
      <w:r>
        <w:rPr>
          <w:rFonts w:ascii="Times New Roman" w:cs="Times New Roman" w:eastAsia="Times New Roman" w:hAnsi="Times New Roman"/>
          <w:sz w:val="14"/>
          <w:szCs w:val="14"/>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5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We will describe in an accompanying prospectus supplement any other special considerations for any</w:t>
      </w:r>
    </w:p>
    <w:p>
      <w:pPr>
        <w:spacing w:after="0" w:line="21" w:lineRule="exact"/>
        <w:rPr>
          <w:sz w:val="20"/>
          <w:szCs w:val="20"/>
          <w:color w:val="auto"/>
        </w:rPr>
      </w:pPr>
    </w:p>
    <w:p>
      <w:pPr>
        <w:ind w:left="1240" w:right="1259"/>
        <w:spacing w:after="0" w:line="250" w:lineRule="auto"/>
        <w:rPr>
          <w:sz w:val="20"/>
          <w:szCs w:val="20"/>
          <w:color w:val="auto"/>
        </w:rPr>
      </w:pPr>
      <w:r>
        <w:rPr>
          <w:rFonts w:ascii="Times New Roman" w:cs="Times New Roman" w:eastAsia="Times New Roman" w:hAnsi="Times New Roman"/>
          <w:sz w:val="14"/>
          <w:szCs w:val="14"/>
          <w:color w:val="auto"/>
        </w:rPr>
        <w:t>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64" w:lineRule="exact"/>
        <w:rPr>
          <w:sz w:val="20"/>
          <w:szCs w:val="20"/>
          <w:color w:val="auto"/>
        </w:rPr>
      </w:pPr>
    </w:p>
    <w:p>
      <w:pPr>
        <w:ind w:left="1240" w:right="1339" w:firstLine="279"/>
        <w:spacing w:after="0" w:line="280" w:lineRule="auto"/>
        <w:rPr>
          <w:sz w:val="20"/>
          <w:szCs w:val="20"/>
          <w:color w:val="auto"/>
        </w:rPr>
      </w:pPr>
      <w:r>
        <w:rPr>
          <w:rFonts w:ascii="Times New Roman" w:cs="Times New Roman" w:eastAsia="Times New Roman" w:hAnsi="Times New Roman"/>
          <w:sz w:val="14"/>
          <w:szCs w:val="14"/>
          <w:color w:val="auto"/>
        </w:rPr>
        <w:t>United States federal income tax consequences and special considerations, if any, applicable to any such series will be described in an accompanying prospectus supplement.</w:t>
      </w:r>
    </w:p>
    <w:p>
      <w:pPr>
        <w:spacing w:after="0" w:line="42" w:lineRule="exact"/>
        <w:rPr>
          <w:sz w:val="20"/>
          <w:szCs w:val="20"/>
          <w:color w:val="auto"/>
        </w:rPr>
      </w:pPr>
    </w:p>
    <w:p>
      <w:pPr>
        <w:ind w:left="1240" w:right="1279" w:firstLine="279"/>
        <w:spacing w:after="0" w:line="257" w:lineRule="auto"/>
        <w:rPr>
          <w:sz w:val="20"/>
          <w:szCs w:val="20"/>
          <w:color w:val="auto"/>
        </w:rPr>
      </w:pPr>
      <w:r>
        <w:rPr>
          <w:rFonts w:ascii="Times New Roman" w:cs="Times New Roman" w:eastAsia="Times New Roman" w:hAnsi="Times New Roman"/>
          <w:sz w:val="14"/>
          <w:szCs w:val="14"/>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92" w:lineRule="exact"/>
        <w:rPr>
          <w:sz w:val="20"/>
          <w:szCs w:val="20"/>
          <w:color w:val="auto"/>
        </w:rPr>
      </w:pPr>
    </w:p>
    <w:p>
      <w:pPr>
        <w:ind w:left="1240" w:right="1279" w:firstLine="279"/>
        <w:spacing w:after="0" w:line="254" w:lineRule="auto"/>
        <w:rPr>
          <w:sz w:val="20"/>
          <w:szCs w:val="20"/>
          <w:color w:val="auto"/>
        </w:rPr>
      </w:pPr>
      <w:r>
        <w:rPr>
          <w:rFonts w:ascii="Times New Roman" w:cs="Times New Roman" w:eastAsia="Times New Roman" w:hAnsi="Times New Roman"/>
          <w:sz w:val="14"/>
          <w:szCs w:val="14"/>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1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2" w:lineRule="exact"/>
        <w:rPr>
          <w:sz w:val="20"/>
          <w:szCs w:val="20"/>
          <w:color w:val="auto"/>
        </w:rPr>
      </w:pPr>
    </w:p>
    <w:p>
      <w:pPr>
        <w:ind w:left="1240" w:right="1499" w:firstLine="279"/>
        <w:spacing w:after="0" w:line="280" w:lineRule="auto"/>
        <w:rPr>
          <w:sz w:val="20"/>
          <w:szCs w:val="20"/>
          <w:color w:val="auto"/>
        </w:rPr>
      </w:pPr>
      <w:r>
        <w:rPr>
          <w:rFonts w:ascii="Times New Roman" w:cs="Times New Roman" w:eastAsia="Times New Roman" w:hAnsi="Times New Roman"/>
          <w:sz w:val="14"/>
          <w:szCs w:val="14"/>
          <w:color w:val="auto"/>
        </w:rPr>
        <w:t>The indenture and the debt securities shall be construed in accordance with and governed by the laws of the State of New York.</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36" w:name="page37"/>
    <w:bookmarkEnd w:id="36"/>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92" w:lineRule="exact"/>
        <w:rPr>
          <w:sz w:val="20"/>
          <w:szCs w:val="20"/>
          <w:color w:val="auto"/>
        </w:rPr>
      </w:pPr>
    </w:p>
    <w:p>
      <w:pPr>
        <w:ind w:left="1240" w:right="1399" w:firstLine="279"/>
        <w:spacing w:after="0" w:line="255" w:lineRule="auto"/>
        <w:rPr>
          <w:sz w:val="20"/>
          <w:szCs w:val="20"/>
          <w:color w:val="auto"/>
        </w:rPr>
      </w:pPr>
      <w:r>
        <w:rPr>
          <w:rFonts w:ascii="Times New Roman" w:cs="Times New Roman" w:eastAsia="Times New Roman" w:hAnsi="Times New Roman"/>
          <w:sz w:val="14"/>
          <w:szCs w:val="14"/>
          <w:color w:val="auto"/>
        </w:rPr>
        <w:t>We may issue warrants for the purchase of shares of our Class A common stock, shares of our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60" w:lineRule="exact"/>
        <w:rPr>
          <w:sz w:val="20"/>
          <w:szCs w:val="20"/>
          <w:color w:val="auto"/>
        </w:rPr>
      </w:pPr>
    </w:p>
    <w:p>
      <w:pPr>
        <w:ind w:left="1240" w:right="1399" w:firstLine="279"/>
        <w:spacing w:after="0" w:line="280" w:lineRule="auto"/>
        <w:rPr>
          <w:sz w:val="20"/>
          <w:szCs w:val="20"/>
          <w:color w:val="auto"/>
        </w:rPr>
      </w:pPr>
      <w:r>
        <w:rPr>
          <w:rFonts w:ascii="Times New Roman" w:cs="Times New Roman" w:eastAsia="Times New Roman" w:hAnsi="Times New Roman"/>
          <w:sz w:val="14"/>
          <w:szCs w:val="14"/>
          <w:color w:val="auto"/>
        </w:rPr>
        <w:t>The prospectus supplement relating to a particular issue of warrants will describe the terms of those warrants, including, when applicable:</w:t>
      </w:r>
    </w:p>
    <w:p>
      <w:pPr>
        <w:spacing w:after="0" w:line="42" w:lineRule="exact"/>
        <w:rPr>
          <w:sz w:val="20"/>
          <w:szCs w:val="20"/>
          <w:color w:val="auto"/>
        </w:rPr>
      </w:pPr>
    </w:p>
    <w:p>
      <w:pPr>
        <w:ind w:left="1800" w:hanging="276"/>
        <w:spacing w:after="0"/>
        <w:tabs>
          <w:tab w:leader="none" w:pos="18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w:t>
      </w:r>
    </w:p>
    <w:p>
      <w:pPr>
        <w:spacing w:after="0" w:line="89" w:lineRule="exact"/>
        <w:rPr>
          <w:rFonts w:ascii="Times New Roman" w:cs="Times New Roman" w:eastAsia="Times New Roman" w:hAnsi="Times New Roman"/>
          <w:sz w:val="14"/>
          <w:szCs w:val="14"/>
          <w:color w:val="auto"/>
        </w:rPr>
      </w:pPr>
    </w:p>
    <w:p>
      <w:pPr>
        <w:ind w:left="1800" w:right="1479" w:hanging="276"/>
        <w:spacing w:after="0" w:line="280" w:lineRule="auto"/>
        <w:tabs>
          <w:tab w:leader="none" w:pos="18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including composite currencies, in which the purchase price and/or exercise price of the warrants may be payable;</w:t>
      </w:r>
    </w:p>
    <w:p>
      <w:pPr>
        <w:spacing w:after="0" w:line="42"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warrants offered;</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and the amount of securities you will receive upon exercise;</w:t>
      </w:r>
    </w:p>
    <w:p>
      <w:pPr>
        <w:spacing w:after="0" w:line="89" w:lineRule="exact"/>
        <w:rPr>
          <w:rFonts w:ascii="Times New Roman" w:cs="Times New Roman" w:eastAsia="Times New Roman" w:hAnsi="Times New Roman"/>
          <w:sz w:val="14"/>
          <w:szCs w:val="14"/>
          <w:color w:val="auto"/>
        </w:rPr>
      </w:pPr>
    </w:p>
    <w:p>
      <w:pPr>
        <w:ind w:left="1800" w:right="1359" w:hanging="276"/>
        <w:spacing w:after="0" w:line="280" w:lineRule="auto"/>
        <w:tabs>
          <w:tab w:leader="none" w:pos="18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 for exercise of the warrants and the circumstances, if any, that will cause the warrants to be automatically exercised;</w:t>
      </w:r>
    </w:p>
    <w:p>
      <w:pPr>
        <w:spacing w:after="0" w:line="42"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if any, we have to redeem the warrants;</w:t>
      </w:r>
    </w:p>
    <w:p>
      <w:pPr>
        <w:spacing w:after="0" w:line="89" w:lineRule="exact"/>
        <w:rPr>
          <w:rFonts w:ascii="Times New Roman" w:cs="Times New Roman" w:eastAsia="Times New Roman" w:hAnsi="Times New Roman"/>
          <w:sz w:val="14"/>
          <w:szCs w:val="14"/>
          <w:color w:val="auto"/>
        </w:rPr>
      </w:pPr>
    </w:p>
    <w:p>
      <w:pPr>
        <w:ind w:left="1800" w:right="1259" w:hanging="276"/>
        <w:spacing w:after="0" w:line="280" w:lineRule="auto"/>
        <w:tabs>
          <w:tab w:leader="none" w:pos="18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commence and the date on which the warrants will expire;</w:t>
      </w:r>
    </w:p>
    <w:p>
      <w:pPr>
        <w:spacing w:after="0" w:line="42"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warrant agent; and</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material terms of the warrants.</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Each issue of warrants will be evidenced by warrant certificates. After warrants expire they will become void.</w:t>
      </w:r>
    </w:p>
    <w:p>
      <w:pPr>
        <w:spacing w:after="0" w:line="2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The prospectus supplement may provide for the adjustment of the exercise price of the warrants.</w:t>
      </w:r>
    </w:p>
    <w:p>
      <w:pPr>
        <w:spacing w:after="0" w:line="75" w:lineRule="exact"/>
        <w:rPr>
          <w:sz w:val="20"/>
          <w:szCs w:val="20"/>
          <w:color w:val="auto"/>
        </w:rPr>
      </w:pPr>
    </w:p>
    <w:p>
      <w:pPr>
        <w:jc w:val="both"/>
        <w:ind w:left="1240" w:right="1519" w:firstLine="279"/>
        <w:spacing w:after="0" w:line="259" w:lineRule="auto"/>
        <w:rPr>
          <w:sz w:val="20"/>
          <w:szCs w:val="20"/>
          <w:color w:val="auto"/>
        </w:rPr>
      </w:pPr>
      <w:r>
        <w:rPr>
          <w:rFonts w:ascii="Times New Roman" w:cs="Times New Roman" w:eastAsia="Times New Roman" w:hAnsi="Times New Roman"/>
          <w:sz w:val="14"/>
          <w:szCs w:val="14"/>
          <w:color w:val="auto"/>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spacing w:after="0" w:line="57" w:lineRule="exact"/>
        <w:rPr>
          <w:sz w:val="20"/>
          <w:szCs w:val="20"/>
          <w:color w:val="auto"/>
        </w:rPr>
      </w:pPr>
    </w:p>
    <w:p>
      <w:pPr>
        <w:ind w:left="1240" w:right="1339" w:firstLine="279"/>
        <w:spacing w:after="0" w:line="257" w:lineRule="auto"/>
        <w:rPr>
          <w:sz w:val="20"/>
          <w:szCs w:val="20"/>
          <w:color w:val="auto"/>
        </w:rPr>
      </w:pPr>
      <w:r>
        <w:rPr>
          <w:rFonts w:ascii="Times New Roman" w:cs="Times New Roman" w:eastAsia="Times New Roman" w:hAnsi="Times New Roman"/>
          <w:sz w:val="14"/>
          <w:szCs w:val="14"/>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37" w:name="page38"/>
    <w:bookmarkEnd w:id="37"/>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92" w:lineRule="exact"/>
        <w:rPr>
          <w:sz w:val="20"/>
          <w:szCs w:val="20"/>
          <w:color w:val="auto"/>
        </w:rPr>
      </w:pPr>
    </w:p>
    <w:p>
      <w:pPr>
        <w:ind w:left="1240" w:right="1359" w:firstLine="279"/>
        <w:spacing w:after="0" w:line="259" w:lineRule="auto"/>
        <w:rPr>
          <w:sz w:val="20"/>
          <w:szCs w:val="20"/>
          <w:color w:val="auto"/>
        </w:rPr>
      </w:pPr>
      <w:r>
        <w:rPr>
          <w:rFonts w:ascii="Times New Roman" w:cs="Times New Roman" w:eastAsia="Times New Roman" w:hAnsi="Times New Roman"/>
          <w:sz w:val="14"/>
          <w:szCs w:val="14"/>
          <w:color w:val="auto"/>
        </w:rPr>
        <w:t>This prospectus also relates to the offer and sale from time to time of up to 114,670,972 shares of Class A common stock by certain of our stockholders identified in the table below, who we refer to in this prospectus as the “selling stockholders.” The selling stockholders identified below may currently hold or acquire at any time Class A common stock in addition to those registered hereby.</w:t>
      </w:r>
    </w:p>
    <w:p>
      <w:pPr>
        <w:spacing w:after="0" w:line="57" w:lineRule="exact"/>
        <w:rPr>
          <w:sz w:val="20"/>
          <w:szCs w:val="20"/>
          <w:color w:val="auto"/>
        </w:rPr>
      </w:pPr>
    </w:p>
    <w:p>
      <w:pPr>
        <w:jc w:val="both"/>
        <w:ind w:left="1240" w:right="1519" w:firstLine="279"/>
        <w:spacing w:after="0" w:line="276" w:lineRule="auto"/>
        <w:rPr>
          <w:sz w:val="20"/>
          <w:szCs w:val="20"/>
          <w:color w:val="auto"/>
        </w:rPr>
      </w:pPr>
      <w:r>
        <w:rPr>
          <w:rFonts w:ascii="Times New Roman" w:cs="Times New Roman" w:eastAsia="Times New Roman" w:hAnsi="Times New Roman"/>
          <w:sz w:val="13"/>
          <w:szCs w:val="13"/>
          <w:color w:val="auto"/>
        </w:rPr>
        <w:t>Beneficial ownership is determined in accordance with the rules of the SEC. These rules generally attribute beneficial ownership of securities to persons who possess sole or shared voting power or investment power with respect to such securities, and to persons who have a right to acquire such securities, generally within 60 days.</w:t>
      </w:r>
    </w:p>
    <w:p>
      <w:pPr>
        <w:spacing w:after="0" w:line="1" w:lineRule="exact"/>
        <w:rPr>
          <w:sz w:val="20"/>
          <w:szCs w:val="20"/>
          <w:color w:val="auto"/>
        </w:rPr>
      </w:pPr>
    </w:p>
    <w:p>
      <w:pPr>
        <w:jc w:val="both"/>
        <w:ind w:left="1240" w:right="1459"/>
        <w:spacing w:after="0" w:line="253" w:lineRule="auto"/>
        <w:rPr>
          <w:sz w:val="20"/>
          <w:szCs w:val="20"/>
          <w:color w:val="auto"/>
        </w:rPr>
      </w:pPr>
      <w:r>
        <w:rPr>
          <w:rFonts w:ascii="Times New Roman" w:cs="Times New Roman" w:eastAsia="Times New Roman" w:hAnsi="Times New Roman"/>
          <w:sz w:val="14"/>
          <w:szCs w:val="14"/>
          <w:color w:val="auto"/>
        </w:rPr>
        <w:t>Except as otherwise indicated, all persons listed below have sole voting and investment power with respect to the shares beneficially owned by them. Unless otherwise noted, the mailing address of each listed beneficial owner is 111 W. 19th Street, 8th Floor, New York, New York 10011.</w:t>
      </w:r>
    </w:p>
    <w:p>
      <w:pPr>
        <w:spacing w:after="0" w:line="61" w:lineRule="exact"/>
        <w:rPr>
          <w:sz w:val="20"/>
          <w:szCs w:val="20"/>
          <w:color w:val="auto"/>
        </w:rPr>
      </w:pPr>
    </w:p>
    <w:p>
      <w:pPr>
        <w:ind w:left="1240" w:right="1399" w:firstLine="279"/>
        <w:spacing w:after="0" w:line="259" w:lineRule="auto"/>
        <w:rPr>
          <w:sz w:val="20"/>
          <w:szCs w:val="20"/>
          <w:color w:val="auto"/>
        </w:rPr>
      </w:pPr>
      <w:r>
        <w:rPr>
          <w:rFonts w:ascii="Times New Roman" w:cs="Times New Roman" w:eastAsia="Times New Roman" w:hAnsi="Times New Roman"/>
          <w:sz w:val="14"/>
          <w:szCs w:val="14"/>
          <w:color w:val="auto"/>
        </w:rPr>
        <w:t>The information in the below table (other than the percentages of our outstanding Class A common stock beneficially owned) in respect of the selling stockholders was furnished by or on behalf of the selling stockholders and is as of March 1, 2024. Except as may be noted in this section, none of the selling stockholders has, or within the past three years has had, any material relationship with us or any of our affiliates.</w:t>
      </w:r>
    </w:p>
    <w:p>
      <w:pPr>
        <w:spacing w:after="0" w:line="57" w:lineRule="exact"/>
        <w:rPr>
          <w:sz w:val="20"/>
          <w:szCs w:val="20"/>
          <w:color w:val="auto"/>
        </w:rPr>
      </w:pPr>
    </w:p>
    <w:p>
      <w:pPr>
        <w:ind w:left="1240" w:right="1399" w:firstLine="279"/>
        <w:spacing w:after="0" w:line="259" w:lineRule="auto"/>
        <w:rPr>
          <w:sz w:val="20"/>
          <w:szCs w:val="20"/>
          <w:color w:val="auto"/>
        </w:rPr>
      </w:pPr>
      <w:r>
        <w:rPr>
          <w:rFonts w:ascii="Times New Roman" w:cs="Times New Roman" w:eastAsia="Times New Roman" w:hAnsi="Times New Roman"/>
          <w:sz w:val="14"/>
          <w:szCs w:val="14"/>
          <w:color w:val="auto"/>
        </w:rPr>
        <w:t>Wesley R. Edens, Randal A. Nardone and all of the entities listed under “Selling Stockholders” in the table below are party to a shareholders’ agreement with us pursuant to which such parties and their respective permitted transferees have the right, in certain circumstances, to require us to register their shares of our Class A common stock under the Securities Act for sale into the public markets.</w:t>
      </w:r>
    </w:p>
    <w:p>
      <w:pPr>
        <w:spacing w:after="0" w:line="57" w:lineRule="exact"/>
        <w:rPr>
          <w:sz w:val="20"/>
          <w:szCs w:val="20"/>
          <w:color w:val="auto"/>
        </w:rPr>
      </w:pPr>
    </w:p>
    <w:p>
      <w:pPr>
        <w:ind w:left="1240" w:right="1399" w:firstLine="279"/>
        <w:spacing w:after="0" w:line="257" w:lineRule="auto"/>
        <w:rPr>
          <w:sz w:val="20"/>
          <w:szCs w:val="20"/>
          <w:color w:val="auto"/>
        </w:rPr>
      </w:pPr>
      <w:r>
        <w:rPr>
          <w:rFonts w:ascii="Times New Roman" w:cs="Times New Roman" w:eastAsia="Times New Roman" w:hAnsi="Times New Roman"/>
          <w:sz w:val="14"/>
          <w:szCs w:val="14"/>
          <w:color w:val="auto"/>
        </w:rPr>
        <w:t>No offer or sale under this prospectus may be made by any stockholder unless that holder is listed in the table below, in any supplement to this prospectus or in an amendment to the relevant registration statement that has become effective. We will supplement or amend this prospectus if applicable to include additional selling stockholders upon provision of all required information to us and subject to the terms of any relevant agreement between us and the selling stockholders.</w:t>
      </w:r>
    </w:p>
    <w:p>
      <w:pPr>
        <w:spacing w:after="0" w:line="57" w:lineRule="exact"/>
        <w:rPr>
          <w:sz w:val="20"/>
          <w:szCs w:val="20"/>
          <w:color w:val="auto"/>
        </w:rPr>
      </w:pPr>
    </w:p>
    <w:p>
      <w:pPr>
        <w:ind w:left="1240" w:right="1339" w:firstLine="279"/>
        <w:spacing w:after="0" w:line="253" w:lineRule="auto"/>
        <w:rPr>
          <w:sz w:val="20"/>
          <w:szCs w:val="20"/>
          <w:color w:val="auto"/>
        </w:rPr>
      </w:pPr>
      <w:r>
        <w:rPr>
          <w:rFonts w:ascii="Times New Roman" w:cs="Times New Roman" w:eastAsia="Times New Roman" w:hAnsi="Times New Roman"/>
          <w:sz w:val="14"/>
          <w:szCs w:val="14"/>
          <w:color w:val="auto"/>
        </w:rPr>
        <w:t>The selling stockholders are not obligated to sell any of the Class A common stock offered by this prospectus. Because the selling stockholders identified in the table may sell some or all of the Class A common stock owned by them that are included in this prospectus, and because there are currently no agreements, arrangements or understandings with respect to the sale of any such Class A common stock, no estimate can be given as to the number of shares covered by this prospectus that will be held by the selling stockholders upon termination of this offering. Therefore, for the purposes of the following table, we have assumed that the selling stockholders will sell all of the Class A common stock beneficially owned by them that are covered by this prospectus, but will not sell any other Class A common stock that they may currently own.</w:t>
      </w:r>
    </w:p>
    <w:p>
      <w:pPr>
        <w:spacing w:after="0" w:line="162" w:lineRule="exact"/>
        <w:rPr>
          <w:sz w:val="20"/>
          <w:szCs w:val="20"/>
          <w:color w:val="auto"/>
        </w:rPr>
      </w:pPr>
    </w:p>
    <w:tbl>
      <w:tblPr>
        <w:tblLayout w:type="fixed"/>
        <w:tblInd w:w="12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Class A Common Stock</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Class A Common</w:t>
            </w:r>
          </w:p>
        </w:tc>
        <w:tc>
          <w:tcPr>
            <w:tcW w:w="120" w:type="dxa"/>
            <w:vAlign w:val="bottom"/>
          </w:tcPr>
          <w:p>
            <w:pPr>
              <w:spacing w:after="0"/>
              <w:rPr>
                <w:sz w:val="9"/>
                <w:szCs w:val="9"/>
                <w:color w:val="auto"/>
              </w:rPr>
            </w:pPr>
          </w:p>
        </w:tc>
        <w:tc>
          <w:tcPr>
            <w:tcW w:w="1140" w:type="dxa"/>
            <w:vAlign w:val="bottom"/>
            <w:gridSpan w:val="3"/>
          </w:tcPr>
          <w:p>
            <w:pPr>
              <w:jc w:val="right"/>
              <w:ind w:right="50"/>
              <w:spacing w:after="0" w:line="115" w:lineRule="exact"/>
              <w:rPr>
                <w:sz w:val="20"/>
                <w:szCs w:val="20"/>
                <w:color w:val="auto"/>
              </w:rPr>
            </w:pPr>
            <w:r>
              <w:rPr>
                <w:rFonts w:ascii="Times New Roman" w:cs="Times New Roman" w:eastAsia="Times New Roman" w:hAnsi="Times New Roman"/>
                <w:sz w:val="11"/>
                <w:szCs w:val="11"/>
                <w:b w:val="1"/>
                <w:bCs w:val="1"/>
                <w:color w:val="auto"/>
              </w:rPr>
              <w:t>Beneficially Owned</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00" w:type="dxa"/>
            <w:vAlign w:val="bottom"/>
          </w:tcPr>
          <w:p>
            <w:pPr>
              <w:spacing w:after="0"/>
              <w:rPr>
                <w:sz w:val="4"/>
                <w:szCs w:val="4"/>
                <w:color w:val="auto"/>
              </w:rPr>
            </w:pPr>
          </w:p>
        </w:tc>
        <w:tc>
          <w:tcPr>
            <w:tcW w:w="12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Beneficially Owned</w:t>
            </w:r>
          </w:p>
        </w:tc>
        <w:tc>
          <w:tcPr>
            <w:tcW w:w="1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3"/>
            <w:vMerge w:val="restart"/>
          </w:tcPr>
          <w:p>
            <w:pPr>
              <w:jc w:val="right"/>
              <w:ind w:right="70"/>
              <w:spacing w:after="0"/>
              <w:rPr>
                <w:sz w:val="20"/>
                <w:szCs w:val="20"/>
                <w:color w:val="auto"/>
              </w:rPr>
            </w:pPr>
            <w:r>
              <w:rPr>
                <w:rFonts w:ascii="Times New Roman" w:cs="Times New Roman" w:eastAsia="Times New Roman" w:hAnsi="Times New Roman"/>
                <w:sz w:val="11"/>
                <w:szCs w:val="11"/>
                <w:b w:val="1"/>
                <w:bCs w:val="1"/>
                <w:color w:val="auto"/>
              </w:rPr>
              <w:t>After the Offering</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220" w:type="dxa"/>
            <w:vAlign w:val="bottom"/>
            <w:tcBorders>
              <w:bottom w:val="single" w:sz="8" w:color="auto"/>
            </w:tcBorders>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center"/>
              <w:spacing w:after="0" w:line="93" w:lineRule="exact"/>
              <w:rPr>
                <w:sz w:val="20"/>
                <w:szCs w:val="20"/>
                <w:color w:val="auto"/>
              </w:rPr>
            </w:pPr>
            <w:r>
              <w:rPr>
                <w:rFonts w:ascii="Times New Roman" w:cs="Times New Roman" w:eastAsia="Times New Roman" w:hAnsi="Times New Roman"/>
                <w:sz w:val="10"/>
                <w:szCs w:val="10"/>
                <w:b w:val="1"/>
                <w:bCs w:val="1"/>
                <w:color w:val="auto"/>
              </w:rPr>
              <w:t>Stock</w:t>
            </w:r>
          </w:p>
        </w:tc>
        <w:tc>
          <w:tcPr>
            <w:tcW w:w="120" w:type="dxa"/>
            <w:vAlign w:val="bottom"/>
          </w:tcPr>
          <w:p>
            <w:pPr>
              <w:spacing w:after="0"/>
              <w:rPr>
                <w:sz w:val="8"/>
                <w:szCs w:val="8"/>
                <w:color w:val="auto"/>
              </w:rPr>
            </w:pPr>
          </w:p>
        </w:tc>
        <w:tc>
          <w:tcPr>
            <w:tcW w:w="1140" w:type="dxa"/>
            <w:vAlign w:val="bottom"/>
            <w:tcBorders>
              <w:bottom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00" w:type="dxa"/>
            <w:vAlign w:val="bottom"/>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52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Offered Hereby</w:t>
            </w: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520" w:type="dxa"/>
            <w:vAlign w:val="bottom"/>
            <w:gridSpan w:val="2"/>
          </w:tcPr>
          <w:p>
            <w:pPr>
              <w:jc w:val="right"/>
              <w:ind w:right="30"/>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Selling Stockholders</w:t>
            </w: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tcPr>
          <w:p>
            <w:pPr>
              <w:spacing w:after="0" w:line="178" w:lineRule="exact"/>
              <w:rPr>
                <w:sz w:val="20"/>
                <w:szCs w:val="20"/>
                <w:color w:val="auto"/>
              </w:rPr>
            </w:pPr>
            <w:r>
              <w:rPr>
                <w:rFonts w:ascii="Times New Roman" w:cs="Times New Roman" w:eastAsia="Times New Roman" w:hAnsi="Times New Roman"/>
                <w:sz w:val="12"/>
                <w:szCs w:val="12"/>
                <w:color w:val="auto"/>
              </w:rPr>
              <w:t>Fortress Equity Partners GP LLC</w:t>
            </w:r>
            <w:r>
              <w:rPr>
                <w:rFonts w:ascii="Times New Roman" w:cs="Times New Roman" w:eastAsia="Times New Roman" w:hAnsi="Times New Roman"/>
                <w:sz w:val="20"/>
                <w:szCs w:val="20"/>
                <w:color w:val="auto"/>
                <w:vertAlign w:val="superscript"/>
              </w:rPr>
              <w:t>(2)</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13,399,317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920" w:type="dxa"/>
            <w:vAlign w:val="bottom"/>
            <w:gridSpan w:val="2"/>
          </w:tcPr>
          <w:p>
            <w:pPr>
              <w:jc w:val="right"/>
              <w:ind w:right="26"/>
              <w:spacing w:after="0"/>
              <w:rPr>
                <w:sz w:val="20"/>
                <w:szCs w:val="20"/>
                <w:color w:val="auto"/>
              </w:rPr>
            </w:pPr>
            <w:r>
              <w:rPr>
                <w:rFonts w:ascii="Times New Roman" w:cs="Times New Roman" w:eastAsia="Times New Roman" w:hAnsi="Times New Roman"/>
                <w:sz w:val="14"/>
                <w:szCs w:val="14"/>
                <w:color w:val="auto"/>
              </w:rPr>
              <w:t>13,399,317</w:t>
            </w:r>
          </w:p>
        </w:tc>
        <w:tc>
          <w:tcPr>
            <w:tcW w:w="1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2"/>
                <w:szCs w:val="12"/>
                <w:color w:val="auto"/>
              </w:rPr>
              <w:t>Energy Transition Holdings LLC</w:t>
            </w:r>
            <w:r>
              <w:rPr>
                <w:rFonts w:ascii="Times New Roman" w:cs="Times New Roman" w:eastAsia="Times New Roman" w:hAnsi="Times New Roman"/>
                <w:sz w:val="20"/>
                <w:szCs w:val="20"/>
                <w:color w:val="auto"/>
                <w:vertAlign w:val="superscript"/>
              </w:rPr>
              <w:t>(3)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25,559,846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9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4"/>
                <w:szCs w:val="14"/>
                <w:color w:val="auto"/>
              </w:rPr>
              <w:t>25,559,846</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tcPr>
          <w:p>
            <w:pPr>
              <w:spacing w:after="0" w:line="178" w:lineRule="exact"/>
              <w:rPr>
                <w:sz w:val="20"/>
                <w:szCs w:val="20"/>
                <w:color w:val="auto"/>
              </w:rPr>
            </w:pPr>
            <w:r>
              <w:rPr>
                <w:rFonts w:ascii="Times New Roman" w:cs="Times New Roman" w:eastAsia="Times New Roman" w:hAnsi="Times New Roman"/>
                <w:sz w:val="12"/>
                <w:szCs w:val="12"/>
                <w:color w:val="auto"/>
              </w:rPr>
              <w:t>Wesley R. Edens</w:t>
            </w:r>
            <w:r>
              <w:rPr>
                <w:rFonts w:ascii="Times New Roman" w:cs="Times New Roman" w:eastAsia="Times New Roman" w:hAnsi="Times New Roman"/>
                <w:sz w:val="20"/>
                <w:szCs w:val="20"/>
                <w:color w:val="auto"/>
                <w:vertAlign w:val="superscript"/>
              </w:rPr>
              <w:t>(4)</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47,540,924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920" w:type="dxa"/>
            <w:vAlign w:val="bottom"/>
            <w:gridSpan w:val="2"/>
          </w:tcPr>
          <w:p>
            <w:pPr>
              <w:jc w:val="right"/>
              <w:ind w:right="26"/>
              <w:spacing w:after="0"/>
              <w:rPr>
                <w:sz w:val="20"/>
                <w:szCs w:val="20"/>
                <w:color w:val="auto"/>
              </w:rPr>
            </w:pPr>
            <w:r>
              <w:rPr>
                <w:rFonts w:ascii="Times New Roman" w:cs="Times New Roman" w:eastAsia="Times New Roman" w:hAnsi="Times New Roman"/>
                <w:sz w:val="14"/>
                <w:szCs w:val="14"/>
                <w:color w:val="auto"/>
              </w:rPr>
              <w:t>47,540,924</w:t>
            </w:r>
          </w:p>
        </w:tc>
        <w:tc>
          <w:tcPr>
            <w:tcW w:w="1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2"/>
                <w:szCs w:val="12"/>
                <w:color w:val="auto"/>
              </w:rPr>
              <w:t>Randal A. Nardone</w:t>
            </w:r>
            <w:r>
              <w:rPr>
                <w:rFonts w:ascii="Times New Roman" w:cs="Times New Roman" w:eastAsia="Times New Roman" w:hAnsi="Times New Roman"/>
                <w:sz w:val="20"/>
                <w:szCs w:val="20"/>
                <w:color w:val="auto"/>
                <w:vertAlign w:val="superscript"/>
              </w:rPr>
              <w:t>(5)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26,196,526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9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4"/>
                <w:szCs w:val="14"/>
                <w:color w:val="auto"/>
              </w:rPr>
              <w:t>26,196,526</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Christopher S. Guinta</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201,653</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6"/>
              <w:spacing w:after="0"/>
              <w:rPr>
                <w:sz w:val="20"/>
                <w:szCs w:val="20"/>
                <w:color w:val="auto"/>
              </w:rPr>
            </w:pPr>
            <w:r>
              <w:rPr>
                <w:rFonts w:ascii="Times New Roman" w:cs="Times New Roman" w:eastAsia="Times New Roman" w:hAnsi="Times New Roman"/>
                <w:sz w:val="14"/>
                <w:szCs w:val="14"/>
                <w:color w:val="auto"/>
              </w:rPr>
              <w:t>201,653</w:t>
            </w:r>
          </w:p>
        </w:tc>
        <w:tc>
          <w:tcPr>
            <w:tcW w:w="1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Desmond Iain Catterall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69,841</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4"/>
                <w:szCs w:val="14"/>
                <w:color w:val="auto"/>
              </w:rPr>
              <w:t>69,841</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David J. Grain</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114,294</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6"/>
              <w:spacing w:after="0"/>
              <w:rPr>
                <w:sz w:val="20"/>
                <w:szCs w:val="20"/>
                <w:color w:val="auto"/>
              </w:rPr>
            </w:pPr>
            <w:r>
              <w:rPr>
                <w:rFonts w:ascii="Times New Roman" w:cs="Times New Roman" w:eastAsia="Times New Roman" w:hAnsi="Times New Roman"/>
                <w:sz w:val="14"/>
                <w:szCs w:val="14"/>
                <w:color w:val="auto"/>
              </w:rPr>
              <w:t>114,294</w:t>
            </w:r>
          </w:p>
        </w:tc>
        <w:tc>
          <w:tcPr>
            <w:tcW w:w="1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 William Griffin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333,429</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333,429</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John J. Mack</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1,178,013</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6"/>
              <w:spacing w:after="0"/>
              <w:rPr>
                <w:sz w:val="20"/>
                <w:szCs w:val="20"/>
                <w:color w:val="auto"/>
              </w:rPr>
            </w:pPr>
            <w:r>
              <w:rPr>
                <w:rFonts w:ascii="Times New Roman" w:cs="Times New Roman" w:eastAsia="Times New Roman" w:hAnsi="Times New Roman"/>
                <w:sz w:val="14"/>
                <w:szCs w:val="14"/>
                <w:color w:val="auto"/>
              </w:rPr>
              <w:t>1,178,013</w:t>
            </w:r>
          </w:p>
        </w:tc>
        <w:tc>
          <w:tcPr>
            <w:tcW w:w="1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Katherine E. Wanner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77,129</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4"/>
                <w:szCs w:val="14"/>
                <w:color w:val="auto"/>
              </w:rPr>
              <w:t>77,129</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1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113030</wp:posOffset>
            </wp:positionV>
            <wp:extent cx="63690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93" w:lineRule="exact"/>
        <w:rPr>
          <w:sz w:val="20"/>
          <w:szCs w:val="20"/>
          <w:color w:val="auto"/>
        </w:rPr>
      </w:pPr>
    </w:p>
    <w:p>
      <w:pPr>
        <w:ind w:left="1520" w:hanging="275"/>
        <w:spacing w:after="0"/>
        <w:tabs>
          <w:tab w:leader="none" w:pos="152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beneficial ownership of less than one percent of shares outstanding. See footnote (1).</w:t>
      </w:r>
    </w:p>
    <w:p>
      <w:pPr>
        <w:spacing w:after="0" w:line="30" w:lineRule="exact"/>
        <w:rPr>
          <w:sz w:val="20"/>
          <w:szCs w:val="20"/>
          <w:color w:val="auto"/>
        </w:rPr>
      </w:pPr>
    </w:p>
    <w:p>
      <w:pPr>
        <w:ind w:left="1520" w:hanging="275"/>
        <w:spacing w:after="0"/>
        <w:tabs>
          <w:tab w:leader="none" w:pos="152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February 26, 2024, we had 205,033,557 shares of Class A common stock outstanding.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38" w:name="page39"/>
    <w:bookmarkEnd w:id="38"/>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ind w:left="1520" w:right="1259" w:hanging="275"/>
        <w:spacing w:after="0" w:line="229" w:lineRule="auto"/>
        <w:tabs>
          <w:tab w:leader="none" w:pos="152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Fortress Equity Partners GP LLC (“Fortress Equity GP”) beneficially owns 13,399,317 shares of our Class A common stock. Fortress Operating Entity I LP (“FOE I” and, together with Fortress Equity GP, the “Fortress Parties”) is the sole member of Fortress Equity GP. The address for the Fortress Parties is c/o Fortress Investment Group LLC, 1345 Avenue of the Americas, 46th Floor, New York, NY 10105, Attention: Michael Cohn. Messers Edens and Nardone are officers of FOE I and each disclaim beneficial ownership of the shares of Class A common stock beneficially owned by Fortress Equity GP.</w:t>
      </w:r>
    </w:p>
    <w:p>
      <w:pPr>
        <w:spacing w:after="0" w:line="12" w:lineRule="exact"/>
        <w:rPr>
          <w:rFonts w:ascii="Times New Roman" w:cs="Times New Roman" w:eastAsia="Times New Roman" w:hAnsi="Times New Roman"/>
          <w:sz w:val="11"/>
          <w:szCs w:val="11"/>
          <w:color w:val="auto"/>
        </w:rPr>
      </w:pPr>
    </w:p>
    <w:p>
      <w:pPr>
        <w:ind w:left="1520" w:right="1299" w:hanging="275"/>
        <w:spacing w:after="0" w:line="211" w:lineRule="auto"/>
        <w:tabs>
          <w:tab w:leader="none" w:pos="152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Energy Transition Holdings LLC is managed by Great Mountain Partners LLC. Jonathan Rotolo and Alexander Thomson are the managers of Great Mountain Partners LLC and, in that capacity, have voting and dispositive power over the shares of Class A common stock held by Energy Transition Holdings LLC. Each of Great Mountain Partners LLC, Mr. Rotolo and Mr. Thomson has disclaimed beneficial ownership of the shares, except to the extent of their pecuniary interest therein. The principal business address of the entities identified herein is 157 Church Street, 20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1"/>
          <w:szCs w:val="11"/>
          <w:color w:val="auto"/>
        </w:rPr>
        <w:t xml:space="preserve"> Floor, New Haven, CT 06510.</w:t>
      </w:r>
    </w:p>
    <w:p>
      <w:pPr>
        <w:spacing w:after="0" w:line="1" w:lineRule="exact"/>
        <w:rPr>
          <w:rFonts w:ascii="Times New Roman" w:cs="Times New Roman" w:eastAsia="Times New Roman" w:hAnsi="Times New Roman"/>
          <w:sz w:val="11"/>
          <w:szCs w:val="11"/>
          <w:color w:val="auto"/>
        </w:rPr>
      </w:pPr>
    </w:p>
    <w:p>
      <w:pPr>
        <w:ind w:left="1520" w:right="1379" w:hanging="275"/>
        <w:spacing w:after="0" w:line="224" w:lineRule="auto"/>
        <w:tabs>
          <w:tab w:leader="none" w:pos="152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29,928,173 shares of Class A common stock held by Edens Family Partners LLC and 17,612,751 shares of Class A common stock held by WRE 2012 Trust LLC (“WRE Trust”), a limited liability company organized under the laws of the State of Delaware. Mr. Edens is the sole beneficial owner of Edens Family Partners LLC. Mr. Edens has the sole right to receive or direct the receipt of dividends on, and the proceeds from, the sale of all such shares. NFE WE LLC and NFE RN LLC, each controlled by Mr. Edens together with Mr. Nardone, have the right to appoint six of the eight members to the Company’s board of directors.</w:t>
      </w:r>
    </w:p>
    <w:p>
      <w:pPr>
        <w:spacing w:after="0" w:line="13" w:lineRule="exact"/>
        <w:rPr>
          <w:rFonts w:ascii="Times New Roman" w:cs="Times New Roman" w:eastAsia="Times New Roman" w:hAnsi="Times New Roman"/>
          <w:sz w:val="11"/>
          <w:szCs w:val="11"/>
          <w:color w:val="auto"/>
        </w:rPr>
      </w:pPr>
    </w:p>
    <w:p>
      <w:pPr>
        <w:ind w:left="1520" w:right="1299" w:hanging="275"/>
        <w:spacing w:after="0" w:line="237" w:lineRule="auto"/>
        <w:tabs>
          <w:tab w:leader="none" w:pos="152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Nardone has the sole right to receive or direct the receipt of dividends on, and the proceeds from, the sale of all such shares of Class A common stock. NFE WE LLC and NFE RN LLC, each controlled by Mr. Nardone together with Mr. Edens, have the right to appoint six of the eight members to the Company’s board of directors.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39" w:name="page40"/>
    <w:bookmarkEnd w:id="39"/>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92" w:lineRule="exact"/>
        <w:rPr>
          <w:sz w:val="20"/>
          <w:szCs w:val="20"/>
          <w:color w:val="auto"/>
        </w:rPr>
      </w:pPr>
    </w:p>
    <w:p>
      <w:pPr>
        <w:ind w:left="1240" w:right="1579" w:firstLine="279"/>
        <w:spacing w:after="0" w:line="280" w:lineRule="auto"/>
        <w:rPr>
          <w:sz w:val="20"/>
          <w:szCs w:val="20"/>
          <w:color w:val="auto"/>
        </w:rPr>
      </w:pPr>
      <w:r>
        <w:rPr>
          <w:rFonts w:ascii="Times New Roman" w:cs="Times New Roman" w:eastAsia="Times New Roman" w:hAnsi="Times New Roman"/>
          <w:sz w:val="14"/>
          <w:szCs w:val="14"/>
          <w:color w:val="auto"/>
        </w:rPr>
        <w:t>We or the selling stockholders may sell the securities being offered hereby in one or more of the following ways from time to time:</w:t>
      </w:r>
    </w:p>
    <w:p>
      <w:pPr>
        <w:spacing w:after="0" w:line="42" w:lineRule="exact"/>
        <w:rPr>
          <w:sz w:val="20"/>
          <w:szCs w:val="20"/>
          <w:color w:val="auto"/>
        </w:rPr>
      </w:pPr>
    </w:p>
    <w:p>
      <w:pPr>
        <w:ind w:left="1800" w:hanging="276"/>
        <w:spacing w:after="0"/>
        <w:tabs>
          <w:tab w:leader="none" w:pos="18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underwriters for resale to purchasers;</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or dealers to purchasers;</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“at-the market” offerings (as defined in Rule 415 under the Securities Act of 1933);</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or</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any other method permitted by applicable law and described in a prospectus supplement.</w:t>
      </w:r>
    </w:p>
    <w:p>
      <w:pPr>
        <w:spacing w:after="0" w:line="90" w:lineRule="exact"/>
        <w:rPr>
          <w:sz w:val="20"/>
          <w:szCs w:val="20"/>
          <w:color w:val="auto"/>
        </w:rPr>
      </w:pPr>
    </w:p>
    <w:p>
      <w:pPr>
        <w:ind w:left="1240" w:right="1279" w:firstLine="279"/>
        <w:spacing w:after="0" w:line="253" w:lineRule="auto"/>
        <w:rPr>
          <w:sz w:val="20"/>
          <w:szCs w:val="20"/>
          <w:color w:val="auto"/>
        </w:rPr>
      </w:pPr>
      <w:r>
        <w:rPr>
          <w:rFonts w:ascii="Times New Roman" w:cs="Times New Roman" w:eastAsia="Times New Roman" w:hAnsi="Times New Roman"/>
          <w:sz w:val="14"/>
          <w:szCs w:val="14"/>
          <w:color w:val="auto"/>
        </w:rPr>
        <w:t>In addition, we or the selling stockholders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the selling stockholders or others to settle such sales and may use securities received from us to close out any related short positions. We or the selling stockholders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60" w:lineRule="exact"/>
        <w:rPr>
          <w:sz w:val="20"/>
          <w:szCs w:val="20"/>
          <w:color w:val="auto"/>
        </w:rPr>
      </w:pPr>
    </w:p>
    <w:p>
      <w:pPr>
        <w:ind w:left="1240" w:right="1739" w:firstLine="279"/>
        <w:spacing w:after="0" w:line="280" w:lineRule="auto"/>
        <w:rPr>
          <w:sz w:val="20"/>
          <w:szCs w:val="20"/>
          <w:color w:val="auto"/>
        </w:rPr>
      </w:pPr>
      <w:r>
        <w:rPr>
          <w:rFonts w:ascii="Times New Roman" w:cs="Times New Roman" w:eastAsia="Times New Roman" w:hAnsi="Times New Roman"/>
          <w:sz w:val="14"/>
          <w:szCs w:val="14"/>
          <w:color w:val="auto"/>
        </w:rPr>
        <w:t>We or the selling stockholders will identify the specific plan of distribution in a prospectus supplement, including:</w:t>
      </w:r>
    </w:p>
    <w:p>
      <w:pPr>
        <w:spacing w:after="0" w:line="42" w:lineRule="exact"/>
        <w:rPr>
          <w:sz w:val="20"/>
          <w:szCs w:val="20"/>
          <w:color w:val="auto"/>
        </w:rPr>
      </w:pPr>
    </w:p>
    <w:p>
      <w:pPr>
        <w:ind w:left="1800" w:hanging="276"/>
        <w:spacing w:after="0"/>
        <w:tabs>
          <w:tab w:leader="none" w:pos="18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offering;</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the underwriters, dealers, agents or direct purchasers and their compensation;</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and the net proceeds we will receive from the sale;</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delivery obligations to take the securities;</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nature of the underwriters’ obligations to take the securities;</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 or market on which the securities may be listed;</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any selling stockholders, if applicable; and</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facts material to the transaction.</w:t>
      </w:r>
    </w:p>
    <w:p>
      <w:pPr>
        <w:spacing w:after="0" w:line="29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Underwriters, dealers and agents</w:t>
      </w:r>
    </w:p>
    <w:p>
      <w:pPr>
        <w:spacing w:after="0" w:line="92" w:lineRule="exact"/>
        <w:rPr>
          <w:sz w:val="20"/>
          <w:szCs w:val="20"/>
          <w:color w:val="auto"/>
        </w:rPr>
      </w:pPr>
    </w:p>
    <w:p>
      <w:pPr>
        <w:ind w:left="1240" w:right="1279" w:firstLine="279"/>
        <w:spacing w:after="0" w:line="252" w:lineRule="auto"/>
        <w:rPr>
          <w:sz w:val="20"/>
          <w:szCs w:val="20"/>
          <w:color w:val="auto"/>
        </w:rPr>
      </w:pPr>
      <w:r>
        <w:rPr>
          <w:rFonts w:ascii="Times New Roman" w:cs="Times New Roman" w:eastAsia="Times New Roman" w:hAnsi="Times New Roman"/>
          <w:sz w:val="14"/>
          <w:szCs w:val="14"/>
          <w:color w:val="auto"/>
        </w:rPr>
        <w:t>If we use underwriters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If we use an underwriting syndicate, the managing underwriter(s) will be specified on the cover of the prospectus supplement. If we use underwriters for a sale of securities, the underwriters will acquire the securities for their own accounts. The underwriters may resell the securities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spacing w:after="0" w:line="63" w:lineRule="exact"/>
        <w:rPr>
          <w:sz w:val="20"/>
          <w:szCs w:val="20"/>
          <w:color w:val="auto"/>
        </w:rPr>
      </w:pPr>
    </w:p>
    <w:p>
      <w:pPr>
        <w:ind w:left="1240" w:right="1419" w:firstLine="279"/>
        <w:spacing w:after="0" w:line="264" w:lineRule="auto"/>
        <w:rPr>
          <w:sz w:val="20"/>
          <w:szCs w:val="20"/>
          <w:color w:val="auto"/>
        </w:rPr>
      </w:pPr>
      <w:r>
        <w:rPr>
          <w:rFonts w:ascii="Times New Roman" w:cs="Times New Roman" w:eastAsia="Times New Roman" w:hAnsi="Times New Roman"/>
          <w:sz w:val="14"/>
          <w:szCs w:val="14"/>
          <w:color w:val="auto"/>
        </w:rPr>
        <w:t>If dealers are used in an offering, we may sell the securities to the dealers as principals. The dealers then may resell the securities to the public at varying prices which they determine at the time of resale. The names of the dealers and the terms of the transaction will be specified in a prospectus supplement.</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99695</wp:posOffset>
            </wp:positionV>
            <wp:extent cx="5412105" cy="13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40" w:name="page41"/>
    <w:bookmarkEnd w:id="40"/>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ind w:left="1240" w:right="1379" w:firstLine="279"/>
        <w:spacing w:after="0" w:line="264" w:lineRule="auto"/>
        <w:rPr>
          <w:sz w:val="20"/>
          <w:szCs w:val="20"/>
          <w:color w:val="auto"/>
        </w:rPr>
      </w:pPr>
      <w:r>
        <w:rPr>
          <w:rFonts w:ascii="Times New Roman" w:cs="Times New Roman" w:eastAsia="Times New Roman" w:hAnsi="Times New Roman"/>
          <w:sz w:val="14"/>
          <w:szCs w:val="14"/>
          <w:color w:val="auto"/>
        </w:rPr>
        <w:t>If agents are used in an offering, the names of the agents and the terms of the agency will be specified in a prospectus supplement. Unless otherwise indicated in a prospectus supplement, the agents will act on a best-efforts basis for the period of their appointment.</w:t>
      </w:r>
    </w:p>
    <w:p>
      <w:pPr>
        <w:spacing w:after="0" w:line="54" w:lineRule="exact"/>
        <w:rPr>
          <w:sz w:val="20"/>
          <w:szCs w:val="20"/>
          <w:color w:val="auto"/>
        </w:rPr>
      </w:pPr>
    </w:p>
    <w:p>
      <w:pPr>
        <w:ind w:left="1240" w:right="1299" w:firstLine="279"/>
        <w:spacing w:after="0" w:line="255" w:lineRule="auto"/>
        <w:rPr>
          <w:sz w:val="20"/>
          <w:szCs w:val="20"/>
          <w:color w:val="auto"/>
        </w:rPr>
      </w:pPr>
      <w:r>
        <w:rPr>
          <w:rFonts w:ascii="Times New Roman" w:cs="Times New Roman" w:eastAsia="Times New Roman" w:hAnsi="Times New Roman"/>
          <w:sz w:val="14"/>
          <w:szCs w:val="14"/>
          <w:color w:val="auto"/>
        </w:rPr>
        <w:t>Dealers and agents named in a prospectus supplement may be underwriters as defined in the Securities Act of 1933 and any discounts or commissions they receive from us and any profit on their resale of the securities may be treated as underwriting discounts and commissions under the Securities Act of 1933.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of 1933.</w:t>
      </w:r>
    </w:p>
    <w:p>
      <w:pPr>
        <w:spacing w:after="0" w:line="60" w:lineRule="exact"/>
        <w:rPr>
          <w:sz w:val="20"/>
          <w:szCs w:val="20"/>
          <w:color w:val="auto"/>
        </w:rPr>
      </w:pPr>
    </w:p>
    <w:p>
      <w:pPr>
        <w:ind w:left="1240" w:right="1459" w:firstLine="279"/>
        <w:spacing w:after="0" w:line="280" w:lineRule="auto"/>
        <w:rPr>
          <w:sz w:val="20"/>
          <w:szCs w:val="20"/>
          <w:color w:val="auto"/>
        </w:rPr>
      </w:pPr>
      <w:r>
        <w:rPr>
          <w:rFonts w:ascii="Times New Roman" w:cs="Times New Roman" w:eastAsia="Times New Roman" w:hAnsi="Times New Roman"/>
          <w:sz w:val="14"/>
          <w:szCs w:val="14"/>
          <w:color w:val="auto"/>
        </w:rPr>
        <w:t>Underwriters, dealers or agents and their associates may engage in other transactions with and perform other services for us in the ordinary course of business.</w:t>
      </w:r>
    </w:p>
    <w:p>
      <w:pPr>
        <w:spacing w:after="0" w:line="42" w:lineRule="exact"/>
        <w:rPr>
          <w:sz w:val="20"/>
          <w:szCs w:val="20"/>
          <w:color w:val="auto"/>
        </w:rPr>
      </w:pPr>
    </w:p>
    <w:p>
      <w:pPr>
        <w:ind w:left="1240" w:right="1279" w:firstLine="279"/>
        <w:spacing w:after="0" w:line="254" w:lineRule="auto"/>
        <w:rPr>
          <w:sz w:val="20"/>
          <w:szCs w:val="20"/>
          <w:color w:val="auto"/>
        </w:rPr>
      </w:pPr>
      <w:r>
        <w:rPr>
          <w:rFonts w:ascii="Times New Roman" w:cs="Times New Roman" w:eastAsia="Times New Roman" w:hAnsi="Times New Roman"/>
          <w:sz w:val="14"/>
          <w:szCs w:val="14"/>
          <w:color w:val="auto"/>
        </w:rPr>
        <w:t>If so indicated in a prospectus supplement, we will authorize underwriters or other persons acting as our agents to solicit offers by institutional investors to purchase securities pursuant to contracts providing for payment and delivery on a future date. We may enter contracts with commercial and savings banks, insurance companies, pension funds, investment companies, educational and charitable institutions and other institutional investors. The obligations of any institutional investor will be subject to the condition that its purchase of the offered securities will not be illegal at the time of delivery. The underwriters and other agents will not be responsible for the validity or performance of contracts.</w:t>
      </w:r>
    </w:p>
    <w:p>
      <w:pPr>
        <w:spacing w:after="0" w:line="18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Direct sales</w:t>
      </w:r>
    </w:p>
    <w:p>
      <w:pPr>
        <w:spacing w:after="0" w:line="10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We may sell securities directly to one or more purchasers without using underwriters or agents.</w:t>
      </w:r>
    </w:p>
    <w:p>
      <w:pPr>
        <w:spacing w:after="0" w:line="20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At-the-market offerings</w:t>
      </w:r>
    </w:p>
    <w:p>
      <w:pPr>
        <w:spacing w:after="0" w:line="92" w:lineRule="exact"/>
        <w:rPr>
          <w:sz w:val="20"/>
          <w:szCs w:val="20"/>
          <w:color w:val="auto"/>
        </w:rPr>
      </w:pPr>
    </w:p>
    <w:p>
      <w:pPr>
        <w:ind w:left="1240" w:right="1439" w:firstLine="279"/>
        <w:spacing w:after="0" w:line="264" w:lineRule="auto"/>
        <w:rPr>
          <w:sz w:val="20"/>
          <w:szCs w:val="20"/>
          <w:color w:val="auto"/>
        </w:rPr>
      </w:pPr>
      <w:r>
        <w:rPr>
          <w:rFonts w:ascii="Times New Roman" w:cs="Times New Roman" w:eastAsia="Times New Roman" w:hAnsi="Times New Roman"/>
          <w:sz w:val="14"/>
          <w:szCs w:val="14"/>
          <w:color w:val="auto"/>
        </w:rPr>
        <w:t>We may also sell the securities offered by any applicable prospectus supplement in “at-the-market offerings” within the meaning of Rule 415 of the Securities Act of 1933, to or through a market maker or into an existing trading market, on an exchange or otherwise.</w:t>
      </w:r>
    </w:p>
    <w:p>
      <w:pPr>
        <w:spacing w:after="0" w:line="17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Trading markets and listing of securities</w:t>
      </w:r>
    </w:p>
    <w:p>
      <w:pPr>
        <w:spacing w:after="0" w:line="92" w:lineRule="exact"/>
        <w:rPr>
          <w:sz w:val="20"/>
          <w:szCs w:val="20"/>
          <w:color w:val="auto"/>
        </w:rPr>
      </w:pPr>
    </w:p>
    <w:p>
      <w:pPr>
        <w:ind w:left="1240" w:right="1299" w:firstLine="279"/>
        <w:spacing w:after="0" w:line="255"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each class or series of securities will be a new issue with no established trading market, other than our Class A common stock, which is listed on Nasdaq.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18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Stabilization activities</w:t>
      </w:r>
    </w:p>
    <w:p>
      <w:pPr>
        <w:spacing w:after="0" w:line="92" w:lineRule="exact"/>
        <w:rPr>
          <w:sz w:val="20"/>
          <w:szCs w:val="20"/>
          <w:color w:val="auto"/>
        </w:rPr>
      </w:pPr>
    </w:p>
    <w:p>
      <w:pPr>
        <w:ind w:left="1240" w:right="1319" w:firstLine="279"/>
        <w:spacing w:after="0" w:line="251" w:lineRule="auto"/>
        <w:rPr>
          <w:sz w:val="20"/>
          <w:szCs w:val="20"/>
          <w:color w:val="auto"/>
        </w:rPr>
      </w:pPr>
      <w:r>
        <w:rPr>
          <w:rFonts w:ascii="Times New Roman" w:cs="Times New Roman" w:eastAsia="Times New Roman" w:hAnsi="Times New Roman"/>
          <w:sz w:val="14"/>
          <w:szCs w:val="14"/>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if any, from us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66" w:lineRule="exact"/>
        <w:rPr>
          <w:sz w:val="20"/>
          <w:szCs w:val="20"/>
          <w:color w:val="auto"/>
        </w:rPr>
      </w:pPr>
    </w:p>
    <w:p>
      <w:pPr>
        <w:ind w:left="1240" w:right="1299" w:firstLine="279"/>
        <w:spacing w:after="0" w:line="280" w:lineRule="auto"/>
        <w:rPr>
          <w:sz w:val="20"/>
          <w:szCs w:val="20"/>
          <w:color w:val="auto"/>
        </w:rPr>
      </w:pPr>
      <w:r>
        <w:rPr>
          <w:rFonts w:ascii="Times New Roman" w:cs="Times New Roman" w:eastAsia="Times New Roman" w:hAnsi="Times New Roman"/>
          <w:sz w:val="14"/>
          <w:szCs w:val="14"/>
          <w:color w:val="auto"/>
        </w:rPr>
        <w:t>Accordingly, to cover these short sales positions or to otherwise stabilize or maintain the price of the securities, the underwriters may bid for or purchase securities in the open market and may impose penalty bids.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41" w:name="page42"/>
    <w:bookmarkEnd w:id="41"/>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ind w:left="1240" w:right="1299"/>
        <w:spacing w:after="0" w:line="254" w:lineRule="auto"/>
        <w:rPr>
          <w:sz w:val="20"/>
          <w:szCs w:val="20"/>
          <w:color w:val="auto"/>
        </w:rPr>
      </w:pPr>
      <w:r>
        <w:rPr>
          <w:rFonts w:ascii="Times New Roman" w:cs="Times New Roman" w:eastAsia="Times New Roman" w:hAnsi="Times New Roman"/>
          <w:sz w:val="14"/>
          <w:szCs w:val="14"/>
          <w:color w:val="auto"/>
        </w:rPr>
        <w:t>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Nasdaq or otherwise and, if commenced, may be discontinued at any time.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42" w:name="page43"/>
    <w:bookmarkEnd w:id="42"/>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U.S. FEDERAL INCOME TAX CONSIDERATIONS FOR NON-U.S. HOLDERS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CLASS A COMMON STOCK</w:t>
      </w:r>
    </w:p>
    <w:p>
      <w:pPr>
        <w:spacing w:after="0" w:line="75" w:lineRule="exact"/>
        <w:rPr>
          <w:sz w:val="20"/>
          <w:szCs w:val="20"/>
          <w:color w:val="auto"/>
        </w:rPr>
      </w:pPr>
    </w:p>
    <w:p>
      <w:pPr>
        <w:ind w:left="1240" w:right="1259" w:firstLine="279"/>
        <w:spacing w:after="0" w:line="250" w:lineRule="auto"/>
        <w:rPr>
          <w:sz w:val="20"/>
          <w:szCs w:val="20"/>
          <w:color w:val="auto"/>
        </w:rPr>
      </w:pPr>
      <w:r>
        <w:rPr>
          <w:rFonts w:ascii="Times New Roman" w:cs="Times New Roman" w:eastAsia="Times New Roman" w:hAnsi="Times New Roman"/>
          <w:sz w:val="14"/>
          <w:szCs w:val="14"/>
          <w:color w:val="auto"/>
        </w:rPr>
        <w:t>The following is a summary of U.S. federal income considerations generally applicable to non-U.S. holders (as defined below) of the ownership and disposition of our Class A common stock. The following summary is based on current provisions of the Internal Revenue Code of 1986, as amended, or the Code, Treasury regulations and judicial and administrative authority, all of which are subject to change or differing interpretation, possibly with retroactive effect. State, local, foreign, and estate tax consequences are not summarized, nor are tax consequences to special classes of investors or investors subject to special rules, including, but not limited to, certain former citizens and former long-term residents of the United States, a “controlled foreign corporation,” a “passive foreign investment company,” a corporation that accumulates earnings to avoid U.S. federal income tax, a partnership or other “pass through” entity or an investor in any such entity, a holder who is subject to special exemptions or other special rules under the Foreign Investment in Real Property Tax Act of 1980 (“FIRPTA”), persons who own (actually or constructively) more than 5% of our Class A common stock, a tax-exempt organization, a bank or other financial institution, a broker, dealer or trader in securities, commodities or currencies, a person holding our Class A common stock as part of a hedging, conversion, straddle, constructive sale or other risk reduction transaction or an insurance company. Tax consequences may vary depending upon the particular status of an investor. The summary is limited to non-U.S. holders who purchase our Class A common stock for cash pursuant to an offering under this prospectus and who hold our Class A common stock as a “capital asset”(generally, property held for investment). Each potential investor should consult its tax advisor as to the U.S. federal, state, local, foreign and any other tax consequences of the purchase, ownership and disposition of our Class A common stock.</w:t>
      </w:r>
    </w:p>
    <w:p>
      <w:pPr>
        <w:spacing w:after="0" w:line="73" w:lineRule="exact"/>
        <w:rPr>
          <w:sz w:val="20"/>
          <w:szCs w:val="20"/>
          <w:color w:val="auto"/>
        </w:rPr>
      </w:pPr>
    </w:p>
    <w:p>
      <w:pPr>
        <w:ind w:left="1240" w:right="1259" w:firstLine="279"/>
        <w:spacing w:after="0" w:line="253" w:lineRule="auto"/>
        <w:rPr>
          <w:sz w:val="20"/>
          <w:szCs w:val="20"/>
          <w:color w:val="auto"/>
        </w:rPr>
      </w:pPr>
      <w:r>
        <w:rPr>
          <w:rFonts w:ascii="Times New Roman" w:cs="Times New Roman" w:eastAsia="Times New Roman" w:hAnsi="Times New Roman"/>
          <w:sz w:val="14"/>
          <w:szCs w:val="14"/>
          <w:color w:val="auto"/>
        </w:rPr>
        <w:t>For purposes of this summary, the term “non-U.S. holder” means a beneficial owner of our Class A common stock (other than a partnership or other pass-through entity) that is not: a citizen or individual resident of the United States; a corporation (or other entity treated as a corporation for U.S. federal income tax purposes) organized in or under the laws of the United States, any state thereof or the District of Columbia; an estate the income of which is subject to U.S. federal income taxation regardless of its source; or 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w:t>
      </w:r>
    </w:p>
    <w:p>
      <w:pPr>
        <w:spacing w:after="0" w:line="63" w:lineRule="exact"/>
        <w:rPr>
          <w:sz w:val="20"/>
          <w:szCs w:val="20"/>
          <w:color w:val="auto"/>
        </w:rPr>
      </w:pPr>
    </w:p>
    <w:p>
      <w:pPr>
        <w:ind w:left="1240" w:right="1319" w:firstLine="279"/>
        <w:spacing w:after="0" w:line="257" w:lineRule="auto"/>
        <w:rPr>
          <w:sz w:val="20"/>
          <w:szCs w:val="20"/>
          <w:color w:val="auto"/>
        </w:rPr>
      </w:pPr>
      <w:r>
        <w:rPr>
          <w:rFonts w:ascii="Times New Roman" w:cs="Times New Roman" w:eastAsia="Times New Roman" w:hAnsi="Times New Roman"/>
          <w:sz w:val="14"/>
          <w:szCs w:val="14"/>
          <w:color w:val="auto"/>
        </w:rPr>
        <w:t>If a partnership (including any entity or arrangement treated as a partnership for U.S. federal income tax purposes) holds our Class A common stock, the tax treatment of a partner in the partnership will generally depend upon the status of the partner and the activities of the partnership. If you are a partnership or a partner in a partnership holding our Class A common stock, you should consult your tax advisor as to the particular U.S. federal income tax consequences applicable to you.</w:t>
      </w:r>
    </w:p>
    <w:p>
      <w:pPr>
        <w:spacing w:after="0" w:line="25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92" w:lineRule="exact"/>
        <w:rPr>
          <w:sz w:val="20"/>
          <w:szCs w:val="20"/>
          <w:color w:val="auto"/>
        </w:rPr>
      </w:pPr>
    </w:p>
    <w:p>
      <w:pPr>
        <w:ind w:left="1240" w:right="1299" w:firstLine="279"/>
        <w:spacing w:after="0" w:line="253" w:lineRule="auto"/>
        <w:rPr>
          <w:sz w:val="20"/>
          <w:szCs w:val="20"/>
          <w:color w:val="auto"/>
        </w:rPr>
      </w:pPr>
      <w:r>
        <w:rPr>
          <w:rFonts w:ascii="Times New Roman" w:cs="Times New Roman" w:eastAsia="Times New Roman" w:hAnsi="Times New Roman"/>
          <w:sz w:val="14"/>
          <w:szCs w:val="14"/>
          <w:color w:val="auto"/>
        </w:rPr>
        <w:t>Distributions with respect to our Class A common stock will be treated as dividends to the extent paid from our current or accumulated earnings and profits as determined for U.S. federal income tax purposes. If a distribution exceeds our current and accumulated earnings and profits, then subject to the next sentence, the excess will be treated first as a return of capital to the extent of a holder’s adjusted tax basis in our Class A common stock and thereafter as capital gain from the sale or exchange of such Class A common stock, subject to the tax treatment described below in “—Dispositions.” If we are or become a U.S. real property holding corporation (as described below), we may be required to withhold 15% of any distribution to a non-U.S. holder that exceeds our current and accumulated earnings and profits if either our Class A common stock are not then treated as regularly traded on an established securities market or the non-U.S. holder owns in excess of 5% of our Class A common stock.</w:t>
      </w:r>
    </w:p>
    <w:p>
      <w:pPr>
        <w:spacing w:after="0" w:line="60" w:lineRule="exact"/>
        <w:rPr>
          <w:sz w:val="20"/>
          <w:szCs w:val="20"/>
          <w:color w:val="auto"/>
        </w:rPr>
      </w:pPr>
    </w:p>
    <w:p>
      <w:pPr>
        <w:ind w:left="1240" w:right="1319" w:firstLine="279"/>
        <w:spacing w:after="0" w:line="255" w:lineRule="auto"/>
        <w:rPr>
          <w:sz w:val="20"/>
          <w:szCs w:val="20"/>
          <w:color w:val="auto"/>
        </w:rPr>
      </w:pPr>
      <w:r>
        <w:rPr>
          <w:rFonts w:ascii="Times New Roman" w:cs="Times New Roman" w:eastAsia="Times New Roman" w:hAnsi="Times New Roman"/>
          <w:sz w:val="14"/>
          <w:szCs w:val="14"/>
          <w:color w:val="auto"/>
        </w:rPr>
        <w:t>Generally, distributions treated as dividends paid to a non-U.S. holder with respect to our Class A common stock will be subject to a 30% U.S. withholding tax, or such lower rate as may be specified by an applicable income tax treaty. Distributions treated as dividends that are effectively connected with such non-U.S. holder’s conduct of a trade or business within the United States (and, if required by an applicable tax treaty, are attributable to a U.S. permanent establishment of such non-U.S. holder) are generally subject to U.S. federal income tax on a net income basis in the same manner as if the non-U.S. holder were a U.S. person and are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99695</wp:posOffset>
            </wp:positionV>
            <wp:extent cx="5412105"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43" w:name="page44"/>
    <w:bookmarkEnd w:id="43"/>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ind w:left="1240" w:right="1559"/>
        <w:spacing w:after="0" w:line="294" w:lineRule="auto"/>
        <w:rPr>
          <w:sz w:val="20"/>
          <w:szCs w:val="20"/>
          <w:color w:val="auto"/>
        </w:rPr>
      </w:pPr>
      <w:r>
        <w:rPr>
          <w:rFonts w:ascii="Times New Roman" w:cs="Times New Roman" w:eastAsia="Times New Roman" w:hAnsi="Times New Roman"/>
          <w:sz w:val="13"/>
          <w:szCs w:val="13"/>
          <w:color w:val="auto"/>
        </w:rPr>
        <w:t>exempt from the 30% withholding tax (assuming compliance with certain certification requirements). Any such effectively connected distributions received by a non-U.S. holder that is a corporation may also, under certain circumstances, be subject to an additional “branch profits tax” at a rate of 30% (or lower applicable treaty rate).</w:t>
      </w:r>
    </w:p>
    <w:p>
      <w:pPr>
        <w:spacing w:after="0" w:line="36" w:lineRule="exact"/>
        <w:rPr>
          <w:sz w:val="20"/>
          <w:szCs w:val="20"/>
          <w:color w:val="auto"/>
        </w:rPr>
      </w:pPr>
    </w:p>
    <w:p>
      <w:pPr>
        <w:ind w:left="1240" w:right="1259" w:firstLine="279"/>
        <w:spacing w:after="0" w:line="255" w:lineRule="auto"/>
        <w:rPr>
          <w:sz w:val="20"/>
          <w:szCs w:val="20"/>
          <w:color w:val="auto"/>
        </w:rPr>
      </w:pPr>
      <w:r>
        <w:rPr>
          <w:rFonts w:ascii="Times New Roman" w:cs="Times New Roman" w:eastAsia="Times New Roman" w:hAnsi="Times New Roman"/>
          <w:sz w:val="14"/>
          <w:szCs w:val="14"/>
          <w:color w:val="auto"/>
        </w:rPr>
        <w:t>To claim the benefit of an applicable tax treaty or an exemption from withholding because the income is effectively connected with the non-U.S. holder’s conduct of a trade or business in the United States, a non-U.S. holder generally will be required to provide a properly executed Internal Revenue Service Form W-8BEN or W-8BEN-E (if the holder is claiming the benefits of an income tax treaty) or Form W-8ECI (for income effectively connected with a trade or business in the United States) or other suitable form. Non-U.S. holders should consult their tax advisors regarding their entitlement to benefits under a relevant tax treaty.</w:t>
      </w:r>
    </w:p>
    <w:p>
      <w:pPr>
        <w:spacing w:after="0" w:line="1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Dispositions</w:t>
      </w:r>
    </w:p>
    <w:p>
      <w:pPr>
        <w:spacing w:after="0" w:line="92" w:lineRule="exact"/>
        <w:rPr>
          <w:sz w:val="20"/>
          <w:szCs w:val="20"/>
          <w:color w:val="auto"/>
        </w:rPr>
      </w:pPr>
    </w:p>
    <w:p>
      <w:pPr>
        <w:ind w:left="1240" w:right="1379" w:firstLine="279"/>
        <w:spacing w:after="0" w:line="280" w:lineRule="auto"/>
        <w:rPr>
          <w:sz w:val="20"/>
          <w:szCs w:val="20"/>
          <w:color w:val="auto"/>
        </w:rPr>
      </w:pPr>
      <w:r>
        <w:rPr>
          <w:rFonts w:ascii="Times New Roman" w:cs="Times New Roman" w:eastAsia="Times New Roman" w:hAnsi="Times New Roman"/>
          <w:sz w:val="14"/>
          <w:szCs w:val="14"/>
          <w:color w:val="auto"/>
        </w:rPr>
        <w:t>A non-U.S. holder generally will not be subject to U.S. federal income or withholding tax with respect to gain realized on the sale, exchange or other disposition of our Class A common stock unless:</w:t>
      </w:r>
    </w:p>
    <w:p>
      <w:pPr>
        <w:spacing w:after="0" w:line="42" w:lineRule="exact"/>
        <w:rPr>
          <w:sz w:val="20"/>
          <w:szCs w:val="20"/>
          <w:color w:val="auto"/>
        </w:rPr>
      </w:pPr>
    </w:p>
    <w:p>
      <w:pPr>
        <w:ind w:left="1800" w:right="1279" w:hanging="276"/>
        <w:spacing w:after="0" w:line="264" w:lineRule="auto"/>
        <w:tabs>
          <w:tab w:leader="none" w:pos="18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such non-U.S. holder’s conduct of a trade or business within the United States (and, if required by an applicable tax treaty, is attributable to a U.S. permanent establishment of such non-U.S. holder);</w:t>
      </w:r>
    </w:p>
    <w:p>
      <w:pPr>
        <w:spacing w:after="0" w:line="53" w:lineRule="exact"/>
        <w:rPr>
          <w:rFonts w:ascii="Times New Roman" w:cs="Times New Roman" w:eastAsia="Times New Roman" w:hAnsi="Times New Roman"/>
          <w:sz w:val="14"/>
          <w:szCs w:val="14"/>
          <w:color w:val="auto"/>
        </w:rPr>
      </w:pPr>
    </w:p>
    <w:p>
      <w:pPr>
        <w:ind w:left="1800" w:right="1279" w:hanging="276"/>
        <w:spacing w:after="0" w:line="264" w:lineRule="auto"/>
        <w:tabs>
          <w:tab w:leader="none" w:pos="18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non-U.S. holder that is a non-resident alien individual, such non-U.S. holder is present in the United States for 183 or more days in the taxable year of disposition and certain other requirements are met; or</w:t>
      </w:r>
    </w:p>
    <w:p>
      <w:pPr>
        <w:spacing w:after="0" w:line="53" w:lineRule="exact"/>
        <w:rPr>
          <w:rFonts w:ascii="Times New Roman" w:cs="Times New Roman" w:eastAsia="Times New Roman" w:hAnsi="Times New Roman"/>
          <w:sz w:val="14"/>
          <w:szCs w:val="14"/>
          <w:color w:val="auto"/>
        </w:rPr>
      </w:pPr>
    </w:p>
    <w:p>
      <w:pPr>
        <w:ind w:left="1800" w:right="1259" w:hanging="276"/>
        <w:spacing w:after="0" w:line="255" w:lineRule="auto"/>
        <w:tabs>
          <w:tab w:leader="none" w:pos="18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or have been a “United States real property holding corporation” (“USRPHC”) at any time within the shorter of the five-year period ending on the date of such sale, exchange, or other taxable disposition or the period that such non-U.S. holder held our Class A common stock and either (a) our Class A common stock were not treated as regularly traded on an established securities market at the time of the sale, or (b) such non-U.S. holder owns or owned (actually or constructively) more than 5% of our Class A common stock at any time during the shorter of the two periods mentioned above.</w:t>
      </w:r>
    </w:p>
    <w:p>
      <w:pPr>
        <w:spacing w:after="0" w:line="60" w:lineRule="exact"/>
        <w:rPr>
          <w:sz w:val="20"/>
          <w:szCs w:val="20"/>
          <w:color w:val="auto"/>
        </w:rPr>
      </w:pPr>
    </w:p>
    <w:p>
      <w:pPr>
        <w:ind w:left="1240" w:right="1259" w:firstLine="279"/>
        <w:spacing w:after="0" w:line="252" w:lineRule="auto"/>
        <w:rPr>
          <w:sz w:val="20"/>
          <w:szCs w:val="20"/>
          <w:color w:val="auto"/>
        </w:rPr>
      </w:pPr>
      <w:r>
        <w:rPr>
          <w:rFonts w:ascii="Times New Roman" w:cs="Times New Roman" w:eastAsia="Times New Roman" w:hAnsi="Times New Roman"/>
          <w:sz w:val="14"/>
          <w:szCs w:val="14"/>
          <w:color w:val="auto"/>
        </w:rPr>
        <w:t>If gain or loss on the disposition of our Class A common stock is effectively connected with a non-U.S. holder’s conduct of a trade or business within the United States (and, if required by an applicable tax treaty, is attributable to a U.S. permanent establishment of such non-U.S. Holder), such gain or loss will be subject to U.S. federal income tax on a net income basis in the same manner as if the non-U.S. holder were a U.S. person, and in the case of a non-U.S. holder that is a foreign corporation, such gain may also be subject to an additional branch profits tax at a rate of 30% (or a lower applicable treaty rate). If a non-U.S. holder is an individual that is present in the United States for 183 or more days in the taxable year of disposition and certain other requirements are met, the non-U.S. holder generally will be subject to a flat income tax at a rate of 30% (or lower applicable treaty rate) on any capital gain recognized on the disposition of our Class A common stock, which may be offset by certain U.S. source capital losses.</w:t>
      </w:r>
    </w:p>
    <w:p>
      <w:pPr>
        <w:spacing w:after="0" w:line="64" w:lineRule="exact"/>
        <w:rPr>
          <w:sz w:val="20"/>
          <w:szCs w:val="20"/>
          <w:color w:val="auto"/>
        </w:rPr>
      </w:pPr>
    </w:p>
    <w:p>
      <w:pPr>
        <w:ind w:left="1240" w:right="1259" w:firstLine="279"/>
        <w:spacing w:after="0" w:line="251" w:lineRule="auto"/>
        <w:rPr>
          <w:sz w:val="20"/>
          <w:szCs w:val="20"/>
          <w:color w:val="auto"/>
        </w:rPr>
      </w:pPr>
      <w:r>
        <w:rPr>
          <w:rFonts w:ascii="Times New Roman" w:cs="Times New Roman" w:eastAsia="Times New Roman" w:hAnsi="Times New Roman"/>
          <w:sz w:val="14"/>
          <w:szCs w:val="14"/>
          <w:color w:val="auto"/>
        </w:rPr>
        <w:t>With respect to the third bullet above, a corporation generally is a USRPHC if the fair market value of its U.S. real property interests, as defined in the Code and applicable Treasury regulations, equals or exceeds 50% of the aggregate fair market value of its worldwide real property interests and its other assets used or held for use in a trade or business. Although we believe that we currently are not a USRPHC, this determination is not free from doubt, and we could become a USRPHC in the future depending on the manner in which we expand our business. In addition, although we anticipate that our Class A common stock will be treated as “regularly traded on an established securities market” following this offering, no assurance can be given that our Class A common stock will continue to be so treated in the future. If the third bullet above applies to a non-U.S. holder, gain recognized on the disposition of our common shares generally will be subject to U.S. federal income tax under FIRPTA on a net income basis in the same manner as if the non-U.S. holder were a U.S. person. In addition, if our stock ceased to be “regularly traded,” the transferee in any disposition would generally be required to withhold 15% of the amount realized on the disposition under FIRPTA. Non-U.S. holders should consult their tax advisors regarding the foregoing rules.</w:t>
      </w:r>
    </w:p>
    <w:p>
      <w:pPr>
        <w:spacing w:after="0" w:line="14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Foreign Account Tax Compliance Act</w:t>
      </w:r>
    </w:p>
    <w:p>
      <w:pPr>
        <w:spacing w:after="0" w:line="92" w:lineRule="exact"/>
        <w:rPr>
          <w:sz w:val="20"/>
          <w:szCs w:val="20"/>
          <w:color w:val="auto"/>
        </w:rPr>
      </w:pPr>
    </w:p>
    <w:p>
      <w:pPr>
        <w:ind w:left="1240" w:right="1279" w:firstLine="279"/>
        <w:spacing w:after="0" w:line="264" w:lineRule="auto"/>
        <w:rPr>
          <w:sz w:val="20"/>
          <w:szCs w:val="20"/>
          <w:color w:val="auto"/>
        </w:rPr>
      </w:pPr>
      <w:r>
        <w:rPr>
          <w:rFonts w:ascii="Times New Roman" w:cs="Times New Roman" w:eastAsia="Times New Roman" w:hAnsi="Times New Roman"/>
          <w:sz w:val="14"/>
          <w:szCs w:val="14"/>
          <w:color w:val="auto"/>
        </w:rPr>
        <w:t>Legislation enacted in 2010 and existing guidance issued thereunder require withholding at a rate of 30% on dividends in respect of our Class A common stock held by or through certain foreign financial institutions (including investment funds), unless such institution enters into an agreement with the United States Department</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44" w:name="page45"/>
    <w:bookmarkEnd w:id="44"/>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ind w:left="1240" w:right="1279"/>
        <w:spacing w:after="0" w:line="251" w:lineRule="auto"/>
        <w:rPr>
          <w:sz w:val="20"/>
          <w:szCs w:val="20"/>
          <w:color w:val="auto"/>
        </w:rPr>
      </w:pPr>
      <w:r>
        <w:rPr>
          <w:rFonts w:ascii="Times New Roman" w:cs="Times New Roman" w:eastAsia="Times New Roman" w:hAnsi="Times New Roman"/>
          <w:sz w:val="14"/>
          <w:szCs w:val="14"/>
          <w:color w:val="auto"/>
        </w:rPr>
        <w:t>of the Treasury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Accordingly, the entity through which our Class A common stock are held will affect the determination of whether such withholding is required. Similarly, dividends in respect of our Class A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Internal Revenue Service. An intergovernmental agreement between the United States and an applicable foreign country, or future Treasury regulations or other guidance, may modify the foregoing requirements. We will not pay any additional amounts to stockholders in respect of any amounts withheld. Stockholders are encouraged to consult their tax advisors regarding the possible implications of the legislation on their investment in our Class A common stock.</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45" w:name="page46"/>
    <w:bookmarkEnd w:id="45"/>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CERTAIN ERISA AND BENEFIT PLAN CONSIDERATIONS</w:t>
      </w:r>
    </w:p>
    <w:p>
      <w:pPr>
        <w:spacing w:after="0" w:line="92" w:lineRule="exact"/>
        <w:rPr>
          <w:sz w:val="20"/>
          <w:szCs w:val="20"/>
          <w:color w:val="auto"/>
        </w:rPr>
      </w:pPr>
    </w:p>
    <w:p>
      <w:pPr>
        <w:ind w:left="1240" w:right="1259" w:firstLine="279"/>
        <w:spacing w:after="0" w:line="253" w:lineRule="auto"/>
        <w:rPr>
          <w:sz w:val="20"/>
          <w:szCs w:val="20"/>
          <w:color w:val="auto"/>
        </w:rPr>
      </w:pPr>
      <w:r>
        <w:rPr>
          <w:rFonts w:ascii="Times New Roman" w:cs="Times New Roman" w:eastAsia="Times New Roman" w:hAnsi="Times New Roman"/>
          <w:sz w:val="14"/>
          <w:szCs w:val="14"/>
          <w:color w:val="auto"/>
        </w:rPr>
        <w:t>The following is a general summary of certain considerations associated with the acquisition and holding of securities offered hereunder (including interests therein) by employee benefit plans that are subject to Title I of ERISA, plans, individual retirement accounts and other arrangements that are subject to Section 4975 of the Code and employee benefit plans that are governmental plans (as defined in Section 3(32) of ERISA), certain church plans (as defined in Section 3(33) of ERISA), non-U.S. plans (as described in Section 4(b)(4) of securities) or other plans that are not subject to the foregoing but may be subject to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w:t>
      </w:r>
    </w:p>
    <w:p>
      <w:pPr>
        <w:spacing w:after="0" w:line="60" w:lineRule="exact"/>
        <w:rPr>
          <w:sz w:val="20"/>
          <w:szCs w:val="20"/>
          <w:color w:val="auto"/>
        </w:rPr>
      </w:pPr>
    </w:p>
    <w:p>
      <w:pPr>
        <w:ind w:left="1240" w:right="1299" w:firstLine="279"/>
        <w:spacing w:after="0" w:line="253" w:lineRule="auto"/>
        <w:rPr>
          <w:sz w:val="20"/>
          <w:szCs w:val="20"/>
          <w:color w:val="auto"/>
        </w:rPr>
      </w:pPr>
      <w:r>
        <w:rPr>
          <w:rFonts w:ascii="Times New Roman" w:cs="Times New Roman" w:eastAsia="Times New Roman" w:hAnsi="Times New Roman"/>
          <w:sz w:val="14"/>
          <w:szCs w:val="14"/>
          <w:color w:val="auto"/>
        </w:rPr>
        <w:t>This summary is based on the provisions of ERISA and the Code (and related regulations and administrative and judicial interpretations) as of the date of this prospectus.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 Each time we or any stockholders offer, issue or sell securities, we will provide a supplement to this prospectus that may contain supplemental information to this summary.</w:t>
      </w:r>
    </w:p>
    <w:p>
      <w:pPr>
        <w:spacing w:after="0" w:line="22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General Fiduciary Matters</w:t>
      </w:r>
    </w:p>
    <w:p>
      <w:pPr>
        <w:spacing w:after="0" w:line="92" w:lineRule="exact"/>
        <w:rPr>
          <w:sz w:val="20"/>
          <w:szCs w:val="20"/>
          <w:color w:val="auto"/>
        </w:rPr>
      </w:pPr>
    </w:p>
    <w:p>
      <w:pPr>
        <w:ind w:left="1240" w:right="1299" w:firstLine="279"/>
        <w:spacing w:after="0" w:line="254" w:lineRule="auto"/>
        <w:rPr>
          <w:sz w:val="20"/>
          <w:szCs w:val="20"/>
          <w:color w:val="auto"/>
        </w:rPr>
      </w:pPr>
      <w:r>
        <w:rPr>
          <w:rFonts w:ascii="Times New Roman" w:cs="Times New Roman" w:eastAsia="Times New Roman" w:hAnsi="Times New Roman"/>
          <w:sz w:val="14"/>
          <w:szCs w:val="14"/>
          <w:color w:val="auto"/>
        </w:rPr>
        <w:t>ERISA and the Code impose certain duties on persons who are fiduciaries of a Plan subject to Title I of ERISA or Section 4975 of the Code (a “Covered Plan”) and prohibit certain transactions involving the assets of a Covered Plan and its fiduciaries or other interested parties. Under ERISA and the Code, any person who exercises any discretionary authority or control over the administration of a Covered Plan or the management or disposition of the assets of a Covered Plan, or who renders investment advice for a fee or other compensation to a Covered Plan, is generally considered to be a fiduciary of the Covered Plan. We and our affiliates will not act in a fiduciary capacity with respect to any Plan’s investment in our securities.</w:t>
      </w:r>
    </w:p>
    <w:p>
      <w:pPr>
        <w:spacing w:after="0" w:line="61" w:lineRule="exact"/>
        <w:rPr>
          <w:sz w:val="20"/>
          <w:szCs w:val="20"/>
          <w:color w:val="auto"/>
        </w:rPr>
      </w:pPr>
    </w:p>
    <w:p>
      <w:pPr>
        <w:ind w:left="1240" w:right="1259" w:firstLine="279"/>
        <w:spacing w:after="0" w:line="257" w:lineRule="auto"/>
        <w:rPr>
          <w:sz w:val="20"/>
          <w:szCs w:val="20"/>
          <w:color w:val="auto"/>
        </w:rPr>
      </w:pPr>
      <w:r>
        <w:rPr>
          <w:rFonts w:ascii="Times New Roman" w:cs="Times New Roman" w:eastAsia="Times New Roman" w:hAnsi="Times New Roman"/>
          <w:sz w:val="14"/>
          <w:szCs w:val="14"/>
          <w:color w:val="auto"/>
        </w:rPr>
        <w:t>In considering an investment in a security offered pursuant hereto with a portion of the assets of any Plan, a fiduciary should consider the Plan’s particular circumstances and all of the facts and circumstances of the investment and determine whether the acquisition and holding of such security is in accordance with the documents and instruments governing the Plan and the applicable provisions of ERISA, the Code, or any Similar Law relating to the fiduciary’s duties to the Plan, including, without limitation:</w:t>
      </w:r>
    </w:p>
    <w:p>
      <w:pPr>
        <w:spacing w:after="0" w:line="57" w:lineRule="exact"/>
        <w:rPr>
          <w:sz w:val="20"/>
          <w:szCs w:val="20"/>
          <w:color w:val="auto"/>
        </w:rPr>
      </w:pPr>
    </w:p>
    <w:p>
      <w:pPr>
        <w:ind w:left="1800" w:right="1619" w:hanging="276"/>
        <w:spacing w:after="0" w:line="280" w:lineRule="auto"/>
        <w:tabs>
          <w:tab w:leader="none" w:pos="18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investment is prudent under Section 404(a)(1)(B) of ERISA, if applicable, and any other applicable Similar Laws;</w:t>
      </w:r>
    </w:p>
    <w:p>
      <w:pPr>
        <w:spacing w:after="0" w:line="42"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 making the investment, the Plan will satisfy the diversification requirements of Section 404(a)</w:t>
      </w:r>
    </w:p>
    <w:p>
      <w:pPr>
        <w:spacing w:after="0" w:line="21" w:lineRule="exact"/>
        <w:rPr>
          <w:rFonts w:ascii="Times New Roman" w:cs="Times New Roman" w:eastAsia="Times New Roman" w:hAnsi="Times New Roman"/>
          <w:sz w:val="14"/>
          <w:szCs w:val="14"/>
          <w:color w:val="auto"/>
        </w:rPr>
      </w:pPr>
    </w:p>
    <w:p>
      <w:pPr>
        <w:ind w:left="18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(1)(C) of ERISA, if applicable, and any other applicable Similar Laws;</w:t>
      </w:r>
    </w:p>
    <w:p>
      <w:pPr>
        <w:spacing w:after="0" w:line="74"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investment is permitted under the terms of the applicable documents governing the Plan;</w:t>
      </w:r>
    </w:p>
    <w:p>
      <w:pPr>
        <w:spacing w:after="0" w:line="89" w:lineRule="exact"/>
        <w:rPr>
          <w:rFonts w:ascii="Times New Roman" w:cs="Times New Roman" w:eastAsia="Times New Roman" w:hAnsi="Times New Roman"/>
          <w:sz w:val="14"/>
          <w:szCs w:val="14"/>
          <w:color w:val="auto"/>
        </w:rPr>
      </w:pPr>
    </w:p>
    <w:p>
      <w:pPr>
        <w:ind w:left="1800" w:hanging="276"/>
        <w:spacing w:after="0"/>
        <w:tabs>
          <w:tab w:leader="none" w:pos="18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 the future there may be no market in which to sell or otherwise dispose of the security ;</w:t>
      </w:r>
    </w:p>
    <w:p>
      <w:pPr>
        <w:spacing w:after="0" w:line="89" w:lineRule="exact"/>
        <w:rPr>
          <w:rFonts w:ascii="Times New Roman" w:cs="Times New Roman" w:eastAsia="Times New Roman" w:hAnsi="Times New Roman"/>
          <w:sz w:val="14"/>
          <w:szCs w:val="14"/>
          <w:color w:val="auto"/>
        </w:rPr>
      </w:pPr>
    </w:p>
    <w:p>
      <w:pPr>
        <w:ind w:left="1800" w:right="1419" w:hanging="276"/>
        <w:spacing w:after="0" w:line="264" w:lineRule="auto"/>
        <w:tabs>
          <w:tab w:leader="none" w:pos="18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acquisition or holding of such security will constitute a “prohibited transaction” under Section 406 of ERISA or Section 4975 of the Code or any Similar Law (please see discussion under “— Prohibited Transaction Issues” below); and</w:t>
      </w:r>
    </w:p>
    <w:p>
      <w:pPr>
        <w:spacing w:after="0" w:line="53" w:lineRule="exact"/>
        <w:rPr>
          <w:rFonts w:ascii="Times New Roman" w:cs="Times New Roman" w:eastAsia="Times New Roman" w:hAnsi="Times New Roman"/>
          <w:sz w:val="14"/>
          <w:szCs w:val="14"/>
          <w:color w:val="auto"/>
        </w:rPr>
      </w:pPr>
    </w:p>
    <w:p>
      <w:pPr>
        <w:ind w:left="1800" w:right="1619" w:hanging="276"/>
        <w:spacing w:after="0" w:line="320" w:lineRule="auto"/>
        <w:tabs>
          <w:tab w:leader="none" w:pos="180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Plan will be considered to hold, as plan assets, (i) only such security or (ii) an undivided interest in our underlying assets (please see the discussion under “—Plan Asset Issues” below).</w:t>
      </w:r>
    </w:p>
    <w:p>
      <w:pPr>
        <w:spacing w:after="0" w:line="18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Prohibited Transaction Issues</w:t>
      </w:r>
    </w:p>
    <w:p>
      <w:pPr>
        <w:spacing w:after="0" w:line="92" w:lineRule="exact"/>
        <w:rPr>
          <w:sz w:val="20"/>
          <w:szCs w:val="20"/>
          <w:color w:val="auto"/>
        </w:rPr>
      </w:pPr>
    </w:p>
    <w:p>
      <w:pPr>
        <w:ind w:left="1240" w:right="1259" w:firstLine="279"/>
        <w:spacing w:after="0" w:line="257" w:lineRule="auto"/>
        <w:rPr>
          <w:sz w:val="20"/>
          <w:szCs w:val="20"/>
          <w:color w:val="auto"/>
        </w:rPr>
      </w:pPr>
      <w:r>
        <w:rPr>
          <w:rFonts w:ascii="Times New Roman" w:cs="Times New Roman" w:eastAsia="Times New Roman" w:hAnsi="Times New Roman"/>
          <w:sz w:val="14"/>
          <w:szCs w:val="14"/>
          <w:color w:val="auto"/>
        </w:rPr>
        <w:t>Section 406 of ERISA and Section 4975 of the Code prohibit Covered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5412105" cy="13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46" w:name="page47"/>
    <w:bookmarkEnd w:id="46"/>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ind w:left="1240" w:right="1259"/>
        <w:spacing w:after="0" w:line="255" w:lineRule="auto"/>
        <w:rPr>
          <w:sz w:val="20"/>
          <w:szCs w:val="20"/>
          <w:color w:val="auto"/>
        </w:rPr>
      </w:pPr>
      <w:r>
        <w:rPr>
          <w:rFonts w:ascii="Times New Roman" w:cs="Times New Roman" w:eastAsia="Times New Roman" w:hAnsi="Times New Roman"/>
          <w:sz w:val="14"/>
          <w:szCs w:val="14"/>
          <w:color w:val="auto"/>
        </w:rPr>
        <w:t>the Covered Plan that engages in such a non-exempt prohibited transaction may be subject to penalties and liabilities under ERISA and the Code. For example, the acquisition and/or holding of our securities by a Covered Plan with respect to which the issuer or certain other parties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w:t>
      </w:r>
    </w:p>
    <w:p>
      <w:pPr>
        <w:spacing w:after="0" w:line="60" w:lineRule="exact"/>
        <w:rPr>
          <w:sz w:val="20"/>
          <w:szCs w:val="20"/>
          <w:color w:val="auto"/>
        </w:rPr>
      </w:pPr>
    </w:p>
    <w:p>
      <w:pPr>
        <w:jc w:val="both"/>
        <w:ind w:left="1240" w:right="1539" w:firstLine="279"/>
        <w:spacing w:after="0" w:line="294" w:lineRule="auto"/>
        <w:rPr>
          <w:sz w:val="20"/>
          <w:szCs w:val="20"/>
          <w:color w:val="auto"/>
        </w:rPr>
      </w:pPr>
      <w:r>
        <w:rPr>
          <w:rFonts w:ascii="Times New Roman" w:cs="Times New Roman" w:eastAsia="Times New Roman" w:hAnsi="Times New Roman"/>
          <w:sz w:val="13"/>
          <w:szCs w:val="13"/>
          <w:color w:val="auto"/>
        </w:rPr>
        <w:t>Because of the foregoing, our securities (including interests therein) should not be acquired or held by any person investing “plan assets” of any Plan, unless such acquisition and holding will not constitute a non-exempt prohibited transaction under ERISA and the Code or a similar violation of any applicable Similar Laws.</w:t>
      </w:r>
    </w:p>
    <w:p>
      <w:pPr>
        <w:spacing w:after="0" w:line="2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Plan Asset Issues</w:t>
      </w:r>
    </w:p>
    <w:p>
      <w:pPr>
        <w:spacing w:after="0" w:line="92" w:lineRule="exact"/>
        <w:rPr>
          <w:sz w:val="20"/>
          <w:szCs w:val="20"/>
          <w:color w:val="auto"/>
        </w:rPr>
      </w:pPr>
    </w:p>
    <w:p>
      <w:pPr>
        <w:ind w:left="1240" w:right="1339" w:firstLine="279"/>
        <w:spacing w:after="0" w:line="259" w:lineRule="auto"/>
        <w:rPr>
          <w:sz w:val="20"/>
          <w:szCs w:val="20"/>
          <w:color w:val="auto"/>
        </w:rPr>
      </w:pPr>
      <w:r>
        <w:rPr>
          <w:rFonts w:ascii="Times New Roman" w:cs="Times New Roman" w:eastAsia="Times New Roman" w:hAnsi="Times New Roman"/>
          <w:sz w:val="14"/>
          <w:szCs w:val="14"/>
          <w:color w:val="auto"/>
        </w:rPr>
        <w:t>Additionally, a fiduciary of a Plan should consider whether the Plan will, by investing in our equity securities , be deemed to own an undivided interest in our assets, with the result that we would become a fiduciary of the Plan and our operations would be subject to the regulatory restrictions of ERISA, including its prohibited transaction rules, as well as the prohibited transaction rules of the Code and any other applicable Similar Laws.</w:t>
      </w:r>
    </w:p>
    <w:p>
      <w:pPr>
        <w:spacing w:after="0" w:line="57" w:lineRule="exact"/>
        <w:rPr>
          <w:sz w:val="20"/>
          <w:szCs w:val="20"/>
          <w:color w:val="auto"/>
        </w:rPr>
      </w:pPr>
    </w:p>
    <w:p>
      <w:pPr>
        <w:ind w:left="1240" w:right="1299" w:firstLine="279"/>
        <w:spacing w:after="0" w:line="259" w:lineRule="auto"/>
        <w:rPr>
          <w:sz w:val="20"/>
          <w:szCs w:val="20"/>
          <w:color w:val="auto"/>
        </w:rPr>
      </w:pPr>
      <w:r>
        <w:rPr>
          <w:rFonts w:ascii="Times New Roman" w:cs="Times New Roman" w:eastAsia="Times New Roman" w:hAnsi="Times New Roman"/>
          <w:sz w:val="14"/>
          <w:szCs w:val="14"/>
          <w:color w:val="auto"/>
        </w:rPr>
        <w:t>The Department of Labor (the “DOL”) regulations, as modified by Section 3(42) of ERISA (the “Plan Asset Regulation”) provide guidance with respect to whether the assets of an entity in which Covered Plans acquire equity interests would be deemed “plan assets” of the Covered Plan under some circumstances. Under the Plan Asset Regulation, an entity’s assets generally would not be considered to be “plan assets” if, among other things:</w:t>
      </w:r>
    </w:p>
    <w:p>
      <w:pPr>
        <w:spacing w:after="0" w:line="57" w:lineRule="exact"/>
        <w:rPr>
          <w:sz w:val="20"/>
          <w:szCs w:val="20"/>
          <w:color w:val="auto"/>
        </w:rPr>
      </w:pPr>
    </w:p>
    <w:p>
      <w:pPr>
        <w:ind w:left="1800" w:hanging="276"/>
        <w:spacing w:after="0"/>
        <w:tabs>
          <w:tab w:leader="none" w:pos="18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interests acquired by Covered Plans are “publicly offered securities” (as defined in the</w:t>
      </w:r>
    </w:p>
    <w:p>
      <w:pPr>
        <w:spacing w:after="0" w:line="21" w:lineRule="exact"/>
        <w:rPr>
          <w:rFonts w:ascii="Times New Roman" w:cs="Times New Roman" w:eastAsia="Times New Roman" w:hAnsi="Times New Roman"/>
          <w:sz w:val="14"/>
          <w:szCs w:val="14"/>
          <w:color w:val="auto"/>
        </w:rPr>
      </w:pPr>
    </w:p>
    <w:p>
      <w:pPr>
        <w:ind w:left="1800" w:right="137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 regulations)—i.e., the equity interests are part of a class of securities that is widely held by 100 or more investors independent of the issuer and each other, are “freely transferable” (as defined in the DOL regulations), and are either registered under certain provisions of the federal securities laws or sold to the Covered Plan as part of a public offering under certain conditions;</w:t>
      </w:r>
    </w:p>
    <w:p>
      <w:pPr>
        <w:spacing w:after="0" w:line="60" w:lineRule="exact"/>
        <w:rPr>
          <w:rFonts w:ascii="Times New Roman" w:cs="Times New Roman" w:eastAsia="Times New Roman" w:hAnsi="Times New Roman"/>
          <w:sz w:val="14"/>
          <w:szCs w:val="14"/>
          <w:color w:val="auto"/>
        </w:rPr>
      </w:pPr>
    </w:p>
    <w:p>
      <w:pPr>
        <w:jc w:val="both"/>
        <w:ind w:left="1800" w:right="1659" w:hanging="276"/>
        <w:spacing w:after="0" w:line="264" w:lineRule="auto"/>
        <w:tabs>
          <w:tab w:leader="none" w:pos="18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entity is an “operating company” (as defined in the Plan Asset Regulations)—i.e., it is primarily engaged in the production or sale of a product or service, other than the investment of capital, either directly or through a majority-owned subsidiary or subsidiaries; or</w:t>
      </w:r>
    </w:p>
    <w:p>
      <w:pPr>
        <w:spacing w:after="0" w:line="53" w:lineRule="exact"/>
        <w:rPr>
          <w:rFonts w:ascii="Times New Roman" w:cs="Times New Roman" w:eastAsia="Times New Roman" w:hAnsi="Times New Roman"/>
          <w:sz w:val="14"/>
          <w:szCs w:val="14"/>
          <w:color w:val="auto"/>
        </w:rPr>
      </w:pPr>
    </w:p>
    <w:p>
      <w:pPr>
        <w:ind w:left="1800" w:right="1279" w:hanging="276"/>
        <w:spacing w:after="0" w:line="253" w:lineRule="auto"/>
        <w:tabs>
          <w:tab w:leader="none" w:pos="18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significant investment by “benefit plan investors”, which is defined to mean that immediately after the most recent acquisition by a Covered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Covered Plans (which does not include governmental plans, foreign plans and certain church plans), and entities whose underlying assets are deemed to include plan assets by reason of a Covered Plan’s investment in the entity.</w:t>
      </w:r>
    </w:p>
    <w:p>
      <w:pPr>
        <w:spacing w:after="0" w:line="63" w:lineRule="exact"/>
        <w:rPr>
          <w:sz w:val="20"/>
          <w:szCs w:val="20"/>
          <w:color w:val="auto"/>
        </w:rPr>
      </w:pPr>
    </w:p>
    <w:p>
      <w:pPr>
        <w:ind w:left="1240" w:right="1279" w:firstLine="279"/>
        <w:spacing w:after="0" w:line="252" w:lineRule="auto"/>
        <w:rPr>
          <w:sz w:val="20"/>
          <w:szCs w:val="20"/>
          <w:color w:val="auto"/>
        </w:rPr>
      </w:pPr>
      <w:r>
        <w:rPr>
          <w:rFonts w:ascii="Times New Roman" w:cs="Times New Roman" w:eastAsia="Times New Roman" w:hAnsi="Times New Roman"/>
          <w:sz w:val="14"/>
          <w:szCs w:val="14"/>
          <w:color w:val="auto"/>
        </w:rPr>
        <w:t>Due to the complexity of these rules and the excise taxes, penalties and liabilities that may be imposed upon persons involved in non-exempt prohibited transactions or other violations, it is particularly important that fiduciaries, or other persons considering acquiring and/or holding our equity securities on behalf of, or with the assets of, any Plan, consult with their counsel regarding the potential applicability of ERISA, Section 4975 of the Code and any Similar Laws to such investment and whether an exemption would be necessary, and if so applicable, with respect to the investment in such securities. Purchasers of our securities have the exclusive responsibility for ensuring, and will be deemed (and in certain cases may be required) to represent, that their acquisition and holding of such securities complies with the fiduciary responsibility rules of ERISA and does not violate the prohibited transaction rules of ERISA, the Code or applicable Similar Laws. The sale of any security to a Plan is in no respect a representation or recommendation by us or any of our respective affiliates or representatives that such an investment meets all relevant legal requirements with respect to investments by any such Plan or that such investment is appropriate or advisable for any such Plan.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99695</wp:posOffset>
            </wp:positionV>
            <wp:extent cx="5412105"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5412105" cy="1333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47" w:name="page48"/>
    <w:bookmarkEnd w:id="47"/>
    <w:p>
      <w:pPr>
        <w:ind w:left="124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92" w:lineRule="exact"/>
        <w:rPr>
          <w:sz w:val="20"/>
          <w:szCs w:val="20"/>
          <w:color w:val="auto"/>
        </w:rPr>
      </w:pPr>
    </w:p>
    <w:p>
      <w:pPr>
        <w:ind w:left="1240" w:right="1339" w:firstLine="279"/>
        <w:spacing w:after="0" w:line="285" w:lineRule="auto"/>
        <w:rPr>
          <w:sz w:val="20"/>
          <w:szCs w:val="20"/>
          <w:color w:val="auto"/>
        </w:rPr>
      </w:pPr>
      <w:r>
        <w:rPr>
          <w:rFonts w:ascii="Times New Roman" w:cs="Times New Roman" w:eastAsia="Times New Roman" w:hAnsi="Times New Roman"/>
          <w:sz w:val="13"/>
          <w:szCs w:val="13"/>
          <w:color w:val="auto"/>
        </w:rPr>
        <w:t>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92" w:lineRule="exact"/>
        <w:rPr>
          <w:sz w:val="20"/>
          <w:szCs w:val="20"/>
          <w:color w:val="auto"/>
        </w:rPr>
      </w:pPr>
    </w:p>
    <w:p>
      <w:pPr>
        <w:ind w:left="1240" w:right="1439" w:firstLine="279"/>
        <w:spacing w:after="0" w:line="255" w:lineRule="auto"/>
        <w:rPr>
          <w:sz w:val="20"/>
          <w:szCs w:val="20"/>
          <w:color w:val="auto"/>
        </w:rPr>
      </w:pPr>
      <w:r>
        <w:rPr>
          <w:rFonts w:ascii="Times New Roman" w:cs="Times New Roman" w:eastAsia="Times New Roman" w:hAnsi="Times New Roman"/>
          <w:sz w:val="14"/>
          <w:szCs w:val="14"/>
          <w:color w:val="auto"/>
        </w:rPr>
        <w:t>Ernst &amp; Young LLP ,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and elsewhere in this registration statement. Our financial statements are incorporated by reference in reliance on Ernst &amp; Young LLP’s’s reports, given on their authority as experts in accounting and auditing.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35" w:right="1440" w:bottom="1440" w:gutter="0" w:footer="0" w:header="0"/>
        </w:sectPr>
      </w:pPr>
    </w:p>
    <w:bookmarkStart w:id="48" w:name="page49"/>
    <w:bookmarkEnd w:id="48"/>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69"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6"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New Fortress Energy Inc.</w:t>
      </w:r>
    </w:p>
    <w:p>
      <w:pPr>
        <w:spacing w:after="0" w:line="125"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Table 1: Newly Registered and Carry Forward Securities</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40" w:type="dxa"/>
            <w:vAlign w:val="bottom"/>
            <w:tcBorders>
              <w:left w:val="single" w:sz="8" w:color="auto"/>
            </w:tcBorders>
          </w:tcPr>
          <w:p>
            <w:pPr>
              <w:spacing w:after="0"/>
              <w:rPr>
                <w:sz w:val="13"/>
                <w:szCs w:val="13"/>
                <w:color w:val="auto"/>
              </w:rPr>
            </w:pPr>
          </w:p>
        </w:tc>
        <w:tc>
          <w:tcPr>
            <w:tcW w:w="78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shd w:val="clear" w:color="auto" w:fill="9ADAF6"/>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Borders>
              <w:right w:val="single" w:sz="8" w:color="auto"/>
            </w:tcBorders>
            <w:shd w:val="clear" w:color="auto" w:fill="9ADAF6"/>
          </w:tcPr>
          <w:p>
            <w:pPr>
              <w:jc w:val="center"/>
              <w:spacing w:after="0" w:line="160"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860" w:type="dxa"/>
            <w:vAlign w:val="bottom"/>
            <w:shd w:val="clear" w:color="auto" w:fill="9ADAF6"/>
          </w:tcPr>
          <w:p>
            <w:pPr>
              <w:ind w:left="100"/>
              <w:spacing w:after="0" w:line="188"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880" w:type="dxa"/>
            <w:vAlign w:val="bottom"/>
            <w:shd w:val="clear" w:color="auto" w:fill="9ADAF6"/>
          </w:tcPr>
          <w:p>
            <w:pPr>
              <w:jc w:val="right"/>
              <w:ind w:right="36"/>
              <w:spacing w:after="0" w:line="188"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11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88"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860" w:type="dxa"/>
            <w:vAlign w:val="bottom"/>
            <w:shd w:val="clear" w:color="auto" w:fill="9ADAF6"/>
          </w:tcPr>
          <w:p>
            <w:pPr>
              <w:ind w:left="20"/>
              <w:spacing w:after="0" w:line="188" w:lineRule="exact"/>
              <w:rPr>
                <w:sz w:val="20"/>
                <w:szCs w:val="20"/>
                <w:color w:val="auto"/>
              </w:rPr>
            </w:pPr>
            <w:r>
              <w:rPr>
                <w:rFonts w:ascii="Arial" w:cs="Arial" w:eastAsia="Arial" w:hAnsi="Arial"/>
                <w:sz w:val="17"/>
                <w:szCs w:val="17"/>
                <w:b w:val="1"/>
                <w:bCs w:val="1"/>
                <w:color w:val="auto"/>
                <w:w w:val="96"/>
              </w:rPr>
              <w:t>Class 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line="188" w:lineRule="exact"/>
              <w:rPr>
                <w:sz w:val="20"/>
                <w:szCs w:val="20"/>
                <w:color w:val="auto"/>
              </w:rPr>
            </w:pPr>
            <w:r>
              <w:rPr>
                <w:rFonts w:ascii="Arial" w:cs="Arial" w:eastAsia="Arial" w:hAnsi="Arial"/>
                <w:sz w:val="17"/>
                <w:szCs w:val="17"/>
                <w:b w:val="1"/>
                <w:bCs w:val="1"/>
                <w:color w:val="auto"/>
                <w:w w:val="95"/>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1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Fee Rate</w:t>
            </w:r>
          </w:p>
        </w:tc>
        <w:tc>
          <w:tcPr>
            <w:tcW w:w="40" w:type="dxa"/>
            <w:vAlign w:val="bottom"/>
          </w:tcPr>
          <w:p>
            <w:pPr>
              <w:spacing w:after="0"/>
              <w:rPr>
                <w:sz w:val="16"/>
                <w:szCs w:val="16"/>
                <w:color w:val="auto"/>
              </w:rPr>
            </w:pPr>
          </w:p>
        </w:tc>
        <w:tc>
          <w:tcPr>
            <w:tcW w:w="10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4"/>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0"/>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40" w:type="dxa"/>
            <w:vAlign w:val="bottom"/>
            <w:gridSpan w:val="5"/>
          </w:tcPr>
          <w:p>
            <w:pPr>
              <w:jc w:val="center"/>
              <w:ind w:right="176"/>
              <w:spacing w:after="0"/>
              <w:rPr>
                <w:sz w:val="20"/>
                <w:szCs w:val="20"/>
                <w:color w:val="auto"/>
              </w:rPr>
            </w:pPr>
            <w:r>
              <w:rPr>
                <w:rFonts w:ascii="Arial" w:cs="Arial" w:eastAsia="Arial" w:hAnsi="Arial"/>
                <w:sz w:val="17"/>
                <w:szCs w:val="17"/>
                <w:b w:val="1"/>
                <w:bCs w:val="1"/>
                <w:color w:val="auto"/>
                <w:w w:val="98"/>
              </w:rPr>
              <w:t>Newly Registered Securities</w:t>
            </w: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$0.01 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share,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86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issuable</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6"/>
                <w:szCs w:val="16"/>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10,804,718</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$ 8.89</w:t>
            </w:r>
          </w:p>
        </w:tc>
        <w:tc>
          <w:tcPr>
            <w:tcW w:w="20" w:type="dxa"/>
            <w:vAlign w:val="bottom"/>
          </w:tcPr>
          <w:p>
            <w:pPr>
              <w:spacing w:after="0"/>
              <w:rPr>
                <w:sz w:val="16"/>
                <w:szCs w:val="16"/>
                <w:color w:val="auto"/>
              </w:rPr>
            </w:pPr>
          </w:p>
        </w:tc>
        <w:tc>
          <w:tcPr>
            <w:tcW w:w="1100" w:type="dxa"/>
            <w:vAlign w:val="bottom"/>
            <w:shd w:val="clear" w:color="auto" w:fill="E7E7E2"/>
          </w:tcPr>
          <w:p>
            <w:pPr>
              <w:jc w:val="right"/>
              <w:spacing w:after="0" w:line="188"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0.0001531</w:t>
            </w:r>
          </w:p>
        </w:tc>
        <w:tc>
          <w:tcPr>
            <w:tcW w:w="4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$ 14,705.86</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upon</w:t>
            </w:r>
          </w:p>
        </w:tc>
        <w:tc>
          <w:tcPr>
            <w:tcW w:w="20" w:type="dxa"/>
            <w:vAlign w:val="bottom"/>
          </w:tcPr>
          <w:p>
            <w:pPr>
              <w:spacing w:after="0"/>
              <w:rPr>
                <w:sz w:val="16"/>
                <w:szCs w:val="16"/>
                <w:color w:val="auto"/>
              </w:rPr>
            </w:pPr>
          </w:p>
        </w:tc>
        <w:tc>
          <w:tcPr>
            <w:tcW w:w="9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jc w:val="right"/>
              <w:spacing w:after="0" w:line="188" w:lineRule="exact"/>
              <w:rPr>
                <w:sz w:val="20"/>
                <w:szCs w:val="20"/>
                <w:color w:val="auto"/>
              </w:rPr>
            </w:pPr>
            <w:r>
              <w:rPr>
                <w:rFonts w:ascii="Arial" w:cs="Arial" w:eastAsia="Arial" w:hAnsi="Arial"/>
                <w:sz w:val="17"/>
                <w:szCs w:val="17"/>
                <w:color w:val="auto"/>
                <w:w w:val="97"/>
              </w:rPr>
              <w:t>96,053,943.02</w:t>
            </w: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conversion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of the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Series A</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w w:val="97"/>
              </w:rPr>
              <w:t>Convertible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20"/>
                <w:szCs w:val="20"/>
                <w:color w:val="auto"/>
              </w:rPr>
            </w:pPr>
            <w:r>
              <w:rPr>
                <w:rFonts w:ascii="Arial" w:cs="Arial" w:eastAsia="Arial" w:hAnsi="Arial"/>
                <w:sz w:val="17"/>
                <w:szCs w:val="17"/>
                <w:color w:val="auto"/>
              </w:rPr>
              <w:t>Stock</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7"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40" w:type="dxa"/>
            <w:vAlign w:val="bottom"/>
            <w:gridSpan w:val="5"/>
          </w:tcPr>
          <w:p>
            <w:pPr>
              <w:jc w:val="center"/>
              <w:ind w:right="156"/>
              <w:spacing w:after="0"/>
              <w:rPr>
                <w:sz w:val="20"/>
                <w:szCs w:val="20"/>
                <w:color w:val="auto"/>
              </w:rPr>
            </w:pPr>
            <w:r>
              <w:rPr>
                <w:rFonts w:ascii="Arial" w:cs="Arial" w:eastAsia="Arial" w:hAnsi="Arial"/>
                <w:sz w:val="17"/>
                <w:szCs w:val="17"/>
                <w:b w:val="1"/>
                <w:bCs w:val="1"/>
                <w:color w:val="auto"/>
                <w:w w:val="97"/>
              </w:rPr>
              <w:t>Carry Forward Securities</w:t>
            </w: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$ 14,705.86</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w w:val="99"/>
              </w:rPr>
              <w:t>96,053,943.02</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$ 14,705.86</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3" w:lineRule="exact"/>
        <w:rPr>
          <w:sz w:val="20"/>
          <w:szCs w:val="20"/>
          <w:color w:val="auto"/>
        </w:rPr>
      </w:pPr>
    </w:p>
    <w:p>
      <w:pPr>
        <w:ind w:left="220" w:right="140" w:hanging="8"/>
        <w:spacing w:after="0" w:line="246" w:lineRule="auto"/>
        <w:tabs>
          <w:tab w:leader="none" w:pos="471" w:val="left"/>
        </w:tabs>
        <w:numPr>
          <w:ilvl w:val="0"/>
          <w:numId w:val="35"/>
        </w:numPr>
        <w:rPr>
          <w:rFonts w:ascii="Arial" w:cs="Arial" w:eastAsia="Arial" w:hAnsi="Arial"/>
          <w:sz w:val="17"/>
          <w:szCs w:val="17"/>
          <w:color w:val="auto"/>
        </w:rPr>
      </w:pPr>
      <w:r>
        <w:rPr>
          <w:rFonts w:ascii="Arial" w:cs="Arial" w:eastAsia="Arial" w:hAnsi="Arial"/>
          <w:sz w:val="17"/>
          <w:szCs w:val="17"/>
          <w:color w:val="auto"/>
        </w:rPr>
        <w:t>Pursuant to Rule 416 under the Securities Act of 1933, as amended (the "Securities Act"), this prospectus supplement also covers such additional shares as may hereafter be offered or issued with respect to the shares registered hereby resulting from stock splits, stock dividends, recapitalizations or similar capital adjustments.</w:t>
      </w:r>
    </w:p>
    <w:p>
      <w:pPr>
        <w:spacing w:after="0" w:line="150" w:lineRule="exact"/>
        <w:rPr>
          <w:rFonts w:ascii="Arial" w:cs="Arial" w:eastAsia="Arial" w:hAnsi="Arial"/>
          <w:sz w:val="17"/>
          <w:szCs w:val="17"/>
          <w:color w:val="auto"/>
        </w:rPr>
      </w:pPr>
    </w:p>
    <w:p>
      <w:pPr>
        <w:ind w:left="220" w:right="400" w:hanging="8"/>
        <w:spacing w:after="0" w:line="262" w:lineRule="auto"/>
        <w:tabs>
          <w:tab w:leader="none" w:pos="471" w:val="left"/>
        </w:tabs>
        <w:numPr>
          <w:ilvl w:val="0"/>
          <w:numId w:val="35"/>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computed in accordance with Rule 457(c) on the basis of the average of the high and low sales prices for the Class A common stock on September 30, 2024, as reported on the NASDAQ Global Select Market.</w:t>
      </w:r>
    </w:p>
    <w:p>
      <w:pPr>
        <w:spacing w:after="0" w:line="137" w:lineRule="exact"/>
        <w:rPr>
          <w:rFonts w:ascii="Arial" w:cs="Arial" w:eastAsia="Arial" w:hAnsi="Arial"/>
          <w:sz w:val="17"/>
          <w:szCs w:val="17"/>
          <w:color w:val="auto"/>
        </w:rPr>
      </w:pPr>
    </w:p>
    <w:p>
      <w:pPr>
        <w:ind w:left="220" w:right="440" w:hanging="8"/>
        <w:spacing w:after="0" w:line="262" w:lineRule="auto"/>
        <w:tabs>
          <w:tab w:leader="none" w:pos="471"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Consists of the resale of up to 10,804,718 shares of common stock issuable upon conversion of the preferred stock previously and separately registered under this Registration Statement.</w:t>
      </w:r>
    </w:p>
    <w:p>
      <w:pPr>
        <w:spacing w:after="0" w:line="137" w:lineRule="exact"/>
        <w:rPr>
          <w:rFonts w:ascii="Arial" w:cs="Arial" w:eastAsia="Arial" w:hAnsi="Arial"/>
          <w:sz w:val="17"/>
          <w:szCs w:val="17"/>
          <w:color w:val="auto"/>
        </w:rPr>
      </w:pPr>
    </w:p>
    <w:p>
      <w:pPr>
        <w:ind w:left="220" w:right="180" w:hanging="8"/>
        <w:spacing w:after="0" w:line="262" w:lineRule="auto"/>
        <w:tabs>
          <w:tab w:leader="none" w:pos="471" w:val="left"/>
        </w:tabs>
        <w:numPr>
          <w:ilvl w:val="0"/>
          <w:numId w:val="35"/>
        </w:numPr>
        <w:rPr>
          <w:rFonts w:ascii="Arial" w:cs="Arial" w:eastAsia="Arial" w:hAnsi="Arial"/>
          <w:sz w:val="17"/>
          <w:szCs w:val="17"/>
          <w:color w:val="auto"/>
        </w:rPr>
      </w:pPr>
      <w:r>
        <w:rPr>
          <w:rFonts w:ascii="Arial" w:cs="Arial" w:eastAsia="Arial" w:hAnsi="Arial"/>
          <w:sz w:val="17"/>
          <w:szCs w:val="17"/>
          <w:color w:val="auto"/>
        </w:rPr>
        <w:t>Pursuant to Rule 424(g)(2) and General Instruction II.F to Form S-3, this prospectus supplement shall be deemed a final prospectus for purposes of the offering of the securities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167640</wp:posOffset>
            </wp:positionV>
            <wp:extent cx="704977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7049770" cy="38735"/>
                    </a:xfrm>
                    <a:prstGeom prst="rect">
                      <a:avLst/>
                    </a:prstGeom>
                    <a:noFill/>
                  </pic:spPr>
                </pic:pic>
              </a:graphicData>
            </a:graphic>
          </wp:anchor>
        </w:drawing>
      </w:r>
    </w:p>
    <w:sectPr>
      <w:pgSz w:w="11900" w:h="16838" w:orient="portrait"/>
      <w:cols w:equalWidth="0" w:num="1">
        <w:col w:w="11360"/>
      </w:cols>
      <w:pgMar w:left="300" w:top="1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516"/>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516"/>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lowerRoman"/>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decimal"/>
      <w:start w:val="4"/>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2"/>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jpeg"/><Relationship Id="rId44"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51" Type="http://schemas.openxmlformats.org/officeDocument/2006/relationships/image" Target="media/image26.png"/><Relationship Id="rId52" Type="http://schemas.openxmlformats.org/officeDocument/2006/relationships/image" Target="media/image27.png"/><Relationship Id="rId53"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25" Type="http://schemas.openxmlformats.org/officeDocument/2006/relationships/hyperlink" Target="https://www.sec.gov/ix?doc=/Archives/edgar/data/1749723/000174972324000011/nfe-20231231.htm" TargetMode="External"/><Relationship Id="rId26" Type="http://schemas.openxmlformats.org/officeDocument/2006/relationships/hyperlink" Target="https://www.sec.gov/ix?doc=/Archives/edgar/data/1749723/000174972324000052/nfe-20240331.htm" TargetMode="External"/><Relationship Id="rId27" Type="http://schemas.openxmlformats.org/officeDocument/2006/relationships/hyperlink" Target="https://www.sec.gov/ix?doc=/Archives/edgar/data/1749723/000174972324000072/nfe-20240630.htm" TargetMode="External"/><Relationship Id="rId28" Type="http://schemas.openxmlformats.org/officeDocument/2006/relationships/hyperlink" Target="https://www.sec.gov/ix?doc=/Archives/edgar/data/1749723/000174972324000014/nfe-20240304.htm" TargetMode="External"/><Relationship Id="rId29" Type="http://schemas.openxmlformats.org/officeDocument/2006/relationships/hyperlink" Target="https://www.sec.gov/ix?doc=/Archives/edgar/data/1749723/000174972324000017/nfe-20240305.htm" TargetMode="External"/><Relationship Id="rId30" Type="http://schemas.openxmlformats.org/officeDocument/2006/relationships/hyperlink" Target="https://www.sec.gov/ix?doc=/Archives/edgar/data/1749723/000174972324000019/nfe-20240308.htm" TargetMode="External"/><Relationship Id="rId31" Type="http://schemas.openxmlformats.org/officeDocument/2006/relationships/hyperlink" Target="https://www.sec.gov/ix?doc=/Archives/edgar/data/1749723/000174972324000022/nfe-20240319.htm" TargetMode="External"/><Relationship Id="rId32" Type="http://schemas.openxmlformats.org/officeDocument/2006/relationships/hyperlink" Target="https://www.sec.gov/ix?doc=/Archives/edgar/data/1749723/000174972324000024/nfe-20240326.htm" TargetMode="External"/><Relationship Id="rId33" Type="http://schemas.openxmlformats.org/officeDocument/2006/relationships/hyperlink" Target="https://www.sec.gov/ix?doc=/Archives/edgar/data/1749723/000174972324000060/nfe-20240611.htm" TargetMode="External"/><Relationship Id="rId34" Type="http://schemas.openxmlformats.org/officeDocument/2006/relationships/hyperlink" Target="https://www.sec.gov/ix?doc=/Archives/edgar/data/1749723/000174972324000064/nfe-20240719.htm" TargetMode="External"/><Relationship Id="rId35" Type="http://schemas.openxmlformats.org/officeDocument/2006/relationships/hyperlink" Target="https://www.sec.gov/ix?doc=/Archives/edgar/data/1749723/000174972324000078/nfe-20240831.htm" TargetMode="External"/><Relationship Id="rId36" Type="http://schemas.openxmlformats.org/officeDocument/2006/relationships/hyperlink" Target="https://www.sec.gov/ix?doc=/Archives/edgar/data/1749723/000174972324000080/nfe-20240923.htm" TargetMode="External"/><Relationship Id="rId37" Type="http://schemas.openxmlformats.org/officeDocument/2006/relationships/hyperlink" Target="https://www.sec.gov/ix?doc=/Archives/edgar/data/1749723/000174972324000083/nfe-20240930.htm" TargetMode="External"/><Relationship Id="rId38" Type="http://schemas.openxmlformats.org/officeDocument/2006/relationships/hyperlink" Target="https://www.sec.gov/ix?doc=/Archives/edgar/data/1749723/000174972324000085/nfe-20241001.htm" TargetMode="External"/><Relationship Id="rId39" Type="http://schemas.openxmlformats.org/officeDocument/2006/relationships/hyperlink" Target="https://www.sec.gov/ix?doc=/Archives/edgar/data/1749723/000174972324000087/nfe-20241001.htm" TargetMode="External"/><Relationship Id="rId40" Type="http://schemas.openxmlformats.org/officeDocument/2006/relationships/hyperlink" Target="https://www.sec.gov/ix?doc=/Archives/edgar/data/1749723/000174972324000092/nfe-20241002.htm" TargetMode="External"/><Relationship Id="rId41" Type="http://schemas.openxmlformats.org/officeDocument/2006/relationships/hyperlink" Target="https://www.sec.gov/Archives/edgar/data/1749723/000114036120017741/brhc10014200_8a12ba.htm" TargetMode="External"/><Relationship Id="rId50" Type="http://schemas.openxmlformats.org/officeDocument/2006/relationships/hyperlink" Target="https://www.sec.gov/ix?doc=/Archives/edgar/data/1749723/000174972323000025/nfe-202304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2024-10-04T15:23:34Z</dcterms:created>
  <dcterms:modified xsi:type="dcterms:W3CDTF">2024-10-04T15:23:34Z</dcterms:modified>
</cp:coreProperties>
</file>