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the Amended and Restated 2019 Omnibus Incentive Plan</w:t>
      </w:r>
    </w:p>
    <w:p>
      <w:pPr>
        <w:spacing w:after="0" w:line="241" w:lineRule="exact"/>
        <w:rPr>
          <w:sz w:val="20"/>
          <w:szCs w:val="20"/>
          <w:color w:val="auto"/>
        </w:rPr>
      </w:pPr>
    </w:p>
    <w:p>
      <w:pPr>
        <w:ind w:right="100" w:firstLine="486"/>
        <w:spacing w:after="0" w:line="237" w:lineRule="auto"/>
        <w:rPr>
          <w:sz w:val="20"/>
          <w:szCs w:val="20"/>
          <w:color w:val="auto"/>
        </w:rPr>
      </w:pPr>
      <w:r>
        <w:rPr>
          <w:rFonts w:ascii="Times New Roman" w:cs="Times New Roman" w:eastAsia="Times New Roman" w:hAnsi="Times New Roman"/>
          <w:sz w:val="18"/>
          <w:szCs w:val="18"/>
          <w:color w:val="auto"/>
        </w:rPr>
        <w:t>On June 17, 2026, the stockholders of New Fortress Energy Inc. (the “Company”) approved the Company’s Amended and Restated 2019 Omnibus Incentive Plan (the “Amended and Restated Incentive Plan”) at the Company’s 2026 Annual Meeting of Stockholders (the “Annual Meeting”). The Amended and Restated Incentive Plan was previously adopted by the Company’s Board of Directors (the “Board”) on May 6, 2026, subject to stockholder approval. The Amended and Restated Incentive Plan will become effective as of the date the Company’s “Restructuring Transaction” (as defined and described in the Company’s Definitive Proxy Statement on Schedule 14A filed with the U.S. Securities and Exchange Commission on May 27, 2026 (the “Proxy Statement”)) is consummated (the “Restructuring Effective Date”). Additional information regarding the results of the Annual Meeting is set forth below under Item 5.07.</w:t>
      </w:r>
    </w:p>
    <w:p>
      <w:pPr>
        <w:spacing w:after="0" w:line="216" w:lineRule="exact"/>
        <w:rPr>
          <w:sz w:val="20"/>
          <w:szCs w:val="20"/>
          <w:color w:val="auto"/>
        </w:rPr>
      </w:pPr>
    </w:p>
    <w:p>
      <w:pPr>
        <w:ind w:right="100" w:firstLine="486"/>
        <w:spacing w:after="0" w:line="237" w:lineRule="auto"/>
        <w:rPr>
          <w:sz w:val="20"/>
          <w:szCs w:val="20"/>
          <w:color w:val="auto"/>
        </w:rPr>
      </w:pPr>
      <w:r>
        <w:rPr>
          <w:rFonts w:ascii="Times New Roman" w:cs="Times New Roman" w:eastAsia="Times New Roman" w:hAnsi="Times New Roman"/>
          <w:sz w:val="18"/>
          <w:szCs w:val="18"/>
          <w:color w:val="auto"/>
        </w:rPr>
        <w:t>The Amended and Restated Incentive Plan, among other things, (i) removes the evergreen provision and includes a fixed maximum aggregate number of shares of Class A common stock to be reserved for issuance thereunder equal to 10% of the total number of shares of Class A common stock outstanding as of the Restructuring Effective Date (in addition to the number of shares of Class A common stock subject to outstanding equity awards granted under the existing Amended and Restated 2019 Omnibus Incentive Plan as of the Restructuring Effective Date), (ii) provides for a new reserve of shares of Series A Mandatorily Convertible Preferred Stock for issuance thereunder equal to 7% of the total number of shares of Series A Mandatorily Convertible Preferred Stock authorized as of the Restructuring Effective Date, which Series A Mandatorily Convertible Preferred Stock will automatically convert to shares of Class A common stock on the three-year anniversary of the Restructuring Effective Date, (iii) extends the term of the Amended and Restated Incentive Plan to the tenth anniversary of the Restructuring Effective Date and (iv) makes certain other updates, including a revised definition of change in control.</w:t>
      </w:r>
    </w:p>
    <w:p>
      <w:pPr>
        <w:spacing w:after="0" w:line="212"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18"/>
          <w:szCs w:val="18"/>
          <w:color w:val="auto"/>
        </w:rPr>
        <w:t>Within 120 days of the Restructuring Effective Date, the Board will adopt an equity incentive plan for directors, officers and other employees of the Company (the “NFE MIP”) that provides for the issuance of equity and/or equity-based compensation under the Amended and Restated Incentive Plan. The participants in the NFE MIP, the allocations, the reservation for future issuances, the form of equity-based compensation to such participants, and the terms and conditions of such equity-based compensation will be determined by the Board. The Board will engage a compensation consultant to assist it in evaluating and determining the terms and conditions of the equity-based compensation to be awarded under the NFE MIP.</w:t>
      </w:r>
    </w:p>
    <w:p>
      <w:pPr>
        <w:spacing w:after="0" w:line="212"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Amended and Restated Incentive Plan is described in greater detail in the Proxy Statement, which disclosure is incorporated herein by reference. The descriptions of the Amended and Restated Incentive Plan contained in the Proxy Statement and this report are qualified in their entirety by reference to the full text of the Form of Amended and Restated Incentive Plan, included as Annex C to the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At the the Annual Meeting, the stockholders of the Company voted on the matters described below, which are further described in the Proxy Statement.</w:t>
      </w:r>
    </w:p>
    <w:p>
      <w:pPr>
        <w:spacing w:after="0" w:line="189" w:lineRule="exact"/>
        <w:rPr>
          <w:sz w:val="20"/>
          <w:szCs w:val="20"/>
          <w:color w:val="auto"/>
        </w:rPr>
      </w:pPr>
    </w:p>
    <w:p>
      <w:pPr>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two Class I directors, who comprise all the directors of such class, to serve until the 2029 Annual Meeting of Stockholders and until their respective successors are duly elected or appointed and qualified.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Sledge</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181,631,718</w:t>
            </w:r>
          </w:p>
        </w:tc>
        <w:tc>
          <w:tcPr>
            <w:tcW w:w="1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6,754,878</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41,290,053</w:t>
            </w:r>
          </w:p>
        </w:tc>
      </w:tr>
      <w:tr>
        <w:trPr>
          <w:trHeight w:val="23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177,661,748</w:t>
            </w:r>
          </w:p>
        </w:tc>
        <w:tc>
          <w:tcPr>
            <w:tcW w:w="100" w:type="dxa"/>
            <w:vAlign w:val="bottom"/>
          </w:tcPr>
          <w:p>
            <w:pPr>
              <w:spacing w:after="0"/>
              <w:rPr>
                <w:sz w:val="20"/>
                <w:szCs w:val="20"/>
                <w:color w:val="auto"/>
              </w:rPr>
            </w:pPr>
          </w:p>
        </w:tc>
        <w:tc>
          <w:tcPr>
            <w:tcW w:w="23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10,724,848</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41,290,053</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right="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8"/>
        </w:trPr>
        <w:tc>
          <w:tcPr>
            <w:tcW w:w="5640" w:type="dxa"/>
            <w:vAlign w:val="bottom"/>
            <w:shd w:val="clear" w:color="auto" w:fill="CCEEFF"/>
          </w:tcPr>
          <w:p>
            <w:pPr>
              <w:jc w:val="right"/>
              <w:ind w:right="2270"/>
              <w:spacing w:after="0"/>
              <w:rPr>
                <w:sz w:val="20"/>
                <w:szCs w:val="20"/>
                <w:color w:val="auto"/>
              </w:rPr>
            </w:pPr>
            <w:r>
              <w:rPr>
                <w:rFonts w:ascii="Times New Roman" w:cs="Times New Roman" w:eastAsia="Times New Roman" w:hAnsi="Times New Roman"/>
                <w:sz w:val="18"/>
                <w:szCs w:val="18"/>
                <w:color w:val="auto"/>
              </w:rPr>
              <w:t>227,490,080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1,255,435</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931,134</w:t>
            </w:r>
          </w:p>
        </w:tc>
      </w:tr>
      <w:tr>
        <w:trPr>
          <w:trHeight w:val="22"/>
        </w:trPr>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660" w:right="8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various amendments to its existing Amended and Restated Certificate of Incorporation (the “Charter,” and the Charter, as amended as contemplated by the proposals set forth below, the “Amended Charter”) in connection with the “Restructuring Transaction” described in the Proxy Statement:</w:t>
      </w:r>
    </w:p>
    <w:p>
      <w:pPr>
        <w:spacing w:after="0" w:line="1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existing staggered board.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187,111,180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714,383</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561,033</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1300" w:right="40" w:hanging="320"/>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election of directors by a majority of the total votes that may be cast in the election of directors by holders of all issued and outstanding shares of the Company entitled to vote.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187,197,237</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748,145</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441,214</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minimum size of the Board from one director to three directors.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8"/>
        </w:trPr>
        <w:tc>
          <w:tcPr>
            <w:tcW w:w="27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226,128,535</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2,972,485</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575,629</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0</w:t>
            </w:r>
          </w:p>
        </w:tc>
      </w:tr>
      <w:tr>
        <w:trPr>
          <w:trHeight w:val="22"/>
        </w:trPr>
        <w:tc>
          <w:tcPr>
            <w:tcW w:w="2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1300" w:right="60" w:hanging="320"/>
        <w:spacing w:after="0" w:line="24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holders of the Company’s Class A common stock will not be entitled to vote on any amendment to the Charter (including any designation of capital stock) that relates solely to the terms of one or more outstanding series of shares of preferred stock or other classes or series of capital stock if the holders of such affected classes or series are entitled, either separately or together with the holders of one or more other such classes or series, to vote thereon pursuant to the Charter (including any designation of capital stock) or pursuant to the General Corporation Law of the State of Delaware.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177,151,594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10,800,874</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434,128</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ind w:left="1300" w:right="460" w:hanging="320"/>
        <w:spacing w:after="0" w:line="266" w:lineRule="auto"/>
        <w:tabs>
          <w:tab w:leader="none" w:pos="1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exculpation of certain of the Company’s officers from liability to the extent permitted by Delaware law, substantially aligning the protections for the Company’s officers with those currently afforded to the Company’s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178,395,086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9,538,232</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453,278</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any and all references to shares of the Company’s Class B common stock, including the terms associated with such stock.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186,779,364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903,292</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703,940</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 reverse split of the issued and outstanding shares of the Company’s Class A common stock at a reverse split ratio of 1-for-50.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0"/>
        </w:trPr>
        <w:tc>
          <w:tcPr>
            <w:tcW w:w="27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221,585,026</w:t>
            </w:r>
          </w:p>
        </w:tc>
        <w:tc>
          <w:tcPr>
            <w:tcW w:w="8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7,209,986</w:t>
            </w:r>
          </w:p>
        </w:tc>
        <w:tc>
          <w:tcPr>
            <w:tcW w:w="10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881,637</w:t>
            </w:r>
          </w:p>
        </w:tc>
        <w:tc>
          <w:tcPr>
            <w:tcW w:w="10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0</w:t>
            </w:r>
          </w:p>
        </w:tc>
      </w:tr>
      <w:tr>
        <w:trPr>
          <w:trHeight w:val="1262"/>
        </w:trPr>
        <w:tc>
          <w:tcPr>
            <w:tcW w:w="2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ind w:left="1300" w:right="480" w:hanging="320"/>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the receipt of the requisite vote on proposals 3a through 3g, to approve the Amended Charter, which includes the approval of all other changes in the Amended Charter in connection with replacing the Charter with the Amended Charter.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177,980,513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9,774,377</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631,706</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660" w:right="200" w:hanging="328"/>
        <w:spacing w:after="0" w:line="24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for purposes of complying with Nasdaq Listing Rule 5635(d) and for all other relevant purposes, the potential issuance of shares of the Company’s Class A common stock in excess of 20% of the Company’s outstanding Class A common stock in connection with the Restructuring Transaction described in the Proxy Statement.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185,211,048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2,760,542</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415,006</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660" w:right="34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an amendment and restatement of the Company’s 2019 Omnibus Incentive Plan in connection with the Restructuring Transaction described in the Proxy Statement.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28"/>
        </w:trPr>
        <w:tc>
          <w:tcPr>
            <w:tcW w:w="27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181,273,942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6,552,257</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560,397</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41,290,053</w:t>
            </w:r>
          </w:p>
        </w:tc>
      </w:tr>
      <w:tr>
        <w:trPr>
          <w:trHeight w:val="22"/>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sufficient shares were voted in favor of each of the above proposals, the proposal to adjourn the Annual Meeting to a later date or dates to permit further solicitation and vote of proxies was rendered moot and was not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6"/>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lvl w:ilvl="1">
      <w:lvlJc w:val="left"/>
      <w:lvlText w:val="%2."/>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1."/>
      <w:numFmt w:val="lowerLetter"/>
      <w:start w:val="4"/>
    </w:lvl>
  </w:abstractNum>
  <w:abstractNum w:abstractNumId="8">
    <w:nsid w:val="1190CDE7"/>
    <w:multiLevelType w:val="hybridMultilevel"/>
    <w:lvl w:ilvl="0">
      <w:lvlJc w:val="left"/>
      <w:lvlText w:val="%1."/>
      <w:numFmt w:val="lowerLetter"/>
      <w:start w:val="5"/>
    </w:lvl>
  </w:abstractNum>
  <w:abstractNum w:abstractNumId="9">
    <w:nsid w:val="66EF438D"/>
    <w:multiLevelType w:val="hybridMultilevel"/>
    <w:lvl w:ilvl="0">
      <w:lvlJc w:val="left"/>
      <w:lvlText w:val="%1."/>
      <w:numFmt w:val="lowerLetter"/>
      <w:start w:val="6"/>
    </w:lvl>
  </w:abstractNum>
  <w:abstractNum w:abstractNumId="10">
    <w:nsid w:val="140E0F76"/>
    <w:multiLevelType w:val="hybridMultilevel"/>
    <w:lvl w:ilvl="0">
      <w:lvlJc w:val="left"/>
      <w:lvlText w:val="%1."/>
      <w:numFmt w:val="lowerLetter"/>
      <w:start w:val="7"/>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2026-06-17T15:27:20Z</dcterms:created>
  <dcterms:modified xsi:type="dcterms:W3CDTF">2026-06-17T15:27:20Z</dcterms:modified>
</cp:coreProperties>
</file>