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081" w:type="dxa"/>
        <w:jc w:val="left"/>
        <w:tblInd w:w="0" w:type="dxa"/>
        <w:tblLayout w:type="fixed"/>
        <w:tblCellMar>
          <w:top w:w="28" w:type="dxa"/>
          <w:left w:w="28" w:type="dxa"/>
          <w:bottom w:w="28" w:type="dxa"/>
          <w:right w:w="28" w:type="dxa"/>
        </w:tblCellMar>
      </w:tblPr>
      <w:tblGrid>
        <w:gridCol w:w="10081"/>
      </w:tblGrid>
      <w:tr>
        <w:trPr/>
        <w:tc>
          <w:tcPr>
            <w:tcW w:w="1008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08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081" w:type="dxa"/>
            <w:tcBorders/>
            <w:vAlign w:val="center"/>
          </w:tcPr>
          <w:p>
            <w:pPr>
              <w:pStyle w:val="TableContents"/>
              <w:bidi w:val="0"/>
              <w:spacing w:before="0" w:after="0"/>
              <w:jc w:val="left"/>
              <w:rPr/>
            </w:pPr>
            <w:r>
              <w:rPr/>
              <w:t xml:space="preserve">UNDER THE SECURITIES EXCHANGE ACT OF 1934 </w:t>
            </w:r>
          </w:p>
        </w:tc>
      </w:tr>
      <w:tr>
        <w:trPr/>
        <w:tc>
          <w:tcPr>
            <w:tcW w:w="10081" w:type="dxa"/>
            <w:tcBorders/>
            <w:vAlign w:val="center"/>
          </w:tcPr>
          <w:p>
            <w:pPr>
              <w:pStyle w:val="TableContents"/>
              <w:bidi w:val="0"/>
              <w:spacing w:before="0" w:after="283"/>
              <w:jc w:val="left"/>
              <w:rPr>
                <w:sz w:val="4"/>
                <w:szCs w:val="4"/>
              </w:rPr>
            </w:pPr>
            <w:r>
              <w:rPr>
                <w:sz w:val="4"/>
                <w:szCs w:val="4"/>
              </w:rPr>
            </w:r>
          </w:p>
        </w:tc>
      </w:tr>
      <w:tr>
        <w:trPr/>
        <w:tc>
          <w:tcPr>
            <w:tcW w:w="10081" w:type="dxa"/>
            <w:tcBorders/>
            <w:vAlign w:val="center"/>
          </w:tcPr>
          <w:p>
            <w:pPr>
              <w:pStyle w:val="TableContents"/>
              <w:bidi w:val="0"/>
              <w:spacing w:before="0" w:after="0"/>
              <w:jc w:val="center"/>
              <w:rPr>
                <w:b/>
                <w:color w:val="0000FF"/>
              </w:rPr>
            </w:pPr>
            <w:r>
              <w:rPr>
                <w:b/>
                <w:color w:val="0000FF"/>
              </w:rPr>
              <w:t>New Fortress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081" w:type="dxa"/>
            <w:tcBorders/>
            <w:vAlign w:val="center"/>
          </w:tcPr>
          <w:p>
            <w:pPr>
              <w:pStyle w:val="TableContents"/>
              <w:bidi w:val="0"/>
              <w:spacing w:before="0" w:after="0"/>
              <w:jc w:val="center"/>
              <w:rPr>
                <w:b/>
                <w:color w:val="0000FF"/>
              </w:rPr>
            </w:pPr>
            <w:r>
              <w:rPr>
                <w:b/>
                <w:color w:val="0000FF"/>
              </w:rPr>
              <w:t>Series A Mandatorily Convertible Preferred Stock, par value $0.01 per share ("Preferred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08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081"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King Street Capital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301,730.00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301,730.00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301,730.00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King Street Capital Management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301,730.00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301,730.00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301,730.00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Brian J. Higgins</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301,730.00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301,730.00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301,730.00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14"/>
        <w:gridCol w:w="8936"/>
        <w:gridCol w:w="155"/>
      </w:tblGrid>
      <w:tr>
        <w:trPr/>
        <w:tc>
          <w:tcPr>
            <w:tcW w:w="1114" w:type="dxa"/>
            <w:tcBorders/>
            <w:vAlign w:val="center"/>
          </w:tcPr>
          <w:p>
            <w:pPr>
              <w:pStyle w:val="TableContents"/>
              <w:bidi w:val="0"/>
              <w:spacing w:before="0" w:after="283"/>
              <w:jc w:val="left"/>
              <w:rPr/>
            </w:pPr>
            <w:r>
              <w:rPr/>
              <w:t>Item 1.</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issuer: </w:t>
            </w:r>
          </w:p>
          <w:p>
            <w:pPr>
              <w:pStyle w:val="TableContents"/>
              <w:bidi w:val="0"/>
              <w:spacing w:before="0" w:after="0"/>
              <w:jc w:val="left"/>
              <w:rPr/>
            </w:pPr>
            <w:r>
              <w:rPr/>
              <w:t>New Fortress Energy Inc.</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W. 19th Street, 8th Floor, New York, NY 10011</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2.</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King Street Capital Management, L.P. ("KSCM"), King Street Capital Management GP, L.L.C. ("KSCM GP"), and Brian J. Higgins. KSCM, KSCM GP and Mr. Higgins are collectively referred to herein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299 Park Avenue, 40th Floor New York, NY 10171</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jc w:val="left"/>
              <w:rPr/>
            </w:pPr>
            <w:r>
              <w:rPr/>
              <w:t xml:space="preserve">Citizenship: </w:t>
            </w:r>
          </w:p>
          <w:p>
            <w:pPr>
              <w:pStyle w:val="TableContents"/>
              <w:bidi w:val="0"/>
              <w:spacing w:before="0" w:after="0"/>
              <w:jc w:val="left"/>
              <w:rPr/>
            </w:pPr>
            <w:r>
              <w:rPr/>
              <w:t>KSCM is a limited partnership organized under the laws of the State of Delaware, U.S.A. KSCM GP is a limited liability company organized under the laws of the State of Delaware, U.S.A. Mr. Higgins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A Mandatorily Convertible Preferred Stock, par value $0.01 per share ("Preferred Stock")</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3.</w:t>
            </w:r>
          </w:p>
        </w:tc>
        <w:tc>
          <w:tcPr>
            <w:tcW w:w="893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(f)</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(g)</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(h)</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(j)</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(k)</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9091" w:type="dxa"/>
            <w:gridSpan w:val="2"/>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4.</w:t>
            </w:r>
          </w:p>
        </w:tc>
        <w:tc>
          <w:tcPr>
            <w:tcW w:w="893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5 - 11 of the cover page for each of the Reporting Persons and is incorporated herein by reference. The percentages set forth in this Schedule 13G are calculated based upon an aggregate of 2,454,936 shares of Preferred Stock outstanding as of September 11, 2026, as reported by the Company in its Current Report on Form 8-K, filed with the Securities and Exchange Commission on September 11, 2026.</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12.3  %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301,730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301,730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5.</w:t>
            </w:r>
          </w:p>
        </w:tc>
        <w:tc>
          <w:tcPr>
            <w:tcW w:w="893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6.</w:t>
            </w:r>
          </w:p>
        </w:tc>
        <w:tc>
          <w:tcPr>
            <w:tcW w:w="893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7.</w:t>
            </w:r>
          </w:p>
        </w:tc>
        <w:tc>
          <w:tcPr>
            <w:tcW w:w="893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KSCM, a registered investment advisor, is the investment manager of various fund entities. KSCM has shared voting and dispositive power over the Preferred Stock reported hereunder with KSCM GP and Mr. Higgins. KSCM GP is the sole general partner of KSCM and Mr. Higgins is the managing member of KSCM GP.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8.</w:t>
            </w:r>
          </w:p>
        </w:tc>
        <w:tc>
          <w:tcPr>
            <w:tcW w:w="893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9.</w:t>
            </w:r>
          </w:p>
        </w:tc>
        <w:tc>
          <w:tcPr>
            <w:tcW w:w="893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King Street Capital Management, L.P.</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Ricardo Marano</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King Street Capital Management GP, L.L.C.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Ricardo Marano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Brian J. Higgins</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Brian J. Higgins</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Brian J. Higgins</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0"/>
        <w:jc w:val="right"/>
        <w:rPr/>
      </w:pPr>
      <w:bookmarkStart w:id="24" w:name="ff6889686_ex99-1.htm"/>
      <w:bookmarkStart w:id="25" w:name="ksff6889686_ex991"/>
      <w:bookmarkEnd w:id="24"/>
      <w:bookmarkEnd w:id="25"/>
      <w:r>
        <w:rPr/>
        <w:t xml:space="preserve">  </w:t>
      </w:r>
      <w:r>
        <w:br w:type="page"/>
      </w:r>
    </w:p>
    <w:p>
      <w:pPr>
        <w:pStyle w:val="TextBody"/>
        <w:bidi w:val="0"/>
        <w:spacing w:before="0" w:after="0"/>
        <w:jc w:val="right"/>
        <w:rPr/>
      </w:pPr>
      <w:r>
        <w:rPr/>
        <w:t xml:space="preserve">  </w:t>
      </w:r>
    </w:p>
    <w:p>
      <w:pPr>
        <w:pStyle w:val="TextBody"/>
        <w:bidi w:val="0"/>
        <w:spacing w:before="0" w:after="0"/>
        <w:jc w:val="left"/>
        <w:rPr/>
      </w:pPr>
      <w:r>
        <w:rPr/>
        <w:t xml:space="preserve">  </w:t>
      </w:r>
    </w:p>
    <w:p>
      <w:pPr>
        <w:pStyle w:val="TextBody"/>
        <w:bidi w:val="0"/>
        <w:spacing w:before="0" w:after="0"/>
        <w:jc w:val="right"/>
        <w:rPr/>
      </w:pPr>
      <w:r>
        <w:rPr>
          <w:rFonts w:ascii="Times New Roman" w:hAnsi="Times New Roman"/>
          <w:b/>
        </w:rPr>
        <w:t>EXHIBIT 99.1</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rPr>
      </w:pPr>
      <w:r>
        <w:rPr>
          <w:rFonts w:ascii="Times New Roman" w:hAnsi="Times New Roman"/>
        </w:rPr>
        <w:t xml:space="preserve">The undersigned King Street Capital Management, L.P., King Street Capital Management GP, L.L.C., and Brian J. Higgins hereby agree and acknowledge that the information required by this Schedule 13G, to which this Agreement is attached as an exhibit, is filed on behalf of each of them. The undersigned further agree that any further amendments or supplements thereto shall also be filed on behalf of each of them. </w:t>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rPr>
        <w:t>Dated:  October 7, 2026</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3600" w:right="0" w:hanging="0"/>
        <w:jc w:val="left"/>
        <w:rPr/>
      </w:pPr>
      <w:r>
        <w:rPr>
          <w:rFonts w:ascii="Times New Roman" w:hAnsi="Times New Roman"/>
          <w:b/>
        </w:rPr>
        <w:t>KING STREET CAPITAL MANAGEMENT, L.P.</w:t>
      </w:r>
      <w:r>
        <w:rPr/>
        <w:t xml:space="preserve"> </w:t>
      </w:r>
    </w:p>
    <w:p>
      <w:pPr>
        <w:pStyle w:val="TextBody"/>
        <w:bidi w:val="0"/>
        <w:spacing w:before="0" w:after="0"/>
        <w:ind w:left="3600" w:right="0" w:hanging="0"/>
        <w:jc w:val="left"/>
        <w:rPr/>
      </w:pPr>
      <w:r>
        <w:rPr>
          <w:rFonts w:ascii="Times New Roman" w:hAnsi="Times New Roman"/>
        </w:rPr>
        <w:t>By: King Street Capital Management GP, L.L.C.</w:t>
      </w:r>
      <w:r>
        <w:rPr/>
        <w:t xml:space="preserve"> </w:t>
      </w:r>
    </w:p>
    <w:p>
      <w:pPr>
        <w:pStyle w:val="TextBody"/>
        <w:bidi w:val="0"/>
        <w:spacing w:before="0" w:after="0"/>
        <w:ind w:left="3600" w:right="0" w:hanging="0"/>
        <w:jc w:val="left"/>
        <w:rPr/>
      </w:pPr>
      <w:r>
        <w:rPr>
          <w:rFonts w:ascii="Times New Roman" w:hAnsi="Times New Roman"/>
        </w:rPr>
        <w:t>Its General Partner</w:t>
      </w:r>
      <w:r>
        <w:rPr/>
        <w:t xml:space="preserve"> </w:t>
      </w:r>
    </w:p>
    <w:p>
      <w:pPr>
        <w:pStyle w:val="TextBody"/>
        <w:bidi w:val="0"/>
        <w:spacing w:before="0" w:after="0"/>
        <w:ind w:left="3600" w:right="0" w:hanging="0"/>
        <w:jc w:val="left"/>
        <w:rPr/>
      </w:pPr>
      <w:r>
        <w:rPr/>
        <w:t xml:space="preserve">  </w:t>
      </w:r>
    </w:p>
    <w:p>
      <w:pPr>
        <w:pStyle w:val="TextBody"/>
        <w:bidi w:val="0"/>
        <w:spacing w:before="0" w:after="0"/>
        <w:ind w:left="3600" w:right="0" w:hanging="0"/>
        <w:jc w:val="left"/>
        <w:rPr/>
      </w:pPr>
      <w:r>
        <w:rPr/>
        <w:t xml:space="preserve">  </w:t>
      </w:r>
    </w:p>
    <w:p>
      <w:pPr>
        <w:pStyle w:val="TextBody"/>
        <w:bidi w:val="0"/>
        <w:spacing w:before="0" w:after="0"/>
        <w:ind w:left="3600" w:right="0" w:hanging="0"/>
        <w:jc w:val="both"/>
        <w:rPr/>
      </w:pPr>
      <w:r>
        <w:rPr>
          <w:rFonts w:ascii="Times New Roman" w:hAnsi="Times New Roman"/>
        </w:rPr>
        <w:t xml:space="preserve">By: </w:t>
      </w:r>
      <w:r>
        <w:rPr>
          <w:rFonts w:ascii="Times New Roman" w:hAnsi="Times New Roman"/>
          <w:u w:val="single"/>
        </w:rPr>
        <w:t>/s/ Ricardo Marano  </w:t>
      </w:r>
      <w:r>
        <w:rPr/>
        <w:t xml:space="preserve">  </w:t>
      </w:r>
    </w:p>
    <w:p>
      <w:pPr>
        <w:pStyle w:val="TextBody"/>
        <w:bidi w:val="0"/>
        <w:spacing w:before="0" w:after="0"/>
        <w:ind w:left="3600" w:right="0" w:hanging="0"/>
        <w:jc w:val="left"/>
        <w:rPr/>
      </w:pPr>
      <w:r>
        <w:rPr>
          <w:rFonts w:ascii="Times New Roman" w:hAnsi="Times New Roman"/>
        </w:rPr>
        <w:t>Name: Ricardo Marano</w:t>
      </w:r>
      <w:r>
        <w:rPr/>
        <w:t xml:space="preserve"> </w:t>
      </w:r>
    </w:p>
    <w:p>
      <w:pPr>
        <w:pStyle w:val="TextBody"/>
        <w:bidi w:val="0"/>
        <w:spacing w:before="0" w:after="0"/>
        <w:ind w:left="3600" w:right="0" w:hanging="0"/>
        <w:jc w:val="left"/>
        <w:rPr/>
      </w:pPr>
      <w:r>
        <w:rPr>
          <w:rFonts w:ascii="Times New Roman" w:hAnsi="Times New Roman"/>
        </w:rPr>
        <w:t>Title: Chief Compliance Officer</w:t>
      </w:r>
      <w:r>
        <w:rPr/>
        <w:t xml:space="preserve"> </w:t>
      </w:r>
    </w:p>
    <w:p>
      <w:pPr>
        <w:pStyle w:val="TextBody"/>
        <w:bidi w:val="0"/>
        <w:spacing w:before="0" w:after="0"/>
        <w:ind w:left="3600" w:right="0" w:hanging="0"/>
        <w:jc w:val="left"/>
        <w:rPr/>
      </w:pPr>
      <w:r>
        <w:rPr/>
        <w:t xml:space="preserve">  </w:t>
      </w:r>
    </w:p>
    <w:p>
      <w:pPr>
        <w:pStyle w:val="TextBody"/>
        <w:bidi w:val="0"/>
        <w:spacing w:before="0" w:after="0"/>
        <w:ind w:left="3600" w:right="0" w:hanging="0"/>
        <w:jc w:val="left"/>
        <w:rPr/>
      </w:pPr>
      <w:r>
        <w:rPr>
          <w:rFonts w:ascii="Times New Roman" w:hAnsi="Times New Roman"/>
          <w:b/>
        </w:rPr>
        <w:t>KING STREET CAPITAL MANAGEMENT GP, L.L.C.</w:t>
      </w:r>
      <w:r>
        <w:rPr/>
        <w:t xml:space="preserve"> </w:t>
      </w:r>
    </w:p>
    <w:p>
      <w:pPr>
        <w:pStyle w:val="TextBody"/>
        <w:bidi w:val="0"/>
        <w:spacing w:before="0" w:after="0"/>
        <w:ind w:left="3600" w:right="0" w:hanging="0"/>
        <w:jc w:val="left"/>
        <w:rPr/>
      </w:pPr>
      <w:r>
        <w:rPr/>
        <w:t xml:space="preserve">  </w:t>
      </w:r>
    </w:p>
    <w:p>
      <w:pPr>
        <w:pStyle w:val="TextBody"/>
        <w:bidi w:val="0"/>
        <w:spacing w:before="0" w:after="0"/>
        <w:ind w:left="3600" w:right="0" w:hanging="0"/>
        <w:jc w:val="left"/>
        <w:rPr/>
      </w:pPr>
      <w:r>
        <w:rPr/>
        <w:t xml:space="preserve">  </w:t>
      </w:r>
    </w:p>
    <w:p>
      <w:pPr>
        <w:pStyle w:val="TextBody"/>
        <w:bidi w:val="0"/>
        <w:spacing w:before="0" w:after="0"/>
        <w:ind w:left="3600" w:right="0" w:hanging="0"/>
        <w:jc w:val="both"/>
        <w:rPr/>
      </w:pPr>
      <w:r>
        <w:rPr>
          <w:rFonts w:ascii="Times New Roman" w:hAnsi="Times New Roman"/>
        </w:rPr>
        <w:t xml:space="preserve">By: </w:t>
      </w:r>
      <w:r>
        <w:rPr>
          <w:rFonts w:ascii="Times New Roman" w:hAnsi="Times New Roman"/>
          <w:u w:val="single"/>
        </w:rPr>
        <w:t>/s/ Ricardo Marano  </w:t>
      </w:r>
      <w:r>
        <w:rPr/>
        <w:t xml:space="preserve">  </w:t>
      </w:r>
    </w:p>
    <w:p>
      <w:pPr>
        <w:pStyle w:val="TextBody"/>
        <w:bidi w:val="0"/>
        <w:spacing w:before="0" w:after="0"/>
        <w:ind w:left="3600" w:right="0" w:hanging="0"/>
        <w:jc w:val="left"/>
        <w:rPr/>
      </w:pPr>
      <w:r>
        <w:rPr>
          <w:rFonts w:ascii="Times New Roman" w:hAnsi="Times New Roman"/>
        </w:rPr>
        <w:t>Name: Ricardo Marano</w:t>
      </w:r>
      <w:r>
        <w:rPr/>
        <w:t xml:space="preserve"> </w:t>
      </w:r>
    </w:p>
    <w:p>
      <w:pPr>
        <w:pStyle w:val="TextBody"/>
        <w:bidi w:val="0"/>
        <w:spacing w:before="0" w:after="0"/>
        <w:ind w:left="3600" w:right="0" w:hanging="0"/>
        <w:jc w:val="left"/>
        <w:rPr/>
      </w:pPr>
      <w:r>
        <w:rPr>
          <w:rFonts w:ascii="Times New Roman" w:hAnsi="Times New Roman"/>
        </w:rPr>
        <w:t>Title: Authorized Signatory</w:t>
      </w:r>
      <w:r>
        <w:rPr/>
        <w:t xml:space="preserve"> </w:t>
      </w:r>
    </w:p>
    <w:p>
      <w:pPr>
        <w:pStyle w:val="TextBody"/>
        <w:bidi w:val="0"/>
        <w:spacing w:before="0" w:after="0"/>
        <w:jc w:val="left"/>
        <w:rPr/>
      </w:pPr>
      <w:r>
        <w:rPr/>
        <w:t xml:space="preserve">  </w:t>
      </w:r>
    </w:p>
    <w:p>
      <w:pPr>
        <w:pStyle w:val="TextBody"/>
        <w:bidi w:val="0"/>
        <w:spacing w:before="0" w:after="0"/>
        <w:ind w:left="3600" w:right="0" w:hanging="0"/>
        <w:jc w:val="left"/>
        <w:rPr/>
      </w:pPr>
      <w:r>
        <w:rPr>
          <w:rFonts w:ascii="Times New Roman" w:hAnsi="Times New Roman"/>
          <w:u w:val="single"/>
        </w:rPr>
        <w:t>/s/ Brian J. Higgins  </w:t>
      </w:r>
      <w:r>
        <w:rPr/>
        <w:t xml:space="preserve"> </w:t>
      </w:r>
    </w:p>
    <w:p>
      <w:pPr>
        <w:pStyle w:val="TextBody"/>
        <w:bidi w:val="0"/>
        <w:spacing w:before="0" w:after="0"/>
        <w:ind w:left="3600" w:right="0" w:hanging="0"/>
        <w:jc w:val="left"/>
        <w:rPr/>
      </w:pPr>
      <w:r>
        <w:rPr>
          <w:rFonts w:ascii="Times New Roman" w:hAnsi="Times New Roman"/>
          <w:b/>
        </w:rPr>
        <w:t>BRIAN J. HIGGINS</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1412</Words>
  <Characters>7292</Characters>
  <CharactersWithSpaces>8694</CharactersWithSpaces>
  <Paragraphs>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