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4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28, 2025</w:t>
      </w:r>
    </w:p>
    <w:p>
      <w:pPr>
        <w:spacing w:after="0" w:line="140"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New Fortress Energy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733" w:right="399" w:bottom="1440" w:gutter="0" w:footer="0" w:header="0"/>
        </w:sectPr>
      </w:pPr>
    </w:p>
    <w:p>
      <w:pPr>
        <w:spacing w:after="0" w:line="179" w:lineRule="exact"/>
        <w:rPr>
          <w:sz w:val="24"/>
          <w:szCs w:val="24"/>
          <w:color w:val="auto"/>
        </w:rPr>
      </w:pPr>
    </w:p>
    <w:p>
      <w:pPr>
        <w:ind w:left="1828"/>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b w:val="1"/>
          <w:bCs w:val="1"/>
          <w:color w:val="auto"/>
        </w:rPr>
        <w:t>001-38790</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83-1482060</w:t>
      </w:r>
    </w:p>
    <w:p>
      <w:pPr>
        <w:spacing w:after="0" w:line="45" w:lineRule="exact"/>
        <w:rPr>
          <w:sz w:val="24"/>
          <w:szCs w:val="24"/>
          <w:color w:val="auto"/>
        </w:rPr>
      </w:pPr>
    </w:p>
    <w:p>
      <w:pPr>
        <w:sectPr>
          <w:pgSz w:w="11900" w:h="16838" w:orient="portrait"/>
          <w:cols w:equalWidth="0" w:num="3">
            <w:col w:w="4788" w:space="720"/>
            <w:col w:w="2820" w:space="720"/>
            <w:col w:w="2160"/>
          </w:cols>
          <w:pgMar w:left="292" w:top="733" w:right="399" w:bottom="1440" w:gutter="0" w:footer="0" w:header="0"/>
          <w:type w:val="continuous"/>
        </w:sectPr>
      </w:pPr>
    </w:p>
    <w:p>
      <w:pPr>
        <w:ind w:left="1208"/>
        <w:spacing w:after="0"/>
        <w:rPr>
          <w:sz w:val="20"/>
          <w:szCs w:val="20"/>
          <w:color w:val="auto"/>
        </w:rPr>
      </w:pPr>
      <w:r>
        <w:rPr>
          <w:rFonts w:ascii="Times New Roman" w:cs="Times New Roman" w:eastAsia="Times New Roman" w:hAnsi="Times New Roman"/>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Times New Roman" w:cs="Times New Roman" w:eastAsia="Times New Roman" w:hAnsi="Times New Roman"/>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200" w:lineRule="exact"/>
        <w:rPr>
          <w:sz w:val="24"/>
          <w:szCs w:val="24"/>
          <w:color w:val="auto"/>
        </w:rPr>
      </w:pPr>
    </w:p>
    <w:p>
      <w:pPr>
        <w:sectPr>
          <w:pgSz w:w="11900" w:h="16838" w:orient="portrait"/>
          <w:cols w:equalWidth="0" w:num="3">
            <w:col w:w="4508" w:space="720"/>
            <w:col w:w="2740" w:space="720"/>
            <w:col w:w="2520"/>
          </w:cols>
          <w:pgMar w:left="292" w:top="733" w:right="399" w:bottom="1440" w:gutter="0" w:footer="0" w:header="0"/>
          <w:type w:val="continuous"/>
        </w:sectPr>
      </w:pPr>
    </w:p>
    <w:p>
      <w:pPr>
        <w:spacing w:after="0" w:line="9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1"/>
          <w:szCs w:val="11"/>
          <w:b w:val="1"/>
          <w:bCs w:val="1"/>
          <w:color w:val="auto"/>
        </w:rPr>
        <w:t>111 W. 19th Street, 8th Floor</w:t>
      </w:r>
    </w:p>
    <w:p>
      <w:pPr>
        <w:spacing w:after="0" w:line="25" w:lineRule="exact"/>
        <w:rPr>
          <w:sz w:val="24"/>
          <w:szCs w:val="24"/>
          <w:color w:val="auto"/>
        </w:rPr>
      </w:pPr>
    </w:p>
    <w:p>
      <w:pPr>
        <w:jc w:val="center"/>
        <w:ind w:right="119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10011</w:t>
      </w:r>
    </w:p>
    <w:p>
      <w:pPr>
        <w:spacing w:after="0" w:line="36" w:lineRule="exact"/>
        <w:rPr>
          <w:sz w:val="24"/>
          <w:szCs w:val="24"/>
          <w:color w:val="auto"/>
        </w:rPr>
      </w:pPr>
    </w:p>
    <w:p>
      <w:pPr>
        <w:sectPr>
          <w:pgSz w:w="11900" w:h="16838" w:orient="portrait"/>
          <w:cols w:equalWidth="0" w:num="2">
            <w:col w:w="8428" w:space="720"/>
            <w:col w:w="2060"/>
          </w:cols>
          <w:pgMar w:left="292" w:top="733" w:right="399" w:bottom="1440" w:gutter="0" w:footer="0" w:header="0"/>
          <w:type w:val="continuous"/>
        </w:sectPr>
      </w:pPr>
    </w:p>
    <w:p>
      <w:pPr>
        <w:ind w:left="262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74" w:lineRule="exact"/>
        <w:rPr>
          <w:sz w:val="24"/>
          <w:szCs w:val="24"/>
          <w:color w:val="auto"/>
        </w:rPr>
      </w:pPr>
    </w:p>
    <w:p>
      <w:pPr>
        <w:ind w:left="3948"/>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(516) 268-7400</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Times New Roman" w:cs="Times New Roman" w:eastAsia="Times New Roman" w:hAnsi="Times New Roman"/>
          <w:sz w:val="11"/>
          <w:szCs w:val="11"/>
          <w:color w:val="auto"/>
        </w:rPr>
        <w:t>(Zip Code)</w:t>
      </w:r>
    </w:p>
    <w:p>
      <w:pPr>
        <w:spacing w:after="0" w:line="412" w:lineRule="exact"/>
        <w:rPr>
          <w:sz w:val="24"/>
          <w:szCs w:val="24"/>
          <w:color w:val="auto"/>
        </w:rPr>
      </w:pPr>
    </w:p>
    <w:p>
      <w:pPr>
        <w:sectPr>
          <w:pgSz w:w="11900" w:h="16838" w:orient="portrait"/>
          <w:cols w:equalWidth="0" w:num="2">
            <w:col w:w="8308" w:space="720"/>
            <w:col w:w="2180"/>
          </w:cols>
          <w:pgMar w:left="292" w:top="733" w:right="399" w:bottom="1440" w:gutter="0" w:footer="0" w:header="0"/>
          <w:type w:val="continuous"/>
        </w:sectPr>
      </w:pPr>
    </w:p>
    <w:p>
      <w:pPr>
        <w:spacing w:after="0" w:line="13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488" w:type="dxa"/>
        <w:tblCellMar>
          <w:top w:w="0" w:type="dxa"/>
          <w:left w:w="0" w:type="dxa"/>
          <w:bottom w:w="0" w:type="dxa"/>
          <w:right w:w="0" w:type="dxa"/>
        </w:tblCellMar>
      </w:tblPr>
      <w:tr>
        <w:trPr>
          <w:trHeight w:val="159"/>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900" w:type="dxa"/>
            <w:vAlign w:val="bottom"/>
            <w:gridSpan w:val="3"/>
          </w:tcPr>
          <w:p>
            <w:pPr>
              <w:ind w:left="58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468"/>
        </w:trPr>
        <w:tc>
          <w:tcPr>
            <w:tcW w:w="8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1980" w:type="dxa"/>
            <w:vAlign w:val="bottom"/>
          </w:tcPr>
          <w:p>
            <w:pPr>
              <w:spacing w:after="0"/>
              <w:rPr>
                <w:sz w:val="24"/>
                <w:szCs w:val="24"/>
                <w:color w:val="auto"/>
              </w:rPr>
            </w:pPr>
          </w:p>
        </w:tc>
        <w:tc>
          <w:tcPr>
            <w:tcW w:w="2500" w:type="dxa"/>
            <w:vAlign w:val="bottom"/>
            <w:gridSpan w:val="2"/>
          </w:tcPr>
          <w:p>
            <w:pPr>
              <w:jc w:val="center"/>
              <w:ind w:left="3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78"/>
        </w:trPr>
        <w:tc>
          <w:tcPr>
            <w:tcW w:w="8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“NFE”</w:t>
            </w:r>
          </w:p>
        </w:tc>
        <w:tc>
          <w:tcPr>
            <w:tcW w:w="1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r>
        <w:trPr>
          <w:trHeight w:val="162"/>
        </w:trPr>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Class A Common Stock, par value $0.01 per share</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r>
    </w:tbl>
    <w:p>
      <w:pPr>
        <w:spacing w:after="0" w:line="223" w:lineRule="exact"/>
        <w:rPr>
          <w:sz w:val="24"/>
          <w:szCs w:val="24"/>
          <w:color w:val="auto"/>
        </w:rPr>
      </w:pPr>
    </w:p>
    <w:p>
      <w:pPr>
        <w:ind w:left="8"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59" w:lineRule="exact"/>
        <w:rPr>
          <w:sz w:val="24"/>
          <w:szCs w:val="24"/>
          <w:color w:val="auto"/>
        </w:rPr>
      </w:pPr>
    </w:p>
    <w:p>
      <w:pPr>
        <w:ind w:left="8"/>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365125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33"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Conditions.</w:t>
      </w:r>
    </w:p>
    <w:p>
      <w:pPr>
        <w:spacing w:after="0" w:line="16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2"/>
          <w:szCs w:val="12"/>
          <w:color w:val="auto"/>
        </w:rPr>
        <w:t>New Fortress Energy Inc. ("NFE Inc.") today announced that it is reaffirming its previously announced Q4 and year ended December 31, 2024 guidance. See Slide 4 of the Investor Update presentation attached as Exhibit 99.1 to this Form 8-K, which is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2"/>
          <w:szCs w:val="12"/>
          <w:color w:val="auto"/>
        </w:rPr>
        <w:t>On January 28, 2025, NFE Inc. posted an Investor Update presentation to its corporate website, newfortressenergy.com in connection with a potential refinancing. A copy of the presentation is attached here as 99.1 to this Report on Form 8-K.</w:t>
      </w:r>
    </w:p>
    <w:p>
      <w:pPr>
        <w:spacing w:after="0" w:line="200" w:lineRule="exact"/>
        <w:rPr>
          <w:sz w:val="20"/>
          <w:szCs w:val="20"/>
          <w:color w:val="auto"/>
        </w:rPr>
      </w:pPr>
    </w:p>
    <w:p>
      <w:pPr>
        <w:spacing w:after="0" w:line="2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99.1 Presentation of NFE Inc. dated January 2025.</w:t>
      </w:r>
    </w:p>
    <w:p>
      <w:pPr>
        <w:spacing w:after="0" w:line="15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Exhibit 99.1 is being furnished pursuant to Item 2.02 and 7.01 of Form 8-K and the information included therein shall not be deemed “filed” for purposes of Section 18 of the Exchange Act or otherwise subject to the liabilities under that Section and shall not be deemed to be incorporated by reference into any filing of NFE Inc. under the Securities Act of 1933 or the Exchange Act.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0340" w:type="dxa"/>
            <w:vAlign w:val="bottom"/>
            <w:vMerge w:val="restart"/>
          </w:tcPr>
          <w:p>
            <w:pPr>
              <w:ind w:left="48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64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No.</w:t>
            </w:r>
          </w:p>
        </w:tc>
        <w:tc>
          <w:tcPr>
            <w:tcW w:w="10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0000FF"/>
            </w:tcBorders>
          </w:tcPr>
          <w:p>
            <w:pPr>
              <w:jc w:val="center"/>
              <w:spacing w:after="0" w:line="135"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340" w:type="dxa"/>
            <w:vAlign w:val="bottom"/>
            <w:tcBorders>
              <w:top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color w:val="auto"/>
              </w:rPr>
              <w:t>99.1 Presentation of NFE Inc. dated January 2025.</w:t>
            </w:r>
          </w:p>
        </w:tc>
        <w:tc>
          <w:tcPr>
            <w:tcW w:w="0" w:type="dxa"/>
            <w:vAlign w:val="bottom"/>
          </w:tcPr>
          <w:p>
            <w:pPr>
              <w:spacing w:after="0"/>
              <w:rPr>
                <w:sz w:val="1"/>
                <w:szCs w:val="1"/>
                <w:color w:val="auto"/>
              </w:rPr>
            </w:pPr>
          </w:p>
        </w:tc>
      </w:tr>
      <w:tr>
        <w:trPr>
          <w:trHeight w:val="178"/>
        </w:trPr>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40" w:type="dxa"/>
            <w:vAlign w:val="bottom"/>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359"/>
        </w:trPr>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NEW FORTRESS ENERGY INC.</w:t>
            </w:r>
          </w:p>
        </w:tc>
      </w:tr>
      <w:tr>
        <w:trPr>
          <w:trHeight w:val="180"/>
        </w:trPr>
        <w:tc>
          <w:tcPr>
            <w:tcW w:w="5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171"/>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Date: January 28, 2025</w:t>
            </w: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 Christopher S. Guinta</w:t>
            </w:r>
          </w:p>
        </w:tc>
      </w:tr>
      <w:tr>
        <w:trPr>
          <w:trHeight w:val="160"/>
        </w:trPr>
        <w:tc>
          <w:tcPr>
            <w:tcW w:w="5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Christopher S. Guinta</w:t>
            </w:r>
          </w:p>
        </w:tc>
      </w:tr>
      <w:tr>
        <w:trPr>
          <w:trHeight w:val="171"/>
        </w:trPr>
        <w:tc>
          <w:tcPr>
            <w:tcW w:w="5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280"/>
          </w:cols>
          <w:pgMar w:left="300" w:top="665"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2025-01-28T12:02:27Z</dcterms:created>
  <dcterms:modified xsi:type="dcterms:W3CDTF">2025-01-28T12:02:27Z</dcterms:modified>
</cp:coreProperties>
</file>