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9"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9"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5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36,088</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40.43</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34,156,320</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122,435</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40.9</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34,033,885</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3,396</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41.32</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34,030,489</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1,156</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42.37</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34,029,333</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8,530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43.45</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34,020,803</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11,684</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44.54</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34,009,119</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06/08/2021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7,840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45.03</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34,001,279</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63,052</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40.29</w:t>
            </w:r>
            <w:r>
              <w:rPr>
                <w:rFonts w:ascii="Arial" w:cs="Arial" w:eastAsia="Arial" w:hAnsi="Arial"/>
                <w:sz w:val="22"/>
                <w:szCs w:val="22"/>
                <w:color w:val="008000"/>
                <w:w w:val="85"/>
                <w:vertAlign w:val="superscript"/>
              </w:rPr>
              <w:t>(4)</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33,938,227</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10,910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41.63</w:t>
            </w:r>
            <w:r>
              <w:rPr>
                <w:rFonts w:ascii="Arial" w:cs="Arial" w:eastAsia="Arial" w:hAnsi="Arial"/>
                <w:sz w:val="22"/>
                <w:szCs w:val="22"/>
                <w:color w:val="008000"/>
                <w:w w:val="85"/>
                <w:vertAlign w:val="superscript"/>
              </w:rPr>
              <w:t>(4)</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33,927,317</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13,732</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42.44</w:t>
            </w:r>
            <w:r>
              <w:rPr>
                <w:rFonts w:ascii="Arial" w:cs="Arial" w:eastAsia="Arial" w:hAnsi="Arial"/>
                <w:sz w:val="22"/>
                <w:szCs w:val="22"/>
                <w:color w:val="008000"/>
                <w:w w:val="85"/>
                <w:vertAlign w:val="superscript"/>
              </w:rPr>
              <w:t>(4)</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33,913,585</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43.44</w:t>
            </w:r>
            <w:r>
              <w:rPr>
                <w:rFonts w:ascii="Arial" w:cs="Arial" w:eastAsia="Arial" w:hAnsi="Arial"/>
                <w:sz w:val="22"/>
                <w:szCs w:val="22"/>
                <w:color w:val="008000"/>
                <w:w w:val="85"/>
                <w:vertAlign w:val="superscript"/>
              </w:rPr>
              <w:t>(4)</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33,911,085</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479"/>
              <w:spacing w:after="0"/>
              <w:rPr>
                <w:sz w:val="20"/>
                <w:szCs w:val="20"/>
                <w:color w:val="auto"/>
              </w:rPr>
            </w:pPr>
            <w:r>
              <w:rPr>
                <w:rFonts w:ascii="Arial" w:cs="Arial" w:eastAsia="Arial" w:hAnsi="Arial"/>
                <w:sz w:val="17"/>
                <w:szCs w:val="17"/>
                <w:color w:val="0000FF"/>
                <w:w w:val="93"/>
              </w:rPr>
              <w:t>06/09/2021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44.71</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33,910,985</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NFE SMRS Holdings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100" w:type="dxa"/>
            <w:vAlign w:val="bottom"/>
          </w:tcPr>
          <w:p>
            <w:pPr>
              <w:ind w:left="24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4">
        <w:r>
          <w:rPr>
            <w:rFonts w:ascii="Arial" w:cs="Arial" w:eastAsia="Arial" w:hAnsi="Arial"/>
            <w:sz w:val="21"/>
            <w:szCs w:val="21"/>
            <w:u w:val="single" w:color="auto"/>
            <w:color w:val="0000EE"/>
          </w:rPr>
          <w:t>Great Mountain Partners LLC</w:t>
        </w:r>
      </w:hyperlink>
    </w:p>
    <w:p>
      <w:pPr>
        <w:sectPr>
          <w:pgSz w:w="11900" w:h="16839" w:orient="portrait"/>
          <w:cols w:equalWidth="0" w:num="1">
            <w:col w:w="11080"/>
          </w:cols>
          <w:pgMar w:left="460" w:top="225" w:right="359" w:bottom="0" w:gutter="0" w:footer="0" w:header="0"/>
          <w:type w:val="continuous"/>
        </w:sectPr>
      </w:pPr>
    </w:p>
    <w:p>
      <w:pPr>
        <w:spacing w:after="0" w:line="321"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9"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4285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gridSpan w:val="2"/>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Thomson Alexander</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gridSpan w:val="2"/>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0"/>
              </w:rPr>
            </w:pPr>
            <w:hyperlink r:id="rId17">
              <w:r>
                <w:rPr>
                  <w:rFonts w:ascii="Arial" w:cs="Arial" w:eastAsia="Arial" w:hAnsi="Arial"/>
                  <w:sz w:val="21"/>
                  <w:szCs w:val="21"/>
                  <w:color w:val="0000EE"/>
                  <w:w w:val="90"/>
                </w:rPr>
                <w:t>Rotolo Jonathan</w:t>
              </w:r>
            </w:hyperlink>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gridSpan w:val="2"/>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10b5-1 plan.</w:t>
      </w:r>
    </w:p>
    <w:p>
      <w:pPr>
        <w:spacing w:after="0" w:line="50" w:lineRule="exact"/>
        <w:rPr>
          <w:rFonts w:ascii="Arial" w:cs="Arial" w:eastAsia="Arial" w:hAnsi="Arial"/>
          <w:sz w:val="13"/>
          <w:szCs w:val="13"/>
          <w:color w:val="008000"/>
        </w:rPr>
      </w:pPr>
    </w:p>
    <w:p>
      <w:pPr>
        <w:jc w:val="both"/>
        <w:ind w:left="20" w:righ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on June 7, 2021 at prices ranging from $39.67 to $40.665 for the sale of 36,088 shares and a range of $40.67 to $41.55 for the sale of 122,435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(2) to this Form 4.</w:t>
      </w:r>
    </w:p>
    <w:p>
      <w:pPr>
        <w:spacing w:after="0" w:line="8" w:lineRule="exact"/>
        <w:rPr>
          <w:rFonts w:ascii="Arial" w:cs="Arial" w:eastAsia="Arial" w:hAnsi="Arial"/>
          <w:sz w:val="12"/>
          <w:szCs w:val="12"/>
          <w:color w:val="008000"/>
        </w:rPr>
      </w:pPr>
    </w:p>
    <w:p>
      <w:pPr>
        <w:jc w:val="both"/>
        <w:ind w:left="20" w:righ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8, 2021 at prices ranging from $40.90 to $41.68 for the sale of 3,396 shares, a range of $41.99 to $42.885 for the sale of 1,156 shares, a range of $43.05 to $43.895 for the sale of 8,530 shares, a range of $43.925 to $44.89 for the sale of 11,684 shares, and a range of $44.90 to $45.315 for the sale of 7,840 shares. The undersigned undertakes to provide NFE, any security holder of NFE or the staff of the Securities and Exchange Commission, upon request, full information regarding the number of shares sold at each separate price within the ranges set forth in footnote (3) to this Form 4.</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9, 2021 at prices ranging from $40.00 to $40.96 for the sale of 63,052 shares, a range of $41.00 to $41.99 for the sale of 10,910 shares, a range of $42.00 to $42.965 for the sale of 13,732 shares, and a range of $43.00 to $43.92 for the sale of 2,500 shares. The undersigned undertakes to provide NFE, any security holder of NFE or the staff of the Securities and Exchange Commission, upon request, full information regarding the number of shares sold at each separate price within the ranges set forth in footnote (4) to this Form 4.</w:t>
      </w:r>
    </w:p>
    <w:p>
      <w:pPr>
        <w:spacing w:after="0" w:line="29" w:lineRule="exact"/>
        <w:rPr>
          <w:rFonts w:ascii="Arial" w:cs="Arial" w:eastAsia="Arial" w:hAnsi="Arial"/>
          <w:sz w:val="13"/>
          <w:szCs w:val="13"/>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righ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1 for further explanation). Alexander Thomson, 10 Station Place, P.O. Box 233, Norfolk CT 06058, Officer (Manager of Designated Reporting Person's Manager). No holdings (see footnote 1 for further explanation). Jonathan Rotolo, 10 Station Place, P.O. Box 233, Norfolk CT 06058, Officer (Manager of Designated Reporting Person's Manager). No holdings (see footnote 1 for further explanation).</w:t>
      </w:r>
    </w:p>
    <w:p>
      <w:pPr>
        <w:sectPr>
          <w:pgSz w:w="11900" w:h="16838" w:orient="portrait"/>
          <w:cols w:equalWidth="0" w:num="1">
            <w:col w:w="10880"/>
          </w:cols>
          <w:pgMar w:left="480" w:top="131" w:right="53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20"/>
          </w:cols>
          <w:pgMar w:left="480" w:top="131" w:right="53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6" Type="http://schemas.openxmlformats.org/officeDocument/2006/relationships/hyperlink" Target="http://www.sec.gov/cgi-bin/browse-edgar?action=getcompany&amp;CIK=0001815423" TargetMode="External"/><Relationship Id="rId17"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2021-06-09T18:37:37Z</dcterms:created>
  <dcterms:modified xsi:type="dcterms:W3CDTF">2021-06-09T18:37:37Z</dcterms:modified>
</cp:coreProperties>
</file>