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13, 2021</w:t>
      </w:r>
    </w:p>
    <w:p>
      <w:pPr>
        <w:spacing w:after="0" w:line="17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8" w:lineRule="exact"/>
        <w:rPr>
          <w:sz w:val="24"/>
          <w:szCs w:val="24"/>
          <w:color w:val="auto"/>
        </w:rPr>
      </w:pPr>
    </w:p>
    <w:p>
      <w:pPr>
        <w:ind w:left="1440"/>
        <w:spacing w:after="0"/>
        <w:tabs>
          <w:tab w:leader="none" w:pos="5220" w:val="left"/>
          <w:tab w:leader="none" w:pos="89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001-38790</w:t>
      </w:r>
      <w:r>
        <w:rPr>
          <w:sz w:val="20"/>
          <w:szCs w:val="20"/>
          <w:color w:val="auto"/>
        </w:rPr>
        <w:tab/>
      </w:r>
      <w:r>
        <w:rPr>
          <w:rFonts w:ascii="Times New Roman" w:cs="Times New Roman" w:eastAsia="Times New Roman" w:hAnsi="Times New Roman"/>
          <w:sz w:val="18"/>
          <w:szCs w:val="18"/>
          <w:b w:val="1"/>
          <w:bCs w:val="1"/>
          <w:color w:val="auto"/>
        </w:rPr>
        <w:t>83-1482060</w:t>
      </w:r>
    </w:p>
    <w:p>
      <w:pPr>
        <w:spacing w:after="0" w:line="31" w:lineRule="exact"/>
        <w:rPr>
          <w:sz w:val="24"/>
          <w:szCs w:val="24"/>
          <w:color w:val="auto"/>
        </w:rPr>
      </w:pPr>
    </w:p>
    <w:p>
      <w:pPr>
        <w:ind w:left="200"/>
        <w:spacing w:after="0"/>
        <w:tabs>
          <w:tab w:leader="none" w:pos="4640" w:val="left"/>
          <w:tab w:leader="none" w:pos="81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 or other jurisdiction of incorporation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 File Number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I.R.S. Employer Identification No.</w:t>
      </w:r>
      <w:r>
        <w:rPr>
          <w:rFonts w:ascii="Times New Roman" w:cs="Times New Roman" w:eastAsia="Times New Roman" w:hAnsi="Times New Roman"/>
          <w:sz w:val="18"/>
          <w:szCs w:val="18"/>
          <w:color w:val="auto"/>
        </w:rPr>
        <w:t>)</w:t>
      </w:r>
    </w:p>
    <w:p>
      <w:pPr>
        <w:spacing w:after="0" w:line="230"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111 W. 19th Street, 8th Floor</w:t>
      </w:r>
    </w:p>
    <w:p>
      <w:pPr>
        <w:spacing w:after="0" w:line="31" w:lineRule="exact"/>
        <w:rPr>
          <w:sz w:val="24"/>
          <w:szCs w:val="24"/>
          <w:color w:val="auto"/>
        </w:rPr>
      </w:pPr>
    </w:p>
    <w:p>
      <w:pPr>
        <w:ind w:left="1880"/>
        <w:spacing w:after="0"/>
        <w:tabs>
          <w:tab w:leader="none" w:pos="8540" w:val="left"/>
        </w:tabs>
        <w:rPr>
          <w:sz w:val="20"/>
          <w:szCs w:val="20"/>
          <w:color w:val="auto"/>
        </w:rPr>
      </w:pPr>
      <w:r>
        <w:rPr>
          <w:rFonts w:ascii="Times New Roman" w:cs="Times New Roman" w:eastAsia="Times New Roman" w:hAnsi="Times New Roman"/>
          <w:sz w:val="18"/>
          <w:szCs w:val="18"/>
          <w:b w:val="1"/>
          <w:bCs w:val="1"/>
          <w:color w:val="auto"/>
        </w:rPr>
        <w:t>New York, New York</w:t>
      </w:r>
      <w:r>
        <w:rPr>
          <w:sz w:val="20"/>
          <w:szCs w:val="20"/>
          <w:color w:val="auto"/>
        </w:rPr>
        <w:tab/>
      </w:r>
      <w:r>
        <w:rPr>
          <w:rFonts w:ascii="Times New Roman" w:cs="Times New Roman" w:eastAsia="Times New Roman" w:hAnsi="Times New Roman"/>
          <w:sz w:val="17"/>
          <w:szCs w:val="17"/>
          <w:b w:val="1"/>
          <w:bCs w:val="1"/>
          <w:color w:val="auto"/>
        </w:rPr>
        <w:t>10011</w:t>
      </w:r>
    </w:p>
    <w:p>
      <w:pPr>
        <w:spacing w:after="0" w:line="9" w:lineRule="exact"/>
        <w:rPr>
          <w:sz w:val="24"/>
          <w:szCs w:val="24"/>
          <w:color w:val="auto"/>
        </w:rPr>
      </w:pPr>
    </w:p>
    <w:p>
      <w:pPr>
        <w:ind w:left="1280"/>
        <w:spacing w:after="0"/>
        <w:tabs>
          <w:tab w:leader="none" w:pos="83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Zip Code</w:t>
      </w:r>
      <w:r>
        <w:rPr>
          <w:rFonts w:ascii="Times New Roman" w:cs="Times New Roman" w:eastAsia="Times New Roman" w:hAnsi="Times New Roman"/>
          <w:sz w:val="17"/>
          <w:szCs w:val="17"/>
          <w:color w:val="auto"/>
        </w:rPr>
        <w:t>)</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 268-7400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Former name or former address, if changed since last report</w:t>
      </w:r>
      <w:r>
        <w:rPr>
          <w:rFonts w:ascii="Times New Roman" w:cs="Times New Roman" w:eastAsia="Times New Roman" w:hAnsi="Times New Roman"/>
          <w:sz w:val="18"/>
          <w:szCs w:val="18"/>
          <w:color w:val="auto"/>
        </w:rPr>
        <w:t>)</w:t>
      </w:r>
    </w:p>
    <w:p>
      <w:pPr>
        <w:spacing w:after="0" w:line="20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080"/>
          </w:cols>
          <w:pgMar w:left="320" w:top="516" w:right="499" w:bottom="1440" w:gutter="0" w:footer="0" w:header="0"/>
        </w:sectPr>
      </w:pP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ind w:right="860"/>
        <w:spacing w:after="0" w:line="260" w:lineRule="auto"/>
        <w:rPr>
          <w:sz w:val="20"/>
          <w:szCs w:val="20"/>
          <w:color w:val="auto"/>
        </w:rPr>
      </w:pPr>
      <w:r>
        <w:rPr>
          <w:rFonts w:ascii="Times New Roman" w:cs="Times New Roman" w:eastAsia="Times New Roman" w:hAnsi="Times New Roman"/>
          <w:sz w:val="18"/>
          <w:szCs w:val="18"/>
          <w:b w:val="1"/>
          <w:bCs w:val="1"/>
          <w:color w:val="auto"/>
        </w:rPr>
        <w:t>Class A Common Stock, par value $0.01 per share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tabs>
          <w:tab w:leader="none" w:pos="2820" w:val="left"/>
        </w:tabs>
        <w:rPr>
          <w:sz w:val="20"/>
          <w:szCs w:val="20"/>
          <w:color w:val="auto"/>
        </w:rPr>
      </w:pPr>
      <w:r>
        <w:rPr>
          <w:rFonts w:ascii="Times New Roman" w:cs="Times New Roman" w:eastAsia="Times New Roman" w:hAnsi="Times New Roman"/>
          <w:sz w:val="18"/>
          <w:szCs w:val="18"/>
          <w:color w:val="auto"/>
        </w:rPr>
        <w:t>Trading Symbol(s)</w:t>
      </w:r>
      <w:r>
        <w:rPr>
          <w:sz w:val="20"/>
          <w:szCs w:val="20"/>
          <w:color w:val="auto"/>
        </w:rPr>
        <w:tab/>
      </w:r>
      <w:r>
        <w:rPr>
          <w:rFonts w:ascii="Times New Roman" w:cs="Times New Roman" w:eastAsia="Times New Roman" w:hAnsi="Times New Roman"/>
          <w:sz w:val="17"/>
          <w:szCs w:val="17"/>
          <w:color w:val="auto"/>
        </w:rPr>
        <w:t>Name of each exchange on which registered</w:t>
      </w:r>
    </w:p>
    <w:p>
      <w:pPr>
        <w:spacing w:after="0" w:line="113" w:lineRule="exact"/>
        <w:rPr>
          <w:sz w:val="24"/>
          <w:szCs w:val="24"/>
          <w:color w:val="auto"/>
        </w:rPr>
      </w:pPr>
    </w:p>
    <w:p>
      <w:pPr>
        <w:ind w:left="500"/>
        <w:spacing w:after="0"/>
        <w:tabs>
          <w:tab w:leader="none" w:pos="3100" w:val="left"/>
        </w:tabs>
        <w:rPr>
          <w:sz w:val="20"/>
          <w:szCs w:val="20"/>
          <w:color w:val="auto"/>
        </w:rPr>
      </w:pPr>
      <w:r>
        <w:rPr>
          <w:rFonts w:ascii="Times New Roman" w:cs="Times New Roman" w:eastAsia="Times New Roman" w:hAnsi="Times New Roman"/>
          <w:sz w:val="18"/>
          <w:szCs w:val="18"/>
          <w:b w:val="1"/>
          <w:bCs w:val="1"/>
          <w:color w:val="auto"/>
        </w:rPr>
        <w:t>NFE</w:t>
      </w:r>
      <w:r>
        <w:rPr>
          <w:sz w:val="20"/>
          <w:szCs w:val="20"/>
          <w:color w:val="auto"/>
        </w:rPr>
        <w:tab/>
      </w:r>
      <w:r>
        <w:rPr>
          <w:rFonts w:ascii="Times New Roman" w:cs="Times New Roman" w:eastAsia="Times New Roman" w:hAnsi="Times New Roman"/>
          <w:sz w:val="18"/>
          <w:szCs w:val="18"/>
          <w:b w:val="1"/>
          <w:bCs w:val="1"/>
          <w:color w:val="auto"/>
        </w:rPr>
        <w:t>The Nasdaq Global Select Market</w:t>
      </w:r>
    </w:p>
    <w:p>
      <w:pPr>
        <w:spacing w:after="0" w:line="336" w:lineRule="exact"/>
        <w:rPr>
          <w:sz w:val="24"/>
          <w:szCs w:val="24"/>
          <w:color w:val="auto"/>
        </w:rPr>
      </w:pPr>
    </w:p>
    <w:p>
      <w:pPr>
        <w:sectPr>
          <w:pgSz w:w="11900" w:h="16838" w:orient="portrait"/>
          <w:cols w:equalWidth="0" w:num="2">
            <w:col w:w="4260" w:space="720"/>
            <w:col w:w="6100"/>
          </w:cols>
          <w:pgMar w:left="320" w:top="516" w:right="49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9" w:lineRule="exact"/>
        <w:rPr>
          <w:sz w:val="24"/>
          <w:szCs w:val="24"/>
          <w:color w:val="auto"/>
        </w:rPr>
      </w:pPr>
    </w:p>
    <w:p>
      <w:pPr>
        <w:ind w:left="740" w:hanging="732"/>
        <w:spacing w:after="0"/>
        <w:tabs>
          <w:tab w:leader="none" w:pos="7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Emerging Growth Company</w:t>
      </w:r>
    </w:p>
    <w:p>
      <w:pPr>
        <w:spacing w:after="0" w:line="23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16"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 Entry into Material Definitive Agreements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Hygo Merger Agreement</w:t>
      </w:r>
    </w:p>
    <w:p>
      <w:pPr>
        <w:spacing w:after="0" w:line="25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January 13, 2021, New Fortress Energy Inc., a Delaware corporation ("NFE"), Hygo Energy Transition Ltd., a Bermuda exempted company (“Hygo”), GLNG, Stonepeak Infrastructure Fund II Cayman (G) Ltd. (“Stonepeak”), and Lobos Acquisition Ltd., a Bermuda exempted company and an indirect, wholly-owned subsidiary of NFE (“Hygo Merger Sub”), entered into an Agreement and Plan of Merger (the “Hygo Merger Agreement” and together with the GMLP Merger Agreement, the “Merger Agreements”), pursuant to which Hygo Merger Sub will merge with and into Hygo (the “Hygo Merger”), with Hygo surviving the Hygo Merger as a wholly owned subsidiary of NFE (the “Surviving Company”). As of the date of the Hygo Merger Agreement, each of GLNG and Stonepeak (together, the “Hygo Shareholders”) owned 50% of the outstanding common shares, par value $1.00 per share, of Hygo (each, a “Hygo Common Share”), and Stonepeak owned all of Hygo’s outstanding redeemable preferred shares, par value $5.00 per share (each, a “Hygo Preferred Share”).</w:t>
      </w:r>
    </w:p>
    <w:p>
      <w:pPr>
        <w:spacing w:after="0" w:line="2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At the effective time of the Hygo Merger (the “Hygo Effective Time”), pursuant to the Hygo Merger Agreement: (i) GLNG will receive 18.6 million shares of Class A Common Stock, par value $0.01 per share, of NFE (“Common Stock”) and an aggregate of $50 million in cash and (ii) Stonepeak will receive 12.7 million shares of Common Stock and an aggregate of $530 million in cash.</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respective boards of directors of NFE, Hygo Merger Sub and Hygo have unanimously approved the Hygo Merger Agreement and the transactions contemplated thereby. Concurrently with the execution of the Hygo Merger Agreement, the Hygo Shareholders executed and delivered to NFE a written consent in their capacity as the holders of all of the outstanding Hygo Common Shares, and, solely with respect to Stonepeak, also in its capacity as the holder of all of the outstanding Hygo Preferred Shares, approving the Hygo Merger Agreement and the Hygo Merger, thereby providing all requisite approval of the Hygo Shareholders that is required to consummate the Hygo Merger.</w:t>
      </w:r>
    </w:p>
    <w:p>
      <w:pPr>
        <w:spacing w:after="0" w:line="21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Hygo Merger Agreement contains customary representations and warranties by each of NFE, Hygo, and the Hygo Shareholders. NFE and Hygo have also agreed to various customary covenants and agreements, including, among others, to conduct, subject to certain exceptions, their business in the ordinary course consistent with past practice during the period between the execution of the Hygo Merger Agreement and the Hygo Effective Time.</w:t>
      </w:r>
    </w:p>
    <w:p>
      <w:pPr>
        <w:spacing w:after="0" w:line="203"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closing of the Hygo Merger is subject to satisfaction or waiver (if applicable) of certain conditions, including: (i) the receipt of all required regulatory approvals; (ii) the receipt of certain specified material third-party consents; (iii) the absence of any legal restraint issued by any court or governmental entity of competent jurisdiction preventing consummation of the Hygo Merger; (iv) the approval for listing on the Nasdaq Global Select Market of the Common Stock to be issued in the Hygo Merger; (v) the absence of a Material Adverse Effect or a Parent Material Adverse Effect (as such terms are defined in the Hygo Merger Agreement), as applicable; (vi) the accuracy of each party’s representations and warranties, subject in most cases to materiality or material adverse effect qualifications; (vii) material compliance with each party’s covenants; and (viii) delivery of a transition services agreement and shareholders’ agreement, each substantially in the applicable form attached as exhibits thereto.</w:t>
      </w:r>
    </w:p>
    <w:p>
      <w:pPr>
        <w:spacing w:after="0" w:line="216" w:lineRule="exact"/>
        <w:rPr>
          <w:sz w:val="20"/>
          <w:szCs w:val="20"/>
          <w:color w:val="auto"/>
        </w:rPr>
      </w:pPr>
    </w:p>
    <w:p>
      <w:pPr>
        <w:ind w:right="380" w:firstLine="648"/>
        <w:spacing w:after="0" w:line="312" w:lineRule="auto"/>
        <w:rPr>
          <w:sz w:val="20"/>
          <w:szCs w:val="20"/>
          <w:color w:val="auto"/>
        </w:rPr>
      </w:pPr>
      <w:r>
        <w:rPr>
          <w:rFonts w:ascii="Times New Roman" w:cs="Times New Roman" w:eastAsia="Times New Roman" w:hAnsi="Times New Roman"/>
          <w:sz w:val="17"/>
          <w:szCs w:val="17"/>
          <w:color w:val="auto"/>
        </w:rPr>
        <w:t>The Hygo Merger Agreement further provides for the parties to execute, at or prior to the Hygo Effective Time, a Shareholders' Agreement providing for certain transfer restrictions and registration rights with respect to the Common Stock to be issued in the Hygo Merger (described below).</w:t>
      </w:r>
    </w:p>
    <w:p>
      <w:pPr>
        <w:spacing w:after="0" w:line="16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Hygo Merger Agreement may be terminated by NFE or Hygo under certain circumstances, including, among others, by either NFE or Hygo if the closing of the Hygo Merger has not occurred on or before July 12, 2021.</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Hygo Merger Agreement is attached hereto as Exhibit 2.3 and is incorporated into this Item 1.01 by reference. The foregoing summary has been included to provide investors and security holders with information regarding the terms of the Hygo Merger Agreement and is qualified in its entirety by the terms and conditions of the Hygo Merger Agreement. It is not intended to provide any other factual information about the parties or their respective subsidiaries and affiliates. The Hygo Merger Agreement contains representations and warranties by each of the parties to the Hygo Merger Agreement, which were made only for purposes of the Hygo Merger Agreement and as of specified dates. The representations, warranties and covenants in the Hygo Merger Agreement were made solely for the benefit of the parties to the Hygo Merger Agreement; may be subject to limitations agreed upon by the contracting parties, including being qualified by confidential disclosures made for the purposes of allocating contractual risk between the parties to the Hygo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parties or any of their respective subsidiaries or affiliates. Moreover, information concerning the subject matter of the representations, warranties and covenants may change after the date of the Hygo Merger Agreement, which subsequent information may or may not be fully reflected in NFE’s or Hygo’s public disclosures.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GMLP Merger Agreement</w:t>
      </w:r>
    </w:p>
    <w:p>
      <w:pPr>
        <w:spacing w:after="0" w:line="25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January 13, 2021, NFE entered into an Agreement and Plan of Merger (the “GMLP Merger Agreement”) with Golar LNG Partners LP, a Marshall Islands limited partnership (“GMLP”), Golar GP LLC, a Marshall Islands limited liability company and the general partner of GMLP (the “General Partner”), Lobos Acquisition LLC, a Marshall Islands limited liability company and an indirect subsidiary of NFE (“GMLP Merger Sub”), and NFE International Holdings Limited, a private limited company incorporated under the laws of England and Wales and an indirect subsidiary of NFE (“GP Buyer”), pursuant to which GMLP Merger Sub will merge with and into GMLP, with GMLP surviving the merger as an indirect subsidiary of NFE (the “GMLP Merger”).</w:t>
      </w:r>
    </w:p>
    <w:p>
      <w:pPr>
        <w:spacing w:after="0" w:line="21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At the effective time of the GMLP Merger (the “GMLP Effective Time”), pursuant to the GMLP Merger Agreement, each common unit representing a limited partner interest in GMLP (each, a “Common Unit”) that is issued and outstanding as of immediately prior to the GMLP Effective Time (except for Common Units that are owned immediately prior to the GMLP Effective Time by GMLP as treasury units, which will be automatically canceled and retired and shall cease to exist and no consideration shall be delivered in respect thereof) will automatically be converted into the right to receive $3.55 in cash (the “Common Unit Consideration”). At the GMLP Effective Time, each of the incentive distribution rights of GMLP will be canceled and cease to exist, and no consideration shall be delivered in respect thereof. Each 8.75% Series A Cumulative Redeemable Preferred Unit of GMLP issued and outstanding immediately prior to the GMLP Effective Time will be unaffected by the GMLP Merger and will remain outstanding, and no consideration shall be delivered in respect thereof. Each outstanding unit representing a general partner interest of the Partnership that is issued and outstanding immediately prior to the GMLP Effective Time will remain issued and outstanding immediately following the GMLP Effective Time.</w:t>
      </w:r>
    </w:p>
    <w:p>
      <w:pPr>
        <w:spacing w:after="0" w:line="21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At the GMLP Effective Time, each outstanding option to purchase Common Units (each, a “Partnership Option”) pursuant to any Partnership Plan (as defined in the GMLP Merger Agreement), whether or not vested, will automatically be vested, cancelled and converted into the right to receive an amount in cash equal to the product of (i) the excess, if any, of the Common Unit Consideration over the applicable exercise price per Common Unit of such Partnership Option and (ii) the number of Common Units subject to such Partnership Option. Any Partnership Option which has a per Common Unit exercise price that is greater than or equal to the Common Unit Consideration will be cancelled at the GMLP Effective Time for no consideration or payment.</w:t>
      </w:r>
    </w:p>
    <w:p>
      <w:pPr>
        <w:spacing w:after="0" w:line="21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At the GMLP Effective Time, each Partnership Phantom Unit (as defined in the GMLP Merger Agreement), whether or not vested, will automatically be vested, cancelled and converted into the right to receive an amount in cash equal to the product of (i) the Common Unit Consideration and (ii) the number of Common Units subject to such Partnership Phantom Unit.</w:t>
      </w:r>
    </w:p>
    <w:p>
      <w:pPr>
        <w:spacing w:after="0" w:line="20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Concurrently with the consummation of the GMLP Merger, GP Buyer will purchase from Golar LNG Limited, a Bermuda exempted company (“GLNG”), and GLNG will transfer to GP Buyer (the “GP Transfer,” and collectively with the GMLP Merger and the other transactions contemplated by the GMLP Merger Agreement, the “GMLP Transactions”), all of the outstanding membership interests of the General Partner pursuant to a Transfer Agreement dated as of January 13, 2021 (the “Transfer Agreement”) for a purchase price of $5,099,188, which is equivalent to $3.55 per general partner unit of GMLP. The Transfer Agreement also provides for the parties to enter into, at or prior to the GMLP Effective Time, among other things, an Omnibus Agreement relating to the provision of certain management services related to the vessels GMLP owns. The obligation of the parties to the Transfer Agreement to consummate the GP Transfer is subject to certain closing conditions, including: (1) the accuracy of the other party's representations and warranties, subject to certain materiality qualifiers; (2) performance in all material respects by the other party; (3) the delivery of certain deliverables under the Transfer Agreement by both parties; and (4) the conditions to GMLP’s or NFE’s (as applicable) obligations to close the GMLP Merger pursuant to the terms of the GMLP Merger Agreement must have been waived or satisfied.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 w:name="page4"/>
    <w:bookmarkEnd w:id="3"/>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board of directors of GMLP (the “GMLP Board”), acting based upon the recommendation of its Conflicts Committee (the “Conflicts Committee”), unanimously (i) determined that the GMLP Merger Agreement and the GMLP Transactions are in the best interests of GMLP, including the holders of Common Units (the “Common Unitholders”), (ii) approved the GMLP Merger Agreement and the GMLP Transactions and (iii) resolved to recommend to the Common Unitholders the approval of the GMLP Merger Agreement. The board of directors of NFE unanimously approved the GMLP Merger Agreement and the GMLP Transactions. GLNG, in its individual capacity and as sole member of the General Partner, as applicable, approved the GMLP Merger Agreement and the GMLP Transactions.</w:t>
      </w:r>
    </w:p>
    <w:p>
      <w:pPr>
        <w:spacing w:after="0" w:line="21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GMLP Merger Agreement contains customary representations and warranties by the parties. NFE, GMLP Merger Sub, GMLP and the General Partner have also agreed to various customary covenants and agreements, including, among others, to conduct, subject to certain exceptions, their business in the ordinary course during the period between the execution of the GMLP Merger Agreement and the GMLP Effective Time.</w:t>
      </w:r>
    </w:p>
    <w:p>
      <w:pPr>
        <w:spacing w:after="0" w:line="20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closing of the GMLP Merger is subject to satisfaction or waiver (if applicable) of certain conditions, including: (i) the approval of the GMLP Merger Agreement by the required majority of the Common Unitholders, (ii) the receipt of specified regulatory approvals; (iii) the receipt of certain specified material third-party consents; (iv) the absence of any legal restraint issued by any court or governmental entity of competent jurisdiction preventing consummation of the GMLP Merger; (v) the absence of a Material Adverse Effect or Parent Material Adverse Effect (each as defined in the GMLP Merger Agreement), as applicable; (vi) the accuracy of each party’s representations and warranties, subject in most cases to materiality or material adverse effect qualifications; (vii) material compliance with each party’s covenants; and (viii) all conditions to GLNG’s or NFE’s (as applicable) obligation to close the GP Transfer under the Transfer Agreement having been satisfied or waived.</w:t>
      </w:r>
    </w:p>
    <w:p>
      <w:pPr>
        <w:spacing w:after="0" w:line="21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GMLP Merger Agreement may be terminated by NFE or GMLP (which, in the case of GMLP, must be approved by the Conflicts Committee) under certain circumstances, including, among others, by either NFE or GMLP if the closing of the GMLP Merger has not occurred on or before July 13, 2021, and further provides that, upon termination of the GMLP Merger Agreement under certain circumstances, GMLP may be required to pay NFE a termination fee equal to $9,424,849. GMLP may also be required to pay NFE for certain expenses incurred by NFE in an amount not to exceed $2,513,293 if the GMLP special meeting concludes and the required majority of the Common Unitholders do not approve the GMLP Merger Agreement.</w:t>
      </w:r>
    </w:p>
    <w:p>
      <w:pPr>
        <w:spacing w:after="0" w:line="21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GMLP Merger Agreement and the Transfer Agreement are attached hereto as Exhibits 2.1 and 2.2, respectively, and are incorporated into this Item 1.01 by reference. The foregoing summary has been included to provide investors and security holders with information regarding the terms of the GMLP Merger Agreement and the Transfer Agreement and is qualified in its entirety by the terms and conditions of the GMLP Merger Agreement and the Transfer Agreement. It is not intended to provide any other factual information about the parties or their respective subsidiaries and affiliates. The GMLP Merger Agreement and the Transfer Agreement contain representations and warranties by each of the parties to the GMLP Merger Agreement and the Transfer Agreement, which were made only for purposes of the GMLP Merger Agreement and the Transfer Agreement and as of specified dates. The representations, warranties and covenants in the GMLP Merger Agreement and the Transfer Agreement were made solely for the benefit of the parties to the GMLP Merger Agreement and the Transfer Agreement; may be subject to limitations agreed upon by the contracting parties, including being qualified by confidential disclosures made for the purposes of allocating contractual risk between the parties to the GMLP Merger Agreement and the Transfer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parties or any of their respective subsidiaries or affiliates. Moreover, information concerning the subject matter of the representations, warranties and covenants may change after the date of the GMLP Merger Agreement and the Transfer Agreement, which subsequent information may or may not be fully reflected in NFE’s or GMLP’s public disclosures.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Support Agreement</w:t>
      </w:r>
    </w:p>
    <w:p>
      <w:pPr>
        <w:spacing w:after="0" w:line="25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Contemporaneously with the execution of the GMLP Merger Agreement, NFE, GMLP, GLNG and the General Partner entered into a Support Agreement (the “Support Agreement”), which provides for, among other things, GLNG’s and the General Partner’s agreement to vote all of the Common Units held by them as of such date (i) in favor of the adoption of the GMLP Merger Agreement, (ii) against any alternative proposal, and (iii) against any amendment of GMLP’s certificate of limited partnership or limited partnership agreement or other proposal that would delay, impede, frustrate, prevent or nullify the GMLP Merger or GMLP Merger Agreement or change in any manner the voting rights of any outstanding Common Units. In the event of an Adverse Recommendation Change (as defined in the GMLP Merger Agreement), the obligation of GLNG and the General Partner to vote with respect to the foregoing matters will be modified so that GLNG and the General Partner will vote (i) a number of Common Units equal to 20% of the outstanding Common Units as of the Partnership Meeting Date (as defined in the GMLP Merger Agreement) in respect of such matters and (ii) all remaining Common Units owned by them in a manner that is proportionate to the manner in which all outstanding Common Units (other than Common Units held by GLNG and the General Partner) are voted in respect of such matters. As of January 13, 2021, GLNG was the beneficial owner of approximately 30.8% of the Common Units.</w:t>
      </w:r>
    </w:p>
    <w:p>
      <w:pPr>
        <w:spacing w:after="0" w:line="2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Support Agreement is attached hereto as Exhibit 10.1 and is incorporated into this Item 1.01 by reference. The foregoing summary has been included to provide investors and security holders with information regarding the terms of the Support Agreement and is qualified in its entirety by the terms and conditions of the Support Agreement. It is not intended to provide any other factual information about the parties or their respective subsidiaries and affiliates. The Support Agreement contains representations and warranties by each of the parties to the Support Agreement, which were made only for purposes of the Support Agreement and as of specified dates. The representations, warranties and covenants in the Support Agreement were made solely for the benefit of the parties to the Support Agreement; may be subject to limitations agreed upon by the contracting parties, including being qualified by confidential disclosures made for the purposes of allocating contractual risk between the parties to the Support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parties or any of their respective subsidiaries or affiliates. Moreover, information concerning the subject matter of the representations, warranties and covenants may change after the date of the Support Agreement, which subsequent information may or may not be fully reflected in NFE’s or GMLP’s public disclosures.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Financing Commitments</w:t>
      </w:r>
    </w:p>
    <w:p>
      <w:pPr>
        <w:spacing w:after="0" w:line="25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Also in connection with entering into the each of the Hygo Merger Agreement and the GMLP Merger Agreement, on January 13, 2021, NFE obtained financing commitments from Morgan Stanley Senior Funding, Inc. and Goldman Sachs Bank USA to pay, subject to the terms and conditions set forth therein, a portion of the cash purchase price in connection with the GMLP Merger, to refinance certain debt of GMLP and its subsidiaries, and to pay related fees and expenses. The proceeds of such committed financing are expected to be made available under a senior secured bridge term loan facility in an aggregate principal amount of $1.5 billion, in the event NFE does not issue some or all of $1.5 billion of senior secured notes pursuant to Rule 144A and/or Regulation S.</w:t>
      </w:r>
    </w:p>
    <w:p>
      <w:pPr>
        <w:spacing w:after="0" w:line="21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5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Pursuant to the Hygo Merger Agreement, at the Hygo Effective Time, NFE will issue an aggregate of 18,627,451 shares of Common Stock to GLNG and 12,745,098 shares of Common Stock to Stonepeak as partial consideration for the Hygo Merger.</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issuance of shares of Common Stock will be made in reliance on the exemption from registration afforded by Section 4(a)(2) of the Securities Act of 1933, as amended, as a transaction not involving a public offering.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description of the Hygo Merger Agreement contained in Section 1.01 of this Current Report is incorporated by reference herein.</w:t>
      </w:r>
    </w:p>
    <w:p>
      <w:pPr>
        <w:spacing w:after="0" w:line="27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On January 13, 2021, NFE issued a press release announcing the execution of the GMLP Merger Agreement and the Hygo Merger Agreement, a copy of which is filed as Exhibit 99.1 hereto and is incorporated herein by reference.</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information set forth in (and incorporated by reference into) this Item 7.01 shall not be deemed “filed” for purposes of Section 18 of the Securities Exchange Act of 1934, as amended (the “Exchange Act”) or otherwise subject to the liabilities of that Section. The information in this Item 7.01 shall not be incorporated by reference into any filing under the Securities Act of 1933, as amended (the “Securities Act”),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Certain statements and information in this communication may constitute “forward-looking statements” within the meaning of the Private Securities Litigation Reform Act of 1995. Forward-looking statements relate to future events and anticipated results of operations, business strategies, the anticipated benefits of the proposed transactions, the anticipated impact of the proposed transactions on the combined company’s business and future financial and operating results, the expected amount and timing of synergies from the proposed transactions, the anticipated closing date for the proposed transactions and other aspects of our operations or operating results. These forward-looking statements generally can be identified by terms such as “may,” “will,” “should,” “expects,” “plans,” “anticipates,” “believes,” “estimates,” “predicts,” “projects,” “targets,” “potential” or “continue” or the negative of these terms or other comparable terminology. It is uncertain whether any of the events anticipated by the forward-looking statements will transpire or occur, or if any of them do, what impact they will have on the results of operations and financial condition of the combined company or the price of NFE or GMLP stock. These forward-looking statements involve certain risks and uncertainties, many of which are beyond the parties’ control, that could cause actual results to differ materially from those indicated in such forward-looking statements, including but not limited to: the impact of public health crises, such as pandemics (including coronavirus (COVID-19)) and epidemics and any related company or government policies and actions to protect the health and safety of individuals or government policies or actions to maintain the functioning of national or global economies and markets; the effect of the announcement of the GMLP Merger and the Hygo Merger on the ability of NFE, GMLP or Hygo to retain and hire key personnel and maintain relationships with customers, suppliers and others with whom NFE, GMLP or Hygo do business, or on NFE’s, GMLP’s or Hygo’s operating results and business generally; risks that the GMLP Merger or the Hygo Merger disrupts current plans and operations and the potential difficulties in employee retention; the outcome of any legal proceedings related to the GMLP Merger or Hygo Merger; the ability of the parties to consummate the proposed transactions on a timely basis or at all; the satisfaction of the conditions precedent to consummation of the proposed transactions, including the ability to secure regulatory approvals on the terms expected, at all or in a timely manner; the ability of NFE to successfully integrate GMLP’s and Hygo’s operations; the ability of NFE to implement its plans, forecasts and other expectations with respect to NFE’s business after the completion of the proposed transactions and realize expected synergies; and business disruption following the GMLP Merger or Hygo Merger. For additional information about other factors that could cause actual results to differ materially from those described in the forward-looking statements, please refer to NFE’s and GMLP’s respective periodic reports and other filings with the Securities and Exchange Commission (the “Commission”), including the risk factors identified in NFE’s most recent Quarterly Report on Form 10-Q and Annual Report on Form 10-K, and in GMLP’s most recent Annual Report on Form 20-F. The forward-looking statements included in this communication are made only as of the date hereof. Neither NFE nor GMLP undertakes any obligation to update any forward-looking statements to reflect subsequent events or circumstances, except as required by law.</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83" w:lineRule="exact"/>
        <w:rPr>
          <w:sz w:val="20"/>
          <w:szCs w:val="20"/>
          <w:color w:val="auto"/>
        </w:rPr>
      </w:pPr>
    </w:p>
    <w:p>
      <w:pPr>
        <w:ind w:left="740" w:hanging="68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25" w:lineRule="exact"/>
        <w:rPr>
          <w:sz w:val="20"/>
          <w:szCs w:val="20"/>
          <w:color w:val="auto"/>
        </w:rPr>
      </w:pPr>
    </w:p>
    <w:p>
      <w:pPr>
        <w:spacing w:after="0"/>
        <w:tabs>
          <w:tab w:leader="none" w:pos="560" w:val="left"/>
        </w:tabs>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u w:val="single" w:color="auto"/>
            <w:color w:val="0000EE"/>
          </w:rPr>
          <w:t>2.1†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Agreement and Plan of Merger, dated as of January 13, 2021, by and among NFE, GMLP Merger Sub, GP Buyer, GMLP and the General Partner.</w:t>
      </w:r>
    </w:p>
    <w:p>
      <w:pPr>
        <w:spacing w:after="0" w:line="225" w:lineRule="exact"/>
        <w:rPr>
          <w:sz w:val="20"/>
          <w:szCs w:val="20"/>
          <w:color w:val="auto"/>
        </w:rPr>
      </w:pPr>
    </w:p>
    <w:p>
      <w:pPr>
        <w:spacing w:after="0"/>
        <w:tabs>
          <w:tab w:leader="none" w:pos="560" w:val="left"/>
        </w:tabs>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u w:val="single" w:color="auto"/>
            <w:color w:val="0000EE"/>
          </w:rPr>
          <w:t>2.2†</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Transfer Agreement, dated as of January 13, 2021, by and among GP Buyer, GLNG and the General Partner.</w:t>
      </w:r>
    </w:p>
    <w:p>
      <w:pPr>
        <w:spacing w:after="0" w:line="225" w:lineRule="exact"/>
        <w:rPr>
          <w:sz w:val="20"/>
          <w:szCs w:val="20"/>
          <w:color w:val="auto"/>
        </w:rPr>
      </w:pPr>
    </w:p>
    <w:p>
      <w:pPr>
        <w:spacing w:after="0"/>
        <w:tabs>
          <w:tab w:leader="none" w:pos="560" w:val="left"/>
        </w:tabs>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u w:val="single" w:color="auto"/>
            <w:color w:val="0000EE"/>
          </w:rPr>
          <w:t>2.3†</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Agreement and Plan of Merger, dated as of January 13, 2021, by and among NFE, Hygo Merger Sub, Hygo and the Hygo Shareholders.</w:t>
      </w:r>
    </w:p>
    <w:p>
      <w:pPr>
        <w:spacing w:after="0" w:line="225" w:lineRule="exact"/>
        <w:rPr>
          <w:sz w:val="20"/>
          <w:szCs w:val="20"/>
          <w:color w:val="auto"/>
        </w:rPr>
      </w:pPr>
    </w:p>
    <w:p>
      <w:pPr>
        <w:spacing w:after="0"/>
        <w:tabs>
          <w:tab w:leader="none" w:pos="560" w:val="left"/>
        </w:tabs>
        <w:rPr>
          <w:rFonts w:ascii="Times New Roman" w:cs="Times New Roman" w:eastAsia="Times New Roman" w:hAnsi="Times New Roman"/>
          <w:sz w:val="18"/>
          <w:szCs w:val="18"/>
          <w:color w:val="0000EE"/>
        </w:rPr>
      </w:pPr>
      <w:hyperlink w:anchor="page205">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Support Agreement, dated as of January 13, 2021, by and among NFE, GMLP, GLNG and the General Partner.</w:t>
      </w:r>
    </w:p>
    <w:p>
      <w:pPr>
        <w:spacing w:after="0" w:line="225" w:lineRule="exact"/>
        <w:rPr>
          <w:sz w:val="20"/>
          <w:szCs w:val="20"/>
          <w:color w:val="auto"/>
        </w:rPr>
      </w:pPr>
    </w:p>
    <w:p>
      <w:pPr>
        <w:spacing w:after="0"/>
        <w:tabs>
          <w:tab w:leader="none" w:pos="560" w:val="left"/>
        </w:tabs>
        <w:rPr>
          <w:rFonts w:ascii="Times New Roman" w:cs="Times New Roman" w:eastAsia="Times New Roman" w:hAnsi="Times New Roman"/>
          <w:sz w:val="18"/>
          <w:szCs w:val="18"/>
          <w:color w:val="0000EE"/>
        </w:rPr>
      </w:pPr>
      <w:hyperlink w:anchor="page220">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Press Release, dated January 13, 2021, announcing entry into the Merger Agreements.</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52" w:lineRule="exact"/>
        <w:rPr>
          <w:sz w:val="20"/>
          <w:szCs w:val="20"/>
          <w:color w:val="auto"/>
        </w:rPr>
      </w:pPr>
    </w:p>
    <w:p>
      <w:pPr>
        <w:ind w:right="780" w:firstLine="8"/>
        <w:spacing w:after="0" w:line="282" w:lineRule="auto"/>
        <w:tabs>
          <w:tab w:leader="none" w:pos="6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have been omitted pursuant to Item 601(a)(5) of Regulation S-K and will be provided to the Commission upon request.</w:t>
      </w:r>
    </w:p>
    <w:p>
      <w:pPr>
        <w:spacing w:after="0" w:line="3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7" w:name="page8"/>
    <w:bookmarkEnd w:id="7"/>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229" w:lineRule="exact"/>
        <w:rPr>
          <w:sz w:val="20"/>
          <w:szCs w:val="20"/>
          <w:color w:val="auto"/>
        </w:rPr>
      </w:pPr>
    </w:p>
    <w:p>
      <w:pPr>
        <w:spacing w:after="0"/>
        <w:tabs>
          <w:tab w:leader="none" w:pos="6740" w:val="left"/>
          <w:tab w:leader="none" w:pos="7220" w:val="left"/>
        </w:tabs>
        <w:rPr>
          <w:sz w:val="20"/>
          <w:szCs w:val="20"/>
          <w:color w:val="auto"/>
        </w:rPr>
      </w:pPr>
      <w:r>
        <w:rPr>
          <w:rFonts w:ascii="Times New Roman" w:cs="Times New Roman" w:eastAsia="Times New Roman" w:hAnsi="Times New Roman"/>
          <w:sz w:val="18"/>
          <w:szCs w:val="18"/>
          <w:color w:val="auto"/>
        </w:rPr>
        <w:t>Date: January 20, 2021</w:t>
      </w:r>
      <w:r>
        <w:rPr>
          <w:sz w:val="20"/>
          <w:szCs w:val="20"/>
          <w:color w:val="auto"/>
        </w:rPr>
        <w:tab/>
      </w:r>
      <w:r>
        <w:rPr>
          <w:rFonts w:ascii="Times New Roman" w:cs="Times New Roman" w:eastAsia="Times New Roman" w:hAnsi="Times New Roman"/>
          <w:sz w:val="18"/>
          <w:szCs w:val="18"/>
          <w:color w:val="auto"/>
        </w:rPr>
        <w:t>By:</w:t>
        <w:tab/>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Christopher S. Guinta</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17" w:right="6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AGREEMENT AND PLAN OF MERGER</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By and Among</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GOLAR LNG PARTNERS LP,</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GOLAR GP LLC,</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LOBOS ACQUISITION LLC</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NFE INTERNATIONAL HOLDINGS LIMITED</w:t>
      </w:r>
    </w:p>
    <w:p>
      <w:pPr>
        <w:spacing w:after="0" w:line="2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Dated as of January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87"/>
        </w:trPr>
        <w:tc>
          <w:tcPr>
            <w:tcW w:w="1140" w:type="dxa"/>
            <w:vAlign w:val="bottom"/>
          </w:tcPr>
          <w:p>
            <w:pPr>
              <w:spacing w:after="0"/>
              <w:rPr>
                <w:sz w:val="24"/>
                <w:szCs w:val="24"/>
                <w:color w:val="auto"/>
              </w:rPr>
            </w:pPr>
          </w:p>
        </w:tc>
        <w:tc>
          <w:tcPr>
            <w:tcW w:w="8460" w:type="dxa"/>
            <w:vAlign w:val="bottom"/>
          </w:tcPr>
          <w:p>
            <w:pPr>
              <w:jc w:val="center"/>
              <w:ind w:left="410"/>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140" w:type="dxa"/>
            <w:vAlign w:val="bottom"/>
          </w:tcPr>
          <w:p>
            <w:pPr>
              <w:spacing w:after="0"/>
              <w:rPr>
                <w:sz w:val="24"/>
                <w:szCs w:val="24"/>
                <w:color w:val="auto"/>
              </w:rPr>
            </w:pPr>
          </w:p>
        </w:tc>
        <w:tc>
          <w:tcPr>
            <w:tcW w:w="846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color w:val="auto"/>
                <w:w w:val="99"/>
              </w:rPr>
              <w:t>Article I</w:t>
            </w:r>
          </w:p>
        </w:tc>
        <w:tc>
          <w:tcPr>
            <w:tcW w:w="166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8460" w:type="dxa"/>
            <w:vAlign w:val="bottom"/>
            <w:vMerge w:val="continue"/>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84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The Merger</w:t>
            </w: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Merger</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Merger Effective Time</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Effects of Merger</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 of Limited Partnership and Agreement of Limited Partnership of the Surviving Entity</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1.05</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Board of Directors and Officers of Surviving Entity</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Section 1.06</w:t>
            </w:r>
          </w:p>
        </w:tc>
        <w:tc>
          <w:tcPr>
            <w:tcW w:w="84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Closing</w:t>
            </w:r>
          </w:p>
        </w:tc>
        <w:tc>
          <w:tcPr>
            <w:tcW w:w="16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84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Article II</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84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Effect on Interests;</w:t>
            </w: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84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Merger Consideration</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Merger</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Exchange Fund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Withholding Taxes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Partnership Options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Partnership Phantom Units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Section 2.06</w:t>
            </w:r>
          </w:p>
        </w:tc>
        <w:tc>
          <w:tcPr>
            <w:tcW w:w="84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Adjustments</w:t>
            </w:r>
          </w:p>
        </w:tc>
        <w:tc>
          <w:tcPr>
            <w:tcW w:w="16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84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Article III</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84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Representations and Warranties of the Partnership and the General Partner</w:t>
            </w: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Organization; Standing</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Capitalization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3.03</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Authority; Noncontravention</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Governmental Approvals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3.05</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Partnership 2020 SEC Documents; Financial Statements; Undisclosed Liabilities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3.07</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Legal Proceedings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3.09</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Matters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3.11</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Matters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Intellectual Property</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3.13</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Anti-Takeover Provisions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 to Properties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3.15</w:t>
            </w:r>
          </w:p>
        </w:tc>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Vessels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3.16</w:t>
            </w: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Environmental Matters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Partnership Material Contracts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3.18</w:t>
            </w: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Joint Venture Agreements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3.20</w:t>
            </w: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 Policies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Export Controls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3.22</w:t>
            </w: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Anti-Corruption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3.23</w:t>
            </w: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3.24</w:t>
            </w: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Brokers and Other Advisors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Section 3.25</w:t>
            </w:r>
          </w:p>
        </w:tc>
        <w:tc>
          <w:tcPr>
            <w:tcW w:w="82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No Other Representations or Warranties</w:t>
            </w:r>
          </w:p>
        </w:tc>
        <w:tc>
          <w:tcPr>
            <w:tcW w:w="1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82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Article IV</w:t>
            </w: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82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Representations and Warranties of Parent and Merger Sub</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Organization; Standing</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Authority; Noncontravention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Governmental Approvals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Ownership and Operations of Merger Sub</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Sufficient Funds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Brokers and Other Advisors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4.07</w:t>
            </w: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Ownership of Partnership Securities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Section 4.08</w:t>
            </w:r>
          </w:p>
        </w:tc>
        <w:tc>
          <w:tcPr>
            <w:tcW w:w="82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No Other Representations or Warranties</w:t>
            </w:r>
          </w:p>
        </w:tc>
        <w:tc>
          <w:tcPr>
            <w:tcW w:w="1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82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Article V</w:t>
            </w: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82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Additional Covenants and Agreements</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Conduct of Business of the Partnership and its Subsidiaries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Preparation of the Proxy Statement; Partnership Unitholders’ Meeting</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Adverse Recommendation Change.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Solicitation by the Partnership</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5.05</w:t>
            </w: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Reasonable Best Efforts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 Taxes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5.07</w:t>
            </w: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Public Announcements; Other Communications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5.09</w:t>
            </w: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Indemnification and Insurance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Merger Sub and GP Buyer Consents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5.11</w:t>
            </w: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Treatment of Certain Existing Indebtedness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Cooperation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5.13</w:t>
            </w: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Post-Closing Arrangement Agreements;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Affiliate Agreements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5.15</w:t>
            </w: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Standstill</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5.17</w:t>
            </w: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Pre-Closing Reorganization.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758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Article VI</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758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Conditions Precedent</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Conditions to Each Party’s Obligation to Effect the Merger</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to Obligations of Parent and Merger Sub</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Conditions to Obligations of the Partnership</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Section 6.04</w:t>
            </w:r>
          </w:p>
        </w:tc>
        <w:tc>
          <w:tcPr>
            <w:tcW w:w="75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Frustration of Closing Conditions</w:t>
            </w:r>
          </w:p>
        </w:tc>
        <w:tc>
          <w:tcPr>
            <w:tcW w:w="25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758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Article VII</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758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8"/>
              </w:rPr>
              <w:t>Termination</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Termination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Termination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7.03</w:t>
            </w:r>
          </w:p>
        </w:tc>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Termination Fee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758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Article VIII</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758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Miscellaneous</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8.01</w:t>
            </w:r>
          </w:p>
        </w:tc>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 Survival of Representations and Warranties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 or Supplement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8.03</w:t>
            </w:r>
          </w:p>
        </w:tc>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Extension of Time, Waiver, Etc.</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Assignment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8.05</w:t>
            </w:r>
          </w:p>
        </w:tc>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Entire Agreement; No Third-Party Beneficiaries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8.07</w:t>
            </w:r>
          </w:p>
        </w:tc>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Specific Enforcement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8.09</w:t>
            </w:r>
          </w:p>
        </w:tc>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WAIVER OF JURY TRIAL</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Remedies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8.11</w:t>
            </w:r>
          </w:p>
        </w:tc>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8.13</w:t>
            </w:r>
          </w:p>
        </w:tc>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8.14</w:t>
            </w:r>
          </w:p>
        </w:tc>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Fees and Expenses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8.15</w:t>
            </w:r>
          </w:p>
        </w:tc>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Interpretation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8.16</w:t>
            </w:r>
          </w:p>
        </w:tc>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Non-Recourse Against Financing Sources; Waiver of Certain Claims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w:t>
            </w:r>
          </w:p>
        </w:tc>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Transfer Agreement</w:t>
            </w:r>
          </w:p>
        </w:tc>
        <w:tc>
          <w:tcPr>
            <w:tcW w:w="2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Support Agreement</w:t>
            </w: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C</w:t>
            </w:r>
          </w:p>
        </w:tc>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Post-Closing Arrangement Agreements</w:t>
            </w:r>
          </w:p>
        </w:tc>
        <w:tc>
          <w:tcPr>
            <w:tcW w:w="2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Limited Partnership Agreement Amendment</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23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Agreement and Plan of Merger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January 13, 2021, is by and among Golar LNG Partners LP, a Marshall Islands limited partnership (the “</w:t>
      </w:r>
      <w:r>
        <w:rPr>
          <w:rFonts w:ascii="Times New Roman" w:cs="Times New Roman" w:eastAsia="Times New Roman" w:hAnsi="Times New Roman"/>
          <w:sz w:val="22"/>
          <w:szCs w:val="22"/>
          <w:u w:val="single" w:color="auto"/>
          <w:color w:val="auto"/>
        </w:rPr>
        <w:t>Partnership</w:t>
      </w:r>
      <w:r>
        <w:rPr>
          <w:rFonts w:ascii="Times New Roman" w:cs="Times New Roman" w:eastAsia="Times New Roman" w:hAnsi="Times New Roman"/>
          <w:sz w:val="22"/>
          <w:szCs w:val="22"/>
          <w:color w:val="auto"/>
        </w:rPr>
        <w:t>”), Golar GP LLC, a Marshall Islands limited liability company and the general partner of the Partnership (the “</w:t>
      </w:r>
      <w:r>
        <w:rPr>
          <w:rFonts w:ascii="Times New Roman" w:cs="Times New Roman" w:eastAsia="Times New Roman" w:hAnsi="Times New Roman"/>
          <w:sz w:val="22"/>
          <w:szCs w:val="22"/>
          <w:u w:val="single" w:color="auto"/>
          <w:color w:val="auto"/>
        </w:rPr>
        <w:t>General Partner</w:t>
      </w:r>
      <w:r>
        <w:rPr>
          <w:rFonts w:ascii="Times New Roman" w:cs="Times New Roman" w:eastAsia="Times New Roman" w:hAnsi="Times New Roman"/>
          <w:sz w:val="22"/>
          <w:szCs w:val="22"/>
          <w:color w:val="auto"/>
        </w:rPr>
        <w:t>”), New Fortress Energy Inc., a Delaware corporation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Lobos Acquisition LLC, a Marshall Islands limited liability company and an indirect Subsidiary of Parent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w:t>
      </w:r>
      <w:r>
        <w:rPr>
          <w:rFonts w:ascii="Times New Roman" w:cs="Times New Roman" w:eastAsia="Times New Roman" w:hAnsi="Times New Roman"/>
          <w:sz w:val="22"/>
          <w:szCs w:val="22"/>
          <w:color w:val="auto"/>
        </w:rPr>
        <w:t>”), and NFE International Holdings Limited, a private limited company incorporated under the laws of England and Wales, United Kingdom, and an indirect Subsidiary of Parent (“</w:t>
      </w:r>
      <w:r>
        <w:rPr>
          <w:rFonts w:ascii="Times New Roman" w:cs="Times New Roman" w:eastAsia="Times New Roman" w:hAnsi="Times New Roman"/>
          <w:sz w:val="22"/>
          <w:szCs w:val="22"/>
          <w:u w:val="single" w:color="auto"/>
          <w:color w:val="auto"/>
        </w:rPr>
        <w:t>GP Buyer</w:t>
      </w:r>
      <w:r>
        <w:rPr>
          <w:rFonts w:ascii="Times New Roman" w:cs="Times New Roman" w:eastAsia="Times New Roman" w:hAnsi="Times New Roman"/>
          <w:sz w:val="22"/>
          <w:szCs w:val="22"/>
          <w:color w:val="auto"/>
        </w:rPr>
        <w:t xml:space="preserve">”). Certain capitalized terms used in this Agreement are defined in </w:t>
      </w:r>
      <w:r>
        <w:rPr>
          <w:rFonts w:ascii="Times New Roman" w:cs="Times New Roman" w:eastAsia="Times New Roman" w:hAnsi="Times New Roman"/>
          <w:sz w:val="22"/>
          <w:szCs w:val="22"/>
          <w:u w:val="single" w:color="auto"/>
          <w:color w:val="auto"/>
        </w:rPr>
        <w:t>Section 8.13</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the General Partner is a direct, wholly owned Subsidiary of Golar LNG Limited, a Bermuda exempted company (“</w:t>
      </w:r>
      <w:r>
        <w:rPr>
          <w:rFonts w:ascii="Times New Roman" w:cs="Times New Roman" w:eastAsia="Times New Roman" w:hAnsi="Times New Roman"/>
          <w:sz w:val="22"/>
          <w:szCs w:val="22"/>
          <w:u w:val="single" w:color="auto"/>
          <w:color w:val="auto"/>
        </w:rPr>
        <w:t>GP Parent</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WHEREAS, the parties intend that, upon the terms and subject to the conditions set forth in this Agreement and in accordance with the applicable provisions of the Marshall Islands LP Act and the Marshall Islands LLC Act, at the Effective Time, Merger Sub will be merged with and into the Partnership, with the Partnership surviving the Merger as a Subsidiary of Parent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and collectively with the other transactions contemplated by this Agreement other than the GP Transfer, the “</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WHEREAS, the parties intend that, concurrently with the consummation of the Merger, GP Buyer will purchase from GP Parent, and GP Parent shall transfer to GP Buyer, all of the outstanding membership interests of the General Partner pursuant to the Transfer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GP Transfer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the Conflicts Committee of the Board of Directors of the Partnership (the “</w:t>
      </w:r>
      <w:r>
        <w:rPr>
          <w:rFonts w:ascii="Times New Roman" w:cs="Times New Roman" w:eastAsia="Times New Roman" w:hAnsi="Times New Roman"/>
          <w:sz w:val="22"/>
          <w:szCs w:val="22"/>
          <w:u w:val="single" w:color="auto"/>
          <w:color w:val="auto"/>
        </w:rPr>
        <w:t>Conflicts Committee</w:t>
      </w:r>
      <w:r>
        <w:rPr>
          <w:rFonts w:ascii="Times New Roman" w:cs="Times New Roman" w:eastAsia="Times New Roman" w:hAnsi="Times New Roman"/>
          <w:sz w:val="22"/>
          <w:szCs w:val="22"/>
          <w:color w:val="auto"/>
        </w:rPr>
        <w:t>”) has (i) determined that this Agreement and the Transactions are in the best interests of the Partnership, including its Common Unitholders, (ii) approved this Agreement and the Transactions, such approval constituting “Special Approval” for all purposes under the Partnership Agreement, and (iii) recommended that the Board of Directors of the Partnership (the “</w:t>
      </w:r>
      <w:r>
        <w:rPr>
          <w:rFonts w:ascii="Times New Roman" w:cs="Times New Roman" w:eastAsia="Times New Roman" w:hAnsi="Times New Roman"/>
          <w:sz w:val="22"/>
          <w:szCs w:val="22"/>
          <w:u w:val="single" w:color="auto"/>
          <w:color w:val="auto"/>
        </w:rPr>
        <w:t>Partnership Board</w:t>
      </w:r>
      <w:r>
        <w:rPr>
          <w:rFonts w:ascii="Times New Roman" w:cs="Times New Roman" w:eastAsia="Times New Roman" w:hAnsi="Times New Roman"/>
          <w:sz w:val="22"/>
          <w:szCs w:val="22"/>
          <w:color w:val="auto"/>
        </w:rPr>
        <w:t>”) approve this Agreement and the Transactions, and that the Partnership Board recommend to the Common Unitholders the approval of this Agreement and the Transactions;</w:t>
      </w:r>
    </w:p>
    <w:p>
      <w:pPr>
        <w:spacing w:after="0" w:line="2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WHEREAS, the Partnership Board (acting based upon the recommendation of the Conflicts Committee) has (i) determined that this Agreement and the Transactions are in the best interests of the Partnership, including its Common Unitholders, (ii) approved this Agreement and the Transactions, (iii) resolved to submit this Agreement and the Transactions for approval of the Common Unitholders at a special meeting of the Partnership’s Common Unitholders, and (iv) resolved to recommend approval of this Agreement and the Transactions by Common Unitholders;</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WHEREAS, GP Parent, in its capacity as the sole member of the General Partner, has (i) determined that this Agreement, the Transfer Agreement and the consummation of the Transactions and the GP Transfer are in the best interests of the General Partner, and declared it advisable for the General Partner to enter into this Agreement and the Transfer Agreement and (ii) approved the execution, delivery and performance of this Agreement by the General Partner and the consummation of the Transactions and the GP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line="3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WHEREAS, in order to induce Parent to enter into this Agreement, GP Parent and the General Partner entered into a Support Agreement, of even date herewith, with Parent,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w:t>
      </w:r>
    </w:p>
    <w:p>
      <w:pPr>
        <w:spacing w:after="0" w:line="18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WHEREAS, the Board of Directors of Parent (i) has unanimously approved and adopted this Agreement and the Transactions, (ii) has determined that the terms of this Agreement are fair to and in the best interests of Parent and its shareholders, and (iii) has approved the adoption of this Agreement, the execution, delivery and performance of this Agreement and the consummation of the Transactions;</w:t>
      </w:r>
    </w:p>
    <w:p>
      <w:pPr>
        <w:spacing w:after="0" w:line="2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WHEREAS, GP Buyer, in its capacity as the sole member of Merger Sub, has (i) determined that this Agreement and the consummation of the Transactions are in the best interests of Merger Sub, and declared it advisable to enter into this Agreement and (ii) approved the adoption of this Agreement, the execution, delivery and performance of this Agreement and the consummation of the Transactions; and</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the Partnership, the General Partner, Parent and Merger Sub desire to make certain representations, warranties, covenants and agreements in connection with the Transactions and also to prescribe various conditions to the Transactions.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foregoing, the parties hereto agree as follows: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THE MERGER</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On the terms and subject to the conditions set forth in this Agreement, and in accordance with the Marshall Islands LP Act and the Marshall Islands LLC Act, at the Effective Time, Merger Sub shall be merged with and into the Partnership, the existence of Merger Sub shall thereupon cease, and the Partnership shall continue as the surviving entity and a Subsidiary of Parent (such surviving entity, the “</w:t>
      </w:r>
      <w:r>
        <w:rPr>
          <w:rFonts w:ascii="Times New Roman" w:cs="Times New Roman" w:eastAsia="Times New Roman" w:hAnsi="Times New Roman"/>
          <w:sz w:val="22"/>
          <w:szCs w:val="22"/>
          <w:u w:val="single" w:color="auto"/>
          <w:color w:val="auto"/>
        </w:rPr>
        <w:t>Surviving Entity</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Merger Effective Time</w:t>
      </w:r>
      <w:r>
        <w:rPr>
          <w:rFonts w:ascii="Times New Roman" w:cs="Times New Roman" w:eastAsia="Times New Roman" w:hAnsi="Times New Roman"/>
          <w:sz w:val="22"/>
          <w:szCs w:val="22"/>
          <w:color w:val="auto"/>
        </w:rPr>
        <w:t xml:space="preserve"> . On the terms and subject to the conditions set forth in this Agreement, at the Closing, the Partnership and Parent will cause a certificate of merger, executed in accordance with the relevant provisions of the Partnership Agreement, the Marshall Islands LP Act and the Marshall Islands LLC Act (the “</w:t>
      </w:r>
      <w:r>
        <w:rPr>
          <w:rFonts w:ascii="Times New Roman" w:cs="Times New Roman" w:eastAsia="Times New Roman" w:hAnsi="Times New Roman"/>
          <w:sz w:val="22"/>
          <w:szCs w:val="22"/>
          <w:u w:val="single" w:color="auto"/>
          <w:color w:val="auto"/>
        </w:rPr>
        <w:t>Certificate of Merger</w:t>
      </w:r>
      <w:r>
        <w:rPr>
          <w:rFonts w:ascii="Times New Roman" w:cs="Times New Roman" w:eastAsia="Times New Roman" w:hAnsi="Times New Roman"/>
          <w:sz w:val="22"/>
          <w:szCs w:val="22"/>
          <w:color w:val="auto"/>
        </w:rPr>
        <w:t>”), to be duly filed with the Registrar of Corporations of the Republic of the Marshall Islands. The Merger shall become effective at such time as the Certificate of Merger has been duly filed with the Registrar of Corporations of the Republic of the Marshall Islands or at such later date or time as may be agreed by the Partnership and Parent in writing at or prior to the time of the filing of such Certificate of Merger and specified in the Certificate of Merger (the effective time of the Merger being hereinafter referred to as the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Effects of Merger</w:t>
      </w:r>
      <w:r>
        <w:rPr>
          <w:rFonts w:ascii="Times New Roman" w:cs="Times New Roman" w:eastAsia="Times New Roman" w:hAnsi="Times New Roman"/>
          <w:sz w:val="22"/>
          <w:szCs w:val="22"/>
          <w:color w:val="auto"/>
        </w:rPr>
        <w:t>. From and after the Effective Time, the Merger shall have the effects set forth in this Agreement, the Partnership Agreement and the applicable provisions of the Marshall Islands LP Act and the Marshall Islands LLC Act. Without limiting the generality of the foregoing and subject thereto, at the Effective Time, (a) all the property, rights, privileges and powers of the Partnership shall continue in the Partnership as the Surviving Entity, (b) all the property, rights, privileges and powers of Merger Sub shall vest in the Partnership as the Surviving Entity, (c) all debts, liabilities and duties of the Partnership shall continue in the Partnership as the Surviving Entity, (d) all debts, liabilities and duties of Merger Sub shall become the claims, obligations, debts, liabilities and duties of the Partnership as the Surviving Entity and (e) the General Partner shall continue as the sole general partner of the Partnership.</w:t>
      </w:r>
    </w:p>
    <w:p>
      <w:pPr>
        <w:spacing w:after="0" w:line="20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Certificate of Limited Partnership and Agreement of Limited Partnership of the Surviving Entity</w:t>
      </w:r>
      <w:r>
        <w:rPr>
          <w:rFonts w:ascii="Times New Roman" w:cs="Times New Roman" w:eastAsia="Times New Roman" w:hAnsi="Times New Roman"/>
          <w:sz w:val="22"/>
          <w:szCs w:val="22"/>
          <w:color w:val="auto"/>
        </w:rPr>
        <w:t xml:space="preserve">. At the Effective Time, the certificate of limited partnership of the Partnership as in effect immediately prior to the Effective Time shall remain unchanged and shall be the certificate of limited partnership of the Surviving Entity from and after the Effective Time, until duly amended in accordance with applicable Law, and the agreement of limited partnership of the Partnership as in effect immediately prior to the Effective Time shall be amended in the form set forth in Exhibit D hereto and be the agreement of limited partnership of the Surviving Entity from and after the Effective Time until thereafter changed or amended as provided therein or pursuant to applicable Law (in each case, subject to </w:t>
      </w:r>
      <w:r>
        <w:rPr>
          <w:rFonts w:ascii="Times New Roman" w:cs="Times New Roman" w:eastAsia="Times New Roman" w:hAnsi="Times New Roman"/>
          <w:sz w:val="22"/>
          <w:szCs w:val="22"/>
          <w:u w:val="single" w:color="auto"/>
          <w:color w:val="auto"/>
        </w:rPr>
        <w:t>Section 5.09</w:t>
      </w:r>
      <w:r>
        <w:rPr>
          <w:rFonts w:ascii="Times New Roman" w:cs="Times New Roman" w:eastAsia="Times New Roman" w:hAnsi="Times New Roman"/>
          <w:sz w:val="22"/>
          <w:szCs w:val="22"/>
          <w:color w:val="auto"/>
        </w:rPr>
        <w:t xml:space="preserve"> hereof). The name of the Partnership shall remain Golar LNG Partners LP immediately after the Effective Time, and shall remain a Marshall Islands limited partnership, in each case unless changed at a later time in accordance with applicable Law and relevant organizational documents.</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Board of Directors and Officers of Surviving Entity</w:t>
      </w:r>
      <w:r>
        <w:rPr>
          <w:rFonts w:ascii="Times New Roman" w:cs="Times New Roman" w:eastAsia="Times New Roman" w:hAnsi="Times New Roman"/>
          <w:sz w:val="22"/>
          <w:szCs w:val="22"/>
          <w:color w:val="auto"/>
        </w:rPr>
        <w:t>. The directors of Merger Sub in office immediately prior to the Effective Time shall be the directors of the Surviving Entity from and after the Effective Time until the earlier of their resignation or removal or until their respective successors are duly elected and qualified, as the case may be. The officers of Merger Sub in office immediately prior to the Effective Time shall be the officers of the Surviving Entity from and after the Effective Time until the earlier of their resignation or removal or until their respective successors are duly elected or appointed and qualified, as the case may be.</w:t>
      </w:r>
    </w:p>
    <w:p>
      <w:pPr>
        <w:spacing w:after="0" w:line="2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The closing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of the Merger shall take place at the offices of Skadden, Arps, Slate, Meagher &amp; Flom LLP at 10:00 a.m., New York time, on a date to be specified by the Partnership and Parent, which date shall be as soon as reasonably practicable (but in any event no later than the fifth Business Day) following the satisfaction or (to the extent permitted by applicable Law) waiver by the party or parties entitled to the benefits thereof of the conditions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(other than those conditions that by their nature are to be satisfied at the Closing, but subject to the satisfaction or (to</w:t>
      </w:r>
    </w:p>
    <w:p>
      <w:pPr>
        <w:sectPr>
          <w:pgSz w:w="11900" w:h="16876" w:orient="portrait"/>
          <w:cols w:equalWidth="0" w:num="1">
            <w:col w:w="11240"/>
          </w:cols>
          <w:pgMar w:left="320" w:top="112" w:right="339" w:bottom="0" w:gutter="0" w:footer="0" w:header="0"/>
        </w:sectPr>
      </w:pPr>
    </w:p>
    <w:bookmarkStart w:id="14" w:name="page15"/>
    <w:bookmarkEnd w:id="14"/>
    <w:p>
      <w:pPr>
        <w:jc w:val="both"/>
        <w:spacing w:after="0" w:line="244" w:lineRule="auto"/>
        <w:rPr>
          <w:sz w:val="20"/>
          <w:szCs w:val="20"/>
          <w:color w:val="auto"/>
        </w:rPr>
      </w:pPr>
      <w:r>
        <w:rPr>
          <w:rFonts w:ascii="Times New Roman" w:cs="Times New Roman" w:eastAsia="Times New Roman" w:hAnsi="Times New Roman"/>
          <w:sz w:val="22"/>
          <w:szCs w:val="22"/>
          <w:color w:val="auto"/>
        </w:rPr>
        <w:t>the extent permitted by applicable Law) waiver of those conditions at such time), or at such other place, time and date as shall be agreed to in writing by the Partnership and Parent. The date on which the Closing occurs is referred to in this Agreement as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010000"/>
        </w:rPr>
        <w:t>ARTICLE II</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EFFECT ON INTERESTS;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MERGER CONSIDERATION</w:t>
      </w:r>
    </w:p>
    <w:p>
      <w:pPr>
        <w:spacing w:after="0" w:line="20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Effect of Merger</w:t>
      </w:r>
      <w:r>
        <w:rPr>
          <w:rFonts w:ascii="Times New Roman" w:cs="Times New Roman" w:eastAsia="Times New Roman" w:hAnsi="Times New Roman"/>
          <w:sz w:val="22"/>
          <w:szCs w:val="22"/>
          <w:color w:val="auto"/>
        </w:rPr>
        <w:t>. At the Effective Time, by virtue of the occurrence of the Merger, and without any action on the part of the Partnership, the General Partner, Parent, Merger Sub or any holder of any Partnership Interest or any units of Merger Sub (“</w:t>
      </w:r>
      <w:r>
        <w:rPr>
          <w:rFonts w:ascii="Times New Roman" w:cs="Times New Roman" w:eastAsia="Times New Roman" w:hAnsi="Times New Roman"/>
          <w:sz w:val="22"/>
          <w:szCs w:val="22"/>
          <w:u w:val="single" w:color="auto"/>
          <w:color w:val="auto"/>
        </w:rPr>
        <w:t>Merger Sub Units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left="660" w:firstLine="644"/>
        <w:spacing w:after="0" w:line="244" w:lineRule="auto"/>
        <w:tabs>
          <w:tab w:leader="none" w:pos="210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of Merger Sub Units</w:t>
      </w:r>
      <w:r>
        <w:rPr>
          <w:rFonts w:ascii="Times New Roman" w:cs="Times New Roman" w:eastAsia="Times New Roman" w:hAnsi="Times New Roman"/>
          <w:sz w:val="22"/>
          <w:szCs w:val="22"/>
          <w:color w:val="auto"/>
        </w:rPr>
        <w:t>. Each issued and outstanding Merger Sub Unit immediately prior to the Effective Time shall be converted into and become one (1) duly authorized, validly issued, fully paid and nonassessable common unit of the Surviving Entity (the “</w:t>
      </w:r>
      <w:r>
        <w:rPr>
          <w:rFonts w:ascii="Times New Roman" w:cs="Times New Roman" w:eastAsia="Times New Roman" w:hAnsi="Times New Roman"/>
          <w:sz w:val="22"/>
          <w:szCs w:val="22"/>
          <w:u w:val="single" w:color="auto"/>
          <w:color w:val="auto"/>
        </w:rPr>
        <w:t>Surviving Entity Units</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211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Cancelation of Treasury Units; Treatment of Units Held by the Partnership, Parent, or their respective Subsidiaries</w:t>
      </w:r>
      <w:r>
        <w:rPr>
          <w:rFonts w:ascii="Times New Roman" w:cs="Times New Roman" w:eastAsia="Times New Roman" w:hAnsi="Times New Roman"/>
          <w:sz w:val="22"/>
          <w:szCs w:val="22"/>
          <w:color w:val="auto"/>
        </w:rPr>
        <w:t>. All Common Units that are owned immediately prior to the Effective Time by the Partnership as treasury units shall be automatically canceled and retired and shall cease to exist and no consideration shall be delivered in exchange for such cancelled Common Units. Each Common Unit owned by any direct or indirect wholly owned Subsidiary of the Partnership, or by Parent or any direct or indirect Subsidiary of Parent, shall be converted into a proportionate number of Surviving Entity Units.</w:t>
      </w:r>
    </w:p>
    <w:p>
      <w:pPr>
        <w:spacing w:after="0" w:line="208" w:lineRule="exact"/>
        <w:rPr>
          <w:rFonts w:ascii="Times New Roman" w:cs="Times New Roman" w:eastAsia="Times New Roman" w:hAnsi="Times New Roman"/>
          <w:sz w:val="22"/>
          <w:szCs w:val="22"/>
          <w:color w:val="auto"/>
        </w:rPr>
      </w:pPr>
    </w:p>
    <w:p>
      <w:pPr>
        <w:jc w:val="both"/>
        <w:ind w:left="660" w:firstLine="644"/>
        <w:spacing w:after="0" w:line="233" w:lineRule="auto"/>
        <w:tabs>
          <w:tab w:leader="none" w:pos="219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of Common Units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each Common Unit that is issued and outstanding as of immediately prior to the Effective Time shall automatically be converted into and shall thereafter represent the right to receive cash in an amount equal to $3.55 (the “</w:t>
      </w:r>
      <w:r>
        <w:rPr>
          <w:rFonts w:ascii="Times New Roman" w:cs="Times New Roman" w:eastAsia="Times New Roman" w:hAnsi="Times New Roman"/>
          <w:sz w:val="22"/>
          <w:szCs w:val="22"/>
          <w:u w:val="single" w:color="auto"/>
          <w:color w:val="auto"/>
        </w:rPr>
        <w:t>Common Unit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as of the Effective Time, all such Common Units converted into the right to receive the Common Unit Consideration pursuant to this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 xml:space="preserve"> shall no longer be outstanding and shall automatically be canceled, retired and shall cease to exist, and each holder of a certificate previously evidencing any Common Unit (each, a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or uncertificated Common Units represented by book-entry (each, a “</w:t>
      </w:r>
      <w:r>
        <w:rPr>
          <w:rFonts w:ascii="Times New Roman" w:cs="Times New Roman" w:eastAsia="Times New Roman" w:hAnsi="Times New Roman"/>
          <w:sz w:val="22"/>
          <w:szCs w:val="22"/>
          <w:u w:val="single" w:color="auto"/>
          <w:color w:val="auto"/>
        </w:rPr>
        <w:t>Book-Entry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Unit</w:t>
      </w:r>
      <w:r>
        <w:rPr>
          <w:rFonts w:ascii="Times New Roman" w:cs="Times New Roman" w:eastAsia="Times New Roman" w:hAnsi="Times New Roman"/>
          <w:sz w:val="22"/>
          <w:szCs w:val="22"/>
          <w:color w:val="auto"/>
        </w:rPr>
        <w:t xml:space="preserve">”) shall cease to have any rights with respect thereto, except (i) the right to receive the Common Unit Consideration pertaining to the Common Units represented by such Certificate or Book-Entry Unit, as applicable, to be paid in consideration therefor, in accordance with </w:t>
      </w:r>
      <w:r>
        <w:rPr>
          <w:rFonts w:ascii="Times New Roman" w:cs="Times New Roman" w:eastAsia="Times New Roman" w:hAnsi="Times New Roman"/>
          <w:sz w:val="22"/>
          <w:szCs w:val="22"/>
          <w:u w:val="single" w:color="auto"/>
          <w:color w:val="auto"/>
        </w:rPr>
        <w:t>Section 2.02(b)</w:t>
      </w:r>
      <w:r>
        <w:rPr>
          <w:rFonts w:ascii="Times New Roman" w:cs="Times New Roman" w:eastAsia="Times New Roman" w:hAnsi="Times New Roman"/>
          <w:sz w:val="22"/>
          <w:szCs w:val="22"/>
          <w:color w:val="auto"/>
        </w:rPr>
        <w:t xml:space="preserve"> and (ii) the right to receive other distributions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in each case without interest.</w:t>
      </w:r>
    </w:p>
    <w:p>
      <w:pPr>
        <w:spacing w:after="0" w:line="214"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239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Partnership Preferred Units</w:t>
      </w:r>
      <w:r>
        <w:rPr>
          <w:rFonts w:ascii="Times New Roman" w:cs="Times New Roman" w:eastAsia="Times New Roman" w:hAnsi="Times New Roman"/>
          <w:sz w:val="22"/>
          <w:szCs w:val="22"/>
          <w:color w:val="auto"/>
        </w:rPr>
        <w:t>. Each Partnership Preferred Unit issued and outstanding immediately prior to the Effective Time will be unaffected by the Merger and shall be unchanged and remain outstanding, and no consideration shall be delivered in respect thereof.</w:t>
      </w:r>
    </w:p>
    <w:p>
      <w:pPr>
        <w:spacing w:after="0" w:line="200"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207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 of Incentive Distribution Rights</w:t>
      </w:r>
      <w:r>
        <w:rPr>
          <w:rFonts w:ascii="Times New Roman" w:cs="Times New Roman" w:eastAsia="Times New Roman" w:hAnsi="Times New Roman"/>
          <w:sz w:val="22"/>
          <w:szCs w:val="22"/>
          <w:color w:val="auto"/>
        </w:rPr>
        <w:t>. As of the Effective Time, all Incentive Distribution Rights issued and outstanding immediately prior to the Effective Time shall automatically be canceled and cease to exist, and no consideration shall be delivered in respect thereof.</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ind w:firstLine="644"/>
        <w:spacing w:after="0" w:line="259" w:lineRule="auto"/>
        <w:tabs>
          <w:tab w:leader="none" w:pos="135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GP Units</w:t>
      </w:r>
      <w:r>
        <w:rPr>
          <w:rFonts w:ascii="Times New Roman" w:cs="Times New Roman" w:eastAsia="Times New Roman" w:hAnsi="Times New Roman"/>
          <w:sz w:val="22"/>
          <w:szCs w:val="22"/>
          <w:color w:val="auto"/>
        </w:rPr>
        <w:t>. Each GP Unit that is issued and outstanding and unchanged immediately prior to the Effective Time shall remain issued and outstanding immediately following the Effective Time.</w:t>
      </w:r>
    </w:p>
    <w:p>
      <w:pPr>
        <w:spacing w:after="0" w:line="184"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Exchange Fund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4"/>
        <w:spacing w:after="0" w:line="243" w:lineRule="auto"/>
        <w:tabs>
          <w:tab w:leader="none" w:pos="1401"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Paying Agent</w:t>
      </w:r>
      <w:r>
        <w:rPr>
          <w:rFonts w:ascii="Times New Roman" w:cs="Times New Roman" w:eastAsia="Times New Roman" w:hAnsi="Times New Roman"/>
          <w:sz w:val="21"/>
          <w:szCs w:val="21"/>
          <w:color w:val="auto"/>
        </w:rPr>
        <w:t>. At or prior to the Closing Date, Parent shall designate a bank or trust company reasonably acceptable to the Partnership to act as agent (the “</w:t>
      </w:r>
      <w:r>
        <w:rPr>
          <w:rFonts w:ascii="Times New Roman" w:cs="Times New Roman" w:eastAsia="Times New Roman" w:hAnsi="Times New Roman"/>
          <w:sz w:val="21"/>
          <w:szCs w:val="21"/>
          <w:u w:val="single" w:color="auto"/>
          <w:color w:val="auto"/>
        </w:rPr>
        <w:t>Paying Agent</w:t>
      </w:r>
      <w:r>
        <w:rPr>
          <w:rFonts w:ascii="Times New Roman" w:cs="Times New Roman" w:eastAsia="Times New Roman" w:hAnsi="Times New Roman"/>
          <w:sz w:val="21"/>
          <w:szCs w:val="21"/>
          <w:color w:val="auto"/>
        </w:rPr>
        <w:t xml:space="preserve">”) for the payment and delivery of the Common Unit Consideration in accordance with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and, in connection therewith, shall at or prior to the Closing Date enter into an agreement with the Paying Agent in a form reasonably acceptable to the Partnership. At or prior to the Effective Time, Parent shall deposit or cause to be deposited with the Paying Agent an amount in cash sufficient to pay the Common Unit Consideration (the “</w:t>
      </w:r>
      <w:r>
        <w:rPr>
          <w:rFonts w:ascii="Times New Roman" w:cs="Times New Roman" w:eastAsia="Times New Roman" w:hAnsi="Times New Roman"/>
          <w:sz w:val="21"/>
          <w:szCs w:val="21"/>
          <w:u w:val="single" w:color="auto"/>
          <w:color w:val="auto"/>
        </w:rPr>
        <w:t>Exchange Fund</w:t>
      </w:r>
      <w:r>
        <w:rPr>
          <w:rFonts w:ascii="Times New Roman" w:cs="Times New Roman" w:eastAsia="Times New Roman" w:hAnsi="Times New Roman"/>
          <w:sz w:val="21"/>
          <w:szCs w:val="21"/>
          <w:color w:val="auto"/>
        </w:rPr>
        <w:t xml:space="preserve">”). From time to time as necessary and determinable, Parent shall promptly deposit or cause to be deposited with the Paying Agent additional cash sufficient to pay the Common Unit Consideration and any distributions payable pursuant to </w:t>
      </w:r>
      <w:r>
        <w:rPr>
          <w:rFonts w:ascii="Times New Roman" w:cs="Times New Roman" w:eastAsia="Times New Roman" w:hAnsi="Times New Roman"/>
          <w:sz w:val="21"/>
          <w:szCs w:val="21"/>
          <w:u w:val="single" w:color="auto"/>
          <w:color w:val="auto"/>
        </w:rPr>
        <w:t>Section 2.02(c)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2.02(e)</w:t>
      </w:r>
      <w:r>
        <w:rPr>
          <w:rFonts w:ascii="Times New Roman" w:cs="Times New Roman" w:eastAsia="Times New Roman" w:hAnsi="Times New Roman"/>
          <w:sz w:val="21"/>
          <w:szCs w:val="21"/>
          <w:color w:val="auto"/>
        </w:rPr>
        <w:t xml:space="preserve">. Pending its disbursement in accordance with this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the Exchange Fund shall be invested by the Paying Agent as directed by Parent in (i) short-term direct obligations of the United States of America, (ii) short-term obligations for which the full faith and credit of the United States of America is pledged to provide for the payment of principal and interest, (iii) short-term commercial paper rated the highest quality by either Moody’s Investors Service, Inc. or Standard and Poor’s Ratings Services or (iv) certificates of deposit, bank repurchase agreements or banker’s acceptances of commercial banks with capital exceeding $5 billion. Any and all interest earned on the funds in the Exchange Fund shall be paid by the Paying Agent to Parent. Parent shall be treated as the owner of the Exchange Fund for all Tax reporting purposes, any interest or other income earned from the Exchange Fund shall be treated as the income of Parent and Parent shall be responsible for any Taxes imposed on such interest or other income. The Paying Agent shall report such interest or other income as required by applicable Law. No investment losses resulting from investment of the funds deposited with the Paying Agent shall diminish the rights of any former holder of Common Units to receive cash and any distributions payable pursuant to </w:t>
      </w:r>
      <w:r>
        <w:rPr>
          <w:rFonts w:ascii="Times New Roman" w:cs="Times New Roman" w:eastAsia="Times New Roman" w:hAnsi="Times New Roman"/>
          <w:sz w:val="21"/>
          <w:szCs w:val="21"/>
          <w:u w:val="single" w:color="auto"/>
          <w:color w:val="auto"/>
        </w:rPr>
        <w:t>Section 2.02(c)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2.02(e)</w:t>
      </w:r>
      <w:r>
        <w:rPr>
          <w:rFonts w:ascii="Times New Roman" w:cs="Times New Roman" w:eastAsia="Times New Roman" w:hAnsi="Times New Roman"/>
          <w:sz w:val="21"/>
          <w:szCs w:val="21"/>
          <w:color w:val="auto"/>
        </w:rPr>
        <w:t xml:space="preserve"> pertaining thereto as provided herein.</w:t>
      </w:r>
    </w:p>
    <w:p>
      <w:pPr>
        <w:spacing w:after="0" w:line="200" w:lineRule="exact"/>
        <w:rPr>
          <w:rFonts w:ascii="Times New Roman" w:cs="Times New Roman" w:eastAsia="Times New Roman" w:hAnsi="Times New Roman"/>
          <w:sz w:val="21"/>
          <w:szCs w:val="21"/>
          <w:color w:val="auto"/>
        </w:rPr>
      </w:pPr>
    </w:p>
    <w:p>
      <w:pPr>
        <w:spacing w:after="0" w:line="257" w:lineRule="exact"/>
        <w:rPr>
          <w:rFonts w:ascii="Times New Roman" w:cs="Times New Roman" w:eastAsia="Times New Roman" w:hAnsi="Times New Roman"/>
          <w:sz w:val="21"/>
          <w:szCs w:val="21"/>
          <w:color w:val="auto"/>
        </w:rPr>
      </w:pPr>
    </w:p>
    <w:p>
      <w:pPr>
        <w:jc w:val="both"/>
        <w:ind w:firstLine="644"/>
        <w:spacing w:after="0" w:line="243" w:lineRule="auto"/>
        <w:tabs>
          <w:tab w:leader="none" w:pos="1534"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Letter of Transmittal; Exchange of Certificates</w:t>
      </w:r>
      <w:r>
        <w:rPr>
          <w:rFonts w:ascii="Times New Roman" w:cs="Times New Roman" w:eastAsia="Times New Roman" w:hAnsi="Times New Roman"/>
          <w:sz w:val="21"/>
          <w:szCs w:val="21"/>
          <w:color w:val="auto"/>
        </w:rPr>
        <w:t xml:space="preserve">. As soon as practicable after the Effective Time (but in no event later than 3 Business Days after the Effective Time), the Surviving Entity or Parent shall cause the Paying Agent to mail to each holder of a Certificate or Book-Entry Unit a form of letter of transmittal (which shall be in such customary form and have such other customary provisions as the Partnership may specify prior to the Effective Time, subject to Parent’s approval (such approval not being unreasonably withheld, conditioned or delayed) (to be sought prior to the Effective Time)), together with instructions thereto, setting forth, </w:t>
      </w:r>
      <w:r>
        <w:rPr>
          <w:rFonts w:ascii="Times New Roman" w:cs="Times New Roman" w:eastAsia="Times New Roman" w:hAnsi="Times New Roman"/>
          <w:sz w:val="21"/>
          <w:szCs w:val="21"/>
          <w:i w:val="1"/>
          <w:iCs w:val="1"/>
          <w:color w:val="auto"/>
        </w:rPr>
        <w:t>inter alia</w:t>
      </w:r>
      <w:r>
        <w:rPr>
          <w:rFonts w:ascii="Times New Roman" w:cs="Times New Roman" w:eastAsia="Times New Roman" w:hAnsi="Times New Roman"/>
          <w:sz w:val="21"/>
          <w:szCs w:val="21"/>
          <w:color w:val="auto"/>
        </w:rPr>
        <w:t xml:space="preserve">, the procedures by which holders of Certificates or Book-Entry Units may receive the Common Unit Consideration and any distributions to which they are entitled pursuant to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Notwithstanding anything in this Agreement to the contrary, holders of Book-Entry Units shall not be required to deliver a Certificate but may, if required by the Paying Agent, be required to deliver an executed letter of transmittal to the Paying Agent in order to receive the Common Unit Consideration such holder is entitled to pursuant to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Upon the completion of such applicable procedures by a holder and the surrender of such holder’s Certificates or Book-Entry Units, the Paying Agent shall deliver to such holder (x) cash in an amount equal to the cash such holder has the right to receive pursuant to this Agreement plus (y) any distributions that such holder has the right to receive pursuant to </w:t>
      </w:r>
      <w:r>
        <w:rPr>
          <w:rFonts w:ascii="Times New Roman" w:cs="Times New Roman" w:eastAsia="Times New Roman" w:hAnsi="Times New Roman"/>
          <w:sz w:val="21"/>
          <w:szCs w:val="21"/>
          <w:u w:val="single" w:color="auto"/>
          <w:color w:val="auto"/>
        </w:rPr>
        <w:t>Section 2.02(c)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2.02(e)</w:t>
      </w:r>
      <w:r>
        <w:rPr>
          <w:rFonts w:ascii="Times New Roman" w:cs="Times New Roman" w:eastAsia="Times New Roman" w:hAnsi="Times New Roman"/>
          <w:sz w:val="21"/>
          <w:szCs w:val="21"/>
          <w:color w:val="auto"/>
        </w:rPr>
        <w:t xml:space="preserve">, and such surrendered Certificates or Book-Entry Units shall forthwith be canceled. If payment of the Common Unit Consideration is to be made to a Person other than the Person in whose name a Certificate surrendered is registered, it shall be a condition of payment that (x) the Certificate so surrendered shall be properly endorsed or shall otherwise be in proper form for transfer and (y) the Person requesting such payment (1) shall have paid any transfer and other Taxes required by reason of the payment of the Common Unit Consideration to a Person other than the registered holder or (2) shall have established to Parent’s reasonable satisfaction that such Tax either has been paid or is not applicable. Until satisfaction of the applicable procedures contemplated by this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and subject to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each Certificate or Book-Entry Unit shall be deemed at any time after the Effective Time to represent only the right to receive the Common Unit Consideration and any distributions pertaining to the Common Units formerly represented by such Certificate or Book-Entry Unit as contemplated by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No interest shall be paid or shall accrue on the Common Unit Consideration payable pursuant to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w:t>
      </w:r>
    </w:p>
    <w:p>
      <w:pPr>
        <w:spacing w:after="0" w:line="3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2" w:right="339" w:bottom="1440" w:gutter="0" w:footer="0" w:header="0"/>
        </w:sectPr>
      </w:pPr>
    </w:p>
    <w:bookmarkStart w:id="17" w:name="page18"/>
    <w:bookmarkEnd w:id="17"/>
    <w:p>
      <w:pPr>
        <w:jc w:val="both"/>
        <w:ind w:left="-460" w:firstLine="644"/>
        <w:spacing w:after="0" w:line="244" w:lineRule="auto"/>
        <w:tabs>
          <w:tab w:leader="none" w:pos="96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Unit Register; No Further Ownership Rights in Common Units</w:t>
      </w:r>
      <w:r>
        <w:rPr>
          <w:rFonts w:ascii="Times New Roman" w:cs="Times New Roman" w:eastAsia="Times New Roman" w:hAnsi="Times New Roman"/>
          <w:sz w:val="21"/>
          <w:szCs w:val="21"/>
          <w:color w:val="auto"/>
        </w:rPr>
        <w:t xml:space="preserve">. The Common Unit Consideration paid and payments (if any) made pursuant to </w:t>
      </w:r>
      <w:r>
        <w:rPr>
          <w:rFonts w:ascii="Times New Roman" w:cs="Times New Roman" w:eastAsia="Times New Roman" w:hAnsi="Times New Roman"/>
          <w:sz w:val="21"/>
          <w:szCs w:val="21"/>
          <w:u w:val="single" w:color="auto"/>
          <w:color w:val="auto"/>
        </w:rPr>
        <w:t>Section 2.02(e)</w:t>
      </w:r>
      <w:r>
        <w:rPr>
          <w:rFonts w:ascii="Times New Roman" w:cs="Times New Roman" w:eastAsia="Times New Roman" w:hAnsi="Times New Roman"/>
          <w:sz w:val="21"/>
          <w:szCs w:val="21"/>
          <w:color w:val="auto"/>
        </w:rPr>
        <w:t xml:space="preserve"> in respect of each Common Unit upon surrender of Certificates or Book-Entry Units in accordance with the terms of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shall be deemed to have been paid in full satisfaction of all rights pertaining to such Common Units previously represented by such Certificates or Book-Entry Units, </w:t>
      </w:r>
      <w:r>
        <w:rPr>
          <w:rFonts w:ascii="Times New Roman" w:cs="Times New Roman" w:eastAsia="Times New Roman" w:hAnsi="Times New Roman"/>
          <w:sz w:val="21"/>
          <w:szCs w:val="21"/>
          <w:u w:val="single" w:color="auto"/>
          <w:color w:val="auto"/>
        </w:rPr>
        <w:t>subject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to (i)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and (ii) the Surviving Entity’s obligation to make any distributions with a record date prior to the Effective Time that may have been declared by the Partnership on Common Units not in violation of the terms of this Agreement or prior to the date of this Agreement and which remain unpaid at the Effective Time. At the Effective Time, the unit register of the Partnership shall be closed and thereafter there shall be no further registration of transfers on the unit register of the Surviving Entity of Common Units that were outstanding immediately prior to the Effective Time. From and after the Effective Time, the holders of Common Units formerly represented by Certificates or Book-Entry Units immediately prior to the Effective Time shall cease to have any rights with respect to such underlying Common Units except as otherwise provided for herein or by applicable Law. Subject to the last sentence of </w:t>
      </w:r>
      <w:r>
        <w:rPr>
          <w:rFonts w:ascii="Times New Roman" w:cs="Times New Roman" w:eastAsia="Times New Roman" w:hAnsi="Times New Roman"/>
          <w:sz w:val="21"/>
          <w:szCs w:val="21"/>
          <w:u w:val="single" w:color="auto"/>
          <w:color w:val="auto"/>
        </w:rPr>
        <w:t>Section 2.02(e)</w:t>
      </w:r>
      <w:r>
        <w:rPr>
          <w:rFonts w:ascii="Times New Roman" w:cs="Times New Roman" w:eastAsia="Times New Roman" w:hAnsi="Times New Roman"/>
          <w:sz w:val="21"/>
          <w:szCs w:val="21"/>
          <w:color w:val="auto"/>
        </w:rPr>
        <w:t xml:space="preserve">, if, at any time after the Effective Time, Certificates or Book-Entry Units are presented to the Surviving Entity or Parent for any reason, they shall be canceled and exchanged as provided in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w:t>
      </w:r>
    </w:p>
    <w:p>
      <w:pPr>
        <w:spacing w:after="0" w:line="208" w:lineRule="exact"/>
        <w:rPr>
          <w:rFonts w:ascii="Times New Roman" w:cs="Times New Roman" w:eastAsia="Times New Roman" w:hAnsi="Times New Roman"/>
          <w:sz w:val="21"/>
          <w:szCs w:val="21"/>
          <w:color w:val="auto"/>
        </w:rPr>
      </w:pPr>
    </w:p>
    <w:p>
      <w:pPr>
        <w:jc w:val="both"/>
        <w:ind w:left="-460" w:firstLine="644"/>
        <w:spacing w:after="0" w:line="249" w:lineRule="auto"/>
        <w:tabs>
          <w:tab w:leader="none" w:pos="1047"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Lost, Stolen or Destroyed Certificates</w:t>
      </w:r>
      <w:r>
        <w:rPr>
          <w:rFonts w:ascii="Times New Roman" w:cs="Times New Roman" w:eastAsia="Times New Roman" w:hAnsi="Times New Roman"/>
          <w:sz w:val="21"/>
          <w:szCs w:val="21"/>
          <w:color w:val="auto"/>
        </w:rPr>
        <w:t xml:space="preserve">. If any Certificate shall have been lost, stolen or destroyed, upon the making of an affidavit of that fact by the Person claiming such Certificate to be lost, stolen or destroyed and, if required by the Surviving Entity, the posting by such Person of a bond, in such reasonable amount as Parent may direct, as indemnity against any claim that may be made against it with respect to such Certificate, the Paying Agent will pay, in exchange for such lost, stolen or destroyed Certificate, the applicable Common Unit Consideration and any distributions to be paid in respect of the Common Units formerly represented by such Certificate as contemplated by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18" w:name="page19"/>
    <w:bookmarkEnd w:id="18"/>
    <w:p>
      <w:pPr>
        <w:jc w:val="both"/>
        <w:ind w:left="660" w:firstLine="644"/>
        <w:spacing w:after="0" w:line="233" w:lineRule="auto"/>
        <w:tabs>
          <w:tab w:leader="none" w:pos="222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Exchange Fund</w:t>
      </w:r>
      <w:r>
        <w:rPr>
          <w:rFonts w:ascii="Times New Roman" w:cs="Times New Roman" w:eastAsia="Times New Roman" w:hAnsi="Times New Roman"/>
          <w:sz w:val="22"/>
          <w:szCs w:val="22"/>
          <w:color w:val="auto"/>
        </w:rPr>
        <w:t xml:space="preserve">. At any time following the first anniversary of the Closing Date, the Surviving Entity shall be entitled to require the Paying Agent to deliver to it any portion of the Exchange Fund (including any interest received with respect thereto) that had been made available to the Paying Agent and which has not been disbursed to former holders of Common Units, and thereafter such former holders shall be entitled to look only to Parent and the Surviving Entity for, and Parent and the Surviving Entity shall remain liable to the extent required by applicable Law for, payment of their claims of the Common Unit Consideration and any distributions pertaining to their former Common Units that such former holders have the right to receive pursuant to the provisions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Any amounts remaining unclaimed by such holders at such time at which such amounts would otherwise escheat to or become property of any Governmental Authority shall become, immediately prior to such time, to the extent permitted by applicable Law, the property of Parent or its designee, free and clear of all claims or interest of any Person previously entitled thereto.</w:t>
      </w:r>
    </w:p>
    <w:p>
      <w:pPr>
        <w:spacing w:after="0" w:line="214"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2064"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Liability</w:t>
      </w:r>
      <w:r>
        <w:rPr>
          <w:rFonts w:ascii="Times New Roman" w:cs="Times New Roman" w:eastAsia="Times New Roman" w:hAnsi="Times New Roman"/>
          <w:sz w:val="21"/>
          <w:szCs w:val="21"/>
          <w:color w:val="auto"/>
        </w:rPr>
        <w:t>. Notwithstanding any provision of this Agreement to the contrary, none of the parties hereto, the Surviving Entity or the Paying Agent shall be liable to any Person for Common Unit Consideration delivered to a public official pursuant to any applicable state, federal or other abandoned property, escheat or similar Law.</w:t>
      </w:r>
    </w:p>
    <w:p>
      <w:pPr>
        <w:spacing w:after="0" w:line="18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Parent, Merger Sub and their respective Affiliates shall be entitled to deduct and withhold, or cause to be deducted and withheld, from any amount payable to the Common Unitholders or any of their respective Affiliates pursuant to this Agreement, any amounts that would be required to be deducted and withheld under applicable Laws in respect of Taxes. To the extent such amounts are so deducted or withheld and timely paid over to the applicable Governmental Authority or other applicable Person in accordance with applicable Law, such amounts shall be treated for all purposes under this Agreement as having been paid to the Person to whom such amounts would otherwise have been paid. Parent, Merger Sub, and the Partnership shall reasonably cooperate, and shall cause their respective Affiliates to reasonably cooperate, in order to reduce or eliminate any amounts that would be required to be deducted and withheld on payments made pursuant to this Agreement under applicable Laws in respect of Taxes.</w:t>
      </w:r>
    </w:p>
    <w:p>
      <w:pPr>
        <w:spacing w:after="0" w:line="21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Partnership Options</w:t>
      </w:r>
      <w:r>
        <w:rPr>
          <w:rFonts w:ascii="Times New Roman" w:cs="Times New Roman" w:eastAsia="Times New Roman" w:hAnsi="Times New Roman"/>
          <w:sz w:val="22"/>
          <w:szCs w:val="22"/>
          <w:color w:val="auto"/>
        </w:rPr>
        <w:t>. Effective as of the Effective Time, each then-outstanding option to purchase Common Units (each, a “</w:t>
      </w:r>
      <w:r>
        <w:rPr>
          <w:rFonts w:ascii="Times New Roman" w:cs="Times New Roman" w:eastAsia="Times New Roman" w:hAnsi="Times New Roman"/>
          <w:sz w:val="22"/>
          <w:szCs w:val="22"/>
          <w:u w:val="single" w:color="auto"/>
          <w:color w:val="auto"/>
        </w:rPr>
        <w:t>Partnership Option</w:t>
      </w:r>
      <w:r>
        <w:rPr>
          <w:rFonts w:ascii="Times New Roman" w:cs="Times New Roman" w:eastAsia="Times New Roman" w:hAnsi="Times New Roman"/>
          <w:sz w:val="22"/>
          <w:szCs w:val="22"/>
          <w:color w:val="auto"/>
        </w:rPr>
        <w:t xml:space="preserve">”) granted pursuant to any Partnership Plan, whether or not vested, shall, automatically and without any action on the part of the holder thereof, be vested, cancelled and converted into the right to receive, and the Surviving Entity shall pay to each former holder of any such Partnership Option (through the Surviving Entity’s payroll system, if applicable), an amount in cash equal to the product of (i) the excess, if any, of the Common Unit Consideration over the applicable exercise price per Common Unit of such Partnership Option and (ii) the number of Common Units subject to such Partnership Option, payable as soon as reasonably practicable (but no later than the first payroll date) after the Closing Date. For the avoidance of doubt, any Partnership Option which has a per Common Unit exercise price that is greater than or equal to the Common Unit Consideration shall be cancelled at the Effective Time for no consideration or payment. On or prior to the Closing Date, the Partnership shall adopt any resolutions and take all such lawful actions as may be reasonably necessary to provide for and give effect to the transactions contemplated by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Partnership Phantom Units</w:t>
      </w:r>
      <w:r>
        <w:rPr>
          <w:rFonts w:ascii="Times New Roman" w:cs="Times New Roman" w:eastAsia="Times New Roman" w:hAnsi="Times New Roman"/>
          <w:sz w:val="22"/>
          <w:szCs w:val="22"/>
          <w:color w:val="auto"/>
        </w:rPr>
        <w:t xml:space="preserve">. Effective as of the Effective Time, each Partnership Phantom Unit that is outstanding immediately prior to the Effective Time, whether or not vested, shall, automatically and without any action on the part of the holder thereof, be vested, cancelled and converted into the right to receive, and the Surviving Entity shall pay to each former holder of any such Partnership Phantom Unit (through the Surviving Entity’s payroll system, if applicable), an amount in cash equal to the product of (i) the Common Unit Consideration and (ii) the number of Common Units subject to such Partnership Phantom Unit, payable as soon as reasonably practicable (but no later than the first payroll date) after the Closing Date. On or prior to the Closing Date, the Partnership shall adopt any resolutions and take all such lawful actions as may be reasonably necessary to provide for and give effect to the transactions contemplated by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xml:space="preserve">. Notwithstanding any provision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to the contrary, if between the date of this Agreement and the Effective Time the outstanding Common Units shall have been changed into a different number of Common Units or a different class by reason of the occurrence or record date of any subdivision, reclassification, recapitalization, split, combination, exchange of Common Units or similar transaction, the Common Unit Consideration shall be appropriately adjusted to reflect such subdivision, reclassification, recapitalization, split, combination, exchange of Common Units or similar transaction.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ARTICLE III</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b w:val="1"/>
          <w:bCs w:val="1"/>
          <w:u w:val="single" w:color="auto"/>
          <w:color w:val="auto"/>
        </w:rPr>
        <w:t>REPRESENTATIONS AND WARRANTIES OF THE PARTNERSHIP AND THE GENERAL PARTNER</w:t>
      </w:r>
    </w:p>
    <w:p>
      <w:pPr>
        <w:spacing w:after="0" w:line="23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Partnership and the General Partner jointly and severally represent and warrant to Parent and Merger Sub that, except as (A) set forth in the disclosure schedule delivered by the Partnership to Parent and Merger Sub on the date of this Agreement (the “</w:t>
      </w:r>
      <w:r>
        <w:rPr>
          <w:rFonts w:ascii="Times New Roman" w:cs="Times New Roman" w:eastAsia="Times New Roman" w:hAnsi="Times New Roman"/>
          <w:sz w:val="22"/>
          <w:szCs w:val="22"/>
          <w:u w:val="single" w:color="auto"/>
          <w:color w:val="auto"/>
        </w:rPr>
        <w:t>Partnership Disclosure Schedule</w:t>
      </w:r>
      <w:r>
        <w:rPr>
          <w:rFonts w:ascii="Times New Roman" w:cs="Times New Roman" w:eastAsia="Times New Roman" w:hAnsi="Times New Roman"/>
          <w:sz w:val="22"/>
          <w:szCs w:val="22"/>
          <w:color w:val="auto"/>
        </w:rPr>
        <w:t>”) (it being understood that any information set forth on one section or subsection of the Partnership Disclosure Schedule shall be deemed to apply to and qualify the section or subsection of this Agreement to which it corresponds in number and each other section or subsection of this Agreement to the extent that it is reasonably apparent on the face of such disclosure that such information is relevant to such other section or subsection), or (B) disclosed in any report, schedule, form, statement or other document filed with, or furnished to, the SEC since January 1, 2018 by the Partnership and publicly available prior to the date of this Agreement (the “</w:t>
      </w:r>
      <w:r>
        <w:rPr>
          <w:rFonts w:ascii="Times New Roman" w:cs="Times New Roman" w:eastAsia="Times New Roman" w:hAnsi="Times New Roman"/>
          <w:sz w:val="22"/>
          <w:szCs w:val="22"/>
          <w:u w:val="single" w:color="auto"/>
          <w:color w:val="auto"/>
        </w:rPr>
        <w:t>Partnership Filed SEC Documents</w:t>
      </w:r>
      <w:r>
        <w:rPr>
          <w:rFonts w:ascii="Times New Roman" w:cs="Times New Roman" w:eastAsia="Times New Roman" w:hAnsi="Times New Roman"/>
          <w:sz w:val="22"/>
          <w:szCs w:val="22"/>
          <w:color w:val="auto"/>
        </w:rPr>
        <w:t>”), excluding disclosure (other than statements of fact) contained in the “Risk Factors” or “Forward-Looking Statements” sections of such Partnership Filed SEC Documents or that otherwise constitute risk factors or forward looking statements of risks: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Section 3.01</w:t>
      </w:r>
      <w:r>
        <w:rPr>
          <w:sz w:val="20"/>
          <w:szCs w:val="20"/>
          <w:color w:val="auto"/>
        </w:rPr>
        <w:tab/>
      </w:r>
      <w:r>
        <w:rPr>
          <w:rFonts w:ascii="Times New Roman" w:cs="Times New Roman" w:eastAsia="Times New Roman" w:hAnsi="Times New Roman"/>
          <w:sz w:val="21"/>
          <w:szCs w:val="21"/>
          <w:u w:val="single" w:color="auto"/>
          <w:color w:val="auto"/>
        </w:rPr>
        <w:t>Organization; Standing</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jc w:val="both"/>
        <w:ind w:firstLine="644"/>
        <w:spacing w:after="0" w:line="233" w:lineRule="auto"/>
        <w:tabs>
          <w:tab w:leader="none" w:pos="147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 is a limited partnership duly organized, validly existing and in good standing under the Laws of the Republic of the Marshall Islands. The Partnership has all requisite power and authority necessary to carry on its business as it is now being conducted and to own, lease and operate its assets and properties, except (other than with respect to the due incorporation and valid existence of the Partnership) as would not reasonably be expected to have, individually or in the aggregate, a Material Adverse Effect. The Partnership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reasonably be expected to have, individually or in the aggregate, a Material Adverse Effect. A true and complete copy of each of the Partnership Organizational Documents (i) is included in the Partnership Filed SEC Documents or (ii) has been provided to Parent prior to the date hereof. Neither the Partnership nor any of its Subsidiaries, as applicable, are in violation of the Partnership Organizational Documents, except as would not be material to the Partnership and its Subsidiaries taken as a whole.</w:t>
      </w:r>
    </w:p>
    <w:p>
      <w:pPr>
        <w:spacing w:after="0" w:line="209" w:lineRule="exact"/>
        <w:rPr>
          <w:rFonts w:ascii="Times New Roman" w:cs="Times New Roman" w:eastAsia="Times New Roman" w:hAnsi="Times New Roman"/>
          <w:sz w:val="22"/>
          <w:szCs w:val="22"/>
          <w:color w:val="auto"/>
        </w:rPr>
      </w:pPr>
    </w:p>
    <w:p>
      <w:pPr>
        <w:jc w:val="both"/>
        <w:ind w:firstLine="644"/>
        <w:spacing w:after="0" w:line="244" w:lineRule="auto"/>
        <w:tabs>
          <w:tab w:leader="none" w:pos="155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Partnership’s Subsidiaries is duly organized, validly existing and in good standing (where such concept is recognized under applicable Law) under the Laws of the jurisdiction of its organization, except as would not be reasonably expected to have, individually or in the aggregate, a Material Adverse Effect.</w:t>
      </w:r>
    </w:p>
    <w:p>
      <w:pPr>
        <w:spacing w:after="0" w:line="200"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Section 3.02</w:t>
      </w:r>
      <w:r>
        <w:rPr>
          <w:sz w:val="20"/>
          <w:szCs w:val="20"/>
          <w:color w:val="auto"/>
        </w:rPr>
        <w:tab/>
      </w: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4"/>
        <w:spacing w:after="0" w:line="247" w:lineRule="auto"/>
        <w:tabs>
          <w:tab w:leader="none" w:pos="1579"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hereof, the issued and outstanding partnership interests of the Partnership consist of (i) 69,301,636 Common Units, (ii) 5,520,000 Partnership Preferred Units, (iii) 1,436,391 GP Units, (iv) 24,000 options for Common Units outstanding, (v) 58,960 Partnership Phantom Units, and (v) the Incentive Distribution Rights. All such interests have been duly authorized and validly issued in accordance with the Partnership Agreement and are fully paid (to the extent required under the Partnership Agreement) and, except with respect to the GP Units, nonassessable (except as described in the Partnership Filed SEC Documents and except as such nonassessability may be affected by Sections 30, 41, 51 and 60 of the Marshall Islands LP Act). As of the date hereof GP Parent owns 21,333,586 Partnership Common Units and the General Partner owns all of the Partnership’s Incentive Distribution Rights and the GP Units.</w:t>
      </w:r>
    </w:p>
    <w:p>
      <w:pPr>
        <w:spacing w:after="0" w:line="37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21" w:name="page22"/>
    <w:bookmarkEnd w:id="21"/>
    <w:p>
      <w:pPr>
        <w:jc w:val="both"/>
        <w:ind w:left="-460" w:firstLine="644"/>
        <w:spacing w:after="0" w:line="243" w:lineRule="auto"/>
        <w:tabs>
          <w:tab w:leader="none" w:pos="108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described in this </w:t>
      </w:r>
      <w:r>
        <w:rPr>
          <w:rFonts w:ascii="Times New Roman" w:cs="Times New Roman" w:eastAsia="Times New Roman" w:hAnsi="Times New Roman"/>
          <w:sz w:val="21"/>
          <w:szCs w:val="21"/>
          <w:u w:val="single" w:color="auto"/>
          <w:color w:val="auto"/>
        </w:rPr>
        <w:t>Section 3.02(b)</w:t>
      </w:r>
      <w:r>
        <w:rPr>
          <w:rFonts w:ascii="Times New Roman" w:cs="Times New Roman" w:eastAsia="Times New Roman" w:hAnsi="Times New Roman"/>
          <w:sz w:val="21"/>
          <w:szCs w:val="21"/>
          <w:color w:val="auto"/>
        </w:rPr>
        <w:t>, as of the date hereof, there are (i) no outstanding shares of capital stock of, or other equity or voting interests in, the Partnership, (ii) no outstanding securities of the Partnership convertible into or exchangeable for shares of capital stock of, or other equity or voting interests in, the Partnership, (iii) no outstanding options, warrants, rights or other commitments or agreements to acquire from the Partnership, or that obligate the Partnership to issue, any capital stock of, or other equity or voting interests in, or any securities convertible into or exchangeable for shares of capital stock of, or other equity or voting interests in, the Partnership, (iv) no obligations of the Partnership to grant, extend or enter into any subscription, warrant, right, convertible or exchangeable security or other similar agreement or commitment relating to any capital stock of, or other equity or voting interests in, the Partnership (the items in clauses (i), (ii), (iii) and (iv) being referred to collectively as “</w:t>
      </w:r>
      <w:r>
        <w:rPr>
          <w:rFonts w:ascii="Times New Roman" w:cs="Times New Roman" w:eastAsia="Times New Roman" w:hAnsi="Times New Roman"/>
          <w:sz w:val="21"/>
          <w:szCs w:val="21"/>
          <w:u w:val="single" w:color="auto"/>
          <w:color w:val="auto"/>
        </w:rPr>
        <w:t>Partnership Securities</w:t>
      </w:r>
      <w:r>
        <w:rPr>
          <w:rFonts w:ascii="Times New Roman" w:cs="Times New Roman" w:eastAsia="Times New Roman" w:hAnsi="Times New Roman"/>
          <w:sz w:val="21"/>
          <w:szCs w:val="21"/>
          <w:color w:val="auto"/>
        </w:rPr>
        <w:t xml:space="preserve">”) and (v) no other obligations by the Partnership or any of its Subsidiaries to make any payments based on the price or value of any Partnership Securities or dividends paid thereon. There are no outstanding agreements or instruments of any kind that obligate the Partnership or any of its Subsidiaries to repurchase, redeem or otherwise acquire any Partnership Securities (or obligate the Partnership to grant, extend or enter into any such agreements relating to any Partnership Securities) or that grant any preemptive rights, subscription rights, anti-dilutive rights, rights of first refusal or similar rights with respect to any Partnership Securities. Except as described in this </w:t>
      </w:r>
      <w:r>
        <w:rPr>
          <w:rFonts w:ascii="Times New Roman" w:cs="Times New Roman" w:eastAsia="Times New Roman" w:hAnsi="Times New Roman"/>
          <w:sz w:val="21"/>
          <w:szCs w:val="21"/>
          <w:u w:val="single" w:color="auto"/>
          <w:color w:val="auto"/>
        </w:rPr>
        <w:t>Section 3.02(b)</w:t>
      </w:r>
      <w:r>
        <w:rPr>
          <w:rFonts w:ascii="Times New Roman" w:cs="Times New Roman" w:eastAsia="Times New Roman" w:hAnsi="Times New Roman"/>
          <w:sz w:val="21"/>
          <w:szCs w:val="21"/>
          <w:color w:val="auto"/>
        </w:rPr>
        <w:t xml:space="preserve">, no direct or indirect Subsidiary of the Partnership owns any Partnership Common Units. Except as listed on </w:t>
      </w:r>
      <w:r>
        <w:rPr>
          <w:rFonts w:ascii="Times New Roman" w:cs="Times New Roman" w:eastAsia="Times New Roman" w:hAnsi="Times New Roman"/>
          <w:sz w:val="21"/>
          <w:szCs w:val="21"/>
          <w:u w:val="single" w:color="auto"/>
          <w:color w:val="auto"/>
        </w:rPr>
        <w:t>Section 3.02(b)</w:t>
      </w:r>
      <w:r>
        <w:rPr>
          <w:rFonts w:ascii="Times New Roman" w:cs="Times New Roman" w:eastAsia="Times New Roman" w:hAnsi="Times New Roman"/>
          <w:sz w:val="21"/>
          <w:szCs w:val="21"/>
          <w:color w:val="auto"/>
        </w:rPr>
        <w:t xml:space="preserve"> of the Partnership Disclosure Schedule, none of the Partnership or any Subsidiary of the Partnership is a party to any shareholders’ agreement, voting trust agreement, registration rights agreement or other similar agreement or understanding relating to any Partnership Securities or any other agreement relating to the disposition, voting or dividends with respect to any Partnership Securities. No holder of securities in the Partnership or any of its Subsidiaries has any right to have such securities registered by the Partnership or any of its Subsidiaries. All outstanding Partnership Common Units and Partnership Preferred Units have been duly authorized and validly issued and are free of preemptive rights.</w:t>
      </w:r>
    </w:p>
    <w:p>
      <w:pPr>
        <w:spacing w:after="0" w:line="210" w:lineRule="exact"/>
        <w:rPr>
          <w:rFonts w:ascii="Times New Roman" w:cs="Times New Roman" w:eastAsia="Times New Roman" w:hAnsi="Times New Roman"/>
          <w:sz w:val="21"/>
          <w:szCs w:val="21"/>
          <w:color w:val="auto"/>
        </w:rPr>
      </w:pPr>
    </w:p>
    <w:p>
      <w:pPr>
        <w:jc w:val="both"/>
        <w:ind w:left="-460" w:firstLine="644"/>
        <w:spacing w:after="0" w:line="232" w:lineRule="auto"/>
        <w:tabs>
          <w:tab w:leader="none" w:pos="101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list set forth in Exhibit 8.1 to the Annual Report on Form 20-F of the Partnership for the year ended December 31, 2019 (the “</w:t>
      </w:r>
      <w:r>
        <w:rPr>
          <w:rFonts w:ascii="Times New Roman" w:cs="Times New Roman" w:eastAsia="Times New Roman" w:hAnsi="Times New Roman"/>
          <w:sz w:val="22"/>
          <w:szCs w:val="22"/>
          <w:u w:val="single" w:color="auto"/>
          <w:color w:val="auto"/>
        </w:rPr>
        <w:t>2019 Form 20-F</w:t>
      </w:r>
      <w:r>
        <w:rPr>
          <w:rFonts w:ascii="Times New Roman" w:cs="Times New Roman" w:eastAsia="Times New Roman" w:hAnsi="Times New Roman"/>
          <w:sz w:val="22"/>
          <w:szCs w:val="22"/>
          <w:color w:val="auto"/>
        </w:rPr>
        <w:t>”) reflects, as of the date of this Agreement, the name and jurisdiction of organization of each Subsidiary of the Partnership. All of the outstanding shares of capital stock of, or other equity or voting interests in, each Subsidiary of the Partnership are owned, directly or indirectly, beneficially and of record, by the Partnership free and clear of all Liens, other than Permitted Encumbrances, and material transfer restrictions other than transfer restrictions of general applicability as may be provided under the Securities Act of 1933, as amended, and the rules and regulations promulgated thereunder (collectively,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or other applicable securities Laws. Each outstanding share of capital stock of, or other equity or voting interests in, each Subsidiary of the Partnership that is held, directly or indirectly, by the Partnership, is duly authorized, validly issued, fully paid, nonassessable and free of preemptive rights, and there are no subscriptions, options, warrants, rights, calls, contracts or other commitments, understandings, restrictions or arrangements relating to the issuance, acquisition, redemption, repurchase or sale of any shares of capital stock or other equity or voting interests of any Subsidiary of the Partnership, including any right of conversion or exchange under any outstanding security, instrument or agreement, any agreements granting any preemptive rights, subscription rights, anti-dilutive rights, rights of first refusal or similar rights with respect to any securities of any Subsidiary of the Partnership. None of the Subsidiaries of the Partnership has any outstanding equity compensation plans relating to the capital stock of, or other equity or voting interests in, any Subsidiary of the Partnership.</w:t>
      </w:r>
    </w:p>
    <w:p>
      <w:pPr>
        <w:spacing w:after="0" w:line="39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22" w:name="page23"/>
    <w:bookmarkEnd w:id="22"/>
    <w:p>
      <w:pPr>
        <w:jc w:val="both"/>
        <w:ind w:firstLine="644"/>
        <w:spacing w:after="0" w:line="233" w:lineRule="auto"/>
        <w:tabs>
          <w:tab w:leader="none" w:pos="153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3.02(d)</w:t>
      </w:r>
      <w:r>
        <w:rPr>
          <w:rFonts w:ascii="Times New Roman" w:cs="Times New Roman" w:eastAsia="Times New Roman" w:hAnsi="Times New Roman"/>
          <w:sz w:val="22"/>
          <w:szCs w:val="22"/>
          <w:color w:val="auto"/>
        </w:rPr>
        <w:t xml:space="preserve"> of the Partnership Disclosure Schedule sets forth, as of the date of this Agreement, any joint venture, partnership or other similar arrangement or other entity in which the Partnership has an equity interest (other than a wholly owned Subsidiary of the Partnership) (each a “</w:t>
      </w:r>
      <w:r>
        <w:rPr>
          <w:rFonts w:ascii="Times New Roman" w:cs="Times New Roman" w:eastAsia="Times New Roman" w:hAnsi="Times New Roman"/>
          <w:sz w:val="22"/>
          <w:szCs w:val="22"/>
          <w:u w:val="single" w:color="auto"/>
          <w:color w:val="auto"/>
        </w:rPr>
        <w:t>Joint Venture Entity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Joint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Venture Entities</w:t>
      </w:r>
      <w:r>
        <w:rPr>
          <w:rFonts w:ascii="Times New Roman" w:cs="Times New Roman" w:eastAsia="Times New Roman" w:hAnsi="Times New Roman"/>
          <w:sz w:val="22"/>
          <w:szCs w:val="22"/>
          <w:color w:val="auto"/>
        </w:rPr>
        <w:t>”), including for each Joint Venture Entity, (i) the name and jurisdiction of formation of such Joint Venture Entity (ii) the number of shares of capital stock of, or other equity or voting interests in, such Joint Venture Entity that is owned, directly or indirectly, beneficially and of record, by the Partnership or by any Subsidiary of the Partnership (the “</w:t>
      </w:r>
      <w:r>
        <w:rPr>
          <w:rFonts w:ascii="Times New Roman" w:cs="Times New Roman" w:eastAsia="Times New Roman" w:hAnsi="Times New Roman"/>
          <w:sz w:val="22"/>
          <w:szCs w:val="22"/>
          <w:u w:val="single" w:color="auto"/>
          <w:color w:val="auto"/>
        </w:rPr>
        <w:t>Joint Venture Interests</w:t>
      </w:r>
      <w:r>
        <w:rPr>
          <w:rFonts w:ascii="Times New Roman" w:cs="Times New Roman" w:eastAsia="Times New Roman" w:hAnsi="Times New Roman"/>
          <w:sz w:val="22"/>
          <w:szCs w:val="22"/>
          <w:color w:val="auto"/>
        </w:rPr>
        <w:t>”), (iii) the total number of outstanding shares of each class of capital stock of, or other equity or voting interests in, such Joint Venture Entity and (iv) the percentage ownership interests of such Joint Venture Entity held directly or indirectly by the Partnership. All of the Joint Venture Interests are owned by the Partnership or its Subsidiaries, as applicable, free and clear of all Liens, other than Permitted Encumbrances, and material transfer restrictions other than transfer restrictions of general applicability as may be provided under the Securities Act or other applicable securities Laws.</w:t>
      </w:r>
    </w:p>
    <w:p>
      <w:pPr>
        <w:spacing w:after="0" w:line="212"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Section 3.03</w:t>
      </w:r>
      <w:r>
        <w:rPr>
          <w:sz w:val="20"/>
          <w:szCs w:val="20"/>
          <w:color w:val="auto"/>
        </w:rPr>
        <w:tab/>
      </w:r>
      <w:r>
        <w:rPr>
          <w:rFonts w:ascii="Times New Roman" w:cs="Times New Roman" w:eastAsia="Times New Roman" w:hAnsi="Times New Roman"/>
          <w:sz w:val="21"/>
          <w:szCs w:val="21"/>
          <w:u w:val="single" w:color="auto"/>
          <w:color w:val="auto"/>
        </w:rPr>
        <w:t>Authority; Noncontravention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4"/>
        <w:spacing w:after="0" w:line="232" w:lineRule="auto"/>
        <w:tabs>
          <w:tab w:leader="none" w:pos="147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Partnership and the General Partner has all necessary limited partnership or limited liability company power and authority to execute and deliver this Agreement and to perform its obligations hereunder and to consummate the transactions contemplated hereby, subject to obtaining the Partnership Unitholder Approval in the case of the Partnership. The execution, delivery and performance by each of the Partnership and the General Partner of this Agreement, and the consummation by the Partnership and the General Partner of the transactions contemplated hereby, have been duly authorized by the sole member of the General Partner and by the Partnership Board and approved by the sole member of the General Partner and by each of the Conflicts Committee and the Partnership Board and, except for obtaining the Partnership Unitholder Approval, no other entity action on the part of the Partnership or the General Partner is necessary for the Partnership or the General Partner to authorize the execution, delivery and performance by the Partnership and the General Partner of this Agreement and the consummation by the Partnership and the General Partner of the Transactions. This Agreement has been duly executed and delivered by the Partnership and the General Partner and, assuming due authorization, execution and delivery hereof by the other parties hereto, constitutes a legal, valid and binding obligation of the Partnership and the General Partner, enforceable against the Partnership and the General Partner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Times New Roman" w:cs="Times New Roman" w:eastAsia="Times New Roman" w:hAnsi="Times New Roman"/>
          <w:sz w:val="22"/>
          <w:szCs w:val="22"/>
          <w:u w:val="single" w:color="auto"/>
          <w:color w:val="auto"/>
        </w:rPr>
        <w:t>Bankruptcy and Equity Exception</w:t>
      </w:r>
      <w:r>
        <w:rPr>
          <w:rFonts w:ascii="Times New Roman" w:cs="Times New Roman" w:eastAsia="Times New Roman" w:hAnsi="Times New Roman"/>
          <w:sz w:val="22"/>
          <w:szCs w:val="22"/>
          <w:color w:val="auto"/>
        </w:rPr>
        <w:t>”).</w:t>
      </w:r>
    </w:p>
    <w:p>
      <w:pPr>
        <w:spacing w:after="0" w:line="216" w:lineRule="exact"/>
        <w:rPr>
          <w:rFonts w:ascii="Times New Roman" w:cs="Times New Roman" w:eastAsia="Times New Roman" w:hAnsi="Times New Roman"/>
          <w:sz w:val="22"/>
          <w:szCs w:val="22"/>
          <w:color w:val="auto"/>
        </w:rPr>
      </w:pPr>
    </w:p>
    <w:p>
      <w:pPr>
        <w:jc w:val="both"/>
        <w:ind w:firstLine="644"/>
        <w:spacing w:after="0" w:line="238" w:lineRule="auto"/>
        <w:tabs>
          <w:tab w:leader="none" w:pos="142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Conflicts Committee, at a meeting duly called and held, has (i) determined that this Agreement and the Transactions are in the best interests of the Partnership, including its Common Unitholders, (ii) approved this Agreement and the Transactions, such approval constituting “Special Approval” for all purposes under the Partnership Agreement, and (iii) recommended that the Partnership Board approve this Agreement and the Transactions and that the Partnership Board recommend to the Common Unitholders the approval of this Agreement and the Transactions.</w:t>
      </w:r>
    </w:p>
    <w:p>
      <w:pPr>
        <w:spacing w:after="0" w:line="38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23" w:name="page24"/>
    <w:bookmarkEnd w:id="23"/>
    <w:p>
      <w:pPr>
        <w:jc w:val="both"/>
        <w:ind w:left="660" w:firstLine="644"/>
        <w:spacing w:after="0" w:line="238" w:lineRule="auto"/>
        <w:tabs>
          <w:tab w:leader="none" w:pos="230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 Board (acting based upon the recommendation of the Conflicts Committee) has (i) determined that this Agreement and the Transactions are in the best interests of the Partnership, including its Common Unitholders, (ii) approved this Agreement and the Transactions, (iii) resolved to submit this Agreement and the Transactions for approval of the Common Unitholders at a special meeting of the holders of the Partnership’s Common Units, and (iv) resolved to recommend approval of this Agreement and the Transactions by the Common Unitholders.</w:t>
      </w:r>
    </w:p>
    <w:p>
      <w:pPr>
        <w:spacing w:after="0" w:line="204" w:lineRule="exact"/>
        <w:rPr>
          <w:rFonts w:ascii="Times New Roman" w:cs="Times New Roman" w:eastAsia="Times New Roman" w:hAnsi="Times New Roman"/>
          <w:sz w:val="22"/>
          <w:szCs w:val="22"/>
          <w:color w:val="auto"/>
        </w:rPr>
      </w:pPr>
    </w:p>
    <w:p>
      <w:pPr>
        <w:jc w:val="both"/>
        <w:ind w:left="660" w:firstLine="644"/>
        <w:spacing w:after="0" w:line="243" w:lineRule="auto"/>
        <w:tabs>
          <w:tab w:leader="none" w:pos="2208"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Section 3.03(d) of the Partnership Disclosure Schedule, none of (i) the execution and delivery of this Agreement by the Partnership, (ii) the consummation by the Partnership of the Transactions, or (iii) performance or compliance by the Partnership with any of the terms or provisions hereof, will (A) contravene, conflict with or violate any provision (1) of the Partnership Charter or Partnership Agreement or (2) of the similar organizational documents of any of the Partnership’s Subsidiaries or (B) assuming (1) compliance with the matters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4.02(b)</w:t>
      </w:r>
      <w:r>
        <w:rPr>
          <w:rFonts w:ascii="Times New Roman" w:cs="Times New Roman" w:eastAsia="Times New Roman" w:hAnsi="Times New Roman"/>
          <w:sz w:val="21"/>
          <w:szCs w:val="21"/>
          <w:color w:val="auto"/>
        </w:rPr>
        <w:t xml:space="preserve"> (other than </w:t>
      </w:r>
      <w:r>
        <w:rPr>
          <w:rFonts w:ascii="Times New Roman" w:cs="Times New Roman" w:eastAsia="Times New Roman" w:hAnsi="Times New Roman"/>
          <w:sz w:val="21"/>
          <w:szCs w:val="21"/>
          <w:u w:val="single" w:color="auto"/>
          <w:color w:val="auto"/>
        </w:rPr>
        <w:t>Section 4.02(b)(ii)(A)</w:t>
      </w:r>
      <w:r>
        <w:rPr>
          <w:rFonts w:ascii="Times New Roman" w:cs="Times New Roman" w:eastAsia="Times New Roman" w:hAnsi="Times New Roman"/>
          <w:sz w:val="21"/>
          <w:szCs w:val="21"/>
          <w:color w:val="auto"/>
        </w:rPr>
        <w:t xml:space="preserve">) (and assuming the accuracy of the representations and warranties made in such </w:t>
      </w:r>
      <w:r>
        <w:rPr>
          <w:rFonts w:ascii="Times New Roman" w:cs="Times New Roman" w:eastAsia="Times New Roman" w:hAnsi="Times New Roman"/>
          <w:sz w:val="21"/>
          <w:szCs w:val="21"/>
          <w:u w:val="single" w:color="auto"/>
          <w:color w:val="auto"/>
        </w:rPr>
        <w:t>Section 4.02(b)</w:t>
      </w:r>
      <w:r>
        <w:rPr>
          <w:rFonts w:ascii="Times New Roman" w:cs="Times New Roman" w:eastAsia="Times New Roman" w:hAnsi="Times New Roman"/>
          <w:sz w:val="21"/>
          <w:szCs w:val="21"/>
          <w:color w:val="auto"/>
        </w:rPr>
        <w:t xml:space="preserve">), (2) that the actions described in </w:t>
      </w:r>
      <w:r>
        <w:rPr>
          <w:rFonts w:ascii="Times New Roman" w:cs="Times New Roman" w:eastAsia="Times New Roman" w:hAnsi="Times New Roman"/>
          <w:sz w:val="21"/>
          <w:szCs w:val="21"/>
          <w:u w:val="single" w:color="auto"/>
          <w:color w:val="auto"/>
        </w:rPr>
        <w:t>Section 3.03(a)</w:t>
      </w:r>
      <w:r>
        <w:rPr>
          <w:rFonts w:ascii="Times New Roman" w:cs="Times New Roman" w:eastAsia="Times New Roman" w:hAnsi="Times New Roman"/>
          <w:sz w:val="21"/>
          <w:szCs w:val="21"/>
          <w:color w:val="auto"/>
        </w:rPr>
        <w:t xml:space="preserve"> have been completed, (3) that the authorizations, consents and approvals referred to in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and (4) that the filings referred to in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are made and any waiting periods thereunder have terminated or expired, in the case of each of the foregoing clauses (1) through (4), prior to the Effective Time, (w) violate any Law applicable to the Partnership or any of its Subsidiaries, (x) violate or constitute a breach of or default (with or without notice or lapse of time or both) that results in expected losses, individually or in the aggregate, of greater than $50 million to the Partnership’s earnings under any of the terms, conditions or provisions of any loan or credit agreement, debenture, note, bond, mortgage, indenture, deed of trust, lease, capital lease, sale-leaseback, sublease, license, contract or other agreement (each, a “</w:t>
      </w:r>
      <w:r>
        <w:rPr>
          <w:rFonts w:ascii="Times New Roman" w:cs="Times New Roman" w:eastAsia="Times New Roman" w:hAnsi="Times New Roman"/>
          <w:sz w:val="21"/>
          <w:szCs w:val="21"/>
          <w:u w:val="single" w:color="auto"/>
          <w:color w:val="auto"/>
        </w:rPr>
        <w:t>Contract</w:t>
      </w:r>
      <w:r>
        <w:rPr>
          <w:rFonts w:ascii="Times New Roman" w:cs="Times New Roman" w:eastAsia="Times New Roman" w:hAnsi="Times New Roman"/>
          <w:sz w:val="21"/>
          <w:szCs w:val="21"/>
          <w:color w:val="auto"/>
        </w:rPr>
        <w:t>”) to which the Partnership or any of its Subsidiaries is a party or by which any of the assets or properties of the Partnership or its Subsidiaries, as applicable, are bound, or give rise to any right to terminate, cancel, amend, modify or accelerate the Partnership’s or, if applicable, any of its Subsidiaries’, rights or obligations under any such Contract, (y) give rise to any right of first refusal, preemptive right, tag-along right, transfer right or other similar right of any other party to a Contract to which the Partnership, any of its Subsidiaries or any of the Joint Venture Entities is bound, or (z) result in the creation of any Lien on any properties or assets of the Partnership or any of its Subsidiaries, except, in the case of clause (A)(2) and clause (B) (other than clause (x)), as would not reasonably be expected to have a Material Adverse Effect.</w:t>
      </w:r>
    </w:p>
    <w:p>
      <w:pPr>
        <w:spacing w:after="0" w:line="21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Except for (a) filings required under, and compliance with other applicable requirements of, the Securities Act or the Exchange Act, (b) the filing of the Certificate of Merger with the Registrar of Corporations of the Republic of the Marshall Islands, (c) any consents, authorizations, approvals, filings or exemptions in connection with compliance with the rules of the Nasdaq, and (d) such other consents, approvals, filings, authorizations, declarations or registrations as are required to be made or obtained under any non-U.S. Antitrust Laws, no consents or approvals, filings, authorizations, declarations or registrations with, any Governmental Authority is necessary for the execution, delivery of this Agreement by the Partnership, the performance by the Partnership of its obligations hereunder and the consummation by the Partnership of the Transactions.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1"/>
          <w:szCs w:val="21"/>
          <w:u w:val="single" w:color="auto"/>
          <w:color w:val="auto"/>
        </w:rPr>
        <w:t>Partnership 2020 SEC Documents; Financial Statements; Undisclosed Liabilities</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jc w:val="both"/>
        <w:ind w:firstLine="644"/>
        <w:spacing w:after="0" w:line="234" w:lineRule="auto"/>
        <w:tabs>
          <w:tab w:leader="none" w:pos="156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registration statement and each report prepared by the Partnership or its Subsidiaries, each in the form (including exhibits, annexes and any amendments thereto) filed with the SEC after January 1, 2020 (including any such reports filed subsequent to the date hereof, the “</w:t>
      </w:r>
      <w:r>
        <w:rPr>
          <w:rFonts w:ascii="Times New Roman" w:cs="Times New Roman" w:eastAsia="Times New Roman" w:hAnsi="Times New Roman"/>
          <w:sz w:val="22"/>
          <w:szCs w:val="22"/>
          <w:u w:val="single" w:color="auto"/>
          <w:color w:val="auto"/>
        </w:rPr>
        <w:t>Partnership 2020 SEC Documents</w:t>
      </w:r>
      <w:r>
        <w:rPr>
          <w:rFonts w:ascii="Times New Roman" w:cs="Times New Roman" w:eastAsia="Times New Roman" w:hAnsi="Times New Roman"/>
          <w:sz w:val="22"/>
          <w:szCs w:val="22"/>
          <w:color w:val="auto"/>
        </w:rPr>
        <w:t>”) complied as to form in all material respects with the requirements of the Securities Act or the Exchange Act, as the case may be, applicable to such Partnership 2020 SEC Documents, and none of the Partnership 2020 SEC Documents as of such respective dates (or, if amended prior to the date of this Agreement, the date of the filing of such amendment, with respect to the disclosures that are amended) contained any untrue statement of a material fact or omitted to state a material fact necessary in order to make the statements therein, in light of the circumstances under which they were made, not misleading. As of the date of this Agreement, there are no outstanding written comments from the SEC with respect to the Partnership 2020 SEC Documents.</w:t>
      </w:r>
    </w:p>
    <w:p>
      <w:pPr>
        <w:spacing w:after="0" w:line="206" w:lineRule="exact"/>
        <w:rPr>
          <w:rFonts w:ascii="Times New Roman" w:cs="Times New Roman" w:eastAsia="Times New Roman" w:hAnsi="Times New Roman"/>
          <w:sz w:val="22"/>
          <w:szCs w:val="22"/>
          <w:color w:val="auto"/>
        </w:rPr>
      </w:pPr>
    </w:p>
    <w:p>
      <w:pPr>
        <w:jc w:val="both"/>
        <w:ind w:firstLine="644"/>
        <w:spacing w:after="0" w:line="232" w:lineRule="auto"/>
        <w:tabs>
          <w:tab w:leader="none" w:pos="130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2019 Form 20-F contains the following financial statements: the Partnership’s audited consolidated (i) statements of operations, (ii) statements of comprehensive income, (iii) statements of cash flows and (iv) statements of changes in Partners’ capital for the years ended December 31, 2019, 2018 and 2017. The Report of Foreign Private Issuer on Form 6-K filed with the SEC on November 30, 2020 contains the Partnership’s unaudited condensed consolidated (i) balance sheet as of September 30, 2020 (the “</w:t>
      </w:r>
      <w:r>
        <w:rPr>
          <w:rFonts w:ascii="Times New Roman" w:cs="Times New Roman" w:eastAsia="Times New Roman" w:hAnsi="Times New Roman"/>
          <w:sz w:val="22"/>
          <w:szCs w:val="22"/>
          <w:u w:val="single" w:color="auto"/>
          <w:color w:val="auto"/>
        </w:rPr>
        <w:t>Latest Balance Sheet</w:t>
      </w:r>
      <w:r>
        <w:rPr>
          <w:rFonts w:ascii="Times New Roman" w:cs="Times New Roman" w:eastAsia="Times New Roman" w:hAnsi="Times New Roman"/>
          <w:sz w:val="22"/>
          <w:szCs w:val="22"/>
          <w:color w:val="auto"/>
        </w:rPr>
        <w:t>”), (ii) statements of operations and comprehensive income/loss, (iii) statements of cash flows and (iv) statements of changes in partners’ capital for the 9 months ended September 30, 2020. The financial statement referenced in the prior two sentences are referred to as the “</w:t>
      </w:r>
      <w:r>
        <w:rPr>
          <w:rFonts w:ascii="Times New Roman" w:cs="Times New Roman" w:eastAsia="Times New Roman" w:hAnsi="Times New Roman"/>
          <w:sz w:val="22"/>
          <w:szCs w:val="22"/>
          <w:u w:val="single" w:color="auto"/>
          <w:color w:val="auto"/>
        </w:rPr>
        <w:t>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Statements</w:t>
      </w:r>
      <w:r>
        <w:rPr>
          <w:rFonts w:ascii="Times New Roman" w:cs="Times New Roman" w:eastAsia="Times New Roman" w:hAnsi="Times New Roman"/>
          <w:sz w:val="22"/>
          <w:szCs w:val="22"/>
          <w:color w:val="auto"/>
        </w:rPr>
        <w:t>.” The Financial Statements present fairly the financial position of the Partnership and its consolidated subsidiaries as of the dates shown and their results of operations and cash flows for the periods shown, and such Financial Statements have been prepared in conformity with GAAP applied on a consistent basis. Since the Latest Balance Sheet, there have been no material changes in the accounting policies of the Partnership (including any change in depreciation or amortization policies or rates, or policies with respect to reserves for uncollectible accounts receivable or excess or obsolete inventory) and no revaluation of the Partnership’s properties or assets. Section 3.05(b) of the Partnership Disclosure Schedule contains a true, correct and complete list of all Indebtedness and identifies for each item of Indebtedness the outstanding principal, the accrued but unpaid interest and any applicable prepayment or call penalty or premium.</w:t>
      </w:r>
    </w:p>
    <w:p>
      <w:pPr>
        <w:spacing w:after="0" w:line="218" w:lineRule="exact"/>
        <w:rPr>
          <w:rFonts w:ascii="Times New Roman" w:cs="Times New Roman" w:eastAsia="Times New Roman" w:hAnsi="Times New Roman"/>
          <w:sz w:val="22"/>
          <w:szCs w:val="22"/>
          <w:color w:val="auto"/>
        </w:rPr>
      </w:pPr>
    </w:p>
    <w:p>
      <w:pPr>
        <w:jc w:val="both"/>
        <w:ind w:firstLine="644"/>
        <w:spacing w:after="0" w:line="236" w:lineRule="auto"/>
        <w:tabs>
          <w:tab w:leader="none" w:pos="146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Partnership nor any of its Subsidiaries is in material breach, violation or default and no event has occurred that would result in a material breach, violation or default (with or without notice or lapse of time or both) under (a) any Contract or Contracts relating to, individually or in the aggregate, any Indebtedness of the Partnership or its Subsidiaries with outstanding obligations of $50 million or more or that would result in a cross-default of other Indebtedness of the Partnership or its Subsidiaries, (b) any Joint Venture Contract or any Contract of the type described in </w:t>
      </w:r>
      <w:r>
        <w:rPr>
          <w:rFonts w:ascii="Times New Roman" w:cs="Times New Roman" w:eastAsia="Times New Roman" w:hAnsi="Times New Roman"/>
          <w:sz w:val="22"/>
          <w:szCs w:val="22"/>
          <w:u w:val="single" w:color="auto"/>
          <w:color w:val="auto"/>
        </w:rPr>
        <w:t>Section 3.17(a)(xiii)</w:t>
      </w:r>
      <w:r>
        <w:rPr>
          <w:rFonts w:ascii="Times New Roman" w:cs="Times New Roman" w:eastAsia="Times New Roman" w:hAnsi="Times New Roman"/>
          <w:sz w:val="22"/>
          <w:szCs w:val="22"/>
          <w:color w:val="auto"/>
        </w:rPr>
        <w:t xml:space="preserve"> or (c) any charter for any of the Vessels.</w:t>
      </w:r>
    </w:p>
    <w:p>
      <w:pPr>
        <w:spacing w:after="0" w:line="38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25" w:name="page26"/>
    <w:bookmarkEnd w:id="25"/>
    <w:p>
      <w:pPr>
        <w:jc w:val="both"/>
        <w:ind w:left="660" w:firstLine="644"/>
        <w:spacing w:after="0" w:line="235" w:lineRule="auto"/>
        <w:tabs>
          <w:tab w:leader="none" w:pos="203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 maintains books and records that completely and fairly reflect the assets and liabilities of the Partnership and the Partnership maintains a proper and effective system of accounting controls sufficient to provide reasonable assurances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210" w:lineRule="exact"/>
        <w:rPr>
          <w:rFonts w:ascii="Times New Roman" w:cs="Times New Roman" w:eastAsia="Times New Roman" w:hAnsi="Times New Roman"/>
          <w:sz w:val="22"/>
          <w:szCs w:val="22"/>
          <w:color w:val="auto"/>
        </w:rPr>
      </w:pPr>
    </w:p>
    <w:p>
      <w:pPr>
        <w:jc w:val="both"/>
        <w:ind w:left="660" w:firstLine="644"/>
        <w:spacing w:after="0" w:line="235" w:lineRule="auto"/>
        <w:tabs>
          <w:tab w:leader="none" w:pos="194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listed on Section 3.05(e) of the Partnership’s Disclosure Schedule, since January 1, 2019, neither the Partnership, nor any director, officer or accountant thereof, has received any material complaint, allegation, assertion or claim, whether written or oral, that the Partnership has engaged in illegal or fraudulent accounting practices. There are no significant deficiencies or material weaknesses in the design or operation of the internal controls of the Partnership which have materially and adversely affected the ability of the Partnership to record, process, summarize and report financial data. There is no fraud, whether or not material, involving management or other employees that was reported to the board or management of the Partnership.</w:t>
      </w:r>
    </w:p>
    <w:p>
      <w:pPr>
        <w:spacing w:after="0" w:line="210"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232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minute books of the Partnership are accurate and complete in all material respects and contain records of all corporate action taken by the unitholders, the board of directors, and committees of the board of directors of the Partnership, respectively, since January 1, 2016 and no material corporate action of the unitholders, board of directors, or committee of the board of directors has been taken since such date for which minutes have not been prepared and are not contained in such minute books.</w:t>
      </w:r>
    </w:p>
    <w:p>
      <w:pPr>
        <w:spacing w:after="0" w:line="20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Absence of Certain Changes</w:t>
      </w:r>
      <w:r>
        <w:rPr>
          <w:rFonts w:ascii="Times New Roman" w:cs="Times New Roman" w:eastAsia="Times New Roman" w:hAnsi="Times New Roman"/>
          <w:sz w:val="22"/>
          <w:szCs w:val="22"/>
          <w:color w:val="auto"/>
        </w:rPr>
        <w:t xml:space="preserve">. Since September 30, 2020, (a) through the date of this Agreement (i) except for the execution, delivery and performance of this Agreement and the discussions, negotiations and transactions related thereto, the business of the Partnership and its Subsidiaries has been carried on and conducted in all material respects in the Ordinary Course (other than any commercially reasonable actions taken by the Partnership and its Subsidiaries outside of the Ordinary Course in response to changes or developments resulting from COVID-19 or any COVID-19 Measures) and (ii) neither the Partnership nor any of its Subsidiaries has taken any action or failed to take any action that would have resulted in a breach of Section </w:t>
      </w:r>
      <w:r>
        <w:rPr>
          <w:rFonts w:ascii="Times New Roman" w:cs="Times New Roman" w:eastAsia="Times New Roman" w:hAnsi="Times New Roman"/>
          <w:sz w:val="22"/>
          <w:szCs w:val="22"/>
          <w:u w:val="single" w:color="auto"/>
          <w:color w:val="auto"/>
        </w:rPr>
        <w:t>5.01(b)(i)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(xv)</w:t>
      </w:r>
      <w:r>
        <w:rPr>
          <w:rFonts w:ascii="Times New Roman" w:cs="Times New Roman" w:eastAsia="Times New Roman" w:hAnsi="Times New Roman"/>
          <w:sz w:val="22"/>
          <w:szCs w:val="22"/>
          <w:color w:val="auto"/>
        </w:rPr>
        <w:t>, had the restrictions thereunder been in effect since September 30, 2020, and (b) there has not been any event, circumstance, development, change or effect that has had or would reasonably be expected to have, individually or in the aggregate, a Material Adverse Effect.</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Legal Proceedings</w:t>
      </w:r>
      <w:r>
        <w:rPr>
          <w:rFonts w:ascii="Times New Roman" w:cs="Times New Roman" w:eastAsia="Times New Roman" w:hAnsi="Times New Roman"/>
          <w:sz w:val="22"/>
          <w:szCs w:val="22"/>
          <w:color w:val="auto"/>
        </w:rPr>
        <w:t>. Except as would not reasonably be expected to have, individually or in the aggregate, a Material Adverse Effect, there is no (a) pending or, to the Knowledge of the Partnership, threatened Proceeding, suit, arbitration, action, claim, dispute, hearing, charge, complaint, indictment, litigation or, to the Knowledge of the Partnership, investigation against the Partnership or any of its Subsidiaries, or (b) outstanding injunction, order, judgment, ruling, decree or writ imposed upon the Partnership or any of its Subsidiaries or any director or officer of the Partnership or any of its Subsidiaries or, to the Knowledge of the Partnership, any other Person for whom the Partnership or any of its Subsidiaries may be liable as an indemnifying party or otherwise, in each case, by or before any Governmental Authority.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Section 3.08</w:t>
      </w:r>
      <w:r>
        <w:rPr>
          <w:sz w:val="20"/>
          <w:szCs w:val="20"/>
          <w:color w:val="auto"/>
        </w:rPr>
        <w:tab/>
      </w:r>
      <w:r>
        <w:rPr>
          <w:rFonts w:ascii="Times New Roman" w:cs="Times New Roman" w:eastAsia="Times New Roman" w:hAnsi="Times New Roman"/>
          <w:sz w:val="21"/>
          <w:szCs w:val="21"/>
          <w:u w:val="single" w:color="auto"/>
          <w:color w:val="auto"/>
        </w:rPr>
        <w:t>Compliance with Laws; Permits</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jc w:val="both"/>
        <w:ind w:firstLine="644"/>
        <w:spacing w:after="0" w:line="236" w:lineRule="auto"/>
        <w:tabs>
          <w:tab w:leader="none" w:pos="145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 and each of its Subsidiaries are in compliance with all federal, national, provincial, state, local or multinational laws, statutes, common laws, ordinances, codes, rules, orders, judgments, injunctions, writs, decrees, governmental guidelines or interpretations having the force of law, Permits, regulations, decrees, codes or executive orders enacted, issued, adopted, promulgated or applied by or on behalf of any Governmental Authorities (collectively, “</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applicable to the Partnership or any of its Subsidiaries, except where the failure to be in compliance would not have a Material Adverse Effect.</w:t>
      </w:r>
    </w:p>
    <w:p>
      <w:pPr>
        <w:spacing w:after="0" w:line="208" w:lineRule="exact"/>
        <w:rPr>
          <w:rFonts w:ascii="Times New Roman" w:cs="Times New Roman" w:eastAsia="Times New Roman" w:hAnsi="Times New Roman"/>
          <w:sz w:val="22"/>
          <w:szCs w:val="22"/>
          <w:color w:val="auto"/>
        </w:rPr>
      </w:pPr>
    </w:p>
    <w:p>
      <w:pPr>
        <w:jc w:val="both"/>
        <w:ind w:firstLine="644"/>
        <w:spacing w:after="0" w:line="246" w:lineRule="auto"/>
        <w:tabs>
          <w:tab w:leader="none" w:pos="1363"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(i) as described in or contemplated by the Partnership Filed SEC Documents, (ii) for those that are the responsibility of the counterparties to obtain pursuant to the terms of the charter agreements relating to the Vessels as such agreements are currently in effect and (iii) where the failure to so possess would not, individually or in the aggregate, reasonably be expected to result in a Material Adverse Effect, the Partnership, each of its Subsidiaries (other than the Joint Venture Entities) and, to the Knowledge of the Partnership, each of the Joint Venture Entities, holds all licenses, franchises, permits, certificates, approvals, authorizations and registrations from Governmental Authorities necessary for the Partnership, each such Subsidiary and each such Joint Venture Entity, as applicable, to own, lease and operate its properties and assets and necessary for the lawful conduct of their respective businesses as each such business is now being, or at such time was, conducted (collectively, “</w:t>
      </w:r>
      <w:r>
        <w:rPr>
          <w:rFonts w:ascii="Times New Roman" w:cs="Times New Roman" w:eastAsia="Times New Roman" w:hAnsi="Times New Roman"/>
          <w:sz w:val="21"/>
          <w:szCs w:val="21"/>
          <w:u w:val="single" w:color="auto"/>
          <w:color w:val="auto"/>
        </w:rPr>
        <w:t>Permits</w:t>
      </w:r>
      <w:r>
        <w:rPr>
          <w:rFonts w:ascii="Times New Roman" w:cs="Times New Roman" w:eastAsia="Times New Roman" w:hAnsi="Times New Roman"/>
          <w:sz w:val="21"/>
          <w:szCs w:val="21"/>
          <w:color w:val="auto"/>
        </w:rPr>
        <w:t>”), and all such Permits are in full force and effect.</w:t>
      </w:r>
    </w:p>
    <w:p>
      <w:pPr>
        <w:spacing w:after="0" w:line="202"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Section 3.09</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4"/>
        <w:spacing w:after="0" w:line="236" w:lineRule="auto"/>
        <w:tabs>
          <w:tab w:leader="none" w:pos="156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 and each of its Subsidiaries has prepared (or caused to be prepared) and timely filed (taking into account valid extensions of time within which to file) all material Tax Returns required to be filed by any of them. All such filed Tax Returns (taking into account all amendments thereto) are true, complete and accurate in all material respects, and all material Taxes owed by the Partnership and each of its Subsidiaries that are due (whether or not shown on any Tax Return) (i) have been duly and timely paid or (ii) are being contested in good faith by appropriate Proceedings and have been adequately reserved against in accordance with GAAP.</w:t>
      </w:r>
    </w:p>
    <w:p>
      <w:pPr>
        <w:spacing w:after="0" w:line="208" w:lineRule="exact"/>
        <w:rPr>
          <w:rFonts w:ascii="Times New Roman" w:cs="Times New Roman" w:eastAsia="Times New Roman" w:hAnsi="Times New Roman"/>
          <w:sz w:val="22"/>
          <w:szCs w:val="22"/>
          <w:color w:val="auto"/>
        </w:rPr>
      </w:pPr>
    </w:p>
    <w:p>
      <w:pPr>
        <w:jc w:val="both"/>
        <w:ind w:firstLine="644"/>
        <w:spacing w:after="0" w:line="238" w:lineRule="auto"/>
        <w:tabs>
          <w:tab w:leader="none" w:pos="135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Partnership nor any of its Subsidiaries has received written notice of any audits, examinations, investigations, claims or other Proceedings in respect of any Taxes or Tax Returns of the Partnership or any of its Subsidiaries and there are no audits, examinations, investigations, claims or other Proceedings pending, proposed (tentatively or definitely), asserted, or threatened in writing with respect to any material Taxes payable by or with respect to the Partnership or any of its Subsidiaries.</w:t>
      </w:r>
    </w:p>
    <w:p>
      <w:pPr>
        <w:spacing w:after="0" w:line="38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27" w:name="page28"/>
    <w:bookmarkEnd w:id="27"/>
    <w:p>
      <w:pPr>
        <w:ind w:left="-460" w:right="20" w:firstLine="644"/>
        <w:spacing w:after="0" w:line="259" w:lineRule="auto"/>
        <w:tabs>
          <w:tab w:leader="none" w:pos="103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Liens for Taxes on any of the assets of the Partnership or any of its Subsidiaries other than Permitted Encumbrances.</w:t>
      </w:r>
    </w:p>
    <w:p>
      <w:pPr>
        <w:spacing w:after="0" w:line="183" w:lineRule="exact"/>
        <w:rPr>
          <w:rFonts w:ascii="Times New Roman" w:cs="Times New Roman" w:eastAsia="Times New Roman" w:hAnsi="Times New Roman"/>
          <w:sz w:val="22"/>
          <w:szCs w:val="22"/>
          <w:color w:val="auto"/>
        </w:rPr>
      </w:pPr>
    </w:p>
    <w:p>
      <w:pPr>
        <w:jc w:val="both"/>
        <w:ind w:left="-460" w:firstLine="644"/>
        <w:spacing w:after="0" w:line="239" w:lineRule="auto"/>
        <w:tabs>
          <w:tab w:leader="none" w:pos="98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Partnership or any of its Subsidiaries has been a “controlled corporation” or a “distributing corporation” (in each case, within the meaning of Section 355(a)(1)(A) of the Code) in any distribution occurring during the two-year period ending on the date of this Agreement that was purported or intended to be governed by Section 355 of the Code (or any similar provision of applicable Law).</w:t>
      </w:r>
    </w:p>
    <w:p>
      <w:pPr>
        <w:spacing w:after="0" w:line="207" w:lineRule="exact"/>
        <w:rPr>
          <w:rFonts w:ascii="Times New Roman" w:cs="Times New Roman" w:eastAsia="Times New Roman" w:hAnsi="Times New Roman"/>
          <w:sz w:val="22"/>
          <w:szCs w:val="22"/>
          <w:color w:val="auto"/>
        </w:rPr>
      </w:pPr>
    </w:p>
    <w:p>
      <w:pPr>
        <w:jc w:val="both"/>
        <w:ind w:left="-460" w:firstLine="644"/>
        <w:spacing w:after="0" w:line="244" w:lineRule="auto"/>
        <w:tabs>
          <w:tab w:leader="none" w:pos="133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deficiency for any material Tax has been proposed, threatened, asserted or assessed by any Governmental Authority in writing against the Partnership or any of its Subsidiaries, except for deficiencies that have been satisfied by payment in full, settled or withdrawn.</w:t>
      </w:r>
    </w:p>
    <w:p>
      <w:pPr>
        <w:spacing w:after="0" w:line="200" w:lineRule="exact"/>
        <w:rPr>
          <w:rFonts w:ascii="Times New Roman" w:cs="Times New Roman" w:eastAsia="Times New Roman" w:hAnsi="Times New Roman"/>
          <w:sz w:val="22"/>
          <w:szCs w:val="22"/>
          <w:color w:val="auto"/>
        </w:rPr>
      </w:pPr>
    </w:p>
    <w:p>
      <w:pPr>
        <w:jc w:val="both"/>
        <w:ind w:left="-460" w:firstLine="644"/>
        <w:spacing w:after="0" w:line="239" w:lineRule="auto"/>
        <w:tabs>
          <w:tab w:leader="none" w:pos="11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Partnership nor any of its Subsidiaries has waived any statute of limitations in respect of material Taxes or agreed to any extension of time with respect to an assessment or deficiency for material Taxes (other than any waivers or extensions that are no longer in effect or any extensions of time to file Tax Returns obtained in the Ordinary Course), and no request for such extension or waiver is pending.</w:t>
      </w:r>
    </w:p>
    <w:p>
      <w:pPr>
        <w:spacing w:after="0" w:line="207" w:lineRule="exact"/>
        <w:rPr>
          <w:rFonts w:ascii="Times New Roman" w:cs="Times New Roman" w:eastAsia="Times New Roman" w:hAnsi="Times New Roman"/>
          <w:sz w:val="22"/>
          <w:szCs w:val="22"/>
          <w:color w:val="auto"/>
        </w:rPr>
      </w:pPr>
    </w:p>
    <w:p>
      <w:pPr>
        <w:ind w:left="-460" w:right="20" w:firstLine="644"/>
        <w:spacing w:after="0" w:line="258" w:lineRule="auto"/>
        <w:tabs>
          <w:tab w:leader="none" w:pos="92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Partnership nor any of its Subsidiaries has participated in any “listed transaction” within the meaning of U.S. Treasury Regulation Section 1.6011-4(b)(2) or comparable provision of any other applicable Tax Law.</w:t>
      </w:r>
    </w:p>
    <w:p>
      <w:pPr>
        <w:spacing w:after="0" w:line="185" w:lineRule="exact"/>
        <w:rPr>
          <w:rFonts w:ascii="Times New Roman" w:cs="Times New Roman" w:eastAsia="Times New Roman" w:hAnsi="Times New Roman"/>
          <w:sz w:val="22"/>
          <w:szCs w:val="22"/>
          <w:color w:val="auto"/>
        </w:rPr>
      </w:pPr>
    </w:p>
    <w:p>
      <w:pPr>
        <w:jc w:val="both"/>
        <w:ind w:left="-460" w:firstLine="644"/>
        <w:spacing w:after="0" w:line="239" w:lineRule="auto"/>
        <w:tabs>
          <w:tab w:leader="none" w:pos="115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 and each of its Subsidiaries have withheld all material Taxes required to have been withheld by them in connection with amounts paid or owed to (or any benefits or property provided to) any employee, independent contractor, creditor, shareholder or any other third party and have complied in all material respects with all related Tax deposit and reporting requirements.</w:t>
      </w:r>
    </w:p>
    <w:p>
      <w:pPr>
        <w:spacing w:after="0" w:line="207" w:lineRule="exact"/>
        <w:rPr>
          <w:rFonts w:ascii="Times New Roman" w:cs="Times New Roman" w:eastAsia="Times New Roman" w:hAnsi="Times New Roman"/>
          <w:sz w:val="22"/>
          <w:szCs w:val="22"/>
          <w:color w:val="auto"/>
        </w:rPr>
      </w:pPr>
    </w:p>
    <w:p>
      <w:pPr>
        <w:jc w:val="both"/>
        <w:ind w:left="-460" w:firstLine="644"/>
        <w:spacing w:after="0" w:line="261" w:lineRule="auto"/>
        <w:tabs>
          <w:tab w:leader="none" w:pos="1082"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Partnership nor any of its Subsidiaries is a party to a Tax allocation, sharing, indemnity or similar agreement (other than agreements exclusively between or among the Partnership and its Subsidiaries or that were entered into in the Ordinary Course the principal purpose of which is not the allocation or indemnification of Taxes).</w:t>
      </w:r>
    </w:p>
    <w:p>
      <w:pPr>
        <w:spacing w:after="0" w:line="184" w:lineRule="exact"/>
        <w:rPr>
          <w:rFonts w:ascii="Times New Roman" w:cs="Times New Roman" w:eastAsia="Times New Roman" w:hAnsi="Times New Roman"/>
          <w:sz w:val="21"/>
          <w:szCs w:val="21"/>
          <w:color w:val="auto"/>
        </w:rPr>
      </w:pPr>
    </w:p>
    <w:p>
      <w:pPr>
        <w:jc w:val="both"/>
        <w:ind w:left="-460" w:firstLine="644"/>
        <w:spacing w:after="0" w:line="235" w:lineRule="auto"/>
        <w:tabs>
          <w:tab w:leader="none" w:pos="99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Partnership nor any of its Subsidiaries (i) has granted any power of attorney that will remain in force after the Closing with respect to any matters relating to any Taxes, (ii) has applied for a ruling from a taxing authority relating to any material Taxes or has proposed to enter into an agreement with a taxing authority relating to any material Taxes, in each case, that is pending or (iii) has entered into any “closing agreement” as described in Section 7121 of the Code (or any similar provision of state, local or foreign Tax Law) or been issued any private letter rulings, technical advance memoranda or similar agreement or rulings by any taxing authority relating to material Taxes that is in effect or will be in effect after the Closing.</w:t>
      </w:r>
    </w:p>
    <w:p>
      <w:pPr>
        <w:spacing w:after="0" w:line="39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28" w:name="page29"/>
    <w:bookmarkEnd w:id="28"/>
    <w:p>
      <w:pPr>
        <w:jc w:val="both"/>
        <w:ind w:left="4" w:firstLine="644"/>
        <w:spacing w:after="0" w:line="238" w:lineRule="auto"/>
        <w:tabs>
          <w:tab w:leader="none" w:pos="1579"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Partnership nor any of its Subsidiaries has ever been a member of an affiliated, combined, consolidated or unitary Tax group for purposes of filing any Tax Return except for a group of which the Partnership is the common parent. Neither the Partnership nor any of its Subsidiaries has any liability for any Taxes of any Person (other than the Partnership or its Subsidiaries) under U.S. Treasury Regulation Section 1.1502-6 or any similar provision of state, local, or non-U.S. law, or as a transferee or successor.</w:t>
      </w:r>
    </w:p>
    <w:p>
      <w:pPr>
        <w:spacing w:after="0" w:line="204" w:lineRule="exact"/>
        <w:rPr>
          <w:rFonts w:ascii="Times New Roman" w:cs="Times New Roman" w:eastAsia="Times New Roman" w:hAnsi="Times New Roman"/>
          <w:sz w:val="22"/>
          <w:szCs w:val="22"/>
          <w:color w:val="auto"/>
        </w:rPr>
      </w:pPr>
    </w:p>
    <w:p>
      <w:pPr>
        <w:jc w:val="both"/>
        <w:ind w:left="4" w:firstLine="644"/>
        <w:spacing w:after="0" w:line="244" w:lineRule="auto"/>
        <w:tabs>
          <w:tab w:leader="none" w:pos="1396"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in writing has been made by any Governmental Authority in a jurisdiction where the Partnership or its Subsidiaries does not file Tax Returns that the Partnership or its Subsidiaries is or may be subject to Tax in that jurisdiction.</w:t>
      </w:r>
    </w:p>
    <w:p>
      <w:pPr>
        <w:spacing w:after="0" w:line="200" w:lineRule="exact"/>
        <w:rPr>
          <w:rFonts w:ascii="Times New Roman" w:cs="Times New Roman" w:eastAsia="Times New Roman" w:hAnsi="Times New Roman"/>
          <w:sz w:val="22"/>
          <w:szCs w:val="22"/>
          <w:color w:val="auto"/>
        </w:rPr>
      </w:pPr>
    </w:p>
    <w:p>
      <w:pPr>
        <w:jc w:val="both"/>
        <w:ind w:left="4" w:firstLine="644"/>
        <w:spacing w:after="0" w:line="261" w:lineRule="auto"/>
        <w:tabs>
          <w:tab w:leader="none" w:pos="1436"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Partnership nor any of its Subsidiaries (i) has a permanent establishment (within the meaning of an applicable Tax treaty), branch, or other fixed place of business, nor (ii) has otherwise been, or deemed to be, engaged in a trade or business, in each case, in any jurisdiction other than its own country of incorporation or formation.</w:t>
      </w:r>
    </w:p>
    <w:p>
      <w:pPr>
        <w:spacing w:after="0" w:line="184" w:lineRule="exact"/>
        <w:rPr>
          <w:rFonts w:ascii="Times New Roman" w:cs="Times New Roman" w:eastAsia="Times New Roman" w:hAnsi="Times New Roman"/>
          <w:sz w:val="21"/>
          <w:szCs w:val="21"/>
          <w:color w:val="auto"/>
        </w:rPr>
      </w:pPr>
    </w:p>
    <w:p>
      <w:pPr>
        <w:jc w:val="both"/>
        <w:ind w:left="4" w:firstLine="644"/>
        <w:spacing w:after="0" w:line="235" w:lineRule="auto"/>
        <w:tabs>
          <w:tab w:leader="none" w:pos="1409"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Partnership nor any of its Subsidiaries will be required to include any material item of income or gain in, or exclude any material item of deduction or loss from, taxable income from any taxable period (or portion thereof) beginning after the Closing Date as a result of (i) any change in a method of accounting for a taxable period ending on or before the Closing Date, (ii) any installment sale or open transaction disposition, intercompany transaction or intercompany account made or existing on or before the Closing, (iii) any prepaid amount received or deferred revenue accrued on or prior to the Closing, or (iv) any “closing agreement” within the meaning of Section 7121 of the Code (or any corresponding or similar provision of applicable Tax Law) executed on or before the Closing.</w:t>
      </w:r>
    </w:p>
    <w:p>
      <w:pPr>
        <w:spacing w:after="0" w:line="210" w:lineRule="exact"/>
        <w:rPr>
          <w:rFonts w:ascii="Times New Roman" w:cs="Times New Roman" w:eastAsia="Times New Roman" w:hAnsi="Times New Roman"/>
          <w:sz w:val="22"/>
          <w:szCs w:val="22"/>
          <w:color w:val="auto"/>
        </w:rPr>
      </w:pPr>
    </w:p>
    <w:p>
      <w:pPr>
        <w:ind w:left="4" w:firstLine="644"/>
        <w:spacing w:after="0" w:line="258" w:lineRule="auto"/>
        <w:tabs>
          <w:tab w:leader="none" w:pos="1606"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 has made a valid election under U.S. Treasury Regulation Section 301.7701-3 to be classified as an association taxable as a corporation for U.S. federal income tax purposes.</w:t>
      </w:r>
    </w:p>
    <w:p>
      <w:pPr>
        <w:spacing w:after="0" w:line="185" w:lineRule="exact"/>
        <w:rPr>
          <w:rFonts w:ascii="Times New Roman" w:cs="Times New Roman" w:eastAsia="Times New Roman" w:hAnsi="Times New Roman"/>
          <w:sz w:val="22"/>
          <w:szCs w:val="22"/>
          <w:color w:val="auto"/>
        </w:rPr>
      </w:pPr>
    </w:p>
    <w:p>
      <w:pPr>
        <w:jc w:val="both"/>
        <w:ind w:left="4" w:firstLine="644"/>
        <w:spacing w:after="0" w:line="244" w:lineRule="auto"/>
        <w:tabs>
          <w:tab w:leader="none" w:pos="1527"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(i) “</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xml:space="preserve">” means all federal, national, provincial, state or local taxes, charges, fees, levies, duties, tariffs, imposts, or other similar assessments or liabilities in the nature of taxes, including gross income, net income, capital gains, gross receipts, estate, branch profits, estimated, alternative or minimum, </w:t>
      </w:r>
      <w:r>
        <w:rPr>
          <w:rFonts w:ascii="Times New Roman" w:cs="Times New Roman" w:eastAsia="Times New Roman" w:hAnsi="Times New Roman"/>
          <w:sz w:val="21"/>
          <w:szCs w:val="21"/>
          <w:i w:val="1"/>
          <w:iCs w:val="1"/>
          <w:color w:val="auto"/>
        </w:rPr>
        <w:t>ad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valorem</w:t>
      </w:r>
      <w:r>
        <w:rPr>
          <w:rFonts w:ascii="Times New Roman" w:cs="Times New Roman" w:eastAsia="Times New Roman" w:hAnsi="Times New Roman"/>
          <w:sz w:val="21"/>
          <w:szCs w:val="21"/>
          <w:color w:val="auto"/>
        </w:rPr>
        <w:t>, value-added, excise, real property, personal property, sales, use, transfer, stamp, registration, recording,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documentary, customs, import, export, services, withholding, employment, unemployment, severance, social security, disability, national health insurance, payroll and franchise taxes imposed by a Governmental Authority, together with any interest, penalties, assessments or additions to tax, whether disputed or not, imposed by any Governmental Authority; and</w:t>
      </w:r>
    </w:p>
    <w:p>
      <w:pPr>
        <w:spacing w:after="0" w:line="6" w:lineRule="exact"/>
        <w:rPr>
          <w:rFonts w:ascii="Times New Roman" w:cs="Times New Roman" w:eastAsia="Times New Roman" w:hAnsi="Times New Roman"/>
          <w:sz w:val="21"/>
          <w:szCs w:val="21"/>
          <w:color w:val="auto"/>
        </w:rPr>
      </w:pPr>
    </w:p>
    <w:p>
      <w:pPr>
        <w:jc w:val="both"/>
        <w:ind w:left="4" w:hanging="4"/>
        <w:spacing w:after="0" w:line="234" w:lineRule="auto"/>
        <w:tabs>
          <w:tab w:leader="none" w:pos="37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means all reports, returns, forms, declarations, statements or other information, including any supplement, schedule or attachment thereto and any amendment thereof, supplied to or required to be supplied to a Governmental Authority in connection with the determination, assessment, administration, or collection of Taxes or enforcement of any Laws related to Taxes.</w:t>
      </w:r>
    </w:p>
    <w:p>
      <w:pPr>
        <w:spacing w:after="0" w:line="385"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9" w:name="page30"/>
    <w:bookmarkEnd w:id="29"/>
    <w:p>
      <w:pPr>
        <w:ind w:left="66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3.10</w:t>
      </w:r>
      <w:r>
        <w:rPr>
          <w:sz w:val="20"/>
          <w:szCs w:val="20"/>
          <w:color w:val="auto"/>
        </w:rPr>
        <w:tab/>
      </w: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jc w:val="both"/>
        <w:ind w:left="660" w:firstLine="644"/>
        <w:spacing w:after="0" w:line="235" w:lineRule="auto"/>
        <w:tabs>
          <w:tab w:leader="none" w:pos="212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3.10(a) of the Partnership Disclosure Schedule, the Partnership does not have any Partnership Plans. With respect to each Partnership Plan, the Partnership has made available to Parent a true and complete copy of the plan document and any amendments thereto. Each Partnership Plan (i) has been established, adopted, operated, maintained and administered in material compliance with its terms and applicable Law; (ii) if required to be registered or approved by a non-U.S. Governmental Authority, has been registered or approved and has been maintained in good standing with applicable regulatory authorities; and (iii) that is intended to qualify for special Tax treatment meets all requirements for such treatment.</w:t>
      </w:r>
    </w:p>
    <w:p>
      <w:pPr>
        <w:spacing w:after="0" w:line="210" w:lineRule="exact"/>
        <w:rPr>
          <w:rFonts w:ascii="Times New Roman" w:cs="Times New Roman" w:eastAsia="Times New Roman" w:hAnsi="Times New Roman"/>
          <w:sz w:val="22"/>
          <w:szCs w:val="22"/>
          <w:color w:val="auto"/>
        </w:rPr>
      </w:pPr>
    </w:p>
    <w:p>
      <w:pPr>
        <w:jc w:val="both"/>
        <w:ind w:left="660" w:firstLine="644"/>
        <w:spacing w:after="0" w:line="255" w:lineRule="auto"/>
        <w:tabs>
          <w:tab w:leader="none" w:pos="2154"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Partnership nor any ERISA Affiliate has incurred, or reasonably expects to incur, directly or indirectly, any liability under Title IV of ERISA that has not been satisfied in full, other than liability for premiums due to the Pension Benefit Guaranty Corporation (which premiums have been paid when due) and, to the Knowledge of the Partnership, no condition exists that would reasonably be expected to present a material risk of incurring such liability.</w:t>
      </w:r>
    </w:p>
    <w:p>
      <w:pPr>
        <w:spacing w:after="0" w:line="188" w:lineRule="exact"/>
        <w:rPr>
          <w:rFonts w:ascii="Times New Roman" w:cs="Times New Roman" w:eastAsia="Times New Roman" w:hAnsi="Times New Roman"/>
          <w:sz w:val="21"/>
          <w:szCs w:val="21"/>
          <w:color w:val="auto"/>
        </w:rPr>
      </w:pPr>
    </w:p>
    <w:p>
      <w:pPr>
        <w:jc w:val="both"/>
        <w:ind w:left="660" w:firstLine="644"/>
        <w:spacing w:after="0" w:line="236" w:lineRule="auto"/>
        <w:tabs>
          <w:tab w:leader="none" w:pos="204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or delivery of this Agreement nor the consummation of the Transactions will, either alone or in conjunction with any other event (i) entitle any current or former director, officer, employee or individual service provider of the Partnership or any of its Subsidiaries to any payment or benefit (or result in the increase, accelerated vesting or payment, or funding or accelerated funding of any such payment or benefit) or (ii) result in any “excess parachute payment” (within the meaning of Section 280G of the Code) becoming due to any current or former director, officer, employee or individual service provider of the Partnership or any of its Subsidiaries.</w:t>
      </w:r>
    </w:p>
    <w:p>
      <w:pPr>
        <w:spacing w:after="0" w:line="20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Labor Matters</w:t>
      </w:r>
      <w:r>
        <w:rPr>
          <w:rFonts w:ascii="Times New Roman" w:cs="Times New Roman" w:eastAsia="Times New Roman" w:hAnsi="Times New Roman"/>
          <w:sz w:val="22"/>
          <w:szCs w:val="22"/>
          <w:color w:val="auto"/>
        </w:rPr>
        <w:t>. Other than the Partnership’s Corporate Secretary, the Partnership and its Subsidiaries do not have, and since January 1, 2020 has not had, any employees.</w:t>
      </w:r>
    </w:p>
    <w:p>
      <w:pPr>
        <w:spacing w:after="0" w:line="185"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3.12</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080" w:hanging="776"/>
        <w:spacing w:after="0"/>
        <w:tabs>
          <w:tab w:leader="none" w:pos="20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 does not own any material Intellectual Property.</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5" w:lineRule="auto"/>
        <w:tabs>
          <w:tab w:leader="none" w:pos="20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reasonably be expected to have, individually or in the aggregate, a Material Adverse Effect, (i) the Partnership and its Subsidiaries own or possess adequate Intellectual Property necessary to carry on their business in the manner as currently conducted, and (ii) the Partnership and its Subsidiaries have not received any written notice of any infringement of or conflict with asserted rights of others with respect to any Intellectual Property.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Anti-Takeover Provisions</w:t>
      </w:r>
      <w:r>
        <w:rPr>
          <w:rFonts w:ascii="Times New Roman" w:cs="Times New Roman" w:eastAsia="Times New Roman" w:hAnsi="Times New Roman"/>
          <w:sz w:val="22"/>
          <w:szCs w:val="22"/>
          <w:color w:val="auto"/>
        </w:rPr>
        <w:t>. No “fair price”, “moratorium”, “control share acquisition” or other similar anti-takeover statute or similar statute or regulation (each, a “</w:t>
      </w:r>
      <w:r>
        <w:rPr>
          <w:rFonts w:ascii="Times New Roman" w:cs="Times New Roman" w:eastAsia="Times New Roman" w:hAnsi="Times New Roman"/>
          <w:sz w:val="22"/>
          <w:szCs w:val="22"/>
          <w:u w:val="single" w:color="auto"/>
          <w:color w:val="auto"/>
        </w:rPr>
        <w:t>Takeover Law</w:t>
      </w:r>
      <w:r>
        <w:rPr>
          <w:rFonts w:ascii="Times New Roman" w:cs="Times New Roman" w:eastAsia="Times New Roman" w:hAnsi="Times New Roman"/>
          <w:sz w:val="22"/>
          <w:szCs w:val="22"/>
          <w:color w:val="auto"/>
        </w:rPr>
        <w:t>”) applies to the Partnership with respect to this Agreement or the Merger.</w:t>
      </w:r>
    </w:p>
    <w:p>
      <w:pPr>
        <w:spacing w:after="0" w:line="20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u w:val="single" w:color="auto"/>
          <w:color w:val="auto"/>
        </w:rPr>
        <w:t>Title to Properties</w:t>
      </w:r>
      <w:r>
        <w:rPr>
          <w:rFonts w:ascii="Times New Roman" w:cs="Times New Roman" w:eastAsia="Times New Roman" w:hAnsi="Times New Roman"/>
          <w:sz w:val="22"/>
          <w:szCs w:val="22"/>
          <w:color w:val="auto"/>
        </w:rPr>
        <w:t>. Except as would not, individually or in the aggregate, reasonably be expected to have a Material Adverse Effect, the Partnership and its Subsidiaries have good and valid title to, or, if applicable, valid leasehold interests in, or valid license or right to use, all of the Partnership’s and its Subsidiaries’ assets, in each case as such property is currently being used, subject to no security interests other than Permitted Encumbrances.</w:t>
      </w:r>
    </w:p>
    <w:p>
      <w:pPr>
        <w:spacing w:after="0" w:line="2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u w:val="single" w:color="auto"/>
          <w:color w:val="auto"/>
        </w:rPr>
        <w:t>Vessels</w:t>
      </w:r>
      <w:r>
        <w:rPr>
          <w:rFonts w:ascii="Times New Roman" w:cs="Times New Roman" w:eastAsia="Times New Roman" w:hAnsi="Times New Roman"/>
          <w:sz w:val="22"/>
          <w:szCs w:val="22"/>
          <w:color w:val="auto"/>
        </w:rPr>
        <w:t>. Section 3.15 of the Partnership Disclosure Schedule is a true, complete and accurate list and description of all of the Partnership’s and its Subsidiaries’ ownership interest in any vessel (each a “</w:t>
      </w:r>
      <w:r>
        <w:rPr>
          <w:rFonts w:ascii="Times New Roman" w:cs="Times New Roman" w:eastAsia="Times New Roman" w:hAnsi="Times New Roman"/>
          <w:sz w:val="22"/>
          <w:szCs w:val="22"/>
          <w:u w:val="single" w:color="auto"/>
          <w:color w:val="auto"/>
        </w:rPr>
        <w:t>Vessel</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u w:val="single" w:color="auto"/>
          <w:color w:val="auto"/>
        </w:rPr>
        <w:t>Vessels</w:t>
      </w:r>
      <w:r>
        <w:rPr>
          <w:rFonts w:ascii="Times New Roman" w:cs="Times New Roman" w:eastAsia="Times New Roman" w:hAnsi="Times New Roman"/>
          <w:sz w:val="22"/>
          <w:szCs w:val="22"/>
          <w:color w:val="auto"/>
        </w:rPr>
        <w:t>”), including each Vessel’s name, owner, charterer attached to it as of the date of this Agreement, its manager, International Maritime Organization number, flag, type, date built, capacity (dwt), gross tonnage and class.</w:t>
      </w:r>
    </w:p>
    <w:p>
      <w:pPr>
        <w:spacing w:after="0" w:line="207" w:lineRule="exact"/>
        <w:rPr>
          <w:sz w:val="20"/>
          <w:szCs w:val="20"/>
          <w:color w:val="auto"/>
        </w:rPr>
      </w:pPr>
    </w:p>
    <w:p>
      <w:pPr>
        <w:jc w:val="both"/>
        <w:ind w:left="660" w:firstLine="644"/>
        <w:spacing w:after="0" w:line="244" w:lineRule="auto"/>
        <w:tabs>
          <w:tab w:leader="none" w:pos="214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Vessel is properly registered in the name of the legal owner under and pursuant to the flag and law of each Vessel’s applicable country of flagship, and all fees due and payable in connection with such registration has been paid.</w:t>
      </w:r>
    </w:p>
    <w:p>
      <w:pPr>
        <w:spacing w:after="0" w:line="200"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211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Vessel has been maintained in a proper and efficient manner in accordance with the internationally accepted standards for good ship maintenance and shall be in good operating order, condition and repair and be seaworthy.</w:t>
      </w:r>
    </w:p>
    <w:p>
      <w:pPr>
        <w:spacing w:after="0" w:line="200" w:lineRule="exact"/>
        <w:rPr>
          <w:rFonts w:ascii="Times New Roman" w:cs="Times New Roman" w:eastAsia="Times New Roman" w:hAnsi="Times New Roman"/>
          <w:sz w:val="22"/>
          <w:szCs w:val="22"/>
          <w:color w:val="auto"/>
        </w:rPr>
      </w:pPr>
    </w:p>
    <w:p>
      <w:pPr>
        <w:ind w:left="2080" w:hanging="776"/>
        <w:spacing w:after="0"/>
        <w:tabs>
          <w:tab w:leader="none" w:pos="20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Closing, each Vessel shall not:</w:t>
      </w:r>
    </w:p>
    <w:p>
      <w:pPr>
        <w:spacing w:after="0" w:line="233" w:lineRule="exact"/>
        <w:rPr>
          <w:rFonts w:ascii="Times New Roman" w:cs="Times New Roman" w:eastAsia="Times New Roman" w:hAnsi="Times New Roman"/>
          <w:sz w:val="22"/>
          <w:szCs w:val="22"/>
          <w:color w:val="auto"/>
        </w:rPr>
      </w:pPr>
    </w:p>
    <w:p>
      <w:pPr>
        <w:ind w:left="2740" w:hanging="788"/>
        <w:spacing w:after="0"/>
        <w:tabs>
          <w:tab w:leader="none" w:pos="2740" w:val="left"/>
        </w:tabs>
        <w:numPr>
          <w:ilvl w:val="1"/>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be under arrest or otherwise detained;</w:t>
      </w:r>
    </w:p>
    <w:p>
      <w:pPr>
        <w:spacing w:after="0" w:line="233" w:lineRule="exact"/>
        <w:rPr>
          <w:rFonts w:ascii="Times New Roman" w:cs="Times New Roman" w:eastAsia="Times New Roman" w:hAnsi="Times New Roman"/>
          <w:sz w:val="22"/>
          <w:szCs w:val="22"/>
          <w:color w:val="010000"/>
        </w:rPr>
      </w:pPr>
    </w:p>
    <w:p>
      <w:pPr>
        <w:ind w:left="1300" w:firstLine="652"/>
        <w:spacing w:after="0" w:line="258" w:lineRule="auto"/>
        <w:tabs>
          <w:tab w:leader="none" w:pos="3000" w:val="left"/>
        </w:tabs>
        <w:numPr>
          <w:ilvl w:val="1"/>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other than in the Ordinary Course, be in possession of any Person (other than such Vessel’s master and crew); or</w:t>
      </w:r>
    </w:p>
    <w:p>
      <w:pPr>
        <w:spacing w:after="0" w:line="185" w:lineRule="exact"/>
        <w:rPr>
          <w:rFonts w:ascii="Times New Roman" w:cs="Times New Roman" w:eastAsia="Times New Roman" w:hAnsi="Times New Roman"/>
          <w:sz w:val="22"/>
          <w:szCs w:val="22"/>
          <w:color w:val="010000"/>
        </w:rPr>
      </w:pPr>
    </w:p>
    <w:p>
      <w:pPr>
        <w:ind w:left="2760" w:hanging="808"/>
        <w:spacing w:after="0"/>
        <w:tabs>
          <w:tab w:leader="none" w:pos="2760" w:val="left"/>
        </w:tabs>
        <w:numPr>
          <w:ilvl w:val="1"/>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be subject to any Lien, other than a Permitted Encumbrances.</w:t>
      </w:r>
    </w:p>
    <w:p>
      <w:pPr>
        <w:spacing w:after="0" w:line="233" w:lineRule="exact"/>
        <w:rPr>
          <w:rFonts w:ascii="Times New Roman" w:cs="Times New Roman" w:eastAsia="Times New Roman" w:hAnsi="Times New Roman"/>
          <w:sz w:val="22"/>
          <w:szCs w:val="22"/>
          <w:color w:val="010000"/>
        </w:rPr>
      </w:pPr>
    </w:p>
    <w:p>
      <w:pPr>
        <w:jc w:val="both"/>
        <w:ind w:left="660" w:firstLine="644"/>
        <w:spacing w:after="0" w:line="261" w:lineRule="auto"/>
        <w:tabs>
          <w:tab w:leader="none" w:pos="1979"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Closing, each Vessel (other than Vessels that are in lay-up) is supplied with valid and up-to-date safety, safety construction, safety equipment, radio, loadline, health, tonnage, trading and other certificates or documents as required under any applicable Law and internationally accepted standards for good ship management and operations.</w:t>
      </w:r>
    </w:p>
    <w:p>
      <w:pPr>
        <w:spacing w:after="0" w:line="184" w:lineRule="exact"/>
        <w:rPr>
          <w:rFonts w:ascii="Times New Roman" w:cs="Times New Roman" w:eastAsia="Times New Roman" w:hAnsi="Times New Roman"/>
          <w:sz w:val="21"/>
          <w:szCs w:val="21"/>
          <w:color w:val="auto"/>
        </w:rPr>
      </w:pPr>
    </w:p>
    <w:p>
      <w:pPr>
        <w:ind w:left="660" w:firstLine="644"/>
        <w:spacing w:after="0" w:line="258" w:lineRule="auto"/>
        <w:tabs>
          <w:tab w:leader="none" w:pos="221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blacklisting or boycotting of any type has been or will have been applied or exists or will exists in respect of any Vessel.</w:t>
      </w:r>
    </w:p>
    <w:p>
      <w:pPr>
        <w:spacing w:after="0" w:line="185" w:lineRule="exact"/>
        <w:rPr>
          <w:rFonts w:ascii="Times New Roman" w:cs="Times New Roman" w:eastAsia="Times New Roman" w:hAnsi="Times New Roman"/>
          <w:sz w:val="22"/>
          <w:szCs w:val="22"/>
          <w:color w:val="auto"/>
        </w:rPr>
      </w:pPr>
    </w:p>
    <w:p>
      <w:pPr>
        <w:ind w:left="660" w:firstLine="644"/>
        <w:spacing w:after="0" w:line="258" w:lineRule="auto"/>
        <w:tabs>
          <w:tab w:leader="none" w:pos="221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Partnership 2020 SEC Documents there are no outstanding options or other rights to purchase any Vessel.</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Section 3.16</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jc w:val="both"/>
        <w:ind w:firstLine="1292"/>
        <w:spacing w:after="0" w:line="238" w:lineRule="auto"/>
        <w:tabs>
          <w:tab w:leader="none" w:pos="210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Partnership and its Subsidiaries is in compliance with any and all applicable foreign, federal, state and local Laws and regulations relating to pollution or the protection of the environment or imposing liability or standards of conduct concerning the use, handling, storage or management of any Hazardous Materials (“</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except as would not, individually or in the aggregate, reasonably be expected to have a Material Adverse Effect;</w:t>
      </w:r>
    </w:p>
    <w:p>
      <w:pPr>
        <w:spacing w:after="0" w:line="203" w:lineRule="exact"/>
        <w:rPr>
          <w:rFonts w:ascii="Times New Roman" w:cs="Times New Roman" w:eastAsia="Times New Roman" w:hAnsi="Times New Roman"/>
          <w:sz w:val="22"/>
          <w:szCs w:val="22"/>
          <w:color w:val="auto"/>
        </w:rPr>
      </w:pPr>
    </w:p>
    <w:p>
      <w:pPr>
        <w:jc w:val="both"/>
        <w:ind w:firstLine="1292"/>
        <w:spacing w:after="0" w:line="249" w:lineRule="auto"/>
        <w:tabs>
          <w:tab w:leader="none" w:pos="2135"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Partnership and its Subsidiaries (i) has received all permits required of them under applicable Environmental Laws to conduct their respective businesses as presently conducted (“</w:t>
      </w:r>
      <w:r>
        <w:rPr>
          <w:rFonts w:ascii="Times New Roman" w:cs="Times New Roman" w:eastAsia="Times New Roman" w:hAnsi="Times New Roman"/>
          <w:sz w:val="21"/>
          <w:szCs w:val="21"/>
          <w:u w:val="single" w:color="auto"/>
          <w:color w:val="auto"/>
        </w:rPr>
        <w:t>Environmental Permits</w:t>
      </w:r>
      <w:r>
        <w:rPr>
          <w:rFonts w:ascii="Times New Roman" w:cs="Times New Roman" w:eastAsia="Times New Roman" w:hAnsi="Times New Roman"/>
          <w:sz w:val="21"/>
          <w:szCs w:val="21"/>
          <w:color w:val="auto"/>
        </w:rPr>
        <w:t>”) except for any such Environmental Permits that are the responsibility of the charter parties under the charter agreements relating to the Vessels as such agreements are currently in effect and which Environmental Permits the charter parties have obtained and (ii) are in compliance with all terms and conditions of any such Environmental Permits, except, in each case, as would not, individually or in the aggregate, reasonably be expected to have a Material Adverse Effect;</w:t>
      </w:r>
    </w:p>
    <w:p>
      <w:pPr>
        <w:spacing w:after="0" w:line="197" w:lineRule="exact"/>
        <w:rPr>
          <w:rFonts w:ascii="Times New Roman" w:cs="Times New Roman" w:eastAsia="Times New Roman" w:hAnsi="Times New Roman"/>
          <w:sz w:val="21"/>
          <w:szCs w:val="21"/>
          <w:color w:val="auto"/>
        </w:rPr>
      </w:pPr>
    </w:p>
    <w:p>
      <w:pPr>
        <w:jc w:val="both"/>
        <w:ind w:firstLine="1292"/>
        <w:spacing w:after="0" w:line="244" w:lineRule="auto"/>
        <w:tabs>
          <w:tab w:leader="none" w:pos="216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known or threatened release into the environment of any Hazardous Material for which the Partnership or any of its Subsidiaries are or could become liable, except as would not, individually or in the aggregate, reasonably be expected to have a Material Adverse Effect.</w:t>
      </w:r>
    </w:p>
    <w:p>
      <w:pPr>
        <w:spacing w:after="0" w:line="200" w:lineRule="exact"/>
        <w:rPr>
          <w:rFonts w:ascii="Times New Roman" w:cs="Times New Roman" w:eastAsia="Times New Roman" w:hAnsi="Times New Roman"/>
          <w:sz w:val="22"/>
          <w:szCs w:val="22"/>
          <w:color w:val="auto"/>
        </w:rPr>
      </w:pPr>
    </w:p>
    <w:p>
      <w:pPr>
        <w:jc w:val="both"/>
        <w:ind w:firstLine="1292"/>
        <w:spacing w:after="0" w:line="239" w:lineRule="auto"/>
        <w:tabs>
          <w:tab w:leader="none" w:pos="202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Partnership nor any of its Subsidiaries has entered into or agreed to any consent order, decree or Contract, or are subject to or have received any notice of violation, claim, settlement, or order, in each case relating to liability under any Environmental Law other than any thereof that has not had, or would not reasonably expected to have, individually or in the aggregate, a Material Adverse Effect.</w:t>
      </w:r>
    </w:p>
    <w:p>
      <w:pPr>
        <w:spacing w:after="0" w:line="207" w:lineRule="exact"/>
        <w:rPr>
          <w:rFonts w:ascii="Times New Roman" w:cs="Times New Roman" w:eastAsia="Times New Roman" w:hAnsi="Times New Roman"/>
          <w:sz w:val="22"/>
          <w:szCs w:val="22"/>
          <w:color w:val="auto"/>
        </w:rPr>
      </w:pPr>
    </w:p>
    <w:p>
      <w:pPr>
        <w:jc w:val="both"/>
        <w:ind w:right="20" w:firstLine="1292"/>
        <w:spacing w:after="0" w:line="239" w:lineRule="auto"/>
        <w:tabs>
          <w:tab w:leader="none" w:pos="23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Liens, written notices or Proceedings pending or, to the Knowledge of the Partnership, threatened regarding any actual or potential liability under, violation of, or non-compliance with, any Environmental Law or Environmental Permit other than any liability, violation or non-compliance that has not had, and would not reasonably expected to have, individually or in the aggregate, a Material Adverse Effect.</w:t>
      </w:r>
    </w:p>
    <w:p>
      <w:pPr>
        <w:spacing w:after="0" w:line="207" w:lineRule="exact"/>
        <w:rPr>
          <w:rFonts w:ascii="Times New Roman" w:cs="Times New Roman" w:eastAsia="Times New Roman" w:hAnsi="Times New Roman"/>
          <w:sz w:val="22"/>
          <w:szCs w:val="22"/>
          <w:color w:val="auto"/>
        </w:rPr>
      </w:pPr>
    </w:p>
    <w:p>
      <w:pPr>
        <w:jc w:val="both"/>
        <w:ind w:firstLine="1292"/>
        <w:spacing w:after="0" w:line="235" w:lineRule="auto"/>
        <w:tabs>
          <w:tab w:leader="none" w:pos="209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 has delivered or otherwise made available for inspection to Parent true, complete and correct copies and results of any reports, data, investigations, audits, assessments, material correspondence, studies, analyses, tests or monitoring in the possession of or reasonably available to the Partnership or any of its Subsidiaries pertaining to: (i) any unresolved liabilities under Environmental Law; (ii) any Release of Hazardous Materials by the Partnership or any of its Subsidiaries or at any property currently or formerly owned, operated or leased by the Partnership or any of its Subsidiaries; or (iii) the Partnership's or any of its Subsidiaries’ compliance with applicable Environmental Laws.</w:t>
      </w:r>
    </w:p>
    <w:p>
      <w:pPr>
        <w:spacing w:after="0" w:line="39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32" w:name="page33"/>
    <w:bookmarkEnd w:id="32"/>
    <w:p>
      <w:pPr>
        <w:jc w:val="both"/>
        <w:ind w:firstLine="1292"/>
        <w:spacing w:after="0" w:line="248" w:lineRule="auto"/>
        <w:tabs>
          <w:tab w:leader="none" w:pos="2317"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Ordinary Course, the Partnership and its Subsidiaries periodically review the effect of Environmental Laws on their business, operations and properties, in the course of which they identify and evaluate costs and liabilities that they believe are reasonably likely to be incurred pursuant to such Environmental Laws (including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Partnership and its Subsidiaries have reasonably concluded that such associated costs and liabilities relating to the Vessels would not, individually or in the aggregate, have a Material Adverse Effect.</w:t>
      </w:r>
    </w:p>
    <w:p>
      <w:pPr>
        <w:spacing w:after="0" w:line="198"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Section 3.17</w:t>
      </w:r>
      <w:r>
        <w:rPr>
          <w:sz w:val="20"/>
          <w:szCs w:val="20"/>
          <w:color w:val="auto"/>
        </w:rPr>
        <w:tab/>
      </w:r>
      <w:r>
        <w:rPr>
          <w:rFonts w:ascii="Times New Roman" w:cs="Times New Roman" w:eastAsia="Times New Roman" w:hAnsi="Times New Roman"/>
          <w:sz w:val="21"/>
          <w:szCs w:val="21"/>
          <w:u w:val="single" w:color="auto"/>
          <w:color w:val="auto"/>
        </w:rPr>
        <w:t>Partnership Material Contracts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4"/>
        <w:spacing w:after="0" w:line="238" w:lineRule="auto"/>
        <w:tabs>
          <w:tab w:leader="none" w:pos="15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3.17(a) of the Partnership Disclosure Schedule contains a list of each Contract to which any of the Partnership or its Subsidiaries is party or by which any of them or any of their properties or assets may be bound that is in effect as of the date of this Agreement (excluding any Contracts to which Parent or any of its Affiliates is a party) and that falls in one or more of the following categories (collectively, whether or not scheduled and including any such Contracts entered into after the date hereof, the “</w:t>
      </w:r>
      <w:r>
        <w:rPr>
          <w:rFonts w:ascii="Times New Roman" w:cs="Times New Roman" w:eastAsia="Times New Roman" w:hAnsi="Times New Roman"/>
          <w:sz w:val="22"/>
          <w:szCs w:val="22"/>
          <w:u w:val="single" w:color="auto"/>
          <w:color w:val="auto"/>
        </w:rPr>
        <w:t>Partnership Material Contracts</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jc w:val="both"/>
        <w:ind w:left="640" w:firstLine="652"/>
        <w:spacing w:after="0" w:line="244" w:lineRule="auto"/>
        <w:tabs>
          <w:tab w:leader="none" w:pos="2151" w:val="left"/>
        </w:tabs>
        <w:numPr>
          <w:ilvl w:val="1"/>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containing covenants binding upon the Partnership or its Subsidiaries that restrict during any period of time the ability of the Partnership or any of its Subsidiaries to compete or engage in any business or geographical area;</w:t>
      </w:r>
    </w:p>
    <w:p>
      <w:pPr>
        <w:spacing w:after="0" w:line="200" w:lineRule="exact"/>
        <w:rPr>
          <w:rFonts w:ascii="Times New Roman" w:cs="Times New Roman" w:eastAsia="Times New Roman" w:hAnsi="Times New Roman"/>
          <w:sz w:val="22"/>
          <w:szCs w:val="22"/>
          <w:color w:val="010000"/>
        </w:rPr>
      </w:pPr>
    </w:p>
    <w:p>
      <w:pPr>
        <w:jc w:val="both"/>
        <w:ind w:left="640" w:firstLine="652"/>
        <w:spacing w:after="0" w:line="239" w:lineRule="auto"/>
        <w:tabs>
          <w:tab w:leader="none" w:pos="2071" w:val="left"/>
        </w:tabs>
        <w:numPr>
          <w:ilvl w:val="1"/>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containing any “most favored nations,” exclusivity or similar right or undertaking in favor of any party other than the Partnership and its Subsidiaries with respect to any material goods or services purchased or sold by the Partnership or its Subsidiaries and that would bind Parent or any of its Subsidiaries following the Closing Date;</w:t>
      </w:r>
    </w:p>
    <w:p>
      <w:pPr>
        <w:spacing w:after="0" w:line="207" w:lineRule="exact"/>
        <w:rPr>
          <w:rFonts w:ascii="Times New Roman" w:cs="Times New Roman" w:eastAsia="Times New Roman" w:hAnsi="Times New Roman"/>
          <w:sz w:val="22"/>
          <w:szCs w:val="22"/>
          <w:color w:val="010000"/>
        </w:rPr>
      </w:pPr>
    </w:p>
    <w:p>
      <w:pPr>
        <w:jc w:val="both"/>
        <w:ind w:left="640" w:firstLine="652"/>
        <w:spacing w:after="0" w:line="236" w:lineRule="auto"/>
        <w:tabs>
          <w:tab w:leader="none" w:pos="1994" w:val="left"/>
        </w:tabs>
        <w:numPr>
          <w:ilvl w:val="1"/>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with any third party which provides for the purchase of energy, capacity or ancillary services from the Partnership or any of its Subsidiaries and that (1) generated revenues from such third party in excess of $5 million in the aggregate for the Partnership or any of its Subsidiaries during the year ended December 31, 2020 or that is expected to do so during the year ending December 31, 2021 or (2) is expected to generate revenues from such third party in excess of $5 million in the aggregate for the Partnership or any of its Subsidiaries over the term of such Contract;</w:t>
      </w:r>
    </w:p>
    <w:p>
      <w:pPr>
        <w:spacing w:after="0" w:line="208" w:lineRule="exact"/>
        <w:rPr>
          <w:rFonts w:ascii="Times New Roman" w:cs="Times New Roman" w:eastAsia="Times New Roman" w:hAnsi="Times New Roman"/>
          <w:sz w:val="22"/>
          <w:szCs w:val="22"/>
          <w:color w:val="010000"/>
        </w:rPr>
      </w:pPr>
    </w:p>
    <w:p>
      <w:pPr>
        <w:jc w:val="both"/>
        <w:ind w:left="640" w:firstLine="652"/>
        <w:spacing w:after="0" w:line="239" w:lineRule="auto"/>
        <w:tabs>
          <w:tab w:leader="none" w:pos="1954" w:val="left"/>
        </w:tabs>
        <w:numPr>
          <w:ilvl w:val="1"/>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with any third party which provides operating and maintenance, asset management or other similar project-level services to the Partnership or any of its Subsidiaries, that involved payments by the Partnership or any of its Subsidiaries during either of the years ended December 31, 2019 or December 31, 2020 in excess of $5 million in the aggregate or that is expected to do so during the year ending December 31, 2021;</w:t>
      </w:r>
    </w:p>
    <w:p>
      <w:pPr>
        <w:spacing w:after="0" w:line="38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33" w:name="page34"/>
    <w:bookmarkEnd w:id="33"/>
    <w:p>
      <w:pPr>
        <w:ind w:left="180" w:right="20" w:firstLine="652"/>
        <w:spacing w:after="0" w:line="259" w:lineRule="auto"/>
        <w:tabs>
          <w:tab w:leader="none" w:pos="1747"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 material warranty agreement or performance guarantee Contract, (B) operation and maintenance Contract, and (C) asset management Contract;</w:t>
      </w:r>
    </w:p>
    <w:p>
      <w:pPr>
        <w:spacing w:after="0" w:line="183" w:lineRule="exact"/>
        <w:rPr>
          <w:rFonts w:ascii="Times New Roman" w:cs="Times New Roman" w:eastAsia="Times New Roman" w:hAnsi="Times New Roman"/>
          <w:sz w:val="22"/>
          <w:szCs w:val="22"/>
          <w:color w:val="010000"/>
        </w:rPr>
      </w:pPr>
    </w:p>
    <w:p>
      <w:pPr>
        <w:ind w:left="180" w:right="20" w:firstLine="652"/>
        <w:spacing w:after="0" w:line="282" w:lineRule="auto"/>
        <w:tabs>
          <w:tab w:leader="none" w:pos="1635" w:val="left"/>
        </w:tabs>
        <w:numPr>
          <w:ilvl w:val="0"/>
          <w:numId w:val="2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lease, sublease or similar Contract with any Person under which the Partnership or any of its Subsidiaries is a lessor or sublessor of, or makes available for use to any Person, any interests in real property;</w:t>
      </w:r>
    </w:p>
    <w:p>
      <w:pPr>
        <w:spacing w:after="0" w:line="161" w:lineRule="exact"/>
        <w:rPr>
          <w:rFonts w:ascii="Times New Roman" w:cs="Times New Roman" w:eastAsia="Times New Roman" w:hAnsi="Times New Roman"/>
          <w:sz w:val="21"/>
          <w:szCs w:val="21"/>
          <w:color w:val="010000"/>
        </w:rPr>
      </w:pPr>
    </w:p>
    <w:p>
      <w:pPr>
        <w:ind w:left="180" w:right="20" w:firstLine="652"/>
        <w:spacing w:after="0" w:line="258" w:lineRule="auto"/>
        <w:tabs>
          <w:tab w:leader="none" w:pos="1573"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for the sale of any asset or collection of assets that would reasonably be expected to be material to the Partnership’s or any of its Subsidiaries’ respective businesses in the aggregate;</w:t>
      </w:r>
    </w:p>
    <w:p>
      <w:pPr>
        <w:spacing w:after="0" w:line="185" w:lineRule="exact"/>
        <w:rPr>
          <w:rFonts w:ascii="Times New Roman" w:cs="Times New Roman" w:eastAsia="Times New Roman" w:hAnsi="Times New Roman"/>
          <w:sz w:val="22"/>
          <w:szCs w:val="22"/>
          <w:color w:val="010000"/>
        </w:rPr>
      </w:pPr>
    </w:p>
    <w:p>
      <w:pPr>
        <w:jc w:val="both"/>
        <w:ind w:left="180" w:firstLine="652"/>
        <w:spacing w:after="0" w:line="239" w:lineRule="auto"/>
        <w:tabs>
          <w:tab w:leader="none" w:pos="1734"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involving the payment of more than $5 million in 2020 or would reasonably be expected to provide for the purchase of more than $5 million in the aggregate in respect of the Partnership’s business in 2021 or any future year that is not terminable at will by the Partnership or any of its Subsidiaries (or by Parent and the Surviving Entity following the Closing Date) on less than 60 days’ notice without penalty;</w:t>
      </w:r>
    </w:p>
    <w:p>
      <w:pPr>
        <w:spacing w:after="0" w:line="207" w:lineRule="exact"/>
        <w:rPr>
          <w:rFonts w:ascii="Times New Roman" w:cs="Times New Roman" w:eastAsia="Times New Roman" w:hAnsi="Times New Roman"/>
          <w:sz w:val="22"/>
          <w:szCs w:val="22"/>
          <w:color w:val="010000"/>
        </w:rPr>
      </w:pPr>
    </w:p>
    <w:p>
      <w:pPr>
        <w:ind w:left="1620" w:hanging="788"/>
        <w:spacing w:after="0"/>
        <w:tabs>
          <w:tab w:leader="none" w:pos="1620"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charter for any Vessel;</w:t>
      </w:r>
    </w:p>
    <w:p>
      <w:pPr>
        <w:spacing w:after="0" w:line="233" w:lineRule="exact"/>
        <w:rPr>
          <w:rFonts w:ascii="Times New Roman" w:cs="Times New Roman" w:eastAsia="Times New Roman" w:hAnsi="Times New Roman"/>
          <w:sz w:val="22"/>
          <w:szCs w:val="22"/>
          <w:color w:val="010000"/>
        </w:rPr>
      </w:pPr>
    </w:p>
    <w:p>
      <w:pPr>
        <w:ind w:left="1620" w:hanging="788"/>
        <w:spacing w:after="0"/>
        <w:tabs>
          <w:tab w:leader="none" w:pos="1620"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relating to any Indebtedness of the Partnership or any of its Subsidiaries;</w:t>
      </w:r>
    </w:p>
    <w:p>
      <w:pPr>
        <w:spacing w:after="0" w:line="233" w:lineRule="exact"/>
        <w:rPr>
          <w:rFonts w:ascii="Times New Roman" w:cs="Times New Roman" w:eastAsia="Times New Roman" w:hAnsi="Times New Roman"/>
          <w:sz w:val="22"/>
          <w:szCs w:val="22"/>
          <w:color w:val="010000"/>
        </w:rPr>
      </w:pPr>
    </w:p>
    <w:p>
      <w:pPr>
        <w:jc w:val="both"/>
        <w:ind w:left="180" w:firstLine="652"/>
        <w:spacing w:after="0" w:line="239" w:lineRule="auto"/>
        <w:tabs>
          <w:tab w:leader="none" w:pos="1941"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under which (i) any Person has directly or indirectly guaranteed or assumed Indebtedness, liabilities or obligations of the Partnership or any of its Subsidiaries or (B) the Partnership or any of its Subsidiaries has directly or indirectly guaranteed or assumed Indebtedness, Liabilities or obligations of another Person in excess of $5 million individually or $10 million in the aggregate;</w:t>
      </w:r>
    </w:p>
    <w:p>
      <w:pPr>
        <w:spacing w:after="0" w:line="207" w:lineRule="exact"/>
        <w:rPr>
          <w:rFonts w:ascii="Times New Roman" w:cs="Times New Roman" w:eastAsia="Times New Roman" w:hAnsi="Times New Roman"/>
          <w:sz w:val="22"/>
          <w:szCs w:val="22"/>
          <w:color w:val="010000"/>
        </w:rPr>
      </w:pPr>
    </w:p>
    <w:p>
      <w:pPr>
        <w:jc w:val="both"/>
        <w:ind w:left="180" w:firstLine="652"/>
        <w:spacing w:after="0" w:line="244" w:lineRule="auto"/>
        <w:tabs>
          <w:tab w:leader="none" w:pos="1653"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material settlement or compromise of any suit, claim, proceeding or dispute relating to the Partnership or any of its Subsidiaries that would materially and adversely impact the business currently being conducted by the Partnership or any of its Subsidiaries at or following the Closing Date;</w:t>
      </w:r>
    </w:p>
    <w:p>
      <w:pPr>
        <w:spacing w:after="0" w:line="200" w:lineRule="exact"/>
        <w:rPr>
          <w:rFonts w:ascii="Times New Roman" w:cs="Times New Roman" w:eastAsia="Times New Roman" w:hAnsi="Times New Roman"/>
          <w:sz w:val="22"/>
          <w:szCs w:val="22"/>
          <w:color w:val="010000"/>
        </w:rPr>
      </w:pPr>
    </w:p>
    <w:p>
      <w:pPr>
        <w:ind w:left="180" w:firstLine="652"/>
        <w:spacing w:after="0" w:line="258" w:lineRule="auto"/>
        <w:tabs>
          <w:tab w:leader="none" w:pos="1538"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establishing or providing for any material partnership, strategic alliance, joint venture or material collaboration (including any Joint Venture Entity);</w:t>
      </w:r>
    </w:p>
    <w:p>
      <w:pPr>
        <w:spacing w:after="0" w:line="185" w:lineRule="exact"/>
        <w:rPr>
          <w:rFonts w:ascii="Times New Roman" w:cs="Times New Roman" w:eastAsia="Times New Roman" w:hAnsi="Times New Roman"/>
          <w:sz w:val="22"/>
          <w:szCs w:val="22"/>
          <w:color w:val="010000"/>
        </w:rPr>
      </w:pPr>
    </w:p>
    <w:p>
      <w:pPr>
        <w:ind w:left="1660" w:hanging="828"/>
        <w:spacing w:after="0"/>
        <w:tabs>
          <w:tab w:leader="none" w:pos="1660" w:val="left"/>
        </w:tabs>
        <w:numPr>
          <w:ilvl w:val="0"/>
          <w:numId w:val="2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Contract requiring capital expenditures in excess of $5 million individually or $10 million in</w:t>
      </w:r>
    </w:p>
    <w:p>
      <w:pPr>
        <w:spacing w:after="0" w:line="25" w:lineRule="exact"/>
        <w:rPr>
          <w:rFonts w:ascii="Times New Roman" w:cs="Times New Roman" w:eastAsia="Times New Roman" w:hAnsi="Times New Roman"/>
          <w:sz w:val="21"/>
          <w:szCs w:val="21"/>
          <w:color w:val="010000"/>
        </w:rPr>
      </w:pPr>
    </w:p>
    <w:p>
      <w:pPr>
        <w:ind w:left="18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the aggregate;</w:t>
      </w:r>
    </w:p>
    <w:p>
      <w:pPr>
        <w:spacing w:after="0" w:line="209" w:lineRule="exact"/>
        <w:rPr>
          <w:rFonts w:ascii="Times New Roman" w:cs="Times New Roman" w:eastAsia="Times New Roman" w:hAnsi="Times New Roman"/>
          <w:sz w:val="21"/>
          <w:szCs w:val="21"/>
          <w:color w:val="010000"/>
        </w:rPr>
      </w:pPr>
    </w:p>
    <w:p>
      <w:pPr>
        <w:ind w:left="180" w:firstLine="652"/>
        <w:spacing w:after="0" w:line="258" w:lineRule="auto"/>
        <w:tabs>
          <w:tab w:leader="none" w:pos="1556"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other Contract not made in the ordinary course that is material to the business currently being conducted by the Partnership or any of its Subsidiaries;</w:t>
      </w:r>
    </w:p>
    <w:p>
      <w:pPr>
        <w:spacing w:after="0" w:line="185" w:lineRule="exact"/>
        <w:rPr>
          <w:rFonts w:ascii="Times New Roman" w:cs="Times New Roman" w:eastAsia="Times New Roman" w:hAnsi="Times New Roman"/>
          <w:sz w:val="22"/>
          <w:szCs w:val="22"/>
          <w:color w:val="010000"/>
        </w:rPr>
      </w:pPr>
    </w:p>
    <w:p>
      <w:pPr>
        <w:ind w:left="1620" w:hanging="788"/>
        <w:spacing w:after="0"/>
        <w:tabs>
          <w:tab w:leader="none" w:pos="1620"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currency, interest rate or other hedge, swap or other derivative Contract.</w:t>
      </w:r>
    </w:p>
    <w:p>
      <w:pPr>
        <w:spacing w:after="0" w:line="200" w:lineRule="exact"/>
        <w:rPr>
          <w:sz w:val="20"/>
          <w:szCs w:val="20"/>
          <w:color w:val="auto"/>
        </w:rPr>
      </w:pPr>
    </w:p>
    <w:p>
      <w:pPr>
        <w:spacing w:after="0" w:line="21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34" w:name="page35"/>
    <w:bookmarkEnd w:id="34"/>
    <w:p>
      <w:pPr>
        <w:jc w:val="both"/>
        <w:ind w:left="660" w:firstLine="644"/>
        <w:spacing w:after="0" w:line="235" w:lineRule="auto"/>
        <w:tabs>
          <w:tab w:leader="none" w:pos="211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Partnership Material Contract is valid, binding and in full force and effect and is enforceable by and against the Partnership or one of its Subsidiaries in accordance with its terms, except as has not been and would not reasonably be expected to have a Material Adverse Effect. Except as would not have a Material Adverse Effect, each of the Partnership and its Subsidiaries has performed all obligations required to be performed by it to date under the Partnership Material Contracts to which it is a party and is not in breach of or default thereunder, and, to the Knowledge of the Partnership, no other party to any Partnership Material Contract is in breach of or default thereunder, in each case in any respect that would reasonably be expected to have, individually or in the aggregate, a Material Adverse Effect.</w:t>
      </w:r>
    </w:p>
    <w:p>
      <w:pPr>
        <w:spacing w:after="0" w:line="210" w:lineRule="exact"/>
        <w:rPr>
          <w:rFonts w:ascii="Times New Roman" w:cs="Times New Roman" w:eastAsia="Times New Roman" w:hAnsi="Times New Roman"/>
          <w:sz w:val="22"/>
          <w:szCs w:val="22"/>
          <w:color w:val="auto"/>
        </w:rPr>
      </w:pPr>
    </w:p>
    <w:p>
      <w:pPr>
        <w:jc w:val="both"/>
        <w:ind w:left="660" w:right="20" w:firstLine="644"/>
        <w:spacing w:after="0" w:line="244" w:lineRule="auto"/>
        <w:tabs>
          <w:tab w:leader="none" w:pos="226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 has made available to Parent prior to the date hereof a true and correct copy of each Partnership Material Contract (or, if such Contract is not in written form, a true and correct summary of the material terms thereof).</w:t>
      </w:r>
    </w:p>
    <w:p>
      <w:pPr>
        <w:spacing w:after="0" w:line="20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u w:val="single" w:color="auto"/>
          <w:color w:val="auto"/>
        </w:rPr>
        <w:t>Joint Venture Agreements</w:t>
      </w:r>
      <w:r>
        <w:rPr>
          <w:rFonts w:ascii="Times New Roman" w:cs="Times New Roman" w:eastAsia="Times New Roman" w:hAnsi="Times New Roman"/>
          <w:sz w:val="22"/>
          <w:szCs w:val="22"/>
          <w:color w:val="auto"/>
        </w:rPr>
        <w:t>. As of the date of this Agreement, (a) each agreement pursuant to which any Joint Venture Entity is a party (the “</w:t>
      </w:r>
      <w:r>
        <w:rPr>
          <w:rFonts w:ascii="Times New Roman" w:cs="Times New Roman" w:eastAsia="Times New Roman" w:hAnsi="Times New Roman"/>
          <w:sz w:val="22"/>
          <w:szCs w:val="22"/>
          <w:u w:val="single" w:color="auto"/>
          <w:color w:val="auto"/>
        </w:rPr>
        <w:t>Joint Venture Contracts</w:t>
      </w:r>
      <w:r>
        <w:rPr>
          <w:rFonts w:ascii="Times New Roman" w:cs="Times New Roman" w:eastAsia="Times New Roman" w:hAnsi="Times New Roman"/>
          <w:sz w:val="22"/>
          <w:szCs w:val="22"/>
          <w:color w:val="auto"/>
        </w:rPr>
        <w:t>”) is valid and binding on the applicable Joint Venture Entity, and to the Knowledge of the Partnership, each other party thereto, and is in full force and effect, (b) the applicable Joint Venture Entity, and, to the Knowledge of the Partnership, any other party thereto, has performed all material obligations required to be performed by it under each Joint Venture Contract, (c) none of the Joint Venture Entities has received written notice of the existence of any event or condition which constitutes, or, after notice or lapse of time or both, will constitute, a default on the part of such Joint Venture Entity under any Joint Venture Contract, except where such default would not reasonably be expected to have, individually or in the aggregate, a Material Adverse Effect and (d) to the Knowledge of the Partnership, there are no events or conditions which constitute, or, after notice or lapse of time or both, will constitute, a default on the part of any counterparty under such Joint Venture Contract, except as would not reasonably be expected to have, individually or in the aggregate, a Material Adverse Effect, (e) to the Knowledge of the Partnership, no Joint Venture Entity to a Joint Venture Contract is, insolvent or the subject of a rehabilitation, liquidation, conservatorship, receivership, bankruptcy or similar proceeding and (f) there are no disputes under any Joint Venture Contract, except as would not reasonably be expected to have, individually or in the aggregate, a Material Adverse Effect.</w:t>
      </w:r>
    </w:p>
    <w:p>
      <w:pPr>
        <w:spacing w:after="0" w:line="20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3.19 </w:t>
      </w:r>
      <w:r>
        <w:rPr>
          <w:rFonts w:ascii="Times New Roman" w:cs="Times New Roman" w:eastAsia="Times New Roman" w:hAnsi="Times New Roman"/>
          <w:sz w:val="22"/>
          <w:szCs w:val="22"/>
          <w:u w:val="single" w:color="auto"/>
          <w:color w:val="auto"/>
        </w:rPr>
        <w:t>Customers</w:t>
      </w:r>
      <w:r>
        <w:rPr>
          <w:rFonts w:ascii="Times New Roman" w:cs="Times New Roman" w:eastAsia="Times New Roman" w:hAnsi="Times New Roman"/>
          <w:sz w:val="22"/>
          <w:szCs w:val="22"/>
          <w:color w:val="auto"/>
        </w:rPr>
        <w:t>. Part I of Section 3.19 of the Partnership Disclosure Schedule sets forth a true and complete list of each customer who was one of the 10 largest sources of revenue for the Partnership and its Subsidiaries during the fiscal year ended December 31, 2020, based on amounts paid or payable, or that will reasonably be expected to be one of the ten (10) largest sources of revenues for the Partnership and its Subsidiaries for the fiscal year ending December 31, 2021 (each, a “</w:t>
      </w:r>
      <w:r>
        <w:rPr>
          <w:rFonts w:ascii="Times New Roman" w:cs="Times New Roman" w:eastAsia="Times New Roman" w:hAnsi="Times New Roman"/>
          <w:sz w:val="22"/>
          <w:szCs w:val="22"/>
          <w:u w:val="single" w:color="auto"/>
          <w:color w:val="auto"/>
        </w:rPr>
        <w:t>Significant Customer</w:t>
      </w:r>
      <w:r>
        <w:rPr>
          <w:rFonts w:ascii="Times New Roman" w:cs="Times New Roman" w:eastAsia="Times New Roman" w:hAnsi="Times New Roman"/>
          <w:sz w:val="22"/>
          <w:szCs w:val="22"/>
          <w:color w:val="auto"/>
        </w:rPr>
        <w:t>”). Since January 1, 2020 and except as set forth in Part II of Section 3.19 of the Partnership Disclosure Schedule, to the Knowledge of the Partnership, no Significant Customer has indicated an intention to (i) terminate its relationship with the Partnership or its Subsidiaries or (ii) change, materially and adversely, the terms and conditions of the time charter or time charters under which it charters any Vessel or Vessels from the Partnership or its Subsidiaries.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3.20 </w:t>
      </w:r>
      <w:r>
        <w:rPr>
          <w:rFonts w:ascii="Times New Roman" w:cs="Times New Roman" w:eastAsia="Times New Roman" w:hAnsi="Times New Roman"/>
          <w:sz w:val="22"/>
          <w:szCs w:val="22"/>
          <w:u w:val="single" w:color="auto"/>
          <w:color w:val="auto"/>
        </w:rPr>
        <w:t>Insurance Policies</w:t>
      </w:r>
      <w:r>
        <w:rPr>
          <w:rFonts w:ascii="Times New Roman" w:cs="Times New Roman" w:eastAsia="Times New Roman" w:hAnsi="Times New Roman"/>
          <w:sz w:val="22"/>
          <w:szCs w:val="22"/>
          <w:color w:val="auto"/>
        </w:rPr>
        <w:t>. The Partnership and its Subsidiaries carry or are entitled to the benefits of insurance policies, with financially sound and reputable insurers, in such amounts and covering such risks as are generally maintained by companies of established repute engaged in the same or similar business. All such insurance policies are in full force and effect, all premiums due thereon have been paid in full, neither the Partnership nor any of its Subsidiaries is in material breach or material default thereunder or has failed to give due and timely notice of any material claim or occurrence under any such insurance policy, no such insurance claim has been disputed or denied by the applicable insurer, and during the twelve (12) months prior to the date of this Agreement no notice of cancellation or termination has been received by the Partnership or any of its Subsidiaries with respect to any such insurance policy. The Partnership and its Subsidiaries have no reason to believe that they will not be able to (i) renew their existing insurance coverage as and when such policies expire or (ii) obtain comparable coverage from similar institutions as may be necessary or appropriate to conduct their business as now conducted and at a cost that would not reasonably be expected to have a Material Adverse Effect.</w:t>
      </w:r>
    </w:p>
    <w:p>
      <w:pPr>
        <w:spacing w:after="0" w:line="215"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3.21</w:t>
      </w:r>
      <w:r>
        <w:rPr>
          <w:sz w:val="20"/>
          <w:szCs w:val="20"/>
          <w:color w:val="auto"/>
        </w:rPr>
        <w:tab/>
      </w:r>
      <w:r>
        <w:rPr>
          <w:rFonts w:ascii="Times New Roman" w:cs="Times New Roman" w:eastAsia="Times New Roman" w:hAnsi="Times New Roman"/>
          <w:sz w:val="21"/>
          <w:szCs w:val="21"/>
          <w:u w:val="single" w:color="auto"/>
          <w:color w:val="auto"/>
        </w:rPr>
        <w:t>Export Controls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firstLine="644"/>
        <w:spacing w:after="0" w:line="233" w:lineRule="auto"/>
        <w:tabs>
          <w:tab w:leader="none" w:pos="225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Partnership or its Subsidiaries nor, to the Knowledge of the Partnership, any director or officer, of the Partnership or its Subsidiaries (i) is, or is controlled or 50% or more owned by or is acting on behalf of, an individual or entity that is currently subject to any sanctions administered or enforced by the United States (including any administered or enforced by the Office of Foreign Assets Control of the U.S. Treasury Department, the U.S. Department of State, or the Bureau of Industry and Security of the U.S. Department of Commerce), the United Nations Security Council, the European Union, the United Kingdom (including sanctions administered or enforced by Her Majesty’s Treasury) or other relevant sanctions authority that broadly prohibit dealings with that individual or entity (collectively,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and such persons, “</w:t>
      </w:r>
      <w:r>
        <w:rPr>
          <w:rFonts w:ascii="Times New Roman" w:cs="Times New Roman" w:eastAsia="Times New Roman" w:hAnsi="Times New Roman"/>
          <w:sz w:val="22"/>
          <w:szCs w:val="22"/>
          <w:u w:val="single" w:color="auto"/>
          <w:color w:val="auto"/>
        </w:rPr>
        <w:t>Sanctioned Persons</w:t>
      </w:r>
      <w:r>
        <w:rPr>
          <w:rFonts w:ascii="Times New Roman" w:cs="Times New Roman" w:eastAsia="Times New Roman" w:hAnsi="Times New Roman"/>
          <w:sz w:val="22"/>
          <w:szCs w:val="22"/>
          <w:color w:val="auto"/>
        </w:rPr>
        <w:t>”), (ii) is located, organized or resident in a country or territory that is, or whose government is, the subject of Sanctions that broadly prohibit dealings with that country or territory (collectively, “</w:t>
      </w:r>
      <w:r>
        <w:rPr>
          <w:rFonts w:ascii="Times New Roman" w:cs="Times New Roman" w:eastAsia="Times New Roman" w:hAnsi="Times New Roman"/>
          <w:sz w:val="22"/>
          <w:szCs w:val="22"/>
          <w:u w:val="single" w:color="auto"/>
          <w:color w:val="auto"/>
        </w:rPr>
        <w:t>Sanctioned Countries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Except as disclosed in the Partnership Filed SEC Documents, none of the Partnership nor its Subsidiaries has knowingly engaged in any dealings or transactions with or for the benefit of a Sanctioned Person, or with or in a Sanctioned Country, in the preceding 3 years where such dealings or transactions would have violated said Sanctions, nor does any of the Partnership or its Subsidiaries have any plans to increase its dealings or transactions with or for the benefit of Sanctioned Persons, or with or in Sanctioned Countries, where such dealings or transactions would have violated said Sanctions.</w:t>
      </w:r>
    </w:p>
    <w:p>
      <w:pPr>
        <w:spacing w:after="0" w:line="204"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232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Partnership nor its Subsidiaries, nor, to the Knowledge of the Partnership, any director, officer, agent, employee or Affiliate of the Partnership or its Subsidiaries is currently the subject of or engaged in any activity in violation of any U.S. Sanctions administered by the Office of Foreign Assets Control of the U.S. Treasury Department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 xml:space="preserve">Section 3.22 </w:t>
      </w:r>
      <w:r>
        <w:rPr>
          <w:rFonts w:ascii="Times New Roman" w:cs="Times New Roman" w:eastAsia="Times New Roman" w:hAnsi="Times New Roman"/>
          <w:sz w:val="21"/>
          <w:szCs w:val="21"/>
          <w:u w:val="single" w:color="auto"/>
          <w:color w:val="auto"/>
        </w:rPr>
        <w:t>Anti-Corruption</w:t>
      </w:r>
      <w:r>
        <w:rPr>
          <w:rFonts w:ascii="Times New Roman" w:cs="Times New Roman" w:eastAsia="Times New Roman" w:hAnsi="Times New Roman"/>
          <w:sz w:val="21"/>
          <w:szCs w:val="21"/>
          <w:color w:val="auto"/>
        </w:rPr>
        <w:t>. Neither the Partnership nor any of its Subsidiaries nor, to the Knowledge of the Partnership, any director, officer, employee or agent of the Partnership or any of its Subsidiaries, is aware of or has taken any action, directly or indirectly, that could result in a violation or a sanction for violation by the Partnership, the Subsidiaries or such persons of the Foreign Corrupt Practices Act of 1977, the U.K. Bribery Act 2010 or the Brazilian Anti-Corruption Act Law no. 12,846, each as may be amended, or similar law of any other relevant jurisdiction, or the rules or regulations thereunder; and the Partnership and its Subsidiaries have instituted and maintain policies and procedures to ensure compliance therewith.</w:t>
      </w:r>
    </w:p>
    <w:p>
      <w:pPr>
        <w:spacing w:after="0" w:line="19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3.23 </w:t>
      </w:r>
      <w:r>
        <w:rPr>
          <w:rFonts w:ascii="Times New Roman" w:cs="Times New Roman" w:eastAsia="Times New Roman" w:hAnsi="Times New Roman"/>
          <w:sz w:val="22"/>
          <w:szCs w:val="22"/>
          <w:u w:val="single" w:color="auto"/>
          <w:color w:val="auto"/>
        </w:rPr>
        <w:t>Opinion of Financial Advisor</w:t>
      </w:r>
      <w:r>
        <w:rPr>
          <w:rFonts w:ascii="Times New Roman" w:cs="Times New Roman" w:eastAsia="Times New Roman" w:hAnsi="Times New Roman"/>
          <w:sz w:val="22"/>
          <w:szCs w:val="22"/>
          <w:color w:val="auto"/>
        </w:rPr>
        <w:t>. The Conflicts Committee has received the opinion of Deutsche Bank Securities Inc. (“</w:t>
      </w:r>
      <w:r>
        <w:rPr>
          <w:rFonts w:ascii="Times New Roman" w:cs="Times New Roman" w:eastAsia="Times New Roman" w:hAnsi="Times New Roman"/>
          <w:sz w:val="22"/>
          <w:szCs w:val="22"/>
          <w:u w:val="single" w:color="auto"/>
          <w:color w:val="auto"/>
        </w:rPr>
        <w:t>Conflicts Committee Financial Advisor</w:t>
      </w:r>
      <w:r>
        <w:rPr>
          <w:rFonts w:ascii="Times New Roman" w:cs="Times New Roman" w:eastAsia="Times New Roman" w:hAnsi="Times New Roman"/>
          <w:sz w:val="22"/>
          <w:szCs w:val="22"/>
          <w:color w:val="auto"/>
        </w:rPr>
        <w:t>”) to the effect that, as of the date of such opinion and subject to the various assumptions, qualifications and limitations set forth therein, the Common Unit Consideration was fair, from a financial point of view, to the Common Unitholders (other than Excluded Persons as defined therein). It is agreed and understood that such opinion is for the benefit of the Conflicts Committee and, as to matters on which the Partnership Board is acting based on the recommendation of the Conflicts Committee, the Partnership Board, and may not be relied on by Parent or Merger Sub for any purpose.</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3.24 </w:t>
      </w:r>
      <w:r>
        <w:rPr>
          <w:rFonts w:ascii="Times New Roman" w:cs="Times New Roman" w:eastAsia="Times New Roman" w:hAnsi="Times New Roman"/>
          <w:sz w:val="22"/>
          <w:szCs w:val="22"/>
          <w:u w:val="single" w:color="auto"/>
          <w:color w:val="auto"/>
        </w:rPr>
        <w:t>Brokers and Other Advisors</w:t>
      </w:r>
      <w:r>
        <w:rPr>
          <w:rFonts w:ascii="Times New Roman" w:cs="Times New Roman" w:eastAsia="Times New Roman" w:hAnsi="Times New Roman"/>
          <w:sz w:val="22"/>
          <w:szCs w:val="22"/>
          <w:color w:val="auto"/>
        </w:rPr>
        <w:t>. Except for the Conflicts Committee Financial Advisor,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the Partnership or any of its Subsidiaries. The Partnership is solely responsible for the fees and expenses of the Conflicts Committee Financial Advisor as and to the extent set forth in the engagement letter dated December 11, 2019, as amended on February 26, 2020, August 28, 2020, and January 10, 2021. The Partnership has previously delivered to Parent a complete and accurate copy of each such engagement letter with the Conflicts Committee Financial Advisor.</w:t>
      </w:r>
    </w:p>
    <w:p>
      <w:pPr>
        <w:spacing w:after="0" w:line="205"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3.25</w:t>
      </w:r>
      <w:r>
        <w:rPr>
          <w:sz w:val="20"/>
          <w:szCs w:val="20"/>
          <w:color w:val="auto"/>
        </w:rPr>
        <w:tab/>
      </w:r>
      <w:r>
        <w:rPr>
          <w:rFonts w:ascii="Times New Roman" w:cs="Times New Roman" w:eastAsia="Times New Roman" w:hAnsi="Times New Roman"/>
          <w:sz w:val="21"/>
          <w:szCs w:val="21"/>
          <w:u w:val="single" w:color="auto"/>
          <w:color w:val="auto"/>
        </w:rPr>
        <w:t>No Other Representations or Warranties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firstLine="644"/>
        <w:spacing w:after="0" w:line="243" w:lineRule="auto"/>
        <w:tabs>
          <w:tab w:leader="none" w:pos="2309"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for the representations and warranties made by the Partnership in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neither the Partnership nor any other Person makes any other express or implied representation or warranty with respect to the Partnership or any of its Subsidiaries or Joint Venture Entities or their respective businesses, operations, assets, liabilities, condition (financial or otherwise) or prospects, notwithstanding the delivery or disclosure to Parent, Merger Sub or any of their respective Representatives of any documentation, forecasts or other information with respect to any one or more of the foregoing, and each of Parent and Merger Sub acknowledge the foregoing. In particular, and without limiting the generality of the foregoing, except for the representations and warranties made by the Partnership in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neither the Partnership nor any other Person makes or has made any express or implied representation or warranty to Parent, Merger Sub or any of their respective Representatives with respect to (a) any financial projection, forecast, estimate, budget or prospect information relating to the Partnership, any of its Subsidiaries or their respective businesses,</w:t>
      </w:r>
    </w:p>
    <w:p>
      <w:pPr>
        <w:spacing w:after="0" w:line="9" w:lineRule="exact"/>
        <w:rPr>
          <w:rFonts w:ascii="Times New Roman" w:cs="Times New Roman" w:eastAsia="Times New Roman" w:hAnsi="Times New Roman"/>
          <w:sz w:val="21"/>
          <w:szCs w:val="21"/>
          <w:color w:val="auto"/>
        </w:rPr>
      </w:pPr>
    </w:p>
    <w:p>
      <w:pPr>
        <w:jc w:val="both"/>
        <w:ind w:left="660" w:hanging="4"/>
        <w:spacing w:after="0" w:line="233" w:lineRule="auto"/>
        <w:tabs>
          <w:tab w:leader="none" w:pos="99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judgment based on actuarial principles, practices or analyses by any Person or as to the future satisfaction or outcome of any assumption or otherwise concerning reserves for losses, loss adjustment expenses or uncollectible reinsurance or (c) any oral or written information presented to Parent, Merger Sub or any of their respective Representatives in the course of their due diligence investigation of the Partnership, the negotiation of this Agreement or the course of the Transactions.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jc w:val="both"/>
        <w:ind w:left="660" w:firstLine="644"/>
        <w:spacing w:after="0" w:line="233" w:lineRule="auto"/>
        <w:tabs>
          <w:tab w:leader="none" w:pos="220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the Partnership and the General Partner acknowledge and agree that neither the Parent nor Merger Sub, nor any Affiliate or Representative of either of them, has made or is making any representation or warranty relating to Parent, any of its Subsidiaries or Merger Sub, whatsoever, express or implied, beyond those expressly given by Parent and Merger Sub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including any implied representation or warranty as to the accuracy or completeness of any information regarding Parent and its Subsidiaries furnished or made available to the Partnership or any of its Representatives and that neither the Partnership nor the General Partner has relied on any such other representation or warranty not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Without limiting the generality of the foregoing, the Partnership and the General Partner acknowledge that, other than as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no representations or warranties are made with respect to any projections, forecasts, estimates, budgets or other information that may have been made available to the Partnership or any of its Representatives (including in certain “data rooms,” “virtual data rooms,” management presentations or in any other form in expectation of, or in connection with, the Transactions or the GP Transfer) and that neither the Partnership nor the General Partner has relied on any such other representation or warranty not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REPRESENTATIONS AND WARRANTIES OF PARENT AND MERGER SUB</w:t>
      </w:r>
    </w:p>
    <w:p>
      <w:pPr>
        <w:spacing w:after="0" w:line="23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Parent and Merger Sub jointly and severally represent and warrant to the Partnership that, except as (A) set forth in the disclosure schedule delivered by Parent to the Partnership on the date of this Agreement (the “</w:t>
      </w:r>
      <w:r>
        <w:rPr>
          <w:rFonts w:ascii="Times New Roman" w:cs="Times New Roman" w:eastAsia="Times New Roman" w:hAnsi="Times New Roman"/>
          <w:sz w:val="22"/>
          <w:szCs w:val="22"/>
          <w:u w:val="single" w:color="auto"/>
          <w:color w:val="auto"/>
        </w:rPr>
        <w:t>Parent Disclosure Schedule</w:t>
      </w:r>
      <w:r>
        <w:rPr>
          <w:rFonts w:ascii="Times New Roman" w:cs="Times New Roman" w:eastAsia="Times New Roman" w:hAnsi="Times New Roman"/>
          <w:sz w:val="22"/>
          <w:szCs w:val="22"/>
          <w:color w:val="auto"/>
        </w:rPr>
        <w:t>”) (it being understood that any information set forth on one section or subsection of the Parent Disclosure Schedule shall be deemed to apply to and qualify the section or subsection of this Agreement to which it corresponds in number and each other section or subsection of this Agreement to the extent that it is reasonably apparent on the face of such disclosure that such information is relevant to such other section or subsection), or (B) disclosed in any report, schedule, form, statement or other document filed with, or furnished to, the SEC since January 1, 2018 by Parent and publicly available prior to the date of this Agreement (the “</w:t>
      </w:r>
      <w:r>
        <w:rPr>
          <w:rFonts w:ascii="Times New Roman" w:cs="Times New Roman" w:eastAsia="Times New Roman" w:hAnsi="Times New Roman"/>
          <w:sz w:val="22"/>
          <w:szCs w:val="22"/>
          <w:u w:val="single" w:color="auto"/>
          <w:color w:val="auto"/>
        </w:rPr>
        <w:t>Parent Filed SEC Documents</w:t>
      </w:r>
      <w:r>
        <w:rPr>
          <w:rFonts w:ascii="Times New Roman" w:cs="Times New Roman" w:eastAsia="Times New Roman" w:hAnsi="Times New Roman"/>
          <w:sz w:val="22"/>
          <w:szCs w:val="22"/>
          <w:color w:val="auto"/>
        </w:rPr>
        <w:t>”), excluding disclosure (other than statements of fact) contained in the “Risk Factors” or “Forward-Looking Statements” sections of such Parent Filed SEC Documents or that otherwise constitute forward looking statements of risks:</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Organization; Standing</w:t>
      </w:r>
      <w:r>
        <w:rPr>
          <w:rFonts w:ascii="Times New Roman" w:cs="Times New Roman" w:eastAsia="Times New Roman" w:hAnsi="Times New Roman"/>
          <w:sz w:val="22"/>
          <w:szCs w:val="22"/>
          <w:color w:val="auto"/>
        </w:rPr>
        <w:t>. Parent is a corporation duly organized, validly existing and in good standing under the Laws of Delaware and Merger Sub is a limited liability company duly formed, validly existing and in good standing under the Laws of the Republic of the Marshall Islands. Each of Parent and Merger Sub has all requisite power and authority necessary to carry on its business as it is now being conducted and to own, lease and operate its assets and properties, except (other than with respect to the due organization and valid existence of Parent and Merger Sub) as would not reasonably be expected to have, individually or in the aggregate, a Parent Material Adverse Effect.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ind w:left="4"/>
        <w:spacing w:after="0"/>
        <w:tabs>
          <w:tab w:leader="none" w:pos="1544" w:val="left"/>
        </w:tabs>
        <w:rPr>
          <w:sz w:val="20"/>
          <w:szCs w:val="20"/>
          <w:color w:val="auto"/>
        </w:rPr>
      </w:pPr>
      <w:r>
        <w:rPr>
          <w:rFonts w:ascii="Times New Roman" w:cs="Times New Roman" w:eastAsia="Times New Roman" w:hAnsi="Times New Roman"/>
          <w:sz w:val="22"/>
          <w:szCs w:val="22"/>
          <w:color w:val="auto"/>
        </w:rPr>
        <w:t>Section 4.02</w:t>
      </w:r>
      <w:r>
        <w:rPr>
          <w:sz w:val="20"/>
          <w:szCs w:val="20"/>
          <w:color w:val="auto"/>
        </w:rPr>
        <w:tab/>
      </w:r>
      <w:r>
        <w:rPr>
          <w:rFonts w:ascii="Times New Roman" w:cs="Times New Roman" w:eastAsia="Times New Roman" w:hAnsi="Times New Roman"/>
          <w:sz w:val="21"/>
          <w:szCs w:val="21"/>
          <w:u w:val="single" w:color="auto"/>
          <w:color w:val="auto"/>
        </w:rPr>
        <w:t>Authority; Noncontravention</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jc w:val="both"/>
        <w:ind w:left="4" w:firstLine="644"/>
        <w:spacing w:after="0" w:line="232" w:lineRule="auto"/>
        <w:tabs>
          <w:tab w:leader="none" w:pos="1689"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Parent and Merger Sub has all necessary power and authority to execute and deliver this Agreement and to perform its obligations hereunder and to consummate the Transactions. The execution, delivery and performance by Parent and Merger Sub of this Agreement and the consummation by Parent and Merger Sub of the Transactions, have been duly and unanimously authorized and approved by the Board of Directors of Parent and the sole member of Merger Sub, and no other corporate or limited liability company action on the part of Parent or Merger Sub is necessary to authorize the execution, delivery and performance by Parent and Merger Sub of this Agreement and the consummation by Parent and Merger Sub of the Transactions, other than filing the Certificate of Merger with the Registrar of Corporations of the Republic of the Marshall Islands and the approval of this Agreement by GP Buyer in its capacity as sole member of Merger Sub (which approval shall be provided by the written consent of Parent immediately following execution of this Agreement). This Agreement has been duly executed and delivered by Parent and Merger Sub and, assuming due authorization, execution and delivery hereof by the Partnership, constitutes a legal, valid and binding obligation of each of Parent and Merger Sub, enforceable against each of them in accordance with its terms, subject to the Bankruptcy and Equity Exception. The Board of Directors of Parent has unanimously, and the sole member of Merger Sub has, (i) determined that the Merger, on the terms and subject to the conditions set forth herein, is fair to, and in the best interests of, Parent and Merger Sub and their respective shareholders and members, and (ii) adopted resolutions that have approved this Agreement and the Merger, and such resolutions have not been subsequently rescinded, modified or withdrawn in any way.</w:t>
      </w:r>
    </w:p>
    <w:p>
      <w:pPr>
        <w:spacing w:after="0" w:line="216" w:lineRule="exact"/>
        <w:rPr>
          <w:rFonts w:ascii="Times New Roman" w:cs="Times New Roman" w:eastAsia="Times New Roman" w:hAnsi="Times New Roman"/>
          <w:sz w:val="22"/>
          <w:szCs w:val="22"/>
          <w:color w:val="auto"/>
        </w:rPr>
      </w:pPr>
    </w:p>
    <w:p>
      <w:pPr>
        <w:jc w:val="both"/>
        <w:ind w:left="4" w:firstLine="644"/>
        <w:spacing w:after="0" w:line="247" w:lineRule="auto"/>
        <w:tabs>
          <w:tab w:leader="none" w:pos="1847"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(i) the execution and delivery of this Agreement by Parent and Merger Sub, (ii) the consummation by Parent of Merger Sub of the Transactions, or (iii) performance or compliance by Parent or Merger Sub with any of the terms or provisions hereof, will (A) contravene, conflict with or violate any provision (1) of the Parent Organizational Documents or (2) of the similar organizational documents of any of Parent’s Subsidiaries or (B) assuming</w:t>
      </w:r>
    </w:p>
    <w:p>
      <w:pPr>
        <w:spacing w:after="0" w:line="1" w:lineRule="exact"/>
        <w:rPr>
          <w:rFonts w:ascii="Times New Roman" w:cs="Times New Roman" w:eastAsia="Times New Roman" w:hAnsi="Times New Roman"/>
          <w:sz w:val="21"/>
          <w:szCs w:val="21"/>
          <w:color w:val="auto"/>
        </w:rPr>
      </w:pPr>
    </w:p>
    <w:p>
      <w:pPr>
        <w:jc w:val="both"/>
        <w:ind w:left="4" w:hanging="4"/>
        <w:spacing w:after="0" w:line="231" w:lineRule="auto"/>
        <w:tabs>
          <w:tab w:leader="none" w:pos="3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compliance with the matters set forth in </w:t>
      </w:r>
      <w:r>
        <w:rPr>
          <w:rFonts w:ascii="Times New Roman" w:cs="Times New Roman" w:eastAsia="Times New Roman" w:hAnsi="Times New Roman"/>
          <w:sz w:val="22"/>
          <w:szCs w:val="22"/>
          <w:u w:val="single" w:color="auto"/>
          <w:color w:val="auto"/>
        </w:rPr>
        <w:t>Section 3.03(b)</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3.03(b)(ii)(A)</w:t>
      </w:r>
      <w:r>
        <w:rPr>
          <w:rFonts w:ascii="Times New Roman" w:cs="Times New Roman" w:eastAsia="Times New Roman" w:hAnsi="Times New Roman"/>
          <w:sz w:val="22"/>
          <w:szCs w:val="22"/>
          <w:color w:val="auto"/>
        </w:rPr>
        <w:t xml:space="preserve">) (and assuming the accuracy of the representations and warranties made in such </w:t>
      </w:r>
      <w:r>
        <w:rPr>
          <w:rFonts w:ascii="Times New Roman" w:cs="Times New Roman" w:eastAsia="Times New Roman" w:hAnsi="Times New Roman"/>
          <w:sz w:val="22"/>
          <w:szCs w:val="22"/>
          <w:u w:val="single" w:color="auto"/>
          <w:color w:val="auto"/>
        </w:rPr>
        <w:t>Section 3.03(b)</w:t>
      </w:r>
      <w:r>
        <w:rPr>
          <w:rFonts w:ascii="Times New Roman" w:cs="Times New Roman" w:eastAsia="Times New Roman" w:hAnsi="Times New Roman"/>
          <w:sz w:val="22"/>
          <w:szCs w:val="22"/>
          <w:color w:val="auto"/>
        </w:rPr>
        <w:t xml:space="preserve">), (2) that the actions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4.02(a)</w:t>
      </w:r>
      <w:r>
        <w:rPr>
          <w:rFonts w:ascii="Times New Roman" w:cs="Times New Roman" w:eastAsia="Times New Roman" w:hAnsi="Times New Roman"/>
          <w:sz w:val="22"/>
          <w:szCs w:val="22"/>
          <w:color w:val="auto"/>
        </w:rPr>
        <w:t xml:space="preserve"> have been completed, (3) that the authorizations, consents and approvals referred to in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and, in the case of Merger Sub, the approval of this Agreement and the Merger by GP Buyer in its capacity as sole member of Merger Sub are obtained and (4) that the filings referred to in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are made and any waiting periods thereunder have terminated or expired, in the case of each of the foregoing clauses (1) through (4), prior to the Effective Time, (x) violate any Law applicable to Parent, Merger Sub or any of Parent’s Subsidiaries, (y) violate or constitute a breach of or default (with or without notice or lapse of time or both) under any of the terms, conditions or provisions of any Contract to which Parent, Merger Sub or any of Parent’s Subsidiaries is a party or by which any of the assets or properties of Parent, Merger Sub or any of Parent’s Subsidiaries, as applicable, are bound, or give rise to any right to terminate, cancel, amend, modify or accelerate Parent’s or, if applicable, any of its Subsidiaries’ rights or obligations under any such Contract or (z) result in the creation of any Lien on any properties or assets of Parent, Merger Sub or any of Parent’s Subsidiaries, except, in the case of clause (A)(2) and clause (B), as would not reasonably be expected to have a Parent Material Adverse Effect.</w:t>
      </w:r>
    </w:p>
    <w:p>
      <w:pPr>
        <w:spacing w:after="0" w:line="392"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39" w:name="page40"/>
    <w:bookmarkEnd w:id="39"/>
    <w:p>
      <w:pPr>
        <w:jc w:val="both"/>
        <w:ind w:left="660" w:firstLine="644"/>
        <w:spacing w:after="0" w:line="244" w:lineRule="auto"/>
        <w:tabs>
          <w:tab w:leader="none" w:pos="220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of this Agreement and the Merger by the sole member of Merger Sub is the only vote or approval of the holders of any class or series of equity interests of Merger Sub that is necessary to approve this Agreement and the Merger.</w:t>
      </w:r>
    </w:p>
    <w:p>
      <w:pPr>
        <w:spacing w:after="0" w:line="20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Except for (a) compliance with the applicable requirements of the Exchange Act, (b) compliance with the rules and regulations of the Nasdaq, (c) the filing of (i) the Certificate of Merger with the Registrar of Corporations of the Republic of the Marshall Islands and (ii) appropriate documents with the relevant authorities of other jurisdictions in which the Partnership or any of its Subsidiaries is qualified to do business, and (d) such other consents, approvals, filings, authorizations, declarations or registrations as are required to be made or obtained under any non-U.S. Antitrust Laws, no consent or approval of, or filing, license, permit or authorization, declaration or registration with, or notification to, or waiver from, any Governmental Authority is necessary for the execution and delivery of this Agreement by Parent and Merger Sub, the performance by Parent and Merger Sub of their obligations hereunder and the consummation by Parent and Merger Sub of the Transactions, other than such other consents, approvals, filings, licenses, permits or authorizations, declarations, registrations, notifications or waivers that, if not obtained, made or given, would not reasonably be expected to have, individually or in the aggregate, a Parent Material Adverse Effect.</w:t>
      </w:r>
    </w:p>
    <w:p>
      <w:pPr>
        <w:spacing w:after="0" w:line="21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Ownership and Operations of Merger Sub</w:t>
      </w:r>
      <w:r>
        <w:rPr>
          <w:rFonts w:ascii="Times New Roman" w:cs="Times New Roman" w:eastAsia="Times New Roman" w:hAnsi="Times New Roman"/>
          <w:sz w:val="22"/>
          <w:szCs w:val="22"/>
          <w:color w:val="auto"/>
        </w:rPr>
        <w:t>. Parent owns, indirectly, beneficially and of record all of the outstanding equity of Merger Sub, free and clear of all Liens. Merger Sub was formed solely for the purpose of engaging in the Transactions, has no assets, liabilities or obligations of any nature other than those incident to its formation and pursuant to the Transactions, and prior to the Effective Time, will not have engaged in any business activities other than those relating to the Transactions.</w:t>
      </w:r>
    </w:p>
    <w:p>
      <w:pPr>
        <w:spacing w:after="0" w:line="20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 xml:space="preserve">Section 4.05 </w:t>
      </w:r>
      <w:r>
        <w:rPr>
          <w:rFonts w:ascii="Times New Roman" w:cs="Times New Roman" w:eastAsia="Times New Roman" w:hAnsi="Times New Roman"/>
          <w:sz w:val="22"/>
          <w:szCs w:val="22"/>
          <w:u w:val="single" w:color="auto"/>
          <w:color w:val="auto"/>
        </w:rPr>
        <w:t>Sufficient Funds</w:t>
      </w:r>
      <w:r>
        <w:rPr>
          <w:rFonts w:ascii="Times New Roman" w:cs="Times New Roman" w:eastAsia="Times New Roman" w:hAnsi="Times New Roman"/>
          <w:sz w:val="22"/>
          <w:szCs w:val="22"/>
          <w:color w:val="auto"/>
        </w:rPr>
        <w:t>. Parent will have available to it at the Effective Time, sufficient funds for the satisfaction of all of Parent’s obligations under this Agreement, including the payment of the aggregate Common Unit Consideration and all related fees and expenses required to be paid by Parent or Merger Sub pursuant to the terms of this Agreement.</w:t>
      </w:r>
    </w:p>
    <w:p>
      <w:pPr>
        <w:spacing w:after="0" w:line="200" w:lineRule="exact"/>
        <w:rPr>
          <w:sz w:val="20"/>
          <w:szCs w:val="20"/>
          <w:color w:val="auto"/>
        </w:rPr>
      </w:pPr>
    </w:p>
    <w:p>
      <w:pPr>
        <w:spacing w:after="0" w:line="25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4.06 </w:t>
      </w:r>
      <w:r>
        <w:rPr>
          <w:rFonts w:ascii="Times New Roman" w:cs="Times New Roman" w:eastAsia="Times New Roman" w:hAnsi="Times New Roman"/>
          <w:sz w:val="22"/>
          <w:szCs w:val="22"/>
          <w:u w:val="single" w:color="auto"/>
          <w:color w:val="auto"/>
        </w:rPr>
        <w:t>Brokers and Other Advisors</w:t>
      </w:r>
      <w:r>
        <w:rPr>
          <w:rFonts w:ascii="Times New Roman" w:cs="Times New Roman" w:eastAsia="Times New Roman" w:hAnsi="Times New Roman"/>
          <w:sz w:val="22"/>
          <w:szCs w:val="22"/>
          <w:color w:val="auto"/>
        </w:rPr>
        <w:t>.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Parent or any of its Subsidiaries, except for Persons, if any, whose fees and expenses will be paid by Parent.</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4.07 </w:t>
      </w:r>
      <w:r>
        <w:rPr>
          <w:rFonts w:ascii="Times New Roman" w:cs="Times New Roman" w:eastAsia="Times New Roman" w:hAnsi="Times New Roman"/>
          <w:sz w:val="22"/>
          <w:szCs w:val="22"/>
          <w:u w:val="single" w:color="auto"/>
          <w:color w:val="auto"/>
        </w:rPr>
        <w:t>Ownership of Partnership Securities</w:t>
      </w:r>
      <w:r>
        <w:rPr>
          <w:rFonts w:ascii="Times New Roman" w:cs="Times New Roman" w:eastAsia="Times New Roman" w:hAnsi="Times New Roman"/>
          <w:sz w:val="22"/>
          <w:szCs w:val="22"/>
          <w:color w:val="auto"/>
        </w:rPr>
        <w:t>. As of the date of this Agreement, neither Parent nor any of its Subsidiaries owns any Partnership Securities other than the beneficial ownership of the Partnership Securities that may be deemed to result from the Support Agreement.</w:t>
      </w:r>
    </w:p>
    <w:p>
      <w:pPr>
        <w:spacing w:after="0" w:line="200"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4.08</w:t>
      </w:r>
      <w:r>
        <w:rPr>
          <w:sz w:val="20"/>
          <w:szCs w:val="20"/>
          <w:color w:val="auto"/>
        </w:rPr>
        <w:tab/>
      </w:r>
      <w:r>
        <w:rPr>
          <w:rFonts w:ascii="Times New Roman" w:cs="Times New Roman" w:eastAsia="Times New Roman" w:hAnsi="Times New Roman"/>
          <w:sz w:val="21"/>
          <w:szCs w:val="21"/>
          <w:u w:val="single" w:color="auto"/>
          <w:color w:val="auto"/>
        </w:rPr>
        <w:t>No Other Representations or Warranties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jc w:val="both"/>
        <w:ind w:firstLine="644"/>
        <w:spacing w:after="0" w:line="233" w:lineRule="auto"/>
        <w:tabs>
          <w:tab w:leader="none" w:pos="145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representations and warranties made by Parent and Merger Sub in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neither Parent nor Merger Sub nor any other Person makes any other express or implied representation or warranty with respect to Parent or any of its Subsidiaries or their respective businesses, operations, assets, liabilities, condition (financial or otherwise) or prospects, notwithstanding the delivery or disclosure to the Partnership or any of its Representatives of any documentation, forecasts or other information with respect to any one or more of the foregoing, and the Partnership acknowledges the foregoing. In particular, and without limiting the generality of the foregoing, except for the representations and warranties made by Parent and Merger Sub in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neither Parent nor Merger Sub nor any other Person makes or has made any express or implied representation or warranty to the Partnership or any of its Representatives with respect to (a) any financial projection, forecast, estimate, budget or prospect information relating to Parent or any of its Subsidiaries or their respective businesses, (b) any judgment based on actuarial principles, practices or analyses by any Person or as to the future satisfaction or outcome of any assumption or otherwise concerning reserves for losses, loss adjustment expenses or uncollectible reinsurance or (c) any oral or written information presented to the Partnership or any of its Representatives in the course of their due diligence investigation of Parent, the negotiation of this Agreement or the course of the Transactions.</w:t>
      </w:r>
    </w:p>
    <w:p>
      <w:pPr>
        <w:spacing w:after="0" w:line="207" w:lineRule="exact"/>
        <w:rPr>
          <w:rFonts w:ascii="Times New Roman" w:cs="Times New Roman" w:eastAsia="Times New Roman" w:hAnsi="Times New Roman"/>
          <w:sz w:val="22"/>
          <w:szCs w:val="22"/>
          <w:color w:val="auto"/>
        </w:rPr>
      </w:pPr>
    </w:p>
    <w:p>
      <w:pPr>
        <w:jc w:val="both"/>
        <w:ind w:firstLine="644"/>
        <w:spacing w:after="0" w:line="233" w:lineRule="auto"/>
        <w:tabs>
          <w:tab w:leader="none" w:pos="176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Parent and Merger Sub acknowledge and agree that neither the Partnership nor the General Partner, nor any Affiliate or Representative of either of them, has made or is making any representation or warranty relating to the Partnership, any of its Subsidiaries or Joint Venture Entities, or the General Partner, whatsoever, express or implied, beyond those expressly given by the Partnership and the General Partner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or the Transfer Agreement, including any implied representation or warranty as to the accuracy or completeness of any information regarding the Partnership, its Subsidiaries and/or Joint Venture Entities furnished or made available to Parent or any of its Representatives and that neither Parent nor Merger Sub has relied on any such other representation or warranty not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or the Transfer Agreement. Without limiting the generality of the foregoing, Parent and Merger Sub acknowledge that, other than as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or the Transfer Agreement, no representations or warranties are made with respect to any projections, forecasts, estimates, budgets or other information that may have been made available to Parent or any of its Representatives (including in certain “data rooms,” “virtual data rooms,” management presentations or in any other form in expectation of, or in connection with, the Transactions or the GP Transfer) and that neither Parent nor Merger Sub has relied on any such other representation or warranty not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or the Transfer Agreement.</w:t>
      </w:r>
    </w:p>
    <w:p>
      <w:pPr>
        <w:spacing w:after="0" w:line="20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b w:val="1"/>
          <w:bCs w:val="1"/>
          <w:color w:val="010000"/>
        </w:rPr>
        <w:t>ARTICLE V</w:t>
      </w:r>
    </w:p>
    <w:p>
      <w:pPr>
        <w:spacing w:after="0" w:line="23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COVENANTS AND AGREEMENTS</w:t>
      </w:r>
    </w:p>
    <w:p>
      <w:pPr>
        <w:spacing w:after="0" w:line="23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1"/>
          <w:szCs w:val="21"/>
          <w:u w:val="single" w:color="auto"/>
          <w:color w:val="auto"/>
        </w:rPr>
        <w:t>Conduct of Business of the Partnership and its Subsidiaries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1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2" w:right="339" w:bottom="1440" w:gutter="0" w:footer="0" w:header="0"/>
        </w:sectPr>
      </w:pPr>
    </w:p>
    <w:bookmarkStart w:id="41" w:name="page42"/>
    <w:bookmarkEnd w:id="41"/>
    <w:p>
      <w:pPr>
        <w:jc w:val="both"/>
        <w:ind w:left="-460" w:firstLine="644"/>
        <w:spacing w:after="0" w:line="245" w:lineRule="auto"/>
        <w:tabs>
          <w:tab w:leader="none" w:pos="125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provided by this Agreement, as set forth in Section 5.01(a) of the Partnership Disclosure Schedule, as may be required by applicable Law or as expressly consented to in writing by Parent (such consent not to be unreasonably withheld, conditioned or delayed), from the date of this Agreement until the Closing (the “</w:t>
      </w:r>
      <w:r>
        <w:rPr>
          <w:rFonts w:ascii="Times New Roman" w:cs="Times New Roman" w:eastAsia="Times New Roman" w:hAnsi="Times New Roman"/>
          <w:sz w:val="21"/>
          <w:szCs w:val="21"/>
          <w:u w:val="single" w:color="auto"/>
          <w:color w:val="auto"/>
        </w:rPr>
        <w:t>Pre-Closing Period</w:t>
      </w:r>
      <w:r>
        <w:rPr>
          <w:rFonts w:ascii="Times New Roman" w:cs="Times New Roman" w:eastAsia="Times New Roman" w:hAnsi="Times New Roman"/>
          <w:sz w:val="21"/>
          <w:szCs w:val="21"/>
          <w:color w:val="auto"/>
        </w:rPr>
        <w:t xml:space="preserve">”), the Partnership and its Subsidiaries shall use commercially reasonable efforts to, (i) conduct each of the Partnership’s and its Subsidiaries’ respective businesses in the Ordinary Course in all material respects, (ii) preserve the Partnership’s and its Subsidiaries’ assets, and (iii) maintain the goodwill and reputation of the Partnership’s and its Subsidiaries’ respective businesses in all material respects;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5.01(a)</w:t>
      </w:r>
      <w:r>
        <w:rPr>
          <w:rFonts w:ascii="Times New Roman" w:cs="Times New Roman" w:eastAsia="Times New Roman" w:hAnsi="Times New Roman"/>
          <w:sz w:val="21"/>
          <w:szCs w:val="21"/>
          <w:color w:val="auto"/>
        </w:rPr>
        <w:t xml:space="preserve"> shall not prohibit the Partnership or any of its Subsidiaries or Joint Venture Entities from taking commercially reasonable actions outside of the Ordinary Course in response to changes or developments resulting from COVID-19 or any COVID-19 Measures;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prior to taking any such action outside of the Ordinary Course, the Partnership shall consult with Parent and consider in good faith the views of Parent regarding any such proposed action.</w:t>
      </w:r>
    </w:p>
    <w:p>
      <w:pPr>
        <w:spacing w:after="0" w:line="204" w:lineRule="exact"/>
        <w:rPr>
          <w:rFonts w:ascii="Times New Roman" w:cs="Times New Roman" w:eastAsia="Times New Roman" w:hAnsi="Times New Roman"/>
          <w:sz w:val="21"/>
          <w:szCs w:val="21"/>
          <w:color w:val="auto"/>
        </w:rPr>
      </w:pPr>
    </w:p>
    <w:p>
      <w:pPr>
        <w:jc w:val="both"/>
        <w:ind w:left="-460" w:firstLine="644"/>
        <w:spacing w:after="0" w:line="239" w:lineRule="auto"/>
        <w:tabs>
          <w:tab w:leader="none" w:pos="103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and except for (x) as otherwise expressly provided in this Agreement, (y) as set forth in Section 5.01(b) of the Partnership Disclosure Schedule, or (z) as expressly consented to in writing by Parent (such consent not to be unreasonably withheld, conditioned or delayed), during the Pre-Closing Period, the Partnership will not, nor will the Partnership permit any of its Subsidiaries to:</w:t>
      </w:r>
    </w:p>
    <w:p>
      <w:pPr>
        <w:spacing w:after="0" w:line="207" w:lineRule="exact"/>
        <w:rPr>
          <w:rFonts w:ascii="Times New Roman" w:cs="Times New Roman" w:eastAsia="Times New Roman" w:hAnsi="Times New Roman"/>
          <w:sz w:val="22"/>
          <w:szCs w:val="22"/>
          <w:color w:val="auto"/>
        </w:rPr>
      </w:pPr>
    </w:p>
    <w:p>
      <w:pPr>
        <w:jc w:val="both"/>
        <w:ind w:left="180" w:firstLine="652"/>
        <w:spacing w:after="0" w:line="239" w:lineRule="auto"/>
        <w:tabs>
          <w:tab w:leader="none" w:pos="1861"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 pledge, dispose of, transfer, lease, license, guarantee or encumber, or authorize the sale, pledge, disposition, transfer, lease, license, guarantee or encumbrance of, (x) any Vessel (other than entering into a Charter for a term of 12 months or less in the Ordinary Course or Permitted Encumbrances) or (y) any other asset (other than in the Ordinary Course or Permitted Encumbrances);</w:t>
      </w:r>
    </w:p>
    <w:p>
      <w:pPr>
        <w:spacing w:after="0" w:line="207" w:lineRule="exact"/>
        <w:rPr>
          <w:rFonts w:ascii="Times New Roman" w:cs="Times New Roman" w:eastAsia="Times New Roman" w:hAnsi="Times New Roman"/>
          <w:sz w:val="22"/>
          <w:szCs w:val="22"/>
          <w:color w:val="010000"/>
        </w:rPr>
      </w:pPr>
    </w:p>
    <w:p>
      <w:pPr>
        <w:jc w:val="both"/>
        <w:ind w:left="180" w:firstLine="652"/>
        <w:spacing w:after="0" w:line="236" w:lineRule="auto"/>
        <w:tabs>
          <w:tab w:leader="none" w:pos="1730"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issue, sell, transfer, pledge or dispose of any equity interests in the Partnership, (B) split, combine, reclassify, redeem, repurchase, acquire (directly or indirectly) or encumber any Common Units, or (C) declare, set aside or pay any distribution in respect of any outstanding capital stock of, or other equity interests in, or other securities or obligations convertible (whether currently convertible or convertible only after the passage of time or the occurrence of specific events) into or exchangeable for any equity interests of, the Partnership or any of its Subsidiaries, in each case other than as provided in </w:t>
      </w:r>
      <w:r>
        <w:rPr>
          <w:rFonts w:ascii="Times New Roman" w:cs="Times New Roman" w:eastAsia="Times New Roman" w:hAnsi="Times New Roman"/>
          <w:sz w:val="22"/>
          <w:szCs w:val="22"/>
          <w:u w:val="single" w:color="auto"/>
          <w:color w:val="auto"/>
        </w:rPr>
        <w:t>Section 5.15</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color w:val="010000"/>
        </w:rPr>
      </w:pPr>
    </w:p>
    <w:p>
      <w:pPr>
        <w:ind w:left="1760" w:hanging="928"/>
        <w:spacing w:after="0"/>
        <w:tabs>
          <w:tab w:leader="none" w:pos="1760" w:val="left"/>
        </w:tabs>
        <w:numPr>
          <w:ilvl w:val="1"/>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make or authorize capital expenditures outside the Ordinary Course exceeding $5 million in the</w:t>
      </w:r>
    </w:p>
    <w:p>
      <w:pPr>
        <w:spacing w:after="0" w:line="25" w:lineRule="exact"/>
        <w:rPr>
          <w:rFonts w:ascii="Times New Roman" w:cs="Times New Roman" w:eastAsia="Times New Roman" w:hAnsi="Times New Roman"/>
          <w:sz w:val="21"/>
          <w:szCs w:val="21"/>
          <w:color w:val="010000"/>
        </w:rPr>
      </w:pPr>
    </w:p>
    <w:p>
      <w:pPr>
        <w:ind w:left="18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aggregate;</w:t>
      </w:r>
    </w:p>
    <w:p>
      <w:pPr>
        <w:spacing w:after="0" w:line="209" w:lineRule="exact"/>
        <w:rPr>
          <w:rFonts w:ascii="Times New Roman" w:cs="Times New Roman" w:eastAsia="Times New Roman" w:hAnsi="Times New Roman"/>
          <w:sz w:val="21"/>
          <w:szCs w:val="21"/>
          <w:color w:val="010000"/>
        </w:rPr>
      </w:pPr>
    </w:p>
    <w:p>
      <w:pPr>
        <w:jc w:val="both"/>
        <w:ind w:left="180" w:firstLine="652"/>
        <w:spacing w:after="0" w:line="247" w:lineRule="auto"/>
        <w:tabs>
          <w:tab w:leader="none" w:pos="1631" w:val="left"/>
        </w:tabs>
        <w:numPr>
          <w:ilvl w:val="1"/>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other than transactions solely between the Partnership and its wholly owned Subsidiaries or solely between its wholly owned Subsidiaries, (A) make any acquisition (including by merger or amalgamation) of the capital stock or assets of any other Person for consideration in excess of $2 million for any such acquisition or $5 million in the aggregate for all such acquisitions or (B) sell or lease to any Person, in a single transaction or series of related transactions, any of its properties or assets whose value or purchase price exceeds $5 million in the aggregate, except (x) leases and subleases of real property owned by the Partnership or its Subsidiaries and leases of real property under which the Partnership or any of its Subsidiaries is a tenant or a subtenant and voluntary terminations or surrenders of such leases and (y) other transactions in the Ordinary Course;</w:t>
      </w:r>
    </w:p>
    <w:p>
      <w:pPr>
        <w:spacing w:after="0" w:line="37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2" w:name="page43"/>
    <w:bookmarkEnd w:id="42"/>
    <w:p>
      <w:pPr>
        <w:jc w:val="both"/>
        <w:ind w:left="180" w:firstLine="652"/>
        <w:spacing w:after="0"/>
        <w:tabs>
          <w:tab w:leader="none" w:pos="1789"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change in any material respect its accounting policies or procedures, except insofar as may be required (A) by GAAP (or any interpretation thereof), including pursuant to standards, guidelines and interpretations of the Financial Accounting Standards Board or any similar organization, or (B) by Law, including Regulation S-X under the Securities Act;</w:t>
      </w:r>
    </w:p>
    <w:p>
      <w:pPr>
        <w:spacing w:after="0" w:line="203" w:lineRule="exact"/>
        <w:rPr>
          <w:rFonts w:ascii="Times New Roman" w:cs="Times New Roman" w:eastAsia="Times New Roman" w:hAnsi="Times New Roman"/>
          <w:sz w:val="22"/>
          <w:szCs w:val="22"/>
          <w:color w:val="010000"/>
        </w:rPr>
      </w:pPr>
    </w:p>
    <w:p>
      <w:pPr>
        <w:jc w:val="both"/>
        <w:ind w:left="180" w:firstLine="652"/>
        <w:spacing w:after="0" w:line="239" w:lineRule="auto"/>
        <w:tabs>
          <w:tab w:leader="none" w:pos="1662"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amend the Partnership Charter or the Partnership Agreement or (B) amend the comparable organizational documents of any Subsidiary in a manner that would reasonably be expected to prevent or to impede, interfere with, hinder or delay in any material respect the consummation of the Transactions (with respect to both clauses (A) and (B), whether by merger, amalgamation, consolidation or otherwise);</w:t>
      </w:r>
    </w:p>
    <w:p>
      <w:pPr>
        <w:spacing w:after="0" w:line="207" w:lineRule="exact"/>
        <w:rPr>
          <w:rFonts w:ascii="Times New Roman" w:cs="Times New Roman" w:eastAsia="Times New Roman" w:hAnsi="Times New Roman"/>
          <w:sz w:val="22"/>
          <w:szCs w:val="22"/>
          <w:color w:val="010000"/>
        </w:rPr>
      </w:pPr>
    </w:p>
    <w:p>
      <w:pPr>
        <w:ind w:left="180" w:firstLine="652"/>
        <w:spacing w:after="0" w:line="258" w:lineRule="auto"/>
        <w:tabs>
          <w:tab w:leader="none" w:pos="1530"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adopt a plan or agreement of complete or partial liquidation or dissolution, merger, consolidation, restructuring, recapitalization or other reorganization of the Partnership or any of its Subsidiaries;</w:t>
      </w:r>
    </w:p>
    <w:p>
      <w:pPr>
        <w:spacing w:after="0" w:line="185" w:lineRule="exact"/>
        <w:rPr>
          <w:rFonts w:ascii="Times New Roman" w:cs="Times New Roman" w:eastAsia="Times New Roman" w:hAnsi="Times New Roman"/>
          <w:sz w:val="22"/>
          <w:szCs w:val="22"/>
          <w:color w:val="010000"/>
        </w:rPr>
      </w:pPr>
    </w:p>
    <w:p>
      <w:pPr>
        <w:jc w:val="both"/>
        <w:ind w:left="180" w:firstLine="652"/>
        <w:spacing w:after="0" w:line="246" w:lineRule="auto"/>
        <w:tabs>
          <w:tab w:leader="none" w:pos="1636" w:val="left"/>
        </w:tabs>
        <w:numPr>
          <w:ilvl w:val="0"/>
          <w:numId w:val="4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enter into or materially modify any Partnership Material Contract, other than in the Ordinary Course, (B) enter into any Contract that would limit or otherwise restrict the Partnership, any of its Subsidiaries or any of their successors, or any of their respective properties or assets, or that would, after the Effective Time, limit or otherwise restrict Parent or any of its Subsidiaries (including the Surviving Entity) or any of their successors, or any of their respective properties or assets, from engaging or competing in any line of business, in any geographic area or with any Person in any material respect or (C) terminate, cancel or request any material change in any Partnership Material Contract other than in the Ordinary Course or (D) enter into or assume any Contract that if in effect on the date hereof would be such a Partnership Material Contract other than in the Ordinary Course, including, in each of clauses (A) through (D), any Contract for any modification of any Vessel;</w:t>
      </w:r>
    </w:p>
    <w:p>
      <w:pPr>
        <w:spacing w:after="0" w:line="202" w:lineRule="exact"/>
        <w:rPr>
          <w:rFonts w:ascii="Times New Roman" w:cs="Times New Roman" w:eastAsia="Times New Roman" w:hAnsi="Times New Roman"/>
          <w:sz w:val="21"/>
          <w:szCs w:val="21"/>
          <w:color w:val="010000"/>
        </w:rPr>
      </w:pPr>
    </w:p>
    <w:p>
      <w:pPr>
        <w:jc w:val="both"/>
        <w:ind w:left="180" w:firstLine="652"/>
        <w:spacing w:after="0" w:line="235" w:lineRule="auto"/>
        <w:tabs>
          <w:tab w:leader="none" w:pos="1689"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directly or indirectly repurchase, prepay, incur or assume any Indebtedness for borrowed money, guarantee any Indebtedness for borrowed money or enter into any similar agreement in respect of Indebtedness for borrowed money (including the issuance of any debt securities, warrants or other rights to acquire any debt security), except for (A) Indebtedness for borrowed money incurred in the Ordinary Course not to exceed $5 million individually or $10 million in the aggregate, (B) drawdowns or prepayments under any existing Indebtedness or other facilities or agreements made available to Parent prior to the execution of this Agreement or borrowings in the Ordinary Course or (C) refinancings or replacements of any such Indebtedness for borrowed money or agreements in respect of Indebtedness for borrowed money in the Ordinary Course;</w:t>
      </w:r>
    </w:p>
    <w:p>
      <w:pPr>
        <w:spacing w:after="0" w:line="38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3" w:name="page44"/>
    <w:bookmarkEnd w:id="43"/>
    <w:p>
      <w:pPr>
        <w:jc w:val="both"/>
        <w:ind w:left="180" w:firstLine="652"/>
        <w:spacing w:after="0" w:line="244" w:lineRule="auto"/>
        <w:tabs>
          <w:tab w:leader="none" w:pos="1927" w:val="left"/>
        </w:tabs>
        <w:numPr>
          <w:ilvl w:val="1"/>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enter into any new Contract with respect to the terminaling, transport, throughput, storage, heating, blending, mixing or sale of petroleum products, other hydrocarbons or other substances other than in the Ordinary Course;</w:t>
      </w:r>
    </w:p>
    <w:p>
      <w:pPr>
        <w:spacing w:after="0" w:line="200" w:lineRule="exact"/>
        <w:rPr>
          <w:rFonts w:ascii="Times New Roman" w:cs="Times New Roman" w:eastAsia="Times New Roman" w:hAnsi="Times New Roman"/>
          <w:sz w:val="22"/>
          <w:szCs w:val="22"/>
          <w:color w:val="010000"/>
        </w:rPr>
      </w:pPr>
    </w:p>
    <w:p>
      <w:pPr>
        <w:ind w:left="180" w:right="20" w:firstLine="652"/>
        <w:spacing w:after="0" w:line="258" w:lineRule="auto"/>
        <w:tabs>
          <w:tab w:leader="none" w:pos="1752" w:val="left"/>
        </w:tabs>
        <w:numPr>
          <w:ilvl w:val="1"/>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grant any Lien (other than Permitted Encumbrances) on any of its material assets other than to secure Indebtedness;</w:t>
      </w:r>
    </w:p>
    <w:p>
      <w:pPr>
        <w:spacing w:after="0" w:line="185" w:lineRule="exact"/>
        <w:rPr>
          <w:rFonts w:ascii="Times New Roman" w:cs="Times New Roman" w:eastAsia="Times New Roman" w:hAnsi="Times New Roman"/>
          <w:sz w:val="22"/>
          <w:szCs w:val="22"/>
          <w:color w:val="010000"/>
        </w:rPr>
      </w:pPr>
    </w:p>
    <w:p>
      <w:pPr>
        <w:jc w:val="both"/>
        <w:ind w:left="180" w:firstLine="652"/>
        <w:spacing w:after="0" w:line="235" w:lineRule="auto"/>
        <w:tabs>
          <w:tab w:leader="none" w:pos="1575" w:val="left"/>
        </w:tabs>
        <w:numPr>
          <w:ilvl w:val="1"/>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settle any Action, in each case made or pending against the Partnership or any of its Subsidiaries, or any of their officers and directors in their capacities as such, other than the settlement of Actions which, in any event (A) is solely for monetary damages for an amount not to exceed $5 million for any such settlement individually or $10 million in the aggregate, (B) does not compromise or waive any material claims or rights of the Partnership or its Subsidiaries, or (C) would not be reasonably expected to prohibit or restrict the Partnership and its Subsidiaries from operating their business in the same manner in all material respects as operated on the date of this Agreement;</w:t>
      </w:r>
    </w:p>
    <w:p>
      <w:pPr>
        <w:spacing w:after="0" w:line="210" w:lineRule="exact"/>
        <w:rPr>
          <w:rFonts w:ascii="Times New Roman" w:cs="Times New Roman" w:eastAsia="Times New Roman" w:hAnsi="Times New Roman"/>
          <w:sz w:val="22"/>
          <w:szCs w:val="22"/>
          <w:color w:val="010000"/>
        </w:rPr>
      </w:pPr>
    </w:p>
    <w:p>
      <w:pPr>
        <w:jc w:val="both"/>
        <w:ind w:left="180" w:firstLine="652"/>
        <w:spacing w:after="0" w:line="247" w:lineRule="auto"/>
        <w:tabs>
          <w:tab w:leader="none" w:pos="1680" w:val="left"/>
        </w:tabs>
        <w:numPr>
          <w:ilvl w:val="1"/>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as required by Law, (A) make (if inconsistent with past practice), change or rescind any material election in respect of Taxes, (B) amend any material Tax Return, (C) extend or waive, or agree to extend or waive, any statute of limitation with respect to the assessment, determination or collection of any material amount of Taxes (other than pursuant to extensions of time to file Tax Returns obtained in the Ordinary Course),</w:t>
      </w:r>
    </w:p>
    <w:p>
      <w:pPr>
        <w:spacing w:after="0" w:line="1" w:lineRule="exact"/>
        <w:rPr>
          <w:rFonts w:ascii="Times New Roman" w:cs="Times New Roman" w:eastAsia="Times New Roman" w:hAnsi="Times New Roman"/>
          <w:sz w:val="21"/>
          <w:szCs w:val="21"/>
          <w:color w:val="010000"/>
        </w:rPr>
      </w:pPr>
    </w:p>
    <w:p>
      <w:pPr>
        <w:jc w:val="both"/>
        <w:ind w:left="180" w:firstLine="4"/>
        <w:spacing w:after="0" w:line="233" w:lineRule="auto"/>
        <w:tabs>
          <w:tab w:leader="none" w:pos="55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 “closing agreement” within the meaning of Section 7121 of the Code (or any corresponding or similar provision of applicable Law in respect of Taxes) with any Governmental Authority regarding any material Tax liability or assessment, (E) settle, resolve or otherwise dispose of any material claim or Proceeding relating to Taxes or surrender a right to a material Tax refund, or (F) change any material method of accounting for U.S. federal income or foreign tax purposes;</w:t>
      </w:r>
    </w:p>
    <w:p>
      <w:pPr>
        <w:spacing w:after="0" w:line="206" w:lineRule="exact"/>
        <w:rPr>
          <w:rFonts w:ascii="Times New Roman" w:cs="Times New Roman" w:eastAsia="Times New Roman" w:hAnsi="Times New Roman"/>
          <w:sz w:val="22"/>
          <w:szCs w:val="22"/>
          <w:color w:val="auto"/>
        </w:rPr>
      </w:pPr>
    </w:p>
    <w:p>
      <w:pPr>
        <w:jc w:val="both"/>
        <w:ind w:left="180" w:firstLine="652"/>
        <w:spacing w:after="0" w:line="239" w:lineRule="auto"/>
        <w:tabs>
          <w:tab w:leader="none" w:pos="1966" w:val="left"/>
        </w:tabs>
        <w:numPr>
          <w:ilvl w:val="1"/>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abandon, dispose of, or permit to lapse any material Intellectual Property owned by the Partnership or its Subsidiaries, or disclose any material trade secret or other material confidential information of the Partnership or any of its Subsidiaries in a manner that would result in the loss of confidentiality thereof, in each case other than in the Ordinary Course;</w:t>
      </w:r>
    </w:p>
    <w:p>
      <w:pPr>
        <w:spacing w:after="0" w:line="207" w:lineRule="exact"/>
        <w:rPr>
          <w:rFonts w:ascii="Times New Roman" w:cs="Times New Roman" w:eastAsia="Times New Roman" w:hAnsi="Times New Roman"/>
          <w:sz w:val="22"/>
          <w:szCs w:val="22"/>
          <w:color w:val="010000"/>
        </w:rPr>
      </w:pPr>
    </w:p>
    <w:p>
      <w:pPr>
        <w:jc w:val="both"/>
        <w:ind w:left="180" w:firstLine="652"/>
        <w:spacing w:after="0" w:line="232" w:lineRule="auto"/>
        <w:tabs>
          <w:tab w:leader="none" w:pos="1688" w:val="left"/>
        </w:tabs>
        <w:numPr>
          <w:ilvl w:val="1"/>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to the extent required pursuant to any Partnership Plan as in effect on the date of this Agreement, (i) establish, adopt, enter into, amend, terminate, or take any action to accelerate rights under, any Partnership Plan or plan, program, policy, practice, agreement or arrangement that would be a Partnership Plan if it had been in effect on the date of this Agreement; (ii) grant or pay, or commit to grant or pay, any bonus, incentive or profit-sharing award or payment to any current or former director, officer, employee or individual service provider of the Partnership or any of its Subsidiaries; (iii) increase, or commit to increase, the amount of the wages, salary, bonuses, commissions, fringe benefits, severance or other compensation (including equity or equity-based compensation, whether payable in stock, cash or other property), benefits or remuneration payable to any current or former director, officer, employee or individual service provider of the Partnership or any of its Subsidiaries; (iv) take any action to accelerate any payment or benefit, the vesting of any equity or equity-based award or the funding of any payment or benefit, payable or to become payable to any current or former director, officer, employee or individual service provider of the Partnership or any of its Subsidiaries; (v) enter into any employment, severance, change in control, retention, individual consulting or similar agreement with any current or former director, officer, employee or individual service provider of the Partnership or any of its Subsidiaries; (vi) except as may be required by GAAP, materially change any actuarial or other assumptions used to calculate funding obligations with respect to any Partnership Plan, make any voluntary contributions to a Partnership Plan that are outside the Ordinary Course or materially change the manner in which contributions to such Partnership Plans are made or the basis on which such contributions are determined; or (vii) hire, engage, promote or terminate (other than for cause) any employee, officer or other individual service provider; or</w:t>
      </w:r>
    </w:p>
    <w:p>
      <w:pPr>
        <w:spacing w:after="0" w:line="39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4" w:name="page45"/>
    <w:bookmarkEnd w:id="44"/>
    <w:p>
      <w:pPr>
        <w:ind w:left="2300" w:hanging="1008"/>
        <w:spacing w:after="0"/>
        <w:tabs>
          <w:tab w:leader="none" w:pos="2300" w:val="left"/>
        </w:tabs>
        <w:numPr>
          <w:ilvl w:val="1"/>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authorize any of, or commit or agree, in writing or otherwise, to take any of, the foregoing</w:t>
      </w:r>
    </w:p>
    <w:p>
      <w:pPr>
        <w:spacing w:after="0" w:line="14" w:lineRule="exact"/>
        <w:rPr>
          <w:rFonts w:ascii="Times New Roman" w:cs="Times New Roman" w:eastAsia="Times New Roman" w:hAnsi="Times New Roman"/>
          <w:sz w:val="22"/>
          <w:szCs w:val="22"/>
          <w:color w:val="010000"/>
        </w:rPr>
      </w:pPr>
    </w:p>
    <w:p>
      <w:pPr>
        <w:ind w:left="64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actions.</w:t>
      </w:r>
    </w:p>
    <w:p>
      <w:pPr>
        <w:spacing w:after="0" w:line="209" w:lineRule="exact"/>
        <w:rPr>
          <w:rFonts w:ascii="Times New Roman" w:cs="Times New Roman" w:eastAsia="Times New Roman" w:hAnsi="Times New Roman"/>
          <w:sz w:val="22"/>
          <w:szCs w:val="22"/>
          <w:color w:val="010000"/>
        </w:rPr>
      </w:pPr>
    </w:p>
    <w:p>
      <w:pPr>
        <w:ind w:firstLine="644"/>
        <w:spacing w:after="0" w:line="258" w:lineRule="auto"/>
        <w:tabs>
          <w:tab w:leader="none" w:pos="139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Agreement is intended to give Parent, directly or indirectly, the right to control or direct the Partnership’s or its Subsidiaries operations prior to the Effective Time.</w:t>
      </w:r>
    </w:p>
    <w:p>
      <w:pPr>
        <w:spacing w:after="0" w:line="185" w:lineRule="exact"/>
        <w:rPr>
          <w:rFonts w:ascii="Times New Roman" w:cs="Times New Roman" w:eastAsia="Times New Roman" w:hAnsi="Times New Roman"/>
          <w:sz w:val="22"/>
          <w:szCs w:val="22"/>
          <w:color w:val="auto"/>
        </w:rPr>
      </w:pPr>
    </w:p>
    <w:p>
      <w:pPr>
        <w:jc w:val="both"/>
        <w:ind w:firstLine="644"/>
        <w:spacing w:after="0" w:line="235" w:lineRule="auto"/>
        <w:tabs>
          <w:tab w:leader="none" w:pos="163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 shall not (i) enter into or materially modify any Joint Venture Contract, (ii) redeem, purchase, sell, transfer or otherwise acquire or dispose of, or offer to purchase, redeem, sell, transfer or otherwise acquire or dispose of, directly or indirectly, any equity interests or any securities convertible or exchangeable into or exercisable for any equity interests or any bonds, debentures, notes or other indebtedness of any Joint Venture Entity held by the Partnership or its Subsidiaries, (iii) grant any Person any right or option to acquire any securities or equity interest of any Joint Venture Entity held by the Partnership or its Subsidiaries or (iv) enter into any Contract, understanding or arrangement with respect to the sale, voting, registration or repurchase of the securities or equity interests of any Joint Venture Entity held by the Partnership or its Subsidiaries.</w:t>
      </w:r>
    </w:p>
    <w:p>
      <w:pPr>
        <w:spacing w:after="0" w:line="205"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Section 5.02</w:t>
      </w:r>
      <w:r>
        <w:rPr>
          <w:sz w:val="20"/>
          <w:szCs w:val="20"/>
          <w:color w:val="auto"/>
        </w:rPr>
        <w:tab/>
      </w:r>
      <w:r>
        <w:rPr>
          <w:rFonts w:ascii="Times New Roman" w:cs="Times New Roman" w:eastAsia="Times New Roman" w:hAnsi="Times New Roman"/>
          <w:sz w:val="21"/>
          <w:szCs w:val="21"/>
          <w:u w:val="single" w:color="auto"/>
          <w:color w:val="auto"/>
        </w:rPr>
        <w:t>Preparation of the Proxy Statement; Partnership Unitholders’ Meeting</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4"/>
        <w:spacing w:after="0" w:line="243" w:lineRule="auto"/>
        <w:tabs>
          <w:tab w:leader="none" w:pos="1573"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promptly as reasonably practicable after the execution of this Agreement and subject to applicable Law, the Partnership shall prepare the Proxy Statement and shall use its reasonable best efforts to (i) set a record date for the Partnership Unitholders’ Meeting as of the date that is no more than 10 days following the date of this Agreement (or if such date is not a Business Day, the next Business Day) and (ii) cause the Proxy Statement to be disseminated to the Common Unitholders as promptly as reasonably practicable after the date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any event, the Proxy Statement shall be disseminated no later than 21 days following the date of this Agreement.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5.04</w:t>
      </w:r>
      <w:r>
        <w:rPr>
          <w:rFonts w:ascii="Times New Roman" w:cs="Times New Roman" w:eastAsia="Times New Roman" w:hAnsi="Times New Roman"/>
          <w:sz w:val="21"/>
          <w:szCs w:val="21"/>
          <w:color w:val="auto"/>
        </w:rPr>
        <w:t>, the Partnership Board shall make the Partnership Board Recommendation to the Partnership’s Common Unitholders and shall include such recommendation in the Proxy Statement. Parent shall provide to the Partnership all information concerning Parent and Merger Sub and their respective Affiliates as may be reasonably requested by the Partnership in connection with the Proxy Statement and shall otherwise assist and cooperate with the Partnership in the preparation of the Proxy Statement. If at any time prior to the Partnership Unitholders’ Meeting, any information relating to the Partnership, Parent or Merger Sub or any of its Affiliates, officers or directors, is discovered by the Partnership or Parent, respectively, that should be set forth in an amendment or supplement to the Proxy Statement, so that the Proxy Statement shall not contain any untrue statement of a material fact or omit to state any material fact required to be stated therein or necessary to make the statements therein, in the light of the circumstances under which they were made, not misleading. Prior to any dissemination of the Proxy Statement to the Common Unitholders the Partnership shall provide Parent with a reasonable opportunity to review and to propose comments on such document or response, which the Partnership shall consider in good faith. The Partnership or Parent, as the case may be, shall promptly notify the other, and to the extent required by applicable Law, the Partnership shall amend or supplement the Proxy Statement and disseminate such amendment or supplement to its Common Unitholders, as applicable.</w:t>
      </w:r>
    </w:p>
    <w:p>
      <w:pPr>
        <w:spacing w:after="0" w:line="39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2" w:right="339" w:bottom="1440" w:gutter="0" w:footer="0" w:header="0"/>
        </w:sectPr>
      </w:pPr>
    </w:p>
    <w:bookmarkStart w:id="45" w:name="page46"/>
    <w:bookmarkEnd w:id="45"/>
    <w:p>
      <w:pPr>
        <w:jc w:val="both"/>
        <w:ind w:left="4" w:firstLine="644"/>
        <w:spacing w:after="0" w:line="242" w:lineRule="auto"/>
        <w:tabs>
          <w:tab w:leader="none" w:pos="1616"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Adverse Recommendation Change but subject to </w:t>
      </w:r>
      <w:r>
        <w:rPr>
          <w:rFonts w:ascii="Times New Roman" w:cs="Times New Roman" w:eastAsia="Times New Roman" w:hAnsi="Times New Roman"/>
          <w:sz w:val="21"/>
          <w:szCs w:val="21"/>
          <w:u w:val="single" w:color="auto"/>
          <w:color w:val="auto"/>
        </w:rPr>
        <w:t>Section 5.02(a)</w:t>
      </w:r>
      <w:r>
        <w:rPr>
          <w:rFonts w:ascii="Times New Roman" w:cs="Times New Roman" w:eastAsia="Times New Roman" w:hAnsi="Times New Roman"/>
          <w:sz w:val="21"/>
          <w:szCs w:val="21"/>
          <w:color w:val="auto"/>
        </w:rPr>
        <w:t xml:space="preserve"> and applicable Law and to the extent not prohibited by any Judgment, the Partnership shall take all necessary actions in accordance with applicable Law, the Partnership Charter, the Partnership Agreement and the rules of Nasdaq to establish a record date for, duly call, give notice of, convene and use its reasonable best efforts to hold a special meeting of its Common Unitholders (including any adjournment, recess or postponement thereof, the “</w:t>
      </w:r>
      <w:r>
        <w:rPr>
          <w:rFonts w:ascii="Times New Roman" w:cs="Times New Roman" w:eastAsia="Times New Roman" w:hAnsi="Times New Roman"/>
          <w:sz w:val="21"/>
          <w:szCs w:val="21"/>
          <w:u w:val="single" w:color="auto"/>
          <w:color w:val="auto"/>
        </w:rPr>
        <w:t>Partnership Unitholders’ Meeting</w:t>
      </w:r>
      <w:r>
        <w:rPr>
          <w:rFonts w:ascii="Times New Roman" w:cs="Times New Roman" w:eastAsia="Times New Roman" w:hAnsi="Times New Roman"/>
          <w:sz w:val="21"/>
          <w:szCs w:val="21"/>
          <w:color w:val="auto"/>
        </w:rPr>
        <w:t xml:space="preserve">”) for the purpose of obtaining the Partnership Unitholder Approval, as soon as reasonably practicable after disseminating the Proxy Statement in accordance with </w:t>
      </w:r>
      <w:r>
        <w:rPr>
          <w:rFonts w:ascii="Times New Roman" w:cs="Times New Roman" w:eastAsia="Times New Roman" w:hAnsi="Times New Roman"/>
          <w:sz w:val="21"/>
          <w:szCs w:val="21"/>
          <w:u w:val="single" w:color="auto"/>
          <w:color w:val="auto"/>
        </w:rPr>
        <w:t>Section 5.02(a)</w:t>
      </w:r>
      <w:r>
        <w:rPr>
          <w:rFonts w:ascii="Times New Roman" w:cs="Times New Roman" w:eastAsia="Times New Roman" w:hAnsi="Times New Roman"/>
          <w:sz w:val="21"/>
          <w:szCs w:val="21"/>
          <w:color w:val="auto"/>
        </w:rPr>
        <w:t xml:space="preserve"> above;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any event, the Partnership shall hold a special meeting of its Common Unitholders no later than 21 days after disseminating the Proxy Statement, subject to any adjournment of the Partnership Unitholders’ Meeting in accordance with this Agreement. The Partnership shall use its reasonable best efforts to obtain the Partnership Unitholder Approval. Notwithstanding anything to the contrary contained in this Agreement, the Partnership may adjourn, recess or postpone the Partnership Unitholders’ Meeting (i) to allow reasonable additional time for the filing or mailing of any supplement or amendment to the Proxy Statement that the Partnership, after consultation with Parent and outside legal counsel, has determined is required under applicable Law or the Partnership Agreement and for such supplement or amendment to be disseminated and reviewed by the Common Unitholders in advance of the Partnership Unitholders’ Meeting, (ii) to the extent required by a court of competent jurisdiction in connection with any Proceeding in connection with this Agreement or the Transactions, (iii) if as of the time for which the Partnership Unitholders’ Meeting is originally scheduled (as set forth in the Proxy Statement) there are insufficient Common Units represented (either in person or by proxy) to constitute a quorum necessary to conduct the business of the Partnership Unitholders’ Meeting, (iv) to solicit additional proxies if necessary in order to obtain the Partnership Unitholder Approval, or (v) if, at the time notice by the Conflicts Committee or Partnership Board is required to be given with respect to the Partnership Board’s intention to effect an Adverse Recommendation Clause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5.03(b)(i)</w:t>
      </w:r>
      <w:r>
        <w:rPr>
          <w:rFonts w:ascii="Times New Roman" w:cs="Times New Roman" w:eastAsia="Times New Roman" w:hAnsi="Times New Roman"/>
          <w:sz w:val="21"/>
          <w:szCs w:val="21"/>
          <w:color w:val="auto"/>
        </w:rPr>
        <w:t xml:space="preserve"> below, there are less than 5 Business Days before the Partnership Unitholders’ Meeting, to allow the Partnership Unitholders’ Meeting to be adjourned, recessed or postponed until such date as would provide Parent with the benefit of the full Partnership Notice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Partnership shall not adjourn, recess or postpone the Partnership Unitholders’ Meeting (or any adjournment or postponement thereof) pursuant to the foregoing clauses (iii) or</w:t>
      </w:r>
    </w:p>
    <w:p>
      <w:pPr>
        <w:spacing w:after="0" w:line="12" w:lineRule="exact"/>
        <w:rPr>
          <w:rFonts w:ascii="Times New Roman" w:cs="Times New Roman" w:eastAsia="Times New Roman" w:hAnsi="Times New Roman"/>
          <w:sz w:val="21"/>
          <w:szCs w:val="21"/>
          <w:color w:val="auto"/>
        </w:rPr>
      </w:pPr>
    </w:p>
    <w:p>
      <w:pPr>
        <w:jc w:val="both"/>
        <w:ind w:left="4" w:hanging="4"/>
        <w:spacing w:after="0" w:line="232" w:lineRule="auto"/>
        <w:tabs>
          <w:tab w:leader="none" w:pos="37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more than 10 Business Days in the aggregate after the date of such meeting (or any adjournment or postponement thereof) without Parent’s prior written consent (which consent shall not be unreasonably withheld, delayed or conditioned);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each case, the Partnership shall not be permitted to postpone or adjourn the Partnership Unitholders’ Meeting to a date after the date that is 2 Business Days prior to the Termination Date. The Partnership agrees that no matters shall be brought before the Partnership Unitholders’ Meeting other than the approval of this Agreement and customary procedural matters (including a proposal to adjourn the meeting to allow additional solicitation of votes).</w:t>
      </w:r>
    </w:p>
    <w:p>
      <w:pPr>
        <w:spacing w:after="0" w:line="388"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6" w:name="page47"/>
    <w:bookmarkEnd w:id="46"/>
    <w:p>
      <w:pPr>
        <w:jc w:val="both"/>
        <w:ind w:firstLine="644"/>
        <w:spacing w:after="0"/>
        <w:tabs>
          <w:tab w:leader="none" w:pos="140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this Agreement is validly terminated in accordance with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the Partnership shall submit this Agreement to the Common Unitholders for approval at the Partnership Unitholders’ Meeting even if the Partnership Board (acting on the recommendation of the Conflicts Committee) shall have effected a Partnership Adverse Recommendation Change.</w:t>
      </w:r>
    </w:p>
    <w:p>
      <w:pPr>
        <w:spacing w:after="0" w:line="204"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Section 5.03</w:t>
      </w:r>
      <w:r>
        <w:rPr>
          <w:sz w:val="20"/>
          <w:szCs w:val="20"/>
          <w:color w:val="auto"/>
        </w:rPr>
        <w:tab/>
      </w:r>
      <w:r>
        <w:rPr>
          <w:rFonts w:ascii="Times New Roman" w:cs="Times New Roman" w:eastAsia="Times New Roman" w:hAnsi="Times New Roman"/>
          <w:sz w:val="21"/>
          <w:szCs w:val="21"/>
          <w:u w:val="single" w:color="auto"/>
          <w:color w:val="auto"/>
        </w:rPr>
        <w:t>Adverse Recommendation Change.</w:t>
      </w:r>
    </w:p>
    <w:p>
      <w:pPr>
        <w:spacing w:after="0" w:line="233" w:lineRule="exact"/>
        <w:rPr>
          <w:sz w:val="20"/>
          <w:szCs w:val="20"/>
          <w:color w:val="auto"/>
        </w:rPr>
      </w:pPr>
    </w:p>
    <w:p>
      <w:pPr>
        <w:jc w:val="both"/>
        <w:ind w:firstLine="644"/>
        <w:spacing w:after="0" w:line="235" w:lineRule="auto"/>
        <w:tabs>
          <w:tab w:leader="none" w:pos="157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permitted by this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the Partnership Board (acting on the recommendation of the Conflicts Committee) shall not (i) withdraw, modify or qualify, or propose publicly to withdraw, modify or qualify, in a manner adverse to Parent, the Partnership Board Recommendation or (ii) fail to include the Partnership Board Recommendation in the Proxy Statement (the taking of any action described in clauses (i) or (ii) being referred to as an “</w:t>
      </w:r>
      <w:r>
        <w:rPr>
          <w:rFonts w:ascii="Times New Roman" w:cs="Times New Roman" w:eastAsia="Times New Roman" w:hAnsi="Times New Roman"/>
          <w:sz w:val="22"/>
          <w:szCs w:val="22"/>
          <w:u w:val="single" w:color="auto"/>
          <w:color w:val="auto"/>
        </w:rPr>
        <w:t>Adverse Recommendation Change</w:t>
      </w:r>
      <w:r>
        <w:rPr>
          <w:rFonts w:ascii="Times New Roman" w:cs="Times New Roman" w:eastAsia="Times New Roman" w:hAnsi="Times New Roman"/>
          <w:sz w:val="22"/>
          <w:szCs w:val="22"/>
          <w:color w:val="auto"/>
        </w:rPr>
        <w:t xml:space="preserve">”). Without limiting the foregoing, it is understood that any violation of the foregoing restrictions by the Partnership’s or the General Partner’s Subsidiaries, or the Partnership’s or the General Partner’s Representatives, other than any violation caused by or at the direction of Parent, shall be deemed to be a breach of this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by the Partnership and the General Partner.</w:t>
      </w:r>
    </w:p>
    <w:p>
      <w:pPr>
        <w:spacing w:after="0" w:line="205" w:lineRule="exact"/>
        <w:rPr>
          <w:rFonts w:ascii="Times New Roman" w:cs="Times New Roman" w:eastAsia="Times New Roman" w:hAnsi="Times New Roman"/>
          <w:sz w:val="22"/>
          <w:szCs w:val="22"/>
          <w:color w:val="auto"/>
        </w:rPr>
      </w:pPr>
    </w:p>
    <w:p>
      <w:pPr>
        <w:jc w:val="both"/>
        <w:ind w:firstLine="644"/>
        <w:spacing w:after="0" w:line="244" w:lineRule="auto"/>
        <w:tabs>
          <w:tab w:leader="none" w:pos="1867"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Agreement, at any time prior to obtaining the Partnership Unitholder Approval, and subject to compliance in all material respects with this </w:t>
      </w:r>
      <w:r>
        <w:rPr>
          <w:rFonts w:ascii="Times New Roman" w:cs="Times New Roman" w:eastAsia="Times New Roman" w:hAnsi="Times New Roman"/>
          <w:sz w:val="21"/>
          <w:szCs w:val="21"/>
          <w:u w:val="single" w:color="auto"/>
          <w:color w:val="auto"/>
        </w:rPr>
        <w:t>Section 5.03(b)</w:t>
      </w:r>
      <w:r>
        <w:rPr>
          <w:rFonts w:ascii="Times New Roman" w:cs="Times New Roman" w:eastAsia="Times New Roman" w:hAnsi="Times New Roman"/>
          <w:sz w:val="21"/>
          <w:szCs w:val="21"/>
          <w:color w:val="auto"/>
        </w:rPr>
        <w:t xml:space="preserve">, the Partnership Board (acting on the recommendation of the Conflicts Committee) may make an Adverse Recommendation Change if, and only if, (A) a Partnership Intervening Event has occurred and the Partnership Board (acting on the recommendation of the Conflicts Committee after consulting with its financial advisor and outside legal counsel) has determined in good faith, after consulting with its outside legal counsel, that the failure to take such action would reasonably be expected to constitute a breach of its duties under the Partnership Agreement or applicable Law, or (B) the Partnership receives a Takeover Proposal and the Partnership Board (acting on the recommendation of the Conflicts Committee after consulting with its financial advisor and outside legal counsel) has determined in good faith, after consulting with its outside legal counsel) that such Takeover Proposal constitutes a Superior Proposal and that the failure to take such action would reasonably be expected to constitute a breach of its duties under the Partnership Agreement or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Partnership Board (acting on the recommendation of the Conflicts Committee) may not effect an Adverse Recommendation Change pursuant to the foregoing clause (A) or (B) unless:</w:t>
      </w:r>
    </w:p>
    <w:p>
      <w:pPr>
        <w:spacing w:after="0" w:line="39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2" w:right="339" w:bottom="1440" w:gutter="0" w:footer="0" w:header="0"/>
        </w:sectPr>
      </w:pPr>
    </w:p>
    <w:bookmarkStart w:id="47" w:name="page48"/>
    <w:bookmarkEnd w:id="47"/>
    <w:p>
      <w:pPr>
        <w:jc w:val="both"/>
        <w:ind w:left="640" w:firstLine="652"/>
        <w:spacing w:after="0"/>
        <w:tabs>
          <w:tab w:leader="none" w:pos="2418"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Conflicts Committee or Partnership Board has provided prior written notice to Parent specifying in reasonable detail the reasons for such action at least 5 Business Days in advance of the Partnership Board’s intention to take such action with respect to an Adverse Recommendation Change (the period inclusive of all such days, the “</w:t>
      </w:r>
      <w:r>
        <w:rPr>
          <w:rFonts w:ascii="Times New Roman" w:cs="Times New Roman" w:eastAsia="Times New Roman" w:hAnsi="Times New Roman"/>
          <w:sz w:val="22"/>
          <w:szCs w:val="22"/>
          <w:u w:val="single" w:color="auto"/>
          <w:color w:val="auto"/>
        </w:rPr>
        <w:t>Partnership Notice Period</w:t>
      </w:r>
      <w:r>
        <w:rPr>
          <w:rFonts w:ascii="Times New Roman" w:cs="Times New Roman" w:eastAsia="Times New Roman" w:hAnsi="Times New Roman"/>
          <w:sz w:val="22"/>
          <w:szCs w:val="22"/>
          <w:color w:val="auto"/>
        </w:rPr>
        <w:t>”); and</w:t>
      </w:r>
    </w:p>
    <w:p>
      <w:pPr>
        <w:spacing w:after="0" w:line="203" w:lineRule="exact"/>
        <w:rPr>
          <w:rFonts w:ascii="Times New Roman" w:cs="Times New Roman" w:eastAsia="Times New Roman" w:hAnsi="Times New Roman"/>
          <w:sz w:val="22"/>
          <w:szCs w:val="22"/>
          <w:color w:val="010000"/>
        </w:rPr>
      </w:pPr>
    </w:p>
    <w:p>
      <w:pPr>
        <w:jc w:val="both"/>
        <w:ind w:left="640" w:firstLine="652"/>
        <w:spacing w:after="0" w:line="235" w:lineRule="auto"/>
        <w:tabs>
          <w:tab w:leader="none" w:pos="2187"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during the Partnership Notice Period, the Conflicts Committee has negotiated, and has used its reasonable best efforts to cause its financial advisor and outside legal counsel to negotiate, with Parent in good faith (to the extent Parent desires to negotiate) to make such adjustments in the terms and conditions of this Agreement so that the failure of the Partnership Board (acting on the recommendation of the Conflicts Committee) to effect such Adverse Recommendation Change would not be inconsistent with its duties under the Partnership Agreement or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Conflicts Committee shall take into account all changes to the terms of this Agreement proposed by Parent in determining whether to recommend an Adverse Recommendation Change to the Partnership Board.</w:t>
      </w:r>
    </w:p>
    <w:p>
      <w:pPr>
        <w:spacing w:after="0" w:line="205"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Section 5.04</w:t>
      </w:r>
      <w:r>
        <w:rPr>
          <w:sz w:val="20"/>
          <w:szCs w:val="20"/>
          <w:color w:val="auto"/>
        </w:rPr>
        <w:tab/>
      </w:r>
      <w:r>
        <w:rPr>
          <w:rFonts w:ascii="Times New Roman" w:cs="Times New Roman" w:eastAsia="Times New Roman" w:hAnsi="Times New Roman"/>
          <w:sz w:val="21"/>
          <w:szCs w:val="21"/>
          <w:u w:val="single" w:color="auto"/>
          <w:color w:val="auto"/>
        </w:rPr>
        <w:t>No Solicitation by the Partnership</w:t>
      </w:r>
    </w:p>
    <w:p>
      <w:pPr>
        <w:spacing w:after="0" w:line="233" w:lineRule="exact"/>
        <w:rPr>
          <w:sz w:val="20"/>
          <w:szCs w:val="20"/>
          <w:color w:val="auto"/>
        </w:rPr>
      </w:pPr>
    </w:p>
    <w:p>
      <w:pPr>
        <w:jc w:val="both"/>
        <w:ind w:firstLine="644"/>
        <w:spacing w:after="0" w:line="244" w:lineRule="auto"/>
        <w:tabs>
          <w:tab w:leader="none" w:pos="1364"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Partnership shall, and shall cause each of its Subsidiaries and Affiliates, and shall use its reasonable best efforts to cause its Representatives to, immediately cease any solicitation, encouragement, discussions or negotiations with respect to a Takeover Proposal that are ongoing on or prior to the date of this Agreement and shall promptly request from each Person that has executed a confidentiality agreement with the Partnership within the one-year period prior to and ending on the date of this Agreement in connection with its consideration of making a Takeover Proposal (an “</w:t>
      </w:r>
      <w:r>
        <w:rPr>
          <w:rFonts w:ascii="Times New Roman" w:cs="Times New Roman" w:eastAsia="Times New Roman" w:hAnsi="Times New Roman"/>
          <w:sz w:val="21"/>
          <w:szCs w:val="21"/>
          <w:u w:val="single" w:color="auto"/>
          <w:color w:val="auto"/>
        </w:rPr>
        <w:t>Existing Confidentiality Agreement</w:t>
      </w:r>
      <w:r>
        <w:rPr>
          <w:rFonts w:ascii="Times New Roman" w:cs="Times New Roman" w:eastAsia="Times New Roman" w:hAnsi="Times New Roman"/>
          <w:sz w:val="21"/>
          <w:szCs w:val="21"/>
          <w:color w:val="auto"/>
        </w:rPr>
        <w:t xml:space="preserve">”) that it promptly return or destroy (as provided in the terms of the applicable Existing Confidentiality Agreement) any non-public information concerning the Partnership or any of its Subsidiaries previously furnished or made available to such Person or any of its Representatives by or on behalf of the Partnership, its Affiliates or its Representatives. The Partnership shall promptly inform its Representatives of the Partnership’s obligations under this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 xml:space="preserve"> and shall be liable for any action taken by any Representative of the Partnership at the direction of the Partnership that, if taken by the Partnership, would constitute a breach of this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 xml:space="preserve">. Upon becoming aware of any action by any Representative of the Partnership that would constitute a breach of this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 xml:space="preserve"> if taken by the Partnership, the Partnership shall stop any such Representative from continuing to take such action, directly or indirectly.</w:t>
      </w:r>
    </w:p>
    <w:p>
      <w:pPr>
        <w:spacing w:after="0" w:line="39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2" w:right="339" w:bottom="1440" w:gutter="0" w:footer="0" w:header="0"/>
        </w:sectPr>
      </w:pPr>
    </w:p>
    <w:bookmarkStart w:id="48" w:name="page49"/>
    <w:bookmarkEnd w:id="48"/>
    <w:p>
      <w:pPr>
        <w:jc w:val="both"/>
        <w:ind w:left="-460" w:firstLine="644"/>
        <w:spacing w:after="0" w:line="236" w:lineRule="auto"/>
        <w:tabs>
          <w:tab w:leader="none" w:pos="92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the foregoing to the contrary subject to the Partnership’s compliance with the provisions of this </w:t>
      </w: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 xml:space="preserve">, including (in the case of a Takeover Proposal) the execution and delivery of an Acceptable Confidentiality Agreement, the Partnership and its Representatives and the Partnership Board shall be permitted to, at any time prior to obtaining the Partnership Unitholder Approval, in response to a bona fide written Takeover Proposal that was delivered to the Partnership after the date of this Agreement and did not result from any breach of this </w:t>
      </w: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 xml:space="preserve"> take the following actions:</w:t>
      </w:r>
    </w:p>
    <w:p>
      <w:pPr>
        <w:spacing w:after="0" w:line="208" w:lineRule="exact"/>
        <w:rPr>
          <w:rFonts w:ascii="Times New Roman" w:cs="Times New Roman" w:eastAsia="Times New Roman" w:hAnsi="Times New Roman"/>
          <w:sz w:val="22"/>
          <w:szCs w:val="22"/>
          <w:color w:val="auto"/>
        </w:rPr>
      </w:pPr>
    </w:p>
    <w:p>
      <w:pPr>
        <w:jc w:val="both"/>
        <w:ind w:left="180" w:firstLine="652"/>
        <w:spacing w:after="0" w:line="235" w:lineRule="auto"/>
        <w:tabs>
          <w:tab w:leader="none" w:pos="1539" w:val="left"/>
        </w:tabs>
        <w:numPr>
          <w:ilvl w:val="1"/>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engage in discussions or negotiations with the Person (and its Representatives) who has made such Takeover Proposal regarding such Takeover Proposal, if the Partnership Board (acting upon the recommendation of the Conflicts Committee after consulting with its financial advisor and outside legal counsel) determines (A) in good faith, after consultation with its outside legal counsel, that such Takeover Proposal constitutes, or is reasonably likely to result in, a Superior Proposal and (B) after consulting with its outside legal counsel, that the failure to do so would reasonably be expected to constitute a breach of its duties under the Partnership Agreement or applicable Law; or</w:t>
      </w:r>
    </w:p>
    <w:p>
      <w:pPr>
        <w:spacing w:after="0" w:line="210" w:lineRule="exact"/>
        <w:rPr>
          <w:rFonts w:ascii="Times New Roman" w:cs="Times New Roman" w:eastAsia="Times New Roman" w:hAnsi="Times New Roman"/>
          <w:sz w:val="22"/>
          <w:szCs w:val="22"/>
          <w:color w:val="010000"/>
        </w:rPr>
      </w:pPr>
    </w:p>
    <w:p>
      <w:pPr>
        <w:jc w:val="both"/>
        <w:ind w:left="180" w:firstLine="652"/>
        <w:spacing w:after="0" w:line="234" w:lineRule="auto"/>
        <w:tabs>
          <w:tab w:leader="none" w:pos="1794" w:val="left"/>
        </w:tabs>
        <w:numPr>
          <w:ilvl w:val="1"/>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furnish or disclose any information relating to the Partnership or any of its Subsidiaries to the Person who has made such Takeover Proposal (and its Representatives), if the Partnership Board (acting upon the recommendation of the Conflicts Committee after consulting with its financial advisor and outside legal counsel) determines (A) in good faith, after consulting with its outside legal counsel, that such Takeover Proposal constitutes, or is reasonably likely to result in, a Superior Proposal (B) after consulting with its outside legal counsel, that the failure to do so would reasonably be expected to constitute a breach of its duties under the Partnership Agreement or applicable Law, but only so long as the Partnership has caused such Person to enter into an Acceptable Confidentiality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such information (other than non-intentional, immaterial omissions therefrom) has previously been provided to Parent or is provided to Parent prior to or concurrently with the time it is provided to such Person.</w:t>
      </w:r>
    </w:p>
    <w:p>
      <w:pPr>
        <w:spacing w:after="0" w:line="206" w:lineRule="exact"/>
        <w:rPr>
          <w:rFonts w:ascii="Times New Roman" w:cs="Times New Roman" w:eastAsia="Times New Roman" w:hAnsi="Times New Roman"/>
          <w:sz w:val="22"/>
          <w:szCs w:val="22"/>
          <w:color w:val="010000"/>
        </w:rPr>
      </w:pPr>
    </w:p>
    <w:p>
      <w:pPr>
        <w:jc w:val="both"/>
        <w:ind w:left="-460" w:firstLine="644"/>
        <w:spacing w:after="0" w:line="233" w:lineRule="auto"/>
        <w:tabs>
          <w:tab w:leader="none" w:pos="103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date of this Agreement, the Partnership shall notify Parent promptly (and in no event later than 24 hours after receipt by, or communication to, the Partnership or its Representatives) upon receipt of any Takeover Proposal or inquiry, indication, proposal or offer by any Person that would reasonably be expected to result in a Takeover Proposal after the date of this Agreement. The Partnership shall provide Parent promptly with the identity of such Person, a description of the terms of such Takeover Proposal, inquiry, indication, proposal or offer, and provide to Parent promptly (and in no event later than 24 hours after receipt by, or communication to, the Partnership or its Representatives) unredacted copies of all material correspondence or other material written documentation with respect thereto (and written summaries of any material oral communications). The Partnership shall keep Parent reasonably informed on a prompt basis (24 hours) of any material developments regarding any such Takeover Proposal, inquiry, indication, proposal or offer. Notwithstanding the foregoing, in the event that the Partnership does not provide the notice or information required to be provided by it to Parent under this </w:t>
      </w:r>
      <w:r>
        <w:rPr>
          <w:rFonts w:ascii="Times New Roman" w:cs="Times New Roman" w:eastAsia="Times New Roman" w:hAnsi="Times New Roman"/>
          <w:sz w:val="22"/>
          <w:szCs w:val="22"/>
          <w:u w:val="single" w:color="auto"/>
          <w:color w:val="auto"/>
        </w:rPr>
        <w:t>Section 5.04(d)</w:t>
      </w:r>
      <w:r>
        <w:rPr>
          <w:rFonts w:ascii="Times New Roman" w:cs="Times New Roman" w:eastAsia="Times New Roman" w:hAnsi="Times New Roman"/>
          <w:sz w:val="22"/>
          <w:szCs w:val="22"/>
          <w:color w:val="auto"/>
        </w:rPr>
        <w:t xml:space="preserve"> within the required 24 hour period, such failure shall not in any circumstance constitute a material breach under this Agreement if the Partnership shall provide such notice or information within an additional 24 hour period (provided, however, that for the avoidance of doubt, the foregoing shall not be read to imply that the failure to provide such notice or information within such additional 24 hour period shall necessarily constitute a material breach under this Agreement).</w:t>
      </w:r>
    </w:p>
    <w:p>
      <w:pPr>
        <w:spacing w:after="0" w:line="38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9" w:name="page50"/>
    <w:bookmarkEnd w:id="49"/>
    <w:p>
      <w:pPr>
        <w:jc w:val="both"/>
        <w:ind w:left="4" w:firstLine="644"/>
        <w:spacing w:after="0" w:line="234" w:lineRule="auto"/>
        <w:tabs>
          <w:tab w:leader="none" w:pos="150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the Partnership Board shall be permitted to make any required public disclosure if it determines, after consultation with outside legal counsel, that the failure to do so would reasonably be expected to constitute a breach of its duties under the Partnership Agreement or applicable Law; it being understood, however, that this </w:t>
      </w:r>
      <w:r>
        <w:rPr>
          <w:rFonts w:ascii="Times New Roman" w:cs="Times New Roman" w:eastAsia="Times New Roman" w:hAnsi="Times New Roman"/>
          <w:sz w:val="22"/>
          <w:szCs w:val="22"/>
          <w:u w:val="single" w:color="auto"/>
          <w:color w:val="auto"/>
        </w:rPr>
        <w:t>Section 5.04(d)</w:t>
      </w:r>
      <w:r>
        <w:rPr>
          <w:rFonts w:ascii="Times New Roman" w:cs="Times New Roman" w:eastAsia="Times New Roman" w:hAnsi="Times New Roman"/>
          <w:sz w:val="22"/>
          <w:szCs w:val="22"/>
          <w:color w:val="auto"/>
        </w:rPr>
        <w:t xml:space="preserve"> shall not be deemed to permit the Partnership Board to make an Adverse Recommendation Change. Any public disclosure by the Partnership or the Partnership Board or any committee thereof relating to a Takeover Proposal (other than a “stop, look and listen” communication of the type contemplated by Rule 14d-9(f) under the Exchange Act or a statement that the Partnership Board has received and is currently evaluating such Takeover Proposal) shall be deemed to be an Adverse Recommendation Change by the Partnership Board, unless the Partnership Board reaffirms the Partnership Board Recommendation in such disclosure.</w:t>
      </w:r>
    </w:p>
    <w:p>
      <w:pPr>
        <w:spacing w:after="0" w:line="211" w:lineRule="exact"/>
        <w:rPr>
          <w:sz w:val="20"/>
          <w:szCs w:val="20"/>
          <w:color w:val="auto"/>
        </w:rPr>
      </w:pPr>
    </w:p>
    <w:p>
      <w:pPr>
        <w:ind w:left="4"/>
        <w:spacing w:after="0"/>
        <w:tabs>
          <w:tab w:leader="none" w:pos="1544" w:val="left"/>
        </w:tabs>
        <w:rPr>
          <w:sz w:val="20"/>
          <w:szCs w:val="20"/>
          <w:color w:val="auto"/>
        </w:rPr>
      </w:pPr>
      <w:r>
        <w:rPr>
          <w:rFonts w:ascii="Times New Roman" w:cs="Times New Roman" w:eastAsia="Times New Roman" w:hAnsi="Times New Roman"/>
          <w:sz w:val="22"/>
          <w:szCs w:val="22"/>
          <w:color w:val="auto"/>
        </w:rPr>
        <w:t>Section 5.05</w:t>
      </w:r>
      <w:r>
        <w:rPr>
          <w:sz w:val="20"/>
          <w:szCs w:val="20"/>
          <w:color w:val="auto"/>
        </w:rPr>
        <w:tab/>
      </w:r>
      <w:r>
        <w:rPr>
          <w:rFonts w:ascii="Times New Roman" w:cs="Times New Roman" w:eastAsia="Times New Roman" w:hAnsi="Times New Roman"/>
          <w:sz w:val="21"/>
          <w:szCs w:val="21"/>
          <w:u w:val="single" w:color="auto"/>
          <w:color w:val="auto"/>
        </w:rPr>
        <w:t>Reasonable Best Efforts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4" w:firstLine="644"/>
        <w:spacing w:after="0" w:line="232" w:lineRule="auto"/>
        <w:tabs>
          <w:tab w:leader="none" w:pos="1433"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each of the parties hereto shall cooperate with the other parties and use (and shall cause their respective Subsidiaries to use) their respective reasonable best efforts (unless, with respect to any action, another standard of performance is expressly provided for herein) to promptly (i) take, or cause to be taken, all actions, and do, or cause to be done, and assist and cooperate with the other parties hereto in doing, all things necessary, proper or advisable to cause the conditions to Closing to be satisfied as promptly as reasonably practicable and to consummate and make effective, in the most expeditious manner reasonably practicable, the Transactions, including (A) preparing and filing promptly all documentation to effect all necessary filings, notices, petitions, statements, registrations, submissions of information, applications and other documents and (B) executing and delivering any additional instruments necessary to consummate the Transactions, (ii) obtain all approvals, consents, registrations, waivers, permits, authorizations, orders and other confirmations from any Governmental Authority or third party necessary, proper or advisable to consummate the Transactions, including any such approvals, consents, registrations, waivers, permits, authorizations, orders and other confirmations required under applicable Antitrust Laws,</w:t>
      </w:r>
    </w:p>
    <w:p>
      <w:pPr>
        <w:spacing w:after="0" w:line="5" w:lineRule="exact"/>
        <w:rPr>
          <w:rFonts w:ascii="Times New Roman" w:cs="Times New Roman" w:eastAsia="Times New Roman" w:hAnsi="Times New Roman"/>
          <w:sz w:val="22"/>
          <w:szCs w:val="22"/>
          <w:color w:val="auto"/>
        </w:rPr>
      </w:pPr>
    </w:p>
    <w:p>
      <w:pPr>
        <w:jc w:val="both"/>
        <w:ind w:left="4" w:hanging="4"/>
        <w:spacing w:after="0" w:line="242" w:lineRule="auto"/>
        <w:tabs>
          <w:tab w:leader="none" w:pos="409"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take all steps that are necessary, proper or advisable to avoid any Actions by any Governmental Authorities with respect to this Agreement or the Transactions and (iv) defend or contest in good faith any Action by any third party (excluding any Governmental Authority), whether judicial or administrative, challenging this Agreement or that would otherwise prevent or materially delay the consummation of the Transactions;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or otherwise in this Agreement shall require (and reasonable best efforts or commercially reasonable efforts shall in no event require) Parent or any of its Affiliates to (x) litigate any Action by or on behalf of any Governmental Authority seeking to delay, restrain, prevent, enjoin or otherwise prohibit consummation of the Transactions or (y) take or refrain from or to agree to the taking or refraining from any action (including any amendment, waiver or termination of any agreement, including this Agreement) or to permit or suffer to exist any restriction, condition, limitation or requirement that would or would reasonably be expected to result, individually or in the aggregate, in a Burdensome Condition;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without the prior written consent of Parent, the Partnership and its Affiliates shall not take or refrain from or agree to the taking or refraining from any action (including any amendment, waiver or termination of any agreement, including this Agreement) or to permit or suffer to exist any restriction, condition, limitation or requirement that would or would reasonably be expected to result, individually or in the aggregate, in a Burdensome Condition.</w:t>
      </w:r>
    </w:p>
    <w:p>
      <w:pPr>
        <w:spacing w:after="0" w:line="392"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50" w:name="page51"/>
    <w:bookmarkEnd w:id="50"/>
    <w:p>
      <w:pPr>
        <w:jc w:val="both"/>
        <w:ind w:left="-460" w:firstLine="644"/>
        <w:spacing w:after="0" w:line="236" w:lineRule="auto"/>
        <w:tabs>
          <w:tab w:leader="none" w:pos="115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the Partnership and Parent shall each use its reasonable best efforts to (i) take all action necessary to ensure that no Takeover Law is or becomes applicable to any of the Transactions and refrain from taking any actions that would cause the applicability of such Laws and (ii) if the restrictions of any Takeover Law become applicable to any of the Transactions, take all action necessary to ensure that the Transactions may be consummated as promptly as practicable on the terms contemplated by this Agreement and otherwise lawfully minimize the effect of such Takeover Law on the Transactions.</w:t>
      </w:r>
    </w:p>
    <w:p>
      <w:pPr>
        <w:spacing w:after="0" w:line="209" w:lineRule="exact"/>
        <w:rPr>
          <w:rFonts w:ascii="Times New Roman" w:cs="Times New Roman" w:eastAsia="Times New Roman" w:hAnsi="Times New Roman"/>
          <w:sz w:val="22"/>
          <w:szCs w:val="22"/>
          <w:color w:val="auto"/>
        </w:rPr>
      </w:pPr>
    </w:p>
    <w:p>
      <w:pPr>
        <w:jc w:val="both"/>
        <w:ind w:left="-460" w:firstLine="644"/>
        <w:spacing w:after="0" w:line="242" w:lineRule="auto"/>
        <w:tabs>
          <w:tab w:leader="none" w:pos="972"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general applicability of </w:t>
      </w:r>
      <w:r>
        <w:rPr>
          <w:rFonts w:ascii="Times New Roman" w:cs="Times New Roman" w:eastAsia="Times New Roman" w:hAnsi="Times New Roman"/>
          <w:sz w:val="21"/>
          <w:szCs w:val="21"/>
          <w:u w:val="single" w:color="auto"/>
          <w:color w:val="auto"/>
        </w:rPr>
        <w:t>Section 5.05(a)</w:t>
      </w:r>
      <w:r>
        <w:rPr>
          <w:rFonts w:ascii="Times New Roman" w:cs="Times New Roman" w:eastAsia="Times New Roman" w:hAnsi="Times New Roman"/>
          <w:sz w:val="21"/>
          <w:szCs w:val="21"/>
          <w:color w:val="auto"/>
        </w:rPr>
        <w:t xml:space="preserve">, Parent shall, in consultation and cooperation with the Partnership and as promptly as practicable following the date of this Agreement, file all appropriate documents, forms, filings or submissions with the Governmental Authorities set forth in </w:t>
      </w:r>
      <w:r>
        <w:rPr>
          <w:rFonts w:ascii="Times New Roman" w:cs="Times New Roman" w:eastAsia="Times New Roman" w:hAnsi="Times New Roman"/>
          <w:sz w:val="21"/>
          <w:szCs w:val="21"/>
          <w:u w:val="single" w:color="auto"/>
          <w:color w:val="auto"/>
        </w:rPr>
        <w:t>Section 6.01(b)</w:t>
      </w:r>
      <w:r>
        <w:rPr>
          <w:rFonts w:ascii="Times New Roman" w:cs="Times New Roman" w:eastAsia="Times New Roman" w:hAnsi="Times New Roman"/>
          <w:sz w:val="21"/>
          <w:szCs w:val="21"/>
          <w:color w:val="auto"/>
        </w:rPr>
        <w:t xml:space="preserve"> of the Partnership Disclosure Schedule in order to obtain the Required Regulatory Approvals identified in such </w:t>
      </w:r>
      <w:r>
        <w:rPr>
          <w:rFonts w:ascii="Times New Roman" w:cs="Times New Roman" w:eastAsia="Times New Roman" w:hAnsi="Times New Roman"/>
          <w:sz w:val="21"/>
          <w:szCs w:val="21"/>
          <w:u w:val="single" w:color="auto"/>
          <w:color w:val="auto"/>
        </w:rPr>
        <w:t>Section 6.01(b)</w:t>
      </w:r>
      <w:r>
        <w:rPr>
          <w:rFonts w:ascii="Times New Roman" w:cs="Times New Roman" w:eastAsia="Times New Roman" w:hAnsi="Times New Roman"/>
          <w:sz w:val="21"/>
          <w:szCs w:val="21"/>
          <w:color w:val="auto"/>
        </w:rPr>
        <w:t xml:space="preserve">. Any such filings shall be in material compliance with the requirements of applicable Law. Each of the parties shall, in connection with the efforts referenced in </w:t>
      </w:r>
      <w:r>
        <w:rPr>
          <w:rFonts w:ascii="Times New Roman" w:cs="Times New Roman" w:eastAsia="Times New Roman" w:hAnsi="Times New Roman"/>
          <w:sz w:val="21"/>
          <w:szCs w:val="21"/>
          <w:u w:val="single" w:color="auto"/>
          <w:color w:val="auto"/>
        </w:rPr>
        <w:t>Section 5.05(a)</w:t>
      </w:r>
      <w:r>
        <w:rPr>
          <w:rFonts w:ascii="Times New Roman" w:cs="Times New Roman" w:eastAsia="Times New Roman" w:hAnsi="Times New Roman"/>
          <w:sz w:val="21"/>
          <w:szCs w:val="21"/>
          <w:color w:val="auto"/>
        </w:rPr>
        <w:t xml:space="preserve">, (i) furnish to the other party such necessary information and reasonable assistance as the other party may request in connection with its preparation of any documents, forms, filings or submissions contemplated by the first sentence of this </w:t>
      </w:r>
      <w:r>
        <w:rPr>
          <w:rFonts w:ascii="Times New Roman" w:cs="Times New Roman" w:eastAsia="Times New Roman" w:hAnsi="Times New Roman"/>
          <w:sz w:val="21"/>
          <w:szCs w:val="21"/>
          <w:u w:val="single" w:color="auto"/>
          <w:color w:val="auto"/>
        </w:rPr>
        <w:t>Section 5.05(c)</w:t>
      </w:r>
      <w:r>
        <w:rPr>
          <w:rFonts w:ascii="Times New Roman" w:cs="Times New Roman" w:eastAsia="Times New Roman" w:hAnsi="Times New Roman"/>
          <w:sz w:val="21"/>
          <w:szCs w:val="21"/>
          <w:color w:val="auto"/>
        </w:rPr>
        <w:t>, (ii) give the other party reasonable prior notice of any such filings or submissions and, to the extent reasonably practicable, of any communication with, and any inquiries or requests for additional information from, any Governmental Authority regarding the Transactions, and permit the other party to review and discuss in advance, and consider in good faith the views of, and secure the participation of, the other party in connection with, any such filings, submissions, communications, inquiries or requests, (iii) unless prohibited by applicable Law or by the applicable Governmental Authority, and to the extent reasonably practicable, (A) not participate in or attend any meeting, or engage in any substantive conversation, with any Governmental Authority in respect of the Transactions without the other party, (B) give the other party reasonable prior notice of any such meeting or substantive conversation, (C) in the event one party is prohibited by applicable Law or by the applicable Governmental Authority from participating in or attending any such meeting or engaging in any such substantive conversation, to the extent permitted by applicable Law or such Governmental Authority, keep such party apprised with respect thereto, (D) cooperate in the filing of any substantive memoranda, white papers, filings, correspondence or other written communications explaining or defending this Agreement or any of the Transactions, articulating any regulatory or competitive argument or responding to requests or objections made by any Governmental Authority and (E) furnish the other party with copies of all substantive filings, submissions, correspondence and communications (and memoranda setting forth the substance thereof) between it and its Affiliates and their respective Representatives, on the one hand, and any Governmental Authority or members of any Governmental Authority’s staff, on the other hand, with respect to this Agreement and the Transactions (excluding any personally sensitive information) and (iv) comply with any inquiry or request from any Governmental Authority as promptly as reasonably practicable, with respect to this Agreement and the Transactions. The parties agree not to extend, directly or indirectly, any waiting period under any applicable Antitrust Law or enter into any agreement with a Governmental Authority to delay in any material respect or not to consummate the Merger or any of the other Transactions, except with the prior written consent of the other parties hereto, which shall not be unreasonably withheld, conditioned or delayed in the context of seeking such a delay.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51" w:name="page52"/>
    <w:bookmarkEnd w:id="51"/>
    <w:p>
      <w:pPr>
        <w:jc w:val="both"/>
        <w:ind w:left="660" w:firstLine="644"/>
        <w:spacing w:after="0" w:line="238" w:lineRule="auto"/>
        <w:tabs>
          <w:tab w:leader="none" w:pos="252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each of the Partnership and Parent shall use commercially reasonable efforts to obtain the third party consents and approvals listed on Section 5.05(d) of the Partnership Disclosure Schedule in connection with the consummation of the Transactions and shall cooperate and consult with each other with respect to obtaining such consents, and each of the Partnership and Parent shall bear 50% of any commercially reasonable payments made to third parties in connection with obtaining such consents.</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xml:space="preserve">. Except as provided in </w:t>
      </w:r>
      <w:r>
        <w:rPr>
          <w:rFonts w:ascii="Times New Roman" w:cs="Times New Roman" w:eastAsia="Times New Roman" w:hAnsi="Times New Roman"/>
          <w:sz w:val="22"/>
          <w:szCs w:val="22"/>
          <w:u w:val="single" w:color="auto"/>
          <w:color w:val="auto"/>
        </w:rPr>
        <w:t>Section 2.02(b)</w:t>
      </w:r>
      <w:r>
        <w:rPr>
          <w:rFonts w:ascii="Times New Roman" w:cs="Times New Roman" w:eastAsia="Times New Roman" w:hAnsi="Times New Roman"/>
          <w:sz w:val="22"/>
          <w:szCs w:val="22"/>
          <w:color w:val="auto"/>
        </w:rPr>
        <w:t>, all transfer, real estate transfer, documentary, stamp, recording, sales, use and other similar Taxes (including interest, penalties and additions to any such Taxes)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incurred in connection with the Transactions shall be paid by Parent and, to the extent applicable, prior to the Effective Time, the Partnership shall cooperate with Parent in preparing, executing and filing any applicable Tax Returns with respect to such Transfer Taxes.</w:t>
      </w:r>
    </w:p>
    <w:p>
      <w:pPr>
        <w:spacing w:after="0" w:line="20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Public Announcements; Other Communications</w:t>
      </w:r>
      <w:r>
        <w:rPr>
          <w:rFonts w:ascii="Times New Roman" w:cs="Times New Roman" w:eastAsia="Times New Roman" w:hAnsi="Times New Roman"/>
          <w:sz w:val="22"/>
          <w:szCs w:val="22"/>
          <w:color w:val="auto"/>
        </w:rPr>
        <w:t xml:space="preserve">. Parent and the Partnership shall consult with each other before issuing, and give each other the reasonable opportunity to review and comment upon, any press release or other public statements with respect to the Transactions, and shall not issue any such press release or make any such public statement prior to such consultation, except (a) as may be required by applicable Law, court process or the rules and regulations of any national securities exchange or national securities quotation system or (b) to the extent that such release or statement is consistent with the final form of the initial press release issued by the parties with respect to the Transactions. The parties hereto agree that the initial press release to be issued with respect to the Transactions following execution of this Agreement shall be in the form heretofore agreed to by the parties hereto. Notwithstanding the foregoing, the parties shall have no consultation or other obligation pursuant to this </w:t>
      </w:r>
      <w:r>
        <w:rPr>
          <w:rFonts w:ascii="Times New Roman" w:cs="Times New Roman" w:eastAsia="Times New Roman" w:hAnsi="Times New Roman"/>
          <w:sz w:val="22"/>
          <w:szCs w:val="22"/>
          <w:u w:val="single" w:color="auto"/>
          <w:color w:val="auto"/>
        </w:rPr>
        <w:t>Section 5.07</w:t>
      </w:r>
      <w:r>
        <w:rPr>
          <w:rFonts w:ascii="Times New Roman" w:cs="Times New Roman" w:eastAsia="Times New Roman" w:hAnsi="Times New Roman"/>
          <w:sz w:val="22"/>
          <w:szCs w:val="22"/>
          <w:color w:val="auto"/>
        </w:rPr>
        <w:t xml:space="preserve"> with respect to any press release or other public statements to the extent related to any actual or contemplated litigation between or among the parties to this Agreement. The Partnership will consult with Parent prior to making any substantive internal announcements or other substantive communications to its employees or other constituents with respect to this Agreement or the Transactions and will give good faith consideration to reasonable comments proposed by Parent. Notwithstanding the foregoing, no Party shall be required by any provision of this Agreement to consult with or obtain any approval from any other Party with respect to a public announcement or press release issued in connection with the receipt and existence of a Takeover Proposal, and matters related thereto, or an Adverse Recommendation Change, other than as set forth in Section 5.04.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Section 5.08</w:t>
      </w:r>
      <w:r>
        <w:rPr>
          <w:sz w:val="20"/>
          <w:szCs w:val="20"/>
          <w:color w:val="auto"/>
        </w:rPr>
        <w:tab/>
      </w:r>
      <w:r>
        <w:rPr>
          <w:rFonts w:ascii="Times New Roman" w:cs="Times New Roman" w:eastAsia="Times New Roman" w:hAnsi="Times New Roman"/>
          <w:sz w:val="21"/>
          <w:szCs w:val="21"/>
          <w:u w:val="single" w:color="auto"/>
          <w:color w:val="auto"/>
        </w:rPr>
        <w:t>Access to Information; Confidentiality</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jc w:val="both"/>
        <w:ind w:firstLine="644"/>
        <w:spacing w:after="0" w:line="232" w:lineRule="auto"/>
        <w:tabs>
          <w:tab w:leader="none" w:pos="151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applicable Law, upon reasonable notice, the Partnership shall afford to Parent and Parent’s Representatives reasonable access during normal business hours to the Partnership’s officers, employees, agents, properties, books, Contracts and records and the Partnership shall furnish promptly to Parent and Parent’s Representatives such information concerning its business, personnel, assets, liabilities and properties as Parent may reasonably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Parent and its Representatives shall conduct any such activities in such a manner as not to interfere unreasonably with the business or operations of the Partnership;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Partnership shall not be obligated to provide such access or information if the Partnership determines, in its reasonable judgment, that doing so would violate applicable Law or a Contract or obligation of confidentiality owing to a third party, waive the protection of an attorney-client privilege or other legal privilege or expose the Partnership to risk of liability for disclosure of sensitive or personal information. Without limiting the foregoing, in the event that the Partnership does not provide access or information in reliance on the immediately preceding sentence, it shall provide notice to Parent that it is withholding such access or information and shall use its reasonable best efforts to communicate, to the extent feasible, the applicable information in a way that would not violate the applicable Law, Contract or obligation or risk waiver of such privilege. All requests for information made pursuant to this </w:t>
      </w:r>
      <w:r>
        <w:rPr>
          <w:rFonts w:ascii="Times New Roman" w:cs="Times New Roman" w:eastAsia="Times New Roman" w:hAnsi="Times New Roman"/>
          <w:sz w:val="22"/>
          <w:szCs w:val="22"/>
          <w:u w:val="single" w:color="auto"/>
          <w:color w:val="auto"/>
        </w:rPr>
        <w:t>Section 5.08</w:t>
      </w:r>
      <w:r>
        <w:rPr>
          <w:rFonts w:ascii="Times New Roman" w:cs="Times New Roman" w:eastAsia="Times New Roman" w:hAnsi="Times New Roman"/>
          <w:sz w:val="22"/>
          <w:szCs w:val="22"/>
          <w:color w:val="auto"/>
        </w:rPr>
        <w:t xml:space="preserve"> shall be directed to the Person designated by the Partnership. Until the Effective Time, the information provided will be subject to the terms of the confidentiality agreement dated as of November 5, 2020, by and between the GP Parent and a Parent Subsidiary (as may in the future be amended from time to time, the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w:t>
      </w:r>
    </w:p>
    <w:p>
      <w:pPr>
        <w:spacing w:after="0" w:line="216" w:lineRule="exact"/>
        <w:rPr>
          <w:rFonts w:ascii="Times New Roman" w:cs="Times New Roman" w:eastAsia="Times New Roman" w:hAnsi="Times New Roman"/>
          <w:sz w:val="22"/>
          <w:szCs w:val="22"/>
          <w:color w:val="auto"/>
        </w:rPr>
      </w:pPr>
    </w:p>
    <w:p>
      <w:pPr>
        <w:ind w:right="20" w:firstLine="644"/>
        <w:spacing w:after="0" w:line="258" w:lineRule="auto"/>
        <w:tabs>
          <w:tab w:leader="none" w:pos="156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shall not be deemed to violate any of its obligations under the Confidentiality Agreement as a result of performing any of its obligations under this Agreement.</w:t>
      </w:r>
    </w:p>
    <w:p>
      <w:pPr>
        <w:spacing w:after="0" w:line="185"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Section 5.09</w:t>
      </w:r>
      <w:r>
        <w:rPr>
          <w:sz w:val="20"/>
          <w:szCs w:val="20"/>
          <w:color w:val="auto"/>
        </w:rPr>
        <w:tab/>
      </w:r>
      <w:r>
        <w:rPr>
          <w:rFonts w:ascii="Times New Roman" w:cs="Times New Roman" w:eastAsia="Times New Roman" w:hAnsi="Times New Roman"/>
          <w:sz w:val="21"/>
          <w:szCs w:val="21"/>
          <w:u w:val="single" w:color="auto"/>
          <w:color w:val="auto"/>
        </w:rPr>
        <w:t>Indemnification and Insurance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4"/>
        <w:spacing w:after="0" w:line="243" w:lineRule="auto"/>
        <w:tabs>
          <w:tab w:leader="none" w:pos="163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Effective Time until the sixth anniversary of the Effective Time, Parent and the Surviving Entity, jointly and severally, shall indemnify, defend and hold harmless each individual who at the Effective Time is, or at any time prior to the Effective Time was, a director or officer of the Partnership or of a Subsidiary of the Partnership (each,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Indemnitees</w:t>
      </w:r>
      <w:r>
        <w:rPr>
          <w:rFonts w:ascii="Times New Roman" w:cs="Times New Roman" w:eastAsia="Times New Roman" w:hAnsi="Times New Roman"/>
          <w:sz w:val="21"/>
          <w:szCs w:val="21"/>
          <w:color w:val="auto"/>
        </w:rPr>
        <w:t>”) with respect to all claims, liabilities, losses, damages, judgments, fines, penalties, costs (including amounts paid in settlement or compromise) and expenses (including reasonable attorneys’ and other professionals’ fees and expenses) in connection with any Action (whether civil, criminal, administrative or investigative), whenever asserted, based on or arising out of, in whole or in part, (A) the fact that an Indemnitee was a director or officer of the Partnership or such Subsidiary or (B) acts or omissions by an Indemnitee in the Indemnitee’s capacity as a director, officer, employee or agent of the Partnership or such Subsidiary or taken at the request of the Partnership or such Subsidiary (including in connection with serving at the request of the Partnership or such Subsidiary as a director, officer, employee, agent, trustee or fiduciary of another Person (including any employee benefit plan)), in each case under clause (A) or (B), at, or at any time prior to, the Effective Time (including any Action relating in whole or in part to the Transactions or relating to the enforcement of this provision or any other indemnification or advancement right of any Indemnitee), in each case, to the fullest extent such Indemnitee is entitled to indemnification under the Partnership Charter, the Partnership Agreement, by Contract (if applicable), in each case, as in effect immediately prior to the Effective Time, and applicable Law. Without limiting the foregoing, Parent, from and after the Effective Time until the sixth anniversary of the Effective Time, shall cause, unless otherwise required by Law, the governing documents of the Surviving Entity to contain provisions no less favorable to the Indemnitees with respect to limitation of liabilities of directors and officers and indemnification than are set forth as of the date of this Agreement in the Partnership Charter and Partnership Agreement, which provisions shall not be amended, repealed or otherwise modified in a manner that would adversely affect the rights thereunder of the Indemnitees.</w:t>
      </w:r>
    </w:p>
    <w:p>
      <w:pPr>
        <w:spacing w:after="0" w:line="39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2" w:right="339" w:bottom="1440" w:gutter="0" w:footer="0" w:header="0"/>
        </w:sectPr>
      </w:pPr>
    </w:p>
    <w:bookmarkStart w:id="53" w:name="page54"/>
    <w:bookmarkEnd w:id="53"/>
    <w:p>
      <w:pPr>
        <w:jc w:val="both"/>
        <w:ind w:left="-460" w:firstLine="644"/>
        <w:spacing w:after="0" w:line="233" w:lineRule="auto"/>
        <w:tabs>
          <w:tab w:leader="none" w:pos="103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or prior to the Effective Time, the Partnership shall cause to be put in place, and Parent shall fully prepay immediately prior to the Effective Time, directors’ and officers’ “tail” insurance policies with a claims period of at least 6 years after the Effective Time (the “</w:t>
      </w:r>
      <w:r>
        <w:rPr>
          <w:rFonts w:ascii="Times New Roman" w:cs="Times New Roman" w:eastAsia="Times New Roman" w:hAnsi="Times New Roman"/>
          <w:sz w:val="22"/>
          <w:szCs w:val="22"/>
          <w:u w:val="single" w:color="auto"/>
          <w:color w:val="auto"/>
        </w:rPr>
        <w:t>Tail Period</w:t>
      </w:r>
      <w:r>
        <w:rPr>
          <w:rFonts w:ascii="Times New Roman" w:cs="Times New Roman" w:eastAsia="Times New Roman" w:hAnsi="Times New Roman"/>
          <w:sz w:val="22"/>
          <w:szCs w:val="22"/>
          <w:color w:val="auto"/>
        </w:rPr>
        <w:t>”) from an insurance carrier(s) with the same or better credit rating as the Partnership’s current insurance carrier(s) with respect to directors’ and officers’ liability insurance in an amount and scope at least as favorable as the Partnership’s existing policies as of the date hereof with respect to matters, acts or omissions existing or occurring at or prior to, but not after, the Effective Time, and expressly covering the Surviving Entity as a successor in interest (“</w:t>
      </w:r>
      <w:r>
        <w:rPr>
          <w:rFonts w:ascii="Times New Roman" w:cs="Times New Roman" w:eastAsia="Times New Roman" w:hAnsi="Times New Roman"/>
          <w:sz w:val="22"/>
          <w:szCs w:val="22"/>
          <w:u w:val="single" w:color="auto"/>
          <w:color w:val="auto"/>
        </w:rPr>
        <w:t>D&amp;O Tail 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no event shall Parent be required to pay in excess of the amount set forth in </w:t>
      </w:r>
      <w:r>
        <w:rPr>
          <w:rFonts w:ascii="Times New Roman" w:cs="Times New Roman" w:eastAsia="Times New Roman" w:hAnsi="Times New Roman"/>
          <w:sz w:val="22"/>
          <w:szCs w:val="22"/>
          <w:u w:val="single" w:color="auto"/>
          <w:color w:val="auto"/>
        </w:rPr>
        <w:t>Section 5.09(b)</w:t>
      </w:r>
      <w:r>
        <w:rPr>
          <w:rFonts w:ascii="Times New Roman" w:cs="Times New Roman" w:eastAsia="Times New Roman" w:hAnsi="Times New Roman"/>
          <w:sz w:val="22"/>
          <w:szCs w:val="22"/>
          <w:color w:val="auto"/>
        </w:rPr>
        <w:t xml:space="preserve"> of the Parents Disclosure Schedule (the “</w:t>
      </w:r>
      <w:r>
        <w:rPr>
          <w:rFonts w:ascii="Times New Roman" w:cs="Times New Roman" w:eastAsia="Times New Roman" w:hAnsi="Times New Roman"/>
          <w:sz w:val="22"/>
          <w:szCs w:val="22"/>
          <w:u w:val="single" w:color="auto"/>
          <w:color w:val="auto"/>
        </w:rPr>
        <w:t>Maximum Amount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D&amp;O Tail Insurance is not available or if the cost of the D&amp;O Tail Insurance exceeds the Maximum Amount, the Partnership shall obtain a policy(ies) with the greatest coverage available for a cost not exceeding the Maximum Amount. Parent and the Surviving Entity shall maintain the D&amp;O Tail Insurance in full force and effect and continue to honor their respective obligations thereunder for the Tail Period.</w:t>
      </w:r>
    </w:p>
    <w:p>
      <w:pPr>
        <w:spacing w:after="0" w:line="212" w:lineRule="exact"/>
        <w:rPr>
          <w:rFonts w:ascii="Times New Roman" w:cs="Times New Roman" w:eastAsia="Times New Roman" w:hAnsi="Times New Roman"/>
          <w:sz w:val="22"/>
          <w:szCs w:val="22"/>
          <w:color w:val="auto"/>
        </w:rPr>
      </w:pPr>
    </w:p>
    <w:p>
      <w:pPr>
        <w:jc w:val="both"/>
        <w:ind w:left="-460" w:firstLine="644"/>
        <w:spacing w:after="0" w:line="235" w:lineRule="auto"/>
        <w:tabs>
          <w:tab w:leader="none" w:pos="100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5.09</w:t>
      </w:r>
      <w:r>
        <w:rPr>
          <w:rFonts w:ascii="Times New Roman" w:cs="Times New Roman" w:eastAsia="Times New Roman" w:hAnsi="Times New Roman"/>
          <w:sz w:val="22"/>
          <w:szCs w:val="22"/>
          <w:color w:val="auto"/>
        </w:rPr>
        <w:t xml:space="preserve"> are (i) intended to be for the benefit of, and shall be enforceable by, each Indemnitee, his or her heirs and his or her Representatives and (ii) in addition to, and not in substitution for, any other rights to indemnification or contribution that any such individual may have under the Partnership Charter, Partnership Agreement, by contract or otherwise. The obligations of Parent and the Surviving Entity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5.09</w:t>
      </w:r>
      <w:r>
        <w:rPr>
          <w:rFonts w:ascii="Times New Roman" w:cs="Times New Roman" w:eastAsia="Times New Roman" w:hAnsi="Times New Roman"/>
          <w:sz w:val="22"/>
          <w:szCs w:val="22"/>
          <w:color w:val="auto"/>
        </w:rPr>
        <w:t xml:space="preserve"> shall not be terminated or modified in such a manner as to adversely affect the rights of any Indemnitee to whom this </w:t>
      </w:r>
      <w:r>
        <w:rPr>
          <w:rFonts w:ascii="Times New Roman" w:cs="Times New Roman" w:eastAsia="Times New Roman" w:hAnsi="Times New Roman"/>
          <w:sz w:val="22"/>
          <w:szCs w:val="22"/>
          <w:u w:val="single" w:color="auto"/>
          <w:color w:val="auto"/>
        </w:rPr>
        <w:t>Section 5.09</w:t>
      </w:r>
      <w:r>
        <w:rPr>
          <w:rFonts w:ascii="Times New Roman" w:cs="Times New Roman" w:eastAsia="Times New Roman" w:hAnsi="Times New Roman"/>
          <w:sz w:val="22"/>
          <w:szCs w:val="22"/>
          <w:color w:val="auto"/>
        </w:rPr>
        <w:t xml:space="preserve"> applies unless (A) such termination or modification is required by applicable Law or (B) the affected Indemnitee shall have consented in writing to such termination or modification (it being expressly agreed that the Indemnitees to whom this </w:t>
      </w:r>
      <w:r>
        <w:rPr>
          <w:rFonts w:ascii="Times New Roman" w:cs="Times New Roman" w:eastAsia="Times New Roman" w:hAnsi="Times New Roman"/>
          <w:sz w:val="22"/>
          <w:szCs w:val="22"/>
          <w:u w:val="single" w:color="auto"/>
          <w:color w:val="auto"/>
        </w:rPr>
        <w:t>Section 5.09</w:t>
      </w:r>
      <w:r>
        <w:rPr>
          <w:rFonts w:ascii="Times New Roman" w:cs="Times New Roman" w:eastAsia="Times New Roman" w:hAnsi="Times New Roman"/>
          <w:sz w:val="22"/>
          <w:szCs w:val="22"/>
          <w:color w:val="auto"/>
        </w:rPr>
        <w:t xml:space="preserve"> applies shall be third-party beneficiaries of this </w:t>
      </w:r>
      <w:r>
        <w:rPr>
          <w:rFonts w:ascii="Times New Roman" w:cs="Times New Roman" w:eastAsia="Times New Roman" w:hAnsi="Times New Roman"/>
          <w:sz w:val="22"/>
          <w:szCs w:val="22"/>
          <w:u w:val="single" w:color="auto"/>
          <w:color w:val="auto"/>
        </w:rPr>
        <w:t>Section 5.09</w:t>
      </w:r>
      <w:r>
        <w:rPr>
          <w:rFonts w:ascii="Times New Roman" w:cs="Times New Roman" w:eastAsia="Times New Roman" w:hAnsi="Times New Roman"/>
          <w:sz w:val="22"/>
          <w:szCs w:val="22"/>
          <w:color w:val="auto"/>
        </w:rPr>
        <w:t>).</w:t>
      </w:r>
    </w:p>
    <w:p>
      <w:pPr>
        <w:spacing w:after="0" w:line="38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54" w:name="page55"/>
    <w:bookmarkEnd w:id="54"/>
    <w:p>
      <w:pPr>
        <w:jc w:val="both"/>
        <w:ind w:left="660" w:firstLine="644"/>
        <w:spacing w:after="0" w:line="238" w:lineRule="auto"/>
        <w:tabs>
          <w:tab w:leader="none" w:pos="240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Parent, the Surviving Entity or any of their respective successors or assigns (i) consolidates or amalgamates with or merges into any other Person and is not the continuing or Surviving Entity or entity of such consolidation, amalgamation or merger or (ii) transfers or conveys all or substantially all of its properties and assets to any Person, then, and in each such case, proper provision shall be made so that the successors and assigns of Parent or the Surviving Entity shall assume all of the obligations thereof set forth in this </w:t>
      </w:r>
      <w:r>
        <w:rPr>
          <w:rFonts w:ascii="Times New Roman" w:cs="Times New Roman" w:eastAsia="Times New Roman" w:hAnsi="Times New Roman"/>
          <w:sz w:val="22"/>
          <w:szCs w:val="22"/>
          <w:u w:val="single" w:color="auto"/>
          <w:color w:val="auto"/>
        </w:rPr>
        <w:t>Section 5.09</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204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in this Agreement is intended to, shall be construed to or shall release, waive or impair any rights to directors’ and officers’ insurance claims under any policy that is or has been in existence with respect to the Partnership or any of its Subsidiaries for any of their respective directors, officers or other employees, it being understood and agreed that the indemnification provided for in this </w:t>
      </w:r>
      <w:r>
        <w:rPr>
          <w:rFonts w:ascii="Times New Roman" w:cs="Times New Roman" w:eastAsia="Times New Roman" w:hAnsi="Times New Roman"/>
          <w:sz w:val="22"/>
          <w:szCs w:val="22"/>
          <w:u w:val="single" w:color="auto"/>
          <w:color w:val="auto"/>
        </w:rPr>
        <w:t>Section 5.09</w:t>
      </w:r>
      <w:r>
        <w:rPr>
          <w:rFonts w:ascii="Times New Roman" w:cs="Times New Roman" w:eastAsia="Times New Roman" w:hAnsi="Times New Roman"/>
          <w:sz w:val="22"/>
          <w:szCs w:val="22"/>
          <w:color w:val="auto"/>
        </w:rPr>
        <w:t xml:space="preserve"> is not prior to or in substitution for any such claims under such policies.</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Merger Sub and GP Buyer Consents</w:t>
      </w:r>
      <w:r>
        <w:rPr>
          <w:rFonts w:ascii="Times New Roman" w:cs="Times New Roman" w:eastAsia="Times New Roman" w:hAnsi="Times New Roman"/>
          <w:sz w:val="22"/>
          <w:szCs w:val="22"/>
          <w:color w:val="auto"/>
        </w:rPr>
        <w:t>. Concurrently with the execution of this Agreement, Parent, or its applicable direct or indirect wholly owned Subsidiaries, shall execute and deliver, in accordance with the Marshall Islands LLC Act and in its or its Subsidiaries’ capacities as the sole members of Merger Sub and GP Buyer, written consents for Merger Sub and GP Buyer, respectively, approving this Agreement and the Transactions, to the extent that such has not already been executed.</w:t>
      </w:r>
    </w:p>
    <w:p>
      <w:pPr>
        <w:spacing w:after="0" w:line="20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Treatment of Certain Existing Indebtedness</w:t>
      </w:r>
      <w:r>
        <w:rPr>
          <w:rFonts w:ascii="Times New Roman" w:cs="Times New Roman" w:eastAsia="Times New Roman" w:hAnsi="Times New Roman"/>
          <w:sz w:val="22"/>
          <w:szCs w:val="22"/>
          <w:color w:val="auto"/>
        </w:rPr>
        <w:t xml:space="preserve">. If requested by Parent, the Partnership shall provide such reasonable cooperation to Parent and Merger Sub that either may reasonably request in arranging for, at the Closing, the termination of existing indebtedness of the Partnership and its Subsidiaries and the procurement of customary payoff letters in connection therewith. In the event that Parent determines in its reasonable discretion that it is necessary or desirable to obtain amendments to any of the existing indebtedness on or prior to the Closing Date in order to, among other things, permit the consummation of the Transactions, then the Partnership shall, and shall cause each of its Subsidiaries to, use reasonable best efforts to cooperate, and to cause its Representatives to cooperate, with Parent in connection with the arrangement and consummation of any such amendments to such existing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requested cooperation does not unreasonably interfere with the ongoing operations of the Partnership and its Subsidiaries prior to the Closing Date and (b) each party shall bear 50% of the aggregate costs and expenses paid to any third parties in connection with obtaining any amendments, consents or waivers pursuant to this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w:t>
      </w:r>
    </w:p>
    <w:p>
      <w:pPr>
        <w:spacing w:after="0" w:line="214"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5.12</w:t>
      </w:r>
      <w:r>
        <w:rPr>
          <w:sz w:val="20"/>
          <w:szCs w:val="20"/>
          <w:color w:val="auto"/>
        </w:rPr>
        <w:tab/>
      </w:r>
      <w:r>
        <w:rPr>
          <w:rFonts w:ascii="Times New Roman" w:cs="Times New Roman" w:eastAsia="Times New Roman" w:hAnsi="Times New Roman"/>
          <w:sz w:val="21"/>
          <w:szCs w:val="21"/>
          <w:u w:val="single" w:color="auto"/>
          <w:color w:val="auto"/>
        </w:rPr>
        <w:t>Financing Cooperation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firstLine="644"/>
        <w:spacing w:after="0" w:line="234" w:lineRule="auto"/>
        <w:tabs>
          <w:tab w:leader="none" w:pos="205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hereof until the Closing, the Partnership shall, shall cause its Subsidiaries to, and shall use its reasonable best efforts to cause its and their respective Representatives to provide, on a timely basis, at Parent’s and Merger Sub’s sole cost and expense, all customary cooperation reasonably requested by Parent or Merger Sub or any Financing Source to assist Parent, Merger Sub and their Affiliates in causing the conditions to any bank debt financing or any capital markets debt or equity financing deemed necessary or appropriate by the Parent or Merger Sub including, among other things, for the purposes of financing the payment of the Common Unit Consideration, refinancing any existing indebtedness of the Partnership and its Subsidiaries, and any other amounts required to be paid in connection with the consummation of the Transactions (collectively, the “</w:t>
      </w:r>
      <w:r>
        <w:rPr>
          <w:rFonts w:ascii="Times New Roman" w:cs="Times New Roman" w:eastAsia="Times New Roman" w:hAnsi="Times New Roman"/>
          <w:sz w:val="22"/>
          <w:szCs w:val="22"/>
          <w:u w:val="single" w:color="auto"/>
          <w:color w:val="auto"/>
        </w:rPr>
        <w:t>Financing</w:t>
      </w:r>
      <w:r>
        <w:rPr>
          <w:rFonts w:ascii="Times New Roman" w:cs="Times New Roman" w:eastAsia="Times New Roman" w:hAnsi="Times New Roman"/>
          <w:sz w:val="22"/>
          <w:szCs w:val="22"/>
          <w:color w:val="auto"/>
        </w:rPr>
        <w:t>”) to be satisfied, which requested cooperation may include, without limitation: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jc w:val="both"/>
        <w:ind w:left="180" w:firstLine="652"/>
        <w:spacing w:after="0" w:line="235" w:lineRule="auto"/>
        <w:tabs>
          <w:tab w:leader="none" w:pos="1803"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providing reasonable cooperation with customary syndication or other marketing efforts, or a customary offering, of Parent and Merger Sub for all or any portion of the Financing, including reasonable access to documents and other information in connection with customary due diligence investigations, and if required by the Financing Sources, causing its management team, with appropriate seniority and expertise, to assist in a reasonable number of meetings, presentations, road shows, marketing materials, due diligence sessions, drafting sessions and sessions with rating agencies and allowing the syndication efforts to benefit from existing banking relationships;</w:t>
      </w:r>
    </w:p>
    <w:p>
      <w:pPr>
        <w:spacing w:after="0" w:line="210" w:lineRule="exact"/>
        <w:rPr>
          <w:rFonts w:ascii="Times New Roman" w:cs="Times New Roman" w:eastAsia="Times New Roman" w:hAnsi="Times New Roman"/>
          <w:sz w:val="22"/>
          <w:szCs w:val="22"/>
          <w:color w:val="010000"/>
        </w:rPr>
      </w:pPr>
    </w:p>
    <w:p>
      <w:pPr>
        <w:jc w:val="both"/>
        <w:ind w:left="180" w:firstLine="652"/>
        <w:spacing w:after="0" w:line="245" w:lineRule="auto"/>
        <w:tabs>
          <w:tab w:leader="none" w:pos="1681" w:val="left"/>
        </w:tabs>
        <w:numPr>
          <w:ilvl w:val="0"/>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upon reasonable advance notice and during normal business hours, (A) providing Parent, Merger Sub and/or the Financing Sources with (x) audited combined balance sheets and related statements of income and cash flows of the Partnership and its consolidated subsidiaries for the two most recently completed fiscal years ended at least 90 days prior to the Closing Date and (y) unaudited combined balance sheets and related statements of income and cash flows of the Partnership and its consolidated subsidiaries for each fiscal quarter ended after the most recent audited financial statements delivered pursuant to clause (x) and furnishing to Parent, Merger Sub and/or the Financing Sources, upon their reasonable request therefor, such other information regarding the Partnership, including other financial information reasonably necessary for the preparation of pro forma financial statements and information regarding the Partnership’s current assets, cash management and accounting systems, policies and procedures relating thereto for purposes of establishing collateral arrangements as of the Closing and to assist with other collateral audits and due diligence examinations, and (B) providing reasonable assistance to Parent’s preparation of pro forma financial information and projections required to consummate the Financing;</w:t>
      </w:r>
    </w:p>
    <w:p>
      <w:pPr>
        <w:spacing w:after="0" w:line="200" w:lineRule="exact"/>
        <w:rPr>
          <w:rFonts w:ascii="Times New Roman" w:cs="Times New Roman" w:eastAsia="Times New Roman" w:hAnsi="Times New Roman"/>
          <w:sz w:val="21"/>
          <w:szCs w:val="21"/>
          <w:color w:val="010000"/>
        </w:rPr>
      </w:pPr>
    </w:p>
    <w:p>
      <w:pPr>
        <w:jc w:val="both"/>
        <w:ind w:left="180" w:firstLine="652"/>
        <w:spacing w:after="0" w:line="244" w:lineRule="auto"/>
        <w:tabs>
          <w:tab w:leader="none" w:pos="1480"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later than March 16, 2021, providing the Partnership’s audited consolidated financial statements, including a balance sheet, statements of operations, stockholders’ equity and cash flows as of and for the fiscal year ended December 31, 2020;</w:t>
      </w:r>
    </w:p>
    <w:p>
      <w:pPr>
        <w:spacing w:after="0" w:line="200" w:lineRule="exact"/>
        <w:rPr>
          <w:rFonts w:ascii="Times New Roman" w:cs="Times New Roman" w:eastAsia="Times New Roman" w:hAnsi="Times New Roman"/>
          <w:sz w:val="22"/>
          <w:szCs w:val="22"/>
          <w:color w:val="010000"/>
        </w:rPr>
      </w:pPr>
    </w:p>
    <w:p>
      <w:pPr>
        <w:jc w:val="both"/>
        <w:ind w:left="180" w:firstLine="652"/>
        <w:spacing w:after="0" w:line="235" w:lineRule="auto"/>
        <w:tabs>
          <w:tab w:leader="none" w:pos="2022"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reasonable advance notice and during normal business hours, providing reasonable assistance to Parent and Merger Sub (including by causing its management team, with appropriate seniority and expertise to participate in a reasonable number of meetings, presentations, drafting sessions and sessions with the Financing Sources and rating agencies) in the preparation of rating agency presentations, road show materials, lender information memoranda and other presentations, prospectuses and bank syndication materials, offering documents, private placement memoranda and similar documents required (which may incorporate, by reference, periodic and current reports filed by the Partnership with the SEC) in connection with the marketing of any syndication, or a customary offering, of all or a portion of the Financing;</w:t>
      </w:r>
    </w:p>
    <w:p>
      <w:pPr>
        <w:spacing w:after="0" w:line="38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56" w:name="page57"/>
    <w:bookmarkEnd w:id="56"/>
    <w:p>
      <w:pPr>
        <w:jc w:val="both"/>
        <w:ind w:left="180" w:firstLine="652"/>
        <w:spacing w:after="0" w:line="238" w:lineRule="auto"/>
        <w:tabs>
          <w:tab w:leader="none" w:pos="1787"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furnishing Parent and/or Merger Sub at least four (4) Business Days prior to the Closing Date with all documentation and other information required and reasonably requested in writing by the parties acting as lead arrangers for, or lenders under, the Financing at least ten (10) Business Days prior to the Closing under applicable “know your customer” and anti-money laundering rules and regulations and the USA Patriot Act of 2001;</w:t>
      </w:r>
    </w:p>
    <w:p>
      <w:pPr>
        <w:spacing w:after="0" w:line="204" w:lineRule="exact"/>
        <w:rPr>
          <w:rFonts w:ascii="Times New Roman" w:cs="Times New Roman" w:eastAsia="Times New Roman" w:hAnsi="Times New Roman"/>
          <w:sz w:val="22"/>
          <w:szCs w:val="22"/>
          <w:color w:val="010000"/>
        </w:rPr>
      </w:pPr>
    </w:p>
    <w:p>
      <w:pPr>
        <w:jc w:val="both"/>
        <w:ind w:left="180" w:firstLine="652"/>
        <w:spacing w:after="0" w:line="236" w:lineRule="auto"/>
        <w:tabs>
          <w:tab w:leader="none" w:pos="1612"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requesting that the Partnership’s independent accountants participate in accounting due diligence sessions and cooperate with the Financing consistent with their customary practice, including requesting that the Partnership’s independent accountants provide customary comfort letters (including “negative assurance” comfort, if permitted) and consents for use of their reports to the extent required in connection with the marketing and syndication of the Financing or as are customarily required in an offering of debt, equity or equity-linked securities;</w:t>
      </w:r>
    </w:p>
    <w:p>
      <w:pPr>
        <w:spacing w:after="0" w:line="208" w:lineRule="exact"/>
        <w:rPr>
          <w:rFonts w:ascii="Times New Roman" w:cs="Times New Roman" w:eastAsia="Times New Roman" w:hAnsi="Times New Roman"/>
          <w:sz w:val="22"/>
          <w:szCs w:val="22"/>
          <w:color w:val="010000"/>
        </w:rPr>
      </w:pPr>
    </w:p>
    <w:p>
      <w:pPr>
        <w:ind w:left="180" w:right="20" w:firstLine="652"/>
        <w:spacing w:after="0" w:line="258" w:lineRule="auto"/>
        <w:tabs>
          <w:tab w:leader="none" w:pos="1967"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cooperation with Parent and Merger Sub and their respective efforts to obtain customary corporate, facilities and securities ratings;</w:t>
      </w:r>
    </w:p>
    <w:p>
      <w:pPr>
        <w:spacing w:after="0" w:line="185" w:lineRule="exact"/>
        <w:rPr>
          <w:rFonts w:ascii="Times New Roman" w:cs="Times New Roman" w:eastAsia="Times New Roman" w:hAnsi="Times New Roman"/>
          <w:sz w:val="22"/>
          <w:szCs w:val="22"/>
          <w:color w:val="010000"/>
        </w:rPr>
      </w:pPr>
    </w:p>
    <w:p>
      <w:pPr>
        <w:ind w:left="180" w:firstLine="652"/>
        <w:spacing w:after="0" w:line="258" w:lineRule="auto"/>
        <w:tabs>
          <w:tab w:leader="none" w:pos="1593"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providing customary authorization letters to the arrangers in respect of the Financing authorizing the distribution of information to prospective lenders;</w:t>
      </w:r>
    </w:p>
    <w:p>
      <w:pPr>
        <w:spacing w:after="0" w:line="185" w:lineRule="exact"/>
        <w:rPr>
          <w:rFonts w:ascii="Times New Roman" w:cs="Times New Roman" w:eastAsia="Times New Roman" w:hAnsi="Times New Roman"/>
          <w:sz w:val="22"/>
          <w:szCs w:val="22"/>
          <w:color w:val="010000"/>
        </w:rPr>
      </w:pPr>
    </w:p>
    <w:p>
      <w:pPr>
        <w:jc w:val="both"/>
        <w:ind w:left="180" w:firstLine="652"/>
        <w:spacing w:after="0" w:line="244" w:lineRule="auto"/>
        <w:tabs>
          <w:tab w:leader="none" w:pos="1474"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5.12(b)</w:t>
      </w:r>
      <w:r>
        <w:rPr>
          <w:rFonts w:ascii="Times New Roman" w:cs="Times New Roman" w:eastAsia="Times New Roman" w:hAnsi="Times New Roman"/>
          <w:sz w:val="22"/>
          <w:szCs w:val="22"/>
          <w:color w:val="auto"/>
        </w:rPr>
        <w:t>, taking all reasonable and customary partnership action, corporate action, limited liability company action or other organizational action, as applicable, subject to the occurrence of the Closing, necessary to permit and/or authorize the consummation of the Financing;</w:t>
      </w:r>
    </w:p>
    <w:p>
      <w:pPr>
        <w:spacing w:after="0" w:line="200" w:lineRule="exact"/>
        <w:rPr>
          <w:rFonts w:ascii="Times New Roman" w:cs="Times New Roman" w:eastAsia="Times New Roman" w:hAnsi="Times New Roman"/>
          <w:sz w:val="22"/>
          <w:szCs w:val="22"/>
          <w:color w:val="010000"/>
        </w:rPr>
      </w:pPr>
    </w:p>
    <w:p>
      <w:pPr>
        <w:jc w:val="both"/>
        <w:ind w:left="180" w:firstLine="652"/>
        <w:spacing w:after="0" w:line="239" w:lineRule="auto"/>
        <w:tabs>
          <w:tab w:leader="none" w:pos="1805"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reasonable facilitation (through providing and executing customary agreements, documents or certificates) of the pledge and perfection of liens and security interests in connection with the Financing, as may be reasonably requested by Parent and/or Merger Sub (provided that no obligation under any such document or agreement will take effect until the Closing);</w:t>
      </w:r>
    </w:p>
    <w:p>
      <w:pPr>
        <w:spacing w:after="0" w:line="207" w:lineRule="exact"/>
        <w:rPr>
          <w:rFonts w:ascii="Times New Roman" w:cs="Times New Roman" w:eastAsia="Times New Roman" w:hAnsi="Times New Roman"/>
          <w:sz w:val="22"/>
          <w:szCs w:val="22"/>
          <w:color w:val="010000"/>
        </w:rPr>
      </w:pPr>
    </w:p>
    <w:p>
      <w:pPr>
        <w:jc w:val="both"/>
        <w:ind w:left="180" w:firstLine="652"/>
        <w:spacing w:after="0" w:line="235" w:lineRule="auto"/>
        <w:tabs>
          <w:tab w:leader="none" w:pos="1685"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providing all cooperation that is reasonably necessary to satisfy the conditions precedent to any documents relating to the Financing, but solely to the extent the satisfaction of such conditions requires the cooperation of, or is within the control of the Partnership, its Subsidiaries or its Representatives, including ensuring that any financial information is compliant with applicable SEC rules and requirements, and compliant with customary required terms of a debt commitment letter or similar document and updated as necessary to avoid staleness in accordance with applicable SEC rules and requirements, and free of any material misstatement or omission;</w:t>
      </w:r>
    </w:p>
    <w:p>
      <w:pPr>
        <w:spacing w:after="0" w:line="39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57" w:name="page58"/>
    <w:bookmarkEnd w:id="57"/>
    <w:p>
      <w:pPr>
        <w:ind w:left="180" w:firstLine="652"/>
        <w:spacing w:after="0" w:line="259" w:lineRule="auto"/>
        <w:tabs>
          <w:tab w:leader="none" w:pos="1919" w:val="left"/>
        </w:tabs>
        <w:numPr>
          <w:ilvl w:val="1"/>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otherwise providing cooperation that is customary and reasonable in connection with the marketing efforts of Parent, Merger Sub and the Financing Sources; and</w:t>
      </w:r>
    </w:p>
    <w:p>
      <w:pPr>
        <w:spacing w:after="0" w:line="183" w:lineRule="exact"/>
        <w:rPr>
          <w:rFonts w:ascii="Times New Roman" w:cs="Times New Roman" w:eastAsia="Times New Roman" w:hAnsi="Times New Roman"/>
          <w:sz w:val="22"/>
          <w:szCs w:val="22"/>
          <w:color w:val="010000"/>
        </w:rPr>
      </w:pPr>
    </w:p>
    <w:p>
      <w:pPr>
        <w:jc w:val="both"/>
        <w:ind w:left="180" w:firstLine="652"/>
        <w:spacing w:after="0" w:line="261" w:lineRule="auto"/>
        <w:tabs>
          <w:tab w:leader="none" w:pos="1845" w:val="left"/>
        </w:tabs>
        <w:numPr>
          <w:ilvl w:val="1"/>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use of its trademarks and logos in connection with the Financing;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trademarks and logos are used solely in a manner that is not intended to or reasonably likely to harm or disparage the Partnership or any of its Affiliates or the reputation or goodwill of the Partnership or any of its Affiliates.</w:t>
      </w:r>
    </w:p>
    <w:p>
      <w:pPr>
        <w:spacing w:after="0" w:line="184" w:lineRule="exact"/>
        <w:rPr>
          <w:rFonts w:ascii="Times New Roman" w:cs="Times New Roman" w:eastAsia="Times New Roman" w:hAnsi="Times New Roman"/>
          <w:sz w:val="21"/>
          <w:szCs w:val="21"/>
          <w:color w:val="010000"/>
        </w:rPr>
      </w:pPr>
    </w:p>
    <w:p>
      <w:pPr>
        <w:ind w:left="980" w:hanging="796"/>
        <w:spacing w:after="0"/>
        <w:tabs>
          <w:tab w:leader="none" w:pos="9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w:t>
      </w:r>
    </w:p>
    <w:p>
      <w:pPr>
        <w:spacing w:after="0" w:line="233" w:lineRule="exact"/>
        <w:rPr>
          <w:rFonts w:ascii="Times New Roman" w:cs="Times New Roman" w:eastAsia="Times New Roman" w:hAnsi="Times New Roman"/>
          <w:sz w:val="22"/>
          <w:szCs w:val="22"/>
          <w:color w:val="auto"/>
        </w:rPr>
      </w:pPr>
    </w:p>
    <w:p>
      <w:pPr>
        <w:jc w:val="both"/>
        <w:ind w:left="180" w:firstLine="652"/>
        <w:spacing w:after="0" w:line="238" w:lineRule="auto"/>
        <w:tabs>
          <w:tab w:leader="none" w:pos="1752" w:val="left"/>
        </w:tabs>
        <w:numPr>
          <w:ilvl w:val="1"/>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Partnership, its Affiliates or their respective Representatives (at any time) shall be required to pay any commitment or other similar fee, incur or reimburse any costs or expenses or incur any other liability or obligation of any kind that is effective prior to the occurrence of the Closing or give any indemnities prior to the Closing in connection with the Financing (except reasonable and documented out-of-pocket costs to the extent Parent or Merger Sub promptly reimburses the Partnership therefor);</w:t>
      </w:r>
    </w:p>
    <w:p>
      <w:pPr>
        <w:spacing w:after="0" w:line="203" w:lineRule="exact"/>
        <w:rPr>
          <w:rFonts w:ascii="Times New Roman" w:cs="Times New Roman" w:eastAsia="Times New Roman" w:hAnsi="Times New Roman"/>
          <w:sz w:val="22"/>
          <w:szCs w:val="22"/>
          <w:color w:val="010000"/>
        </w:rPr>
      </w:pPr>
    </w:p>
    <w:p>
      <w:pPr>
        <w:jc w:val="both"/>
        <w:ind w:left="180" w:firstLine="652"/>
        <w:spacing w:after="0" w:line="236" w:lineRule="auto"/>
        <w:tabs>
          <w:tab w:leader="none" w:pos="1539" w:val="left"/>
        </w:tabs>
        <w:numPr>
          <w:ilvl w:val="1"/>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Partnership or any of the Affiliates shall be required to (A) execute, enter into, approve or perform any binding agreement or commitment, agree to any change or modification of any existing binding agreement or commitment or incur any other actual or potential liability or obligation in connection with the Financing that is not subject to the occurrence of the Closing or (B) adopt any resolution or otherwise take any corporate or similar action or deliver any certificate, approving or authorizing the Financing that is effective prior to the Closing;</w:t>
      </w:r>
    </w:p>
    <w:p>
      <w:pPr>
        <w:spacing w:after="0" w:line="208" w:lineRule="exact"/>
        <w:rPr>
          <w:rFonts w:ascii="Times New Roman" w:cs="Times New Roman" w:eastAsia="Times New Roman" w:hAnsi="Times New Roman"/>
          <w:sz w:val="22"/>
          <w:szCs w:val="22"/>
          <w:color w:val="010000"/>
        </w:rPr>
      </w:pPr>
    </w:p>
    <w:p>
      <w:pPr>
        <w:jc w:val="both"/>
        <w:ind w:left="180" w:firstLine="652"/>
        <w:spacing w:after="0" w:line="234" w:lineRule="auto"/>
        <w:tabs>
          <w:tab w:leader="none" w:pos="1734" w:val="left"/>
        </w:tabs>
        <w:numPr>
          <w:ilvl w:val="1"/>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nothing shall obligate the Partnership or any Affiliate to provide, or cause to be provided, any legal opinion or to provide, or cause to be provided, any information or take, or cause to be taken, any action to the extent doing so could reasonably be expected to (A) result in a conflict with or a violation of applicable Law, the Partnership’s or any Affiliate’s organizational documents or any agreement binding on the Partnership or any of its Affiliates or any confidentiality obligations binding on the Partnership or any of its Affiliates, (B) subject the Partnership to actual or potential liability, to bear any cost or expense or to pay any commitment or other similar fee or make any other payment (other than documented and reasonable out-of-pocket costs that are reimbursed by Parent or Merger Sub) or incur any other liability of any kind or provide or agree to provide any indemnity, (C) subject any director, manager, officer or employee of the Partnership or any of its Affiliates to any actual personal liability or (D) jeopardize any attorney-client privilege; and</w:t>
      </w:r>
    </w:p>
    <w:p>
      <w:pPr>
        <w:spacing w:after="0" w:line="38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58" w:name="page59"/>
    <w:bookmarkEnd w:id="58"/>
    <w:p>
      <w:pPr>
        <w:jc w:val="both"/>
        <w:ind w:left="180" w:firstLine="652"/>
        <w:spacing w:after="0" w:line="244" w:lineRule="auto"/>
        <w:tabs>
          <w:tab w:leader="none" w:pos="1642"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action, liability or obligation (including any obligation to pay any commitment or other fees or reimburse any expenses) of the Partnership and its Representatives under any certificate, agreement, arrangement, document or instrument relating to the Financing shall be effective until the Closing.</w:t>
      </w:r>
    </w:p>
    <w:p>
      <w:pPr>
        <w:spacing w:after="0" w:line="200" w:lineRule="exact"/>
        <w:rPr>
          <w:rFonts w:ascii="Times New Roman" w:cs="Times New Roman" w:eastAsia="Times New Roman" w:hAnsi="Times New Roman"/>
          <w:sz w:val="22"/>
          <w:szCs w:val="22"/>
          <w:color w:val="010000"/>
        </w:rPr>
      </w:pPr>
    </w:p>
    <w:p>
      <w:pPr>
        <w:jc w:val="both"/>
        <w:ind w:left="-460" w:firstLine="644"/>
        <w:spacing w:after="0" w:line="243" w:lineRule="auto"/>
        <w:tabs>
          <w:tab w:leader="none" w:pos="1258"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Partnership and its Representatives shall not be obligated in connection with performing their obligations under this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xml:space="preserve"> to take or refrain from taking any action that would unreasonably interfere with ongoing business or operations of the Partnership or any of its Affiliates. Parent and/or Merger Sub shall promptly, upon request by the Partnership, reimburse the Partnership for all reasonable and documented out-of-pocket costs and expenses incurred by the Partnership or any of the Affiliates in connection with the cooperation of the Partnership, the Affiliates and their respective Representatives contemplated by this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xml:space="preserve"> and shall indemnify and hold harmless the Partnership, the Affiliates and their respective Representatives from and against any and all losses, damages, claims, costs or expenses suffered or incurred by any of them in connection with (1) such cooperation, (2) the Financing, (3) any information used in connection with the Financing (except with respect to written information provided by the Partnership or any of the Affiliates specifically for inclusion in offering materials relating to the Financing) and (4) any action taken by any of them at the request of Parent, Merger Sub or the Financing Sources pursuant to this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xml:space="preserve">, except to the extent such losses, damages, claims, costs or expenses arose from the gross negligence, bad faith, material breach or willful misconduct of the Partnership, its Affiliates or their Representatives. Notwithstanding anything in this Agreement to the contrary, the condition set forth in </w:t>
      </w:r>
      <w:r>
        <w:rPr>
          <w:rFonts w:ascii="Times New Roman" w:cs="Times New Roman" w:eastAsia="Times New Roman" w:hAnsi="Times New Roman"/>
          <w:sz w:val="21"/>
          <w:szCs w:val="21"/>
          <w:u w:val="single" w:color="auto"/>
          <w:color w:val="auto"/>
        </w:rPr>
        <w:t>Section 6.02(b)</w:t>
      </w:r>
      <w:r>
        <w:rPr>
          <w:rFonts w:ascii="Times New Roman" w:cs="Times New Roman" w:eastAsia="Times New Roman" w:hAnsi="Times New Roman"/>
          <w:sz w:val="21"/>
          <w:szCs w:val="21"/>
          <w:color w:val="auto"/>
        </w:rPr>
        <w:t xml:space="preserve">, as it applies to obligations of the Partnership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5.12</w:t>
      </w:r>
      <w:r>
        <w:rPr>
          <w:rFonts w:ascii="Times New Roman" w:cs="Times New Roman" w:eastAsia="Times New Roman" w:hAnsi="Times New Roman"/>
          <w:sz w:val="21"/>
          <w:szCs w:val="21"/>
          <w:color w:val="auto"/>
        </w:rPr>
        <w:t xml:space="preserve">, shall be deemed satisfied if (1) any breach by the Partnership of its obligations under this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xml:space="preserve"> did not cause the failure of the Financing to be obtained or (2) Parent and/or Merger Sub do not have the right to terminate this Agreement pursuant to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as a result of any breaches of this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xml:space="preserve"> by the Partnership. The obligations of Parent and Merger Sub under this Section 5.12(c) shall survive the termination of this Agreement.</w:t>
      </w:r>
    </w:p>
    <w:p>
      <w:pPr>
        <w:spacing w:after="0" w:line="215" w:lineRule="exact"/>
        <w:rPr>
          <w:rFonts w:ascii="Times New Roman" w:cs="Times New Roman" w:eastAsia="Times New Roman" w:hAnsi="Times New Roman"/>
          <w:sz w:val="21"/>
          <w:szCs w:val="21"/>
          <w:color w:val="auto"/>
        </w:rPr>
      </w:pPr>
    </w:p>
    <w:p>
      <w:pPr>
        <w:jc w:val="both"/>
        <w:ind w:left="-460" w:firstLine="644"/>
        <w:spacing w:after="0" w:line="233" w:lineRule="auto"/>
        <w:tabs>
          <w:tab w:leader="none" w:pos="111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Parent and Merger Sub acknowledges and agrees that the Partnership, its Affiliates and their respective Representatives have no responsibility for any financing that Parent or Merger Sub may raise in connection with the Transactions. Any offering materials and other documents prepared by or on behalf of or utilized by Parent, Merger Sub or their Affiliates, or any Person providing the Financing to Parent or Merger Sub, in connection with Merger Sub’s financing activities in connection with the Transactions, which include any information provided by the Partnership or any of its Affiliates or Representatives, including any offering memorandum, banker’s book, prospectus or similar document used, or any other written offering materials used, in connection with any Financing, shall include a conspicuous disclaimer to the effect that neither the Partnership, nor any of its Affiliates or Representatives nor any employees thereof has any responsibility for the content of such document and disclaim all responsibility therefor and shall further include a disclaimer with respect to the Partnership and its Affiliates and Representatives in any oral disclosure with respect to such Financing.</w:t>
      </w:r>
    </w:p>
    <w:p>
      <w:pPr>
        <w:spacing w:after="0" w:line="39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59" w:name="page60"/>
    <w:bookmarkEnd w:id="59"/>
    <w:p>
      <w:pPr>
        <w:jc w:val="both"/>
        <w:ind w:left="660" w:firstLine="644"/>
        <w:spacing w:after="0" w:line="234" w:lineRule="auto"/>
        <w:tabs>
          <w:tab w:leader="none" w:pos="207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non-public or other confidential information obtained by Parent or Merger Sub, its Representatives or any Person in connection with the Financing and pursuant to this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shall be kept confidential in accordance with the Confidentiality Agreement, except that Parent and Merger Sub shall be permitted to disclose such information to any Person providing the Financing, rating agencies and prospective lenders and investors during syndication or other marketing efforts relating to the Financing, subject to the rating agencies and prospective lenders and investors entering into customary confidentiality undertakings with respect to such information (including through a notice and undertaking in a form customarily used in confidential information memoranda for senior credit facilities), and to potential investors in a customary offering memorandum and related materials used in connection with an offering of debt or equity securities used to finance the consummation of the Transactions.</w:t>
      </w:r>
    </w:p>
    <w:p>
      <w:pPr>
        <w:spacing w:after="0" w:line="210" w:lineRule="exact"/>
        <w:rPr>
          <w:rFonts w:ascii="Times New Roman" w:cs="Times New Roman" w:eastAsia="Times New Roman" w:hAnsi="Times New Roman"/>
          <w:sz w:val="22"/>
          <w:szCs w:val="22"/>
          <w:color w:val="auto"/>
        </w:rPr>
      </w:pPr>
    </w:p>
    <w:p>
      <w:pPr>
        <w:jc w:val="both"/>
        <w:ind w:left="660" w:firstLine="644"/>
        <w:spacing w:after="0" w:line="232" w:lineRule="auto"/>
        <w:tabs>
          <w:tab w:leader="none" w:pos="207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Through the earlier of the Closing and the date on which this Agreement is terminated in accordance with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if reasonably requested by Parent, the Partnership shall provide commercially reasonable cooperation to Parent and Merger Sub in taking such actions as are necessary, proper or advisable under any existing indebtedness listed on Section 5.12(f) of the Partnership Disclosure Schedule (collectively, “</w:t>
      </w:r>
      <w:r>
        <w:rPr>
          <w:rFonts w:ascii="Times New Roman" w:cs="Times New Roman" w:eastAsia="Times New Roman" w:hAnsi="Times New Roman"/>
          <w:sz w:val="22"/>
          <w:szCs w:val="22"/>
          <w:u w:val="single" w:color="auto"/>
          <w:color w:val="auto"/>
        </w:rPr>
        <w:t>Existing Debt Documents</w:t>
      </w:r>
      <w:r>
        <w:rPr>
          <w:rFonts w:ascii="Times New Roman" w:cs="Times New Roman" w:eastAsia="Times New Roman" w:hAnsi="Times New Roman"/>
          <w:sz w:val="22"/>
          <w:szCs w:val="22"/>
          <w:color w:val="auto"/>
        </w:rPr>
        <w:t>”) in respect of the Transactions, including delivering or causing a Subsidiary to deliver any such notices, agreements, amendments, releases, consents documents or instruments necessary, proper or advisable to comply with the terms thereof, including the delivery of any officer certificates and opinions of counsel required to be delivered thereunder in connection with the Transactions or as otherwise reasonably requested as it relates to the ongoing operations and business of the Partnership or the Parent and their respective Subsidiaries. If and to the extent reasonably requested by Parent in writing, the Partnership shall provide commercially reasonable cooperation to Parent and Merger Sub either (A) in arranging for the termination of Existing Debt Documents (and the related repayment or redemption thereof, including the making of a tender offer, with respect to outstanding letters of credit, the cash collateralization thereof or the providing of “backstop” letters of credit with respect thereto) at the Closing (or such other date thereafter as agreed to by Parent and the Partnership), which repayment, redemption, cash collateralization or providing of “backstop” letters of credit shall be the sole responsibility of Parent, and the procurement of customary payoff letters and other customary release documentation in connection therewith or (B) obtaining any consents required under any Existing Debt Documents to permit early redemption, prepayment or the consummation of the Transactions thereunder and obtaining any amendments to or other consents under the Existing Debt Documents as may be reasonably requested by Parent, and in each case, if reasonably requested by Parent, the Partnership shall, and shall cause its Subsidiaries to, execute and deliver such customary notices, agreements, consent documents or instruments necessary in connection therewith. All such actions shall be at the expense of the Parent, conditioned on the consummation of the Transactions, and the Partnership shall have the opportunity to comment on any such discussions.</w:t>
      </w:r>
    </w:p>
    <w:p>
      <w:pPr>
        <w:spacing w:after="0" w:line="20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Post-Closing Arrangement Agreements;</w:t>
      </w:r>
      <w:r>
        <w:rPr>
          <w:rFonts w:ascii="Times New Roman" w:cs="Times New Roman" w:eastAsia="Times New Roman" w:hAnsi="Times New Roman"/>
          <w:sz w:val="22"/>
          <w:szCs w:val="22"/>
          <w:color w:val="auto"/>
        </w:rPr>
        <w:t xml:space="preserve">. At or prior to the Closing, the relevant parties shall execute and deliver the post-closing arrangement agreements, substantially in the forms attached to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(collectively, the “</w:t>
      </w:r>
      <w:r>
        <w:rPr>
          <w:rFonts w:ascii="Times New Roman" w:cs="Times New Roman" w:eastAsia="Times New Roman" w:hAnsi="Times New Roman"/>
          <w:sz w:val="22"/>
          <w:szCs w:val="22"/>
          <w:u w:val="single" w:color="auto"/>
          <w:color w:val="auto"/>
        </w:rPr>
        <w:t>Post-Closing Arrangement Agreements</w:t>
      </w:r>
      <w:r>
        <w:rPr>
          <w:rFonts w:ascii="Times New Roman" w:cs="Times New Roman" w:eastAsia="Times New Roman" w:hAnsi="Times New Roman"/>
          <w:sz w:val="22"/>
          <w:szCs w:val="22"/>
          <w:color w:val="auto"/>
        </w:rPr>
        <w: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jc w:val="both"/>
        <w:ind w:right="20" w:firstLine="648"/>
        <w:spacing w:after="0" w:line="259"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Affiliate Agreements</w:t>
      </w:r>
      <w:r>
        <w:rPr>
          <w:rFonts w:ascii="Times New Roman" w:cs="Times New Roman" w:eastAsia="Times New Roman" w:hAnsi="Times New Roman"/>
          <w:sz w:val="22"/>
          <w:szCs w:val="22"/>
          <w:color w:val="auto"/>
        </w:rPr>
        <w:t>. All agreements set forth on Section 5.14 of the Partnership Disclosure Schedule shall be terminated at or prior to the Closing without further liability to Parent, Merger Sub or any of Parent’s Subsidiaries.</w:t>
      </w:r>
    </w:p>
    <w:p>
      <w:pPr>
        <w:spacing w:after="0" w:line="18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5.15 </w:t>
      </w: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 xml:space="preserve">. Until the Effective Time or the earlier termination of this Agreement, the Partnership shall, upon resolution of the Partnership Board in accordance with the relevant provisions of the Partnership Agreement, and subject to compliance with applicable Law, declare and pay, (a) quarterly Series A Distributions and (b) a quarterly distribution on the Common Units with respect to the calendar quarter ended December 31, 2020, for which the record and payment dates shall fall in the calendar quarter ended March 31, 2021, in a manner consistent with past practice, including with respect to timing;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amount of such quarterly distribution shall not exceed $0.02 per Common Unit.</w:t>
      </w:r>
    </w:p>
    <w:p>
      <w:pPr>
        <w:spacing w:after="0" w:line="2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5.16 </w:t>
      </w:r>
      <w:r>
        <w:rPr>
          <w:rFonts w:ascii="Times New Roman" w:cs="Times New Roman" w:eastAsia="Times New Roman" w:hAnsi="Times New Roman"/>
          <w:sz w:val="22"/>
          <w:szCs w:val="22"/>
          <w:u w:val="single" w:color="auto"/>
          <w:color w:val="auto"/>
        </w:rPr>
        <w:t>Standstill</w:t>
      </w:r>
      <w:r>
        <w:rPr>
          <w:rFonts w:ascii="Times New Roman" w:cs="Times New Roman" w:eastAsia="Times New Roman" w:hAnsi="Times New Roman"/>
          <w:sz w:val="22"/>
          <w:szCs w:val="22"/>
          <w:color w:val="auto"/>
        </w:rPr>
        <w:t xml:space="preserve">. Parent agrees that until the earlier of (i) the Closing or termination of this Agreement or (ii) 180 days after the date of this Agreement, neither it nor any of its controlled Affiliates shall acquire (or propose or agree to acquire) of record or beneficially, by purchase or otherwise, the right to vote any Common Units;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herein shall limit or restrict Parent from entering into and/or exercising its rights under the Support Agreement.</w:t>
      </w:r>
    </w:p>
    <w:p>
      <w:pPr>
        <w:spacing w:after="0" w:line="207"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5.17</w:t>
      </w:r>
      <w:r>
        <w:rPr>
          <w:sz w:val="20"/>
          <w:szCs w:val="20"/>
          <w:color w:val="auto"/>
        </w:rPr>
        <w:tab/>
      </w:r>
      <w:r>
        <w:rPr>
          <w:rFonts w:ascii="Times New Roman" w:cs="Times New Roman" w:eastAsia="Times New Roman" w:hAnsi="Times New Roman"/>
          <w:sz w:val="21"/>
          <w:szCs w:val="21"/>
          <w:u w:val="single" w:color="auto"/>
          <w:color w:val="auto"/>
        </w:rPr>
        <w:t>Pre-Closing Reorganization.</w:t>
      </w:r>
    </w:p>
    <w:p>
      <w:pPr>
        <w:spacing w:after="0" w:line="233" w:lineRule="exact"/>
        <w:rPr>
          <w:sz w:val="20"/>
          <w:szCs w:val="20"/>
          <w:color w:val="auto"/>
        </w:rPr>
      </w:pPr>
    </w:p>
    <w:p>
      <w:pPr>
        <w:ind w:left="660" w:right="20" w:firstLine="644"/>
        <w:spacing w:after="0" w:line="282" w:lineRule="auto"/>
        <w:tabs>
          <w:tab w:leader="none" w:pos="2455"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Partnership and the General Partner agree that, upon reasonable request of Parent and upon reasonable prior notice from Parent, the Partnership and the General Partner shall use commercially reasonable efforts to:</w:t>
      </w:r>
    </w:p>
    <w:p>
      <w:pPr>
        <w:spacing w:after="0" w:line="161" w:lineRule="exact"/>
        <w:rPr>
          <w:rFonts w:ascii="Times New Roman" w:cs="Times New Roman" w:eastAsia="Times New Roman" w:hAnsi="Times New Roman"/>
          <w:sz w:val="21"/>
          <w:szCs w:val="21"/>
          <w:color w:val="auto"/>
        </w:rPr>
      </w:pPr>
    </w:p>
    <w:p>
      <w:pPr>
        <w:jc w:val="both"/>
        <w:ind w:left="1300" w:firstLine="652"/>
        <w:spacing w:after="0" w:line="244" w:lineRule="auto"/>
        <w:tabs>
          <w:tab w:leader="none" w:pos="2730" w:val="left"/>
        </w:tabs>
        <w:numPr>
          <w:ilvl w:val="1"/>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file or consent to any Tax elections or perform such other reorganization transactions with respect to any Subsidiary of the Partnership as Parent may reasonably request in writing (each, a “</w:t>
      </w:r>
      <w:r>
        <w:rPr>
          <w:rFonts w:ascii="Times New Roman" w:cs="Times New Roman" w:eastAsia="Times New Roman" w:hAnsi="Times New Roman"/>
          <w:sz w:val="22"/>
          <w:szCs w:val="22"/>
          <w:u w:val="single" w:color="auto"/>
          <w:color w:val="auto"/>
        </w:rPr>
        <w:t>Pre-Closing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Reorganization</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010000"/>
        </w:rPr>
      </w:pPr>
    </w:p>
    <w:p>
      <w:pPr>
        <w:jc w:val="both"/>
        <w:ind w:left="1300" w:firstLine="652"/>
        <w:spacing w:after="0" w:line="244" w:lineRule="auto"/>
        <w:tabs>
          <w:tab w:leader="none" w:pos="2720" w:val="left"/>
        </w:tabs>
        <w:numPr>
          <w:ilvl w:val="1"/>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cooperate with Parent and its advisors to determine the nature of the Pre-Closing Reorganizations, if any, that might be undertaken and the manner in which they would most effectively be undertaken, including providing any necessary information in connection therewith;</w:t>
      </w:r>
    </w:p>
    <w:p>
      <w:pPr>
        <w:spacing w:after="0" w:line="200" w:lineRule="exact"/>
        <w:rPr>
          <w:rFonts w:ascii="Times New Roman" w:cs="Times New Roman" w:eastAsia="Times New Roman" w:hAnsi="Times New Roman"/>
          <w:sz w:val="22"/>
          <w:szCs w:val="22"/>
          <w:color w:val="010000"/>
        </w:rPr>
      </w:pPr>
    </w:p>
    <w:p>
      <w:pPr>
        <w:ind w:left="1300" w:firstLine="652"/>
        <w:spacing w:after="0" w:line="258" w:lineRule="auto"/>
        <w:tabs>
          <w:tab w:leader="none" w:pos="2861" w:val="left"/>
        </w:tabs>
        <w:numPr>
          <w:ilvl w:val="1"/>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cooperate with Parent and its advisors to seek to obtain consents or waivers, if any, which are required from any third party to give effect to the Pre-Closing Reorganizations; and</w:t>
      </w:r>
    </w:p>
    <w:p>
      <w:pPr>
        <w:spacing w:after="0" w:line="185" w:lineRule="exact"/>
        <w:rPr>
          <w:rFonts w:ascii="Times New Roman" w:cs="Times New Roman" w:eastAsia="Times New Roman" w:hAnsi="Times New Roman"/>
          <w:sz w:val="22"/>
          <w:szCs w:val="22"/>
          <w:color w:val="010000"/>
        </w:rPr>
      </w:pPr>
    </w:p>
    <w:p>
      <w:pPr>
        <w:jc w:val="both"/>
        <w:ind w:left="1300" w:firstLine="652"/>
        <w:spacing w:after="0" w:line="239" w:lineRule="auto"/>
        <w:tabs>
          <w:tab w:leader="none" w:pos="2691" w:val="left"/>
        </w:tabs>
        <w:numPr>
          <w:ilvl w:val="1"/>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prepare, or cooperate with Parent to prepare, prior to the Effective Time (or, with respect to any Pre-Closing Reorganization intended to be consummated after the Closing, as soon as reasonably practicable after the Closing), all documentation reasonably necessary and do such other acts and things as are reasonably necessary to give effect to such Pre-Closing Reorganization;</w:t>
      </w:r>
    </w:p>
    <w:p>
      <w:pPr>
        <w:spacing w:after="0" w:line="2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that neither the Partnership nor the General Partner shall be required to take or cooperate with any action requested by Parent pursuant to this </w:t>
      </w:r>
      <w:r>
        <w:rPr>
          <w:rFonts w:ascii="Times New Roman" w:cs="Times New Roman" w:eastAsia="Times New Roman" w:hAnsi="Times New Roman"/>
          <w:sz w:val="22"/>
          <w:szCs w:val="22"/>
          <w:u w:val="single" w:color="auto"/>
          <w:color w:val="auto"/>
        </w:rPr>
        <w:t>Section 5.17</w:t>
      </w:r>
      <w:r>
        <w:rPr>
          <w:rFonts w:ascii="Times New Roman" w:cs="Times New Roman" w:eastAsia="Times New Roman" w:hAnsi="Times New Roman"/>
          <w:sz w:val="22"/>
          <w:szCs w:val="22"/>
          <w:color w:val="auto"/>
        </w:rPr>
        <w:t xml:space="preserve"> if (i) the Partnership or the General Partner determines, in its reasonable discretion, that such action (A) would reasonably be expected to be disadvantageous to a Common Unitholder (or a direct or indirect owner of such Common Unitholder) or holder of Partnership Preferred Units or (B) would reasonably be expected to impede, hinder, or delay the Closing or the satisfaction of any condition to Closing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or (ii) such action would be effective prior to the Effective Time and the Partnership or the General Partner determines, in its reasonable discretion, that, taking into account </w:t>
      </w:r>
      <w:r>
        <w:rPr>
          <w:rFonts w:ascii="Times New Roman" w:cs="Times New Roman" w:eastAsia="Times New Roman" w:hAnsi="Times New Roman"/>
          <w:sz w:val="22"/>
          <w:szCs w:val="22"/>
          <w:u w:val="single" w:color="auto"/>
          <w:color w:val="auto"/>
        </w:rPr>
        <w:t>Section 5.17(b)</w:t>
      </w:r>
      <w:r>
        <w:rPr>
          <w:rFonts w:ascii="Times New Roman" w:cs="Times New Roman" w:eastAsia="Times New Roman" w:hAnsi="Times New Roman"/>
          <w:sz w:val="22"/>
          <w:szCs w:val="22"/>
          <w:color w:val="auto"/>
        </w:rPr>
        <w:t>, such action nonetheless is reasonably expected to be disadvantageous to the Partnership, the General Partner, or their respective Affiliates in the event that Closing does not occur.</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jc w:val="both"/>
        <w:ind w:left="660" w:firstLine="644"/>
        <w:spacing w:after="0" w:line="234" w:lineRule="auto"/>
        <w:tabs>
          <w:tab w:leader="none" w:pos="247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the foregoing, Parent agrees that it will be responsible for all reasonable costs and expenses incurred by the Partnership, its Affiliates (which, for purposes of this </w:t>
      </w:r>
      <w:r>
        <w:rPr>
          <w:rFonts w:ascii="Times New Roman" w:cs="Times New Roman" w:eastAsia="Times New Roman" w:hAnsi="Times New Roman"/>
          <w:sz w:val="22"/>
          <w:szCs w:val="22"/>
          <w:u w:val="single" w:color="auto"/>
          <w:color w:val="auto"/>
        </w:rPr>
        <w:t>Section 5.17</w:t>
      </w:r>
      <w:r>
        <w:rPr>
          <w:rFonts w:ascii="Times New Roman" w:cs="Times New Roman" w:eastAsia="Times New Roman" w:hAnsi="Times New Roman"/>
          <w:sz w:val="22"/>
          <w:szCs w:val="22"/>
          <w:color w:val="auto"/>
        </w:rPr>
        <w:t xml:space="preserve">, shall at all times include Golar LNG Limited), and the General Partner associated with any Pre-Closing Reorganization, including professional fees and expenses and Taxes, and shall indemnify and save harmless the Partnership, its Affiliates, and the General Partner and their respective Representatives from and against any and all losses, damages, claims, Taxes, costs or expenses suffered or incurred by any of them in connection with or as a result of any such Pre-Closing Reorganization, except to the extent such losses, damages, claims, Taxes, costs or expenses arose from the bad faith or willful misconduct of the Partnership or its Representatives. Parent hereby agrees that any actions taken at the request of Parent pursuant to this </w:t>
      </w:r>
      <w:r>
        <w:rPr>
          <w:rFonts w:ascii="Times New Roman" w:cs="Times New Roman" w:eastAsia="Times New Roman" w:hAnsi="Times New Roman"/>
          <w:sz w:val="22"/>
          <w:szCs w:val="22"/>
          <w:u w:val="single" w:color="auto"/>
          <w:color w:val="auto"/>
        </w:rPr>
        <w:t>Section 5.17</w:t>
      </w:r>
      <w:r>
        <w:rPr>
          <w:rFonts w:ascii="Times New Roman" w:cs="Times New Roman" w:eastAsia="Times New Roman" w:hAnsi="Times New Roman"/>
          <w:sz w:val="22"/>
          <w:szCs w:val="22"/>
          <w:color w:val="auto"/>
        </w:rPr>
        <w:t xml:space="preserve"> shall not constitute a breach of, or non-compliance with, a representation, warranty or covenant in this Agreement by the Partnership, its Affiliates, or the General Partner.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CONDITIONS PRECEDENT</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Conditions to Each Party’s Obligation to Effect the Merger</w:t>
      </w:r>
      <w:r>
        <w:rPr>
          <w:rFonts w:ascii="Times New Roman" w:cs="Times New Roman" w:eastAsia="Times New Roman" w:hAnsi="Times New Roman"/>
          <w:sz w:val="22"/>
          <w:szCs w:val="22"/>
          <w:color w:val="auto"/>
        </w:rPr>
        <w:t>. The respective obligations of the Partnership, the General Partner, Parent and Merger Sub to effect the Merger shall be subject to the satisfaction (or waiver, if permissible under applicable Law) at or prior to the Closing of the following conditions:</w:t>
      </w:r>
    </w:p>
    <w:p>
      <w:pPr>
        <w:spacing w:after="0" w:line="200" w:lineRule="exact"/>
        <w:rPr>
          <w:sz w:val="20"/>
          <w:szCs w:val="20"/>
          <w:color w:val="auto"/>
        </w:rPr>
      </w:pPr>
    </w:p>
    <w:p>
      <w:pPr>
        <w:ind w:left="660" w:right="20" w:firstLine="644"/>
        <w:spacing w:after="0" w:line="258" w:lineRule="auto"/>
        <w:tabs>
          <w:tab w:leader="none" w:pos="250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Partnership Unitholder Approval</w:t>
      </w:r>
      <w:r>
        <w:rPr>
          <w:rFonts w:ascii="Times New Roman" w:cs="Times New Roman" w:eastAsia="Times New Roman" w:hAnsi="Times New Roman"/>
          <w:sz w:val="22"/>
          <w:szCs w:val="22"/>
          <w:color w:val="auto"/>
        </w:rPr>
        <w:t>. Partnership Unitholder Approval shall have been obtained in accordance with applicable Law and the Partnership Charter and Partnership Agreement.</w:t>
      </w:r>
    </w:p>
    <w:p>
      <w:pPr>
        <w:spacing w:after="0" w:line="185"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2113"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Required Regulatory Approvals</w:t>
      </w:r>
      <w:r>
        <w:rPr>
          <w:rFonts w:ascii="Times New Roman" w:cs="Times New Roman" w:eastAsia="Times New Roman" w:hAnsi="Times New Roman"/>
          <w:sz w:val="21"/>
          <w:szCs w:val="21"/>
          <w:color w:val="auto"/>
        </w:rPr>
        <w:t>. The authorizations, consents, orders or approvals of, or declarations or filings with, and the expirations or terminations of waiting periods required from, any Governmental Authorities set forth in Section 6.01(b) of the Partnership Disclosure Schedule shall have been filed, have occurred or been obtained (all such permits, approvals, filings and consents and the expiration or termination of all such waiting periods being referred to as the “</w:t>
      </w:r>
      <w:r>
        <w:rPr>
          <w:rFonts w:ascii="Times New Roman" w:cs="Times New Roman" w:eastAsia="Times New Roman" w:hAnsi="Times New Roman"/>
          <w:sz w:val="21"/>
          <w:szCs w:val="21"/>
          <w:u w:val="single" w:color="auto"/>
          <w:color w:val="auto"/>
        </w:rPr>
        <w:t>Required Regulatory Approvals</w:t>
      </w:r>
      <w:r>
        <w:rPr>
          <w:rFonts w:ascii="Times New Roman" w:cs="Times New Roman" w:eastAsia="Times New Roman" w:hAnsi="Times New Roman"/>
          <w:sz w:val="21"/>
          <w:szCs w:val="21"/>
          <w:color w:val="auto"/>
        </w:rPr>
        <w:t>”), and all such Required Regulatory Approvals shall be in full force and effect.</w:t>
      </w:r>
    </w:p>
    <w:p>
      <w:pPr>
        <w:spacing w:after="0" w:line="195" w:lineRule="exact"/>
        <w:rPr>
          <w:rFonts w:ascii="Times New Roman" w:cs="Times New Roman" w:eastAsia="Times New Roman" w:hAnsi="Times New Roman"/>
          <w:sz w:val="21"/>
          <w:szCs w:val="21"/>
          <w:color w:val="auto"/>
        </w:rPr>
      </w:pPr>
    </w:p>
    <w:p>
      <w:pPr>
        <w:jc w:val="both"/>
        <w:ind w:left="660" w:firstLine="644"/>
        <w:spacing w:after="0" w:line="244" w:lineRule="auto"/>
        <w:tabs>
          <w:tab w:leader="none" w:pos="219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Injunctions or Restraints</w:t>
      </w:r>
      <w:r>
        <w:rPr>
          <w:rFonts w:ascii="Times New Roman" w:cs="Times New Roman" w:eastAsia="Times New Roman" w:hAnsi="Times New Roman"/>
          <w:sz w:val="22"/>
          <w:szCs w:val="22"/>
          <w:color w:val="auto"/>
        </w:rPr>
        <w:t>. No injunction, judgment or ruling enacted, promulgated, issued, entered, amended or enforced by any Governmental Authority shall be in effect enjoining, restraining or otherwise prohibiting consummation of the Merger.</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Conditions to Obligations of Parent and Merger Sub</w:t>
      </w:r>
      <w:r>
        <w:rPr>
          <w:rFonts w:ascii="Times New Roman" w:cs="Times New Roman" w:eastAsia="Times New Roman" w:hAnsi="Times New Roman"/>
          <w:sz w:val="22"/>
          <w:szCs w:val="22"/>
          <w:color w:val="auto"/>
        </w:rPr>
        <w:t>. The obligations of Parent and Merger Sub to effect the Merger are further subject to the satisfaction (or waiver, if permissible under applicable Law) at or prior to the Closing of the following conditions:</w:t>
      </w:r>
    </w:p>
    <w:p>
      <w:pPr>
        <w:spacing w:after="0" w:line="201" w:lineRule="exact"/>
        <w:rPr>
          <w:sz w:val="20"/>
          <w:szCs w:val="20"/>
          <w:color w:val="auto"/>
        </w:rPr>
      </w:pPr>
    </w:p>
    <w:p>
      <w:pPr>
        <w:jc w:val="both"/>
        <w:ind w:left="660" w:firstLine="644"/>
        <w:spacing w:after="0" w:line="232" w:lineRule="auto"/>
        <w:tabs>
          <w:tab w:leader="none" w:pos="214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representations and warranties of the Partnership and the General Partner (i) set forth in </w:t>
      </w:r>
      <w:r>
        <w:rPr>
          <w:rFonts w:ascii="Times New Roman" w:cs="Times New Roman" w:eastAsia="Times New Roman" w:hAnsi="Times New Roman"/>
          <w:sz w:val="22"/>
          <w:szCs w:val="22"/>
          <w:u w:val="single" w:color="auto"/>
          <w:color w:val="auto"/>
        </w:rPr>
        <w:t>Section 3.06(b)</w:t>
      </w:r>
      <w:r>
        <w:rPr>
          <w:rFonts w:ascii="Times New Roman" w:cs="Times New Roman" w:eastAsia="Times New Roman" w:hAnsi="Times New Roman"/>
          <w:sz w:val="22"/>
          <w:szCs w:val="22"/>
          <w:color w:val="auto"/>
        </w:rPr>
        <w:t xml:space="preserve"> shall be true and correct as of the date of this Agreement and as of the Closing Date with the same effect as though made as the Closing Date (except to the extent expressly made as of an earlier date, in which case as of such date), (ii) set forth in </w:t>
      </w:r>
      <w:r>
        <w:rPr>
          <w:rFonts w:ascii="Times New Roman" w:cs="Times New Roman" w:eastAsia="Times New Roman" w:hAnsi="Times New Roman"/>
          <w:sz w:val="22"/>
          <w:szCs w:val="22"/>
          <w:u w:val="single" w:color="auto"/>
          <w:color w:val="auto"/>
        </w:rPr>
        <w:t>Section 3.03(d)(B)(x)</w:t>
      </w:r>
      <w:r>
        <w:rPr>
          <w:rFonts w:ascii="Times New Roman" w:cs="Times New Roman" w:eastAsia="Times New Roman" w:hAnsi="Times New Roman"/>
          <w:sz w:val="22"/>
          <w:szCs w:val="22"/>
          <w:color w:val="auto"/>
        </w:rPr>
        <w:t xml:space="preserve"> shall be true and correct (disregarding all qualifications or limitations as to "materiality", "Material Adverse Effect" and words of similar import set forth herein) as of the date of this Agreement and as of the Closing Date with the same effect as though made as of the Closing Date (except to the extent expressly made as of an earlier date, in which case as of such date), (iii) set forth in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3.03(d)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3.06(a)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3.24</w:t>
      </w:r>
      <w:r>
        <w:rPr>
          <w:rFonts w:ascii="Times New Roman" w:cs="Times New Roman" w:eastAsia="Times New Roman" w:hAnsi="Times New Roman"/>
          <w:sz w:val="22"/>
          <w:szCs w:val="22"/>
          <w:color w:val="auto"/>
        </w:rPr>
        <w:t xml:space="preserve"> shall be true and correct in all material respects as of the date of this Agreement and as of the Closing Date with the same effect as though made as of the Closing Date (except to the extent expressly made as of an earlier date, in which case as of such date) and (iv) set forth in this Agreement, other than those sections specifically identified in clause (i), (ii) or (iii) of this </w:t>
      </w:r>
      <w:r>
        <w:rPr>
          <w:rFonts w:ascii="Times New Roman" w:cs="Times New Roman" w:eastAsia="Times New Roman" w:hAnsi="Times New Roman"/>
          <w:sz w:val="22"/>
          <w:szCs w:val="22"/>
          <w:u w:val="single" w:color="auto"/>
          <w:color w:val="auto"/>
        </w:rPr>
        <w:t>Section 6.02(a)</w:t>
      </w:r>
      <w:r>
        <w:rPr>
          <w:rFonts w:ascii="Times New Roman" w:cs="Times New Roman" w:eastAsia="Times New Roman" w:hAnsi="Times New Roman"/>
          <w:sz w:val="22"/>
          <w:szCs w:val="22"/>
          <w:color w:val="auto"/>
        </w:rPr>
        <w:t>, shall be true and correct (disregarding all qualifications or limitations as to “materiality”, “Material Adverse Effect” and words of similar import set forth therein) as of the date of this Agreement and as of the Closing Date with the same effect as though made as of the Closing Date (except to the extent expressly made as of an earlier date, in which case as of such date), except, in the case of this clause (iv), where the failure to be true and correct (disregarding all qualifications or limitations as to “materiality”, “Material Adverse Effect” and words of similar import set forth therein) would not, individually or in the aggregate, reasonably be expected to have a Material Adverse Effect.</w:t>
      </w:r>
    </w:p>
    <w:p>
      <w:pPr>
        <w:spacing w:after="0" w:line="216"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232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Obligations of the Partnership</w:t>
      </w:r>
      <w:r>
        <w:rPr>
          <w:rFonts w:ascii="Times New Roman" w:cs="Times New Roman" w:eastAsia="Times New Roman" w:hAnsi="Times New Roman"/>
          <w:sz w:val="22"/>
          <w:szCs w:val="22"/>
          <w:color w:val="auto"/>
        </w:rPr>
        <w:t>. The Partnership and the General Partner shall have performed or complied in all material respects with their respective obligations required to be performed or complied with by them under this Agreement at or prior to the Effective Time.</w:t>
      </w:r>
    </w:p>
    <w:p>
      <w:pPr>
        <w:spacing w:after="0" w:line="200" w:lineRule="exact"/>
        <w:rPr>
          <w:rFonts w:ascii="Times New Roman" w:cs="Times New Roman" w:eastAsia="Times New Roman" w:hAnsi="Times New Roman"/>
          <w:sz w:val="22"/>
          <w:szCs w:val="22"/>
          <w:color w:val="auto"/>
        </w:rPr>
      </w:pPr>
    </w:p>
    <w:p>
      <w:pPr>
        <w:jc w:val="both"/>
        <w:ind w:left="660" w:right="20" w:firstLine="644"/>
        <w:spacing w:after="0" w:line="244" w:lineRule="auto"/>
        <w:tabs>
          <w:tab w:leader="none" w:pos="231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the date of this Agreement, there shall not have been any effect, change, circumstance, development event or occurrence that has had, or would reasonably be expected to have, individually or in the aggregate, a Material Adverse Effect.</w:t>
      </w:r>
    </w:p>
    <w:p>
      <w:pPr>
        <w:spacing w:after="0" w:line="200"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237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xml:space="preserve">. Parent shall have received at the Closing a certificate signed on behalf of the Partnership by a senior executive officer of the Partnership to the effect that the conditions set forth in </w:t>
      </w:r>
      <w:r>
        <w:rPr>
          <w:rFonts w:ascii="Times New Roman" w:cs="Times New Roman" w:eastAsia="Times New Roman" w:hAnsi="Times New Roman"/>
          <w:sz w:val="22"/>
          <w:szCs w:val="22"/>
          <w:u w:val="single" w:color="auto"/>
          <w:color w:val="auto"/>
        </w:rPr>
        <w:t>Section 6.02(a)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Section 6.02(c)</w:t>
      </w:r>
      <w:r>
        <w:rPr>
          <w:rFonts w:ascii="Times New Roman" w:cs="Times New Roman" w:eastAsia="Times New Roman" w:hAnsi="Times New Roman"/>
          <w:sz w:val="22"/>
          <w:szCs w:val="22"/>
          <w:color w:val="auto"/>
        </w:rPr>
        <w:t xml:space="preserve"> have been satisfied.</w:t>
      </w:r>
    </w:p>
    <w:p>
      <w:pPr>
        <w:spacing w:after="0" w:line="200" w:lineRule="exact"/>
        <w:rPr>
          <w:rFonts w:ascii="Times New Roman" w:cs="Times New Roman" w:eastAsia="Times New Roman" w:hAnsi="Times New Roman"/>
          <w:sz w:val="22"/>
          <w:szCs w:val="22"/>
          <w:color w:val="auto"/>
        </w:rPr>
      </w:pPr>
    </w:p>
    <w:p>
      <w:pPr>
        <w:ind w:left="660" w:firstLine="644"/>
        <w:spacing w:after="0" w:line="258" w:lineRule="auto"/>
        <w:tabs>
          <w:tab w:leader="none" w:pos="208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Burdensome Condition</w:t>
      </w:r>
      <w:r>
        <w:rPr>
          <w:rFonts w:ascii="Times New Roman" w:cs="Times New Roman" w:eastAsia="Times New Roman" w:hAnsi="Times New Roman"/>
          <w:sz w:val="22"/>
          <w:szCs w:val="22"/>
          <w:color w:val="auto"/>
        </w:rPr>
        <w:t>. The Required Regulatory Approvals shall have been filed or obtained or shall have occurred, as applicable, in each case, without the imposition of a Burdensome Condition.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ind w:left="660" w:firstLine="644"/>
        <w:spacing w:after="0" w:line="259" w:lineRule="auto"/>
        <w:tabs>
          <w:tab w:leader="none" w:pos="215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Post-Closing Arrangement Agreements.</w:t>
      </w:r>
      <w:r>
        <w:rPr>
          <w:rFonts w:ascii="Times New Roman" w:cs="Times New Roman" w:eastAsia="Times New Roman" w:hAnsi="Times New Roman"/>
          <w:sz w:val="22"/>
          <w:szCs w:val="22"/>
          <w:color w:val="auto"/>
        </w:rPr>
        <w:t xml:space="preserve"> The relevant parties shall have executed and delivered the Post Closing Arrangement Agreements.</w:t>
      </w:r>
    </w:p>
    <w:p>
      <w:pPr>
        <w:spacing w:after="0" w:line="183" w:lineRule="exact"/>
        <w:rPr>
          <w:rFonts w:ascii="Times New Roman" w:cs="Times New Roman" w:eastAsia="Times New Roman" w:hAnsi="Times New Roman"/>
          <w:sz w:val="22"/>
          <w:szCs w:val="22"/>
          <w:color w:val="auto"/>
        </w:rPr>
      </w:pPr>
    </w:p>
    <w:p>
      <w:pPr>
        <w:ind w:left="660" w:firstLine="644"/>
        <w:spacing w:after="0" w:line="258" w:lineRule="auto"/>
        <w:tabs>
          <w:tab w:leader="none" w:pos="218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Resignations</w:t>
      </w:r>
      <w:r>
        <w:rPr>
          <w:rFonts w:ascii="Times New Roman" w:cs="Times New Roman" w:eastAsia="Times New Roman" w:hAnsi="Times New Roman"/>
          <w:sz w:val="22"/>
          <w:szCs w:val="22"/>
          <w:color w:val="auto"/>
        </w:rPr>
        <w:t>. Parent and Merger Sub shall have received the written resignation of each member of the Partnership Board, effective as of the Effective Time.</w:t>
      </w:r>
    </w:p>
    <w:p>
      <w:pPr>
        <w:spacing w:after="0" w:line="185" w:lineRule="exact"/>
        <w:rPr>
          <w:rFonts w:ascii="Times New Roman" w:cs="Times New Roman" w:eastAsia="Times New Roman" w:hAnsi="Times New Roman"/>
          <w:sz w:val="22"/>
          <w:szCs w:val="22"/>
          <w:color w:val="auto"/>
        </w:rPr>
      </w:pPr>
    </w:p>
    <w:p>
      <w:pPr>
        <w:ind w:left="2100" w:hanging="796"/>
        <w:spacing w:after="0"/>
        <w:tabs>
          <w:tab w:leader="none" w:pos="21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Third-Party Consents</w:t>
      </w:r>
    </w:p>
    <w:p>
      <w:pPr>
        <w:spacing w:after="0" w:line="233" w:lineRule="exact"/>
        <w:rPr>
          <w:sz w:val="20"/>
          <w:szCs w:val="20"/>
          <w:color w:val="auto"/>
        </w:rPr>
      </w:pPr>
    </w:p>
    <w:p>
      <w:pPr>
        <w:jc w:val="both"/>
        <w:ind w:left="660" w:firstLine="644"/>
        <w:spacing w:after="0" w:line="244" w:lineRule="auto"/>
        <w:tabs>
          <w:tab w:leader="none" w:pos="145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Partnership shall have received and delivered to Parent the third-party consents and approvals listed on </w:t>
      </w:r>
      <w:r>
        <w:rPr>
          <w:rFonts w:ascii="Times New Roman" w:cs="Times New Roman" w:eastAsia="Times New Roman" w:hAnsi="Times New Roman"/>
          <w:sz w:val="22"/>
          <w:szCs w:val="22"/>
          <w:u w:val="single" w:color="auto"/>
          <w:color w:val="auto"/>
        </w:rPr>
        <w:t>Section 5.05(d)</w:t>
      </w:r>
      <w:r>
        <w:rPr>
          <w:rFonts w:ascii="Times New Roman" w:cs="Times New Roman" w:eastAsia="Times New Roman" w:hAnsi="Times New Roman"/>
          <w:sz w:val="22"/>
          <w:szCs w:val="22"/>
          <w:color w:val="auto"/>
        </w:rPr>
        <w:t xml:space="preserve"> of the Partnership Disclosure Schedule, and all such consents and approvals shall remain in full force and effect.</w:t>
      </w:r>
    </w:p>
    <w:p>
      <w:pPr>
        <w:spacing w:after="0" w:line="200" w:lineRule="exact"/>
        <w:rPr>
          <w:sz w:val="20"/>
          <w:szCs w:val="20"/>
          <w:color w:val="auto"/>
        </w:rPr>
      </w:pPr>
    </w:p>
    <w:p>
      <w:pPr>
        <w:ind w:left="660" w:firstLine="644"/>
        <w:spacing w:after="0" w:line="258" w:lineRule="auto"/>
        <w:tabs>
          <w:tab w:leader="none" w:pos="211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Agreement</w:t>
      </w:r>
      <w:r>
        <w:rPr>
          <w:rFonts w:ascii="Times New Roman" w:cs="Times New Roman" w:eastAsia="Times New Roman" w:hAnsi="Times New Roman"/>
          <w:sz w:val="22"/>
          <w:szCs w:val="22"/>
          <w:color w:val="auto"/>
        </w:rPr>
        <w:t>. All conditions to GP Buyer’s obligation to close the GP Transfer under Section 5.1 of the Transfer Agreement shall have been satisfied or waived.</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Conditions to Obligations of the Partnership</w:t>
      </w:r>
      <w:r>
        <w:rPr>
          <w:rFonts w:ascii="Times New Roman" w:cs="Times New Roman" w:eastAsia="Times New Roman" w:hAnsi="Times New Roman"/>
          <w:sz w:val="22"/>
          <w:szCs w:val="22"/>
          <w:color w:val="auto"/>
        </w:rPr>
        <w:t>. The obligations of the Partnership to effect the Merger are further subject to the satisfaction (or waiver, if permissible under applicable Law) at or prior to the Closing of the following conditions:</w:t>
      </w:r>
    </w:p>
    <w:p>
      <w:pPr>
        <w:spacing w:after="0" w:line="200" w:lineRule="exact"/>
        <w:rPr>
          <w:sz w:val="20"/>
          <w:szCs w:val="20"/>
          <w:color w:val="auto"/>
        </w:rPr>
      </w:pPr>
    </w:p>
    <w:p>
      <w:pPr>
        <w:jc w:val="both"/>
        <w:ind w:left="660" w:firstLine="644"/>
        <w:spacing w:after="0" w:line="233" w:lineRule="auto"/>
        <w:tabs>
          <w:tab w:leader="none" w:pos="225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representations and warranties of Parent and Merger Sub (i)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4.06</w:t>
      </w:r>
      <w:r>
        <w:rPr>
          <w:rFonts w:ascii="Times New Roman" w:cs="Times New Roman" w:eastAsia="Times New Roman" w:hAnsi="Times New Roman"/>
          <w:sz w:val="22"/>
          <w:szCs w:val="22"/>
          <w:color w:val="auto"/>
        </w:rPr>
        <w:t xml:space="preserve"> shall be true and correct in all material respects as of the date of this Agreement and as of the Closing Date with the same effect as though made as of the Closing Date (except to the extent expressly made as of an earlier date, in which case as of such date) and (ii) set forth in this Agreement, other than those sections specifically identified in clause (i) of this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shall be true and correct (disregarding all qualifications or limitations as to “materiality” and “Parent Material Adverse Effect”) as of the date of this Agreement and as of the Closing Date with the same effect as though made as of the Closing Date (except to the extent expressly made as of an earlier date, in which case as of such date), except, in the case of this clause (ii), where the failure to be so true and correct (disregarding all qualifications or limitations as to “materiality”, “Parent Material Adverse Effect” and words of similar import set forth therein) would not, individually or in the aggregate, reasonably be expected to have a Parent Material Adverse Effect.</w:t>
      </w:r>
    </w:p>
    <w:p>
      <w:pPr>
        <w:spacing w:after="0" w:line="214"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216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Obligations of Parent and Merger Sub</w:t>
      </w:r>
      <w:r>
        <w:rPr>
          <w:rFonts w:ascii="Times New Roman" w:cs="Times New Roman" w:eastAsia="Times New Roman" w:hAnsi="Times New Roman"/>
          <w:sz w:val="22"/>
          <w:szCs w:val="22"/>
          <w:color w:val="auto"/>
        </w:rPr>
        <w:t>. Parent and Merger Sub shall have performed or complied in all material respects with their respective obligations required to be performed or complied with by them under this Agreement at or prior to the Effective Time.</w:t>
      </w:r>
    </w:p>
    <w:p>
      <w:pPr>
        <w:spacing w:after="0" w:line="200"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227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Parent Material Adverse Effect</w:t>
      </w:r>
      <w:r>
        <w:rPr>
          <w:rFonts w:ascii="Times New Roman" w:cs="Times New Roman" w:eastAsia="Times New Roman" w:hAnsi="Times New Roman"/>
          <w:sz w:val="22"/>
          <w:szCs w:val="22"/>
          <w:color w:val="auto"/>
        </w:rPr>
        <w:t>. Since the date of this Agreement, there shall not have been any effect, change, circumstance, development event or occurrence that has had, or would reasonably be expected to have, individually or in the aggregate, a Parent Material Adverse Effect.</w:t>
      </w:r>
    </w:p>
    <w:p>
      <w:pPr>
        <w:spacing w:after="0" w:line="200"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227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xml:space="preserve">. The Partnership has received at the Closing a certificate signed on behalf of the Parent by a senior executive officer of the Parent to the effect that the conditions set forth in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Section 6.03(c)</w:t>
      </w:r>
      <w:r>
        <w:rPr>
          <w:rFonts w:ascii="Times New Roman" w:cs="Times New Roman" w:eastAsia="Times New Roman" w:hAnsi="Times New Roman"/>
          <w:sz w:val="22"/>
          <w:szCs w:val="22"/>
          <w:color w:val="auto"/>
        </w:rPr>
        <w:t>, have been satisfied.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ind w:left="660" w:firstLine="644"/>
        <w:spacing w:after="0" w:line="259" w:lineRule="auto"/>
        <w:tabs>
          <w:tab w:leader="none" w:pos="214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Post-Closing Arrangement Agreements</w:t>
      </w:r>
      <w:r>
        <w:rPr>
          <w:rFonts w:ascii="Times New Roman" w:cs="Times New Roman" w:eastAsia="Times New Roman" w:hAnsi="Times New Roman"/>
          <w:sz w:val="22"/>
          <w:szCs w:val="22"/>
          <w:color w:val="auto"/>
        </w:rPr>
        <w:t>. The relevant parties shall have executed and delivered the Post-Closing Arrangement Agreements.</w:t>
      </w:r>
    </w:p>
    <w:p>
      <w:pPr>
        <w:spacing w:after="0" w:line="183" w:lineRule="exact"/>
        <w:rPr>
          <w:rFonts w:ascii="Times New Roman" w:cs="Times New Roman" w:eastAsia="Times New Roman" w:hAnsi="Times New Roman"/>
          <w:sz w:val="22"/>
          <w:szCs w:val="22"/>
          <w:color w:val="auto"/>
        </w:rPr>
      </w:pPr>
    </w:p>
    <w:p>
      <w:pPr>
        <w:ind w:left="660" w:firstLine="644"/>
        <w:spacing w:after="0" w:line="258" w:lineRule="auto"/>
        <w:tabs>
          <w:tab w:leader="none" w:pos="211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Agreement</w:t>
      </w:r>
      <w:r>
        <w:rPr>
          <w:rFonts w:ascii="Times New Roman" w:cs="Times New Roman" w:eastAsia="Times New Roman" w:hAnsi="Times New Roman"/>
          <w:sz w:val="22"/>
          <w:szCs w:val="22"/>
          <w:color w:val="auto"/>
        </w:rPr>
        <w:t>. All conditions to GP Parent’s obligation to close the GP Transfer under Section 5.2 of the Transfer Agreement shall have been satisfied or waived.</w:t>
      </w:r>
    </w:p>
    <w:p>
      <w:pPr>
        <w:spacing w:after="0" w:line="18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Frustration of Closing Conditions</w:t>
      </w:r>
      <w:r>
        <w:rPr>
          <w:rFonts w:ascii="Times New Roman" w:cs="Times New Roman" w:eastAsia="Times New Roman" w:hAnsi="Times New Roman"/>
          <w:sz w:val="22"/>
          <w:szCs w:val="22"/>
          <w:color w:val="auto"/>
        </w:rPr>
        <w:t xml:space="preserve">. The Partnership may not rely on the failure of any condition set forth in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to be satisfied if such failure was primarily caused by the failure of the Partnership to perform in all material respects any of its obligations under this Agreement, including to use its reasonable best efforts to consummate the Transactions as required by and subject to the terms and conditions of this Agreement. Neither Parent nor Merger Sub may rely on the failure of any condition set forth in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to be satisfied if such failure was primarily caused by the failure of Parent or Merger Sub to perform in all material respects any of its obligations under this Agreement, including to use its reasonable best efforts to consummate the Transactions as required by and subject to the terms and conditions of this Agreement.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TERMINATION</w:t>
      </w:r>
    </w:p>
    <w:p>
      <w:pPr>
        <w:spacing w:after="0" w:line="23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Agreement may be terminated and the Transactions abandoned at any time prior to the Effective Time (except as otherwise expressly noted):</w:t>
      </w:r>
    </w:p>
    <w:p>
      <w:pPr>
        <w:spacing w:after="0" w:line="185" w:lineRule="exact"/>
        <w:rPr>
          <w:sz w:val="20"/>
          <w:szCs w:val="20"/>
          <w:color w:val="auto"/>
        </w:rPr>
      </w:pPr>
    </w:p>
    <w:p>
      <w:pPr>
        <w:ind w:left="660" w:firstLine="644"/>
        <w:spacing w:after="0" w:line="258" w:lineRule="auto"/>
        <w:tabs>
          <w:tab w:leader="none" w:pos="217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mutual written consent of the Partnership and Parent (which, in the case of the Partnership, must be approved by the Conflicts Committee);</w:t>
      </w:r>
    </w:p>
    <w:p>
      <w:pPr>
        <w:spacing w:after="0" w:line="185" w:lineRule="exact"/>
        <w:rPr>
          <w:rFonts w:ascii="Times New Roman" w:cs="Times New Roman" w:eastAsia="Times New Roman" w:hAnsi="Times New Roman"/>
          <w:sz w:val="22"/>
          <w:szCs w:val="22"/>
          <w:color w:val="auto"/>
        </w:rPr>
      </w:pPr>
    </w:p>
    <w:p>
      <w:pPr>
        <w:ind w:left="2100" w:hanging="796"/>
        <w:spacing w:after="0"/>
        <w:tabs>
          <w:tab w:leader="none" w:pos="21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of the Partnership or Parent:</w:t>
      </w:r>
    </w:p>
    <w:p>
      <w:pPr>
        <w:spacing w:after="0" w:line="233" w:lineRule="exact"/>
        <w:rPr>
          <w:rFonts w:ascii="Times New Roman" w:cs="Times New Roman" w:eastAsia="Times New Roman" w:hAnsi="Times New Roman"/>
          <w:sz w:val="22"/>
          <w:szCs w:val="22"/>
          <w:color w:val="auto"/>
        </w:rPr>
      </w:pPr>
    </w:p>
    <w:p>
      <w:pPr>
        <w:jc w:val="both"/>
        <w:ind w:left="1300" w:firstLine="652"/>
        <w:spacing w:after="0" w:line="235" w:lineRule="auto"/>
        <w:tabs>
          <w:tab w:leader="none" w:pos="2902" w:val="left"/>
        </w:tabs>
        <w:numPr>
          <w:ilvl w:val="1"/>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Merger shall not have been consummated on or before July 13, 2021, the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right to terminate this Agreement under this </w:t>
      </w:r>
      <w:r>
        <w:rPr>
          <w:rFonts w:ascii="Times New Roman" w:cs="Times New Roman" w:eastAsia="Times New Roman" w:hAnsi="Times New Roman"/>
          <w:sz w:val="22"/>
          <w:szCs w:val="22"/>
          <w:u w:val="single" w:color="auto"/>
          <w:color w:val="auto"/>
        </w:rPr>
        <w:t>Section 7.01(b)(i)</w:t>
      </w:r>
      <w:r>
        <w:rPr>
          <w:rFonts w:ascii="Times New Roman" w:cs="Times New Roman" w:eastAsia="Times New Roman" w:hAnsi="Times New Roman"/>
          <w:sz w:val="22"/>
          <w:szCs w:val="22"/>
          <w:color w:val="auto"/>
        </w:rPr>
        <w:t xml:space="preserve"> shall not be available to any party if the breach in any material respect by such party of its representations and warranties set forth in this Agreement or the failure in any material respect of such party to perform any of its obligations under this Agreement, including to use its reasonable best efforts to consummate the Transactions as required by and subject to the terms and conditions of this Agreement, has been a primary cause of or resulted in the failure of the Merger to be consummated on or before such date;</w:t>
      </w:r>
    </w:p>
    <w:p>
      <w:pPr>
        <w:spacing w:after="0" w:line="210" w:lineRule="exact"/>
        <w:rPr>
          <w:rFonts w:ascii="Times New Roman" w:cs="Times New Roman" w:eastAsia="Times New Roman" w:hAnsi="Times New Roman"/>
          <w:sz w:val="22"/>
          <w:szCs w:val="22"/>
          <w:color w:val="010000"/>
        </w:rPr>
      </w:pPr>
    </w:p>
    <w:p>
      <w:pPr>
        <w:jc w:val="both"/>
        <w:ind w:left="1300" w:firstLine="652"/>
        <w:spacing w:after="0" w:line="238" w:lineRule="auto"/>
        <w:tabs>
          <w:tab w:leader="none" w:pos="2819" w:val="left"/>
        </w:tabs>
        <w:numPr>
          <w:ilvl w:val="1"/>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court of competent jurisdiction or other Governmental Authority shall have issued a final and nonappealable order, or shall have taken any other action, having the effect of permanently restraining, enjoining or otherwise prohibiting any of the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the right to terminate this Agreement under this </w:t>
      </w:r>
      <w:r>
        <w:rPr>
          <w:rFonts w:ascii="Times New Roman" w:cs="Times New Roman" w:eastAsia="Times New Roman" w:hAnsi="Times New Roman"/>
          <w:sz w:val="22"/>
          <w:szCs w:val="22"/>
          <w:u w:val="single" w:color="auto"/>
          <w:color w:val="auto"/>
        </w:rPr>
        <w:t>Section 7.01(b)(ii)</w:t>
      </w:r>
      <w:r>
        <w:rPr>
          <w:rFonts w:ascii="Times New Roman" w:cs="Times New Roman" w:eastAsia="Times New Roman" w:hAnsi="Times New Roman"/>
          <w:sz w:val="22"/>
          <w:szCs w:val="22"/>
          <w:color w:val="auto"/>
        </w:rPr>
        <w:t xml:space="preserve"> shall not be available to any party whose failure to perform any of its obligations pursuant to </w:t>
      </w: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 xml:space="preserve"> resulted in the entry of the order or the taking of such other action;</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ind w:left="180" w:firstLine="652"/>
        <w:spacing w:after="0" w:line="259" w:lineRule="auto"/>
        <w:tabs>
          <w:tab w:leader="none" w:pos="1734" w:val="left"/>
        </w:tabs>
        <w:numPr>
          <w:ilvl w:val="1"/>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Partnership Unitholders’ Meeting (including any adjournments or postponements thereof) shall have concluded and the Partnership Unitholder Approval shall not have been obtained;</w:t>
      </w:r>
    </w:p>
    <w:p>
      <w:pPr>
        <w:spacing w:after="0" w:line="183" w:lineRule="exact"/>
        <w:rPr>
          <w:rFonts w:ascii="Times New Roman" w:cs="Times New Roman" w:eastAsia="Times New Roman" w:hAnsi="Times New Roman"/>
          <w:sz w:val="22"/>
          <w:szCs w:val="22"/>
          <w:color w:val="010000"/>
        </w:rPr>
      </w:pPr>
    </w:p>
    <w:p>
      <w:pPr>
        <w:ind w:left="180" w:firstLine="652"/>
        <w:spacing w:after="0" w:line="258" w:lineRule="auto"/>
        <w:tabs>
          <w:tab w:leader="none" w:pos="1636" w:val="left"/>
        </w:tabs>
        <w:numPr>
          <w:ilvl w:val="1"/>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at any time prior to the receipt of the Partnership Unitholder Approval, if the Partnership willfully and materially breaches </w:t>
      </w: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 or</w:t>
      </w:r>
    </w:p>
    <w:p>
      <w:pPr>
        <w:spacing w:after="0" w:line="185" w:lineRule="exact"/>
        <w:rPr>
          <w:rFonts w:ascii="Times New Roman" w:cs="Times New Roman" w:eastAsia="Times New Roman" w:hAnsi="Times New Roman"/>
          <w:sz w:val="22"/>
          <w:szCs w:val="22"/>
          <w:color w:val="010000"/>
        </w:rPr>
      </w:pPr>
    </w:p>
    <w:p>
      <w:pPr>
        <w:ind w:left="960" w:hanging="776"/>
        <w:spacing w:after="0"/>
        <w:tabs>
          <w:tab w:leader="none" w:pos="9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Parent:</w:t>
      </w:r>
    </w:p>
    <w:p>
      <w:pPr>
        <w:spacing w:after="0" w:line="233" w:lineRule="exact"/>
        <w:rPr>
          <w:rFonts w:ascii="Times New Roman" w:cs="Times New Roman" w:eastAsia="Times New Roman" w:hAnsi="Times New Roman"/>
          <w:sz w:val="22"/>
          <w:szCs w:val="22"/>
          <w:color w:val="auto"/>
        </w:rPr>
      </w:pPr>
    </w:p>
    <w:p>
      <w:pPr>
        <w:jc w:val="both"/>
        <w:ind w:left="180" w:firstLine="652"/>
        <w:spacing w:after="0" w:line="246" w:lineRule="auto"/>
        <w:tabs>
          <w:tab w:leader="none" w:pos="1937" w:val="left"/>
        </w:tabs>
        <w:numPr>
          <w:ilvl w:val="1"/>
          <w:numId w:val="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the Partnership or the General Partner shall have breached any of its representations or warranties or failed to perform any of its covenants or agreements set forth in this Agreement, which breach or failure to perform (A) would give rise to the failure of a condition set forth in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and (B) is incapable of being cured prior to the Termination Date, or if capable of being cured, has not been cured by the Partnership or the General Partner within 30 days after the Partnership’s receipt of written notice of such breach or failure to perform from Parent stating Parent’s intention to terminate this Agreement pursuant to this </w:t>
      </w:r>
      <w:r>
        <w:rPr>
          <w:rFonts w:ascii="Times New Roman" w:cs="Times New Roman" w:eastAsia="Times New Roman" w:hAnsi="Times New Roman"/>
          <w:sz w:val="21"/>
          <w:szCs w:val="21"/>
          <w:u w:val="single" w:color="auto"/>
          <w:color w:val="auto"/>
        </w:rPr>
        <w:t>Section 7.01(c)(i)</w:t>
      </w:r>
      <w:r>
        <w:rPr>
          <w:rFonts w:ascii="Times New Roman" w:cs="Times New Roman" w:eastAsia="Times New Roman" w:hAnsi="Times New Roman"/>
          <w:sz w:val="21"/>
          <w:szCs w:val="21"/>
          <w:color w:val="auto"/>
        </w:rPr>
        <w:t xml:space="preserve"> and the basis for such termination (or in any event has not been cured by the Termination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Parent shall not have the right to terminate this Agreement pursuant to this </w:t>
      </w:r>
      <w:r>
        <w:rPr>
          <w:rFonts w:ascii="Times New Roman" w:cs="Times New Roman" w:eastAsia="Times New Roman" w:hAnsi="Times New Roman"/>
          <w:sz w:val="21"/>
          <w:szCs w:val="21"/>
          <w:u w:val="single" w:color="auto"/>
          <w:color w:val="auto"/>
        </w:rPr>
        <w:t>Section 7.01(c)(i)</w:t>
      </w:r>
      <w:r>
        <w:rPr>
          <w:rFonts w:ascii="Times New Roman" w:cs="Times New Roman" w:eastAsia="Times New Roman" w:hAnsi="Times New Roman"/>
          <w:sz w:val="21"/>
          <w:szCs w:val="21"/>
          <w:color w:val="auto"/>
        </w:rPr>
        <w:t xml:space="preserve"> if Parent or Merger Sub is then in material breach of any of its material representations, warranties, covenants or agreements hereunder; or</w:t>
      </w:r>
    </w:p>
    <w:p>
      <w:pPr>
        <w:spacing w:after="0" w:line="202" w:lineRule="exact"/>
        <w:rPr>
          <w:rFonts w:ascii="Times New Roman" w:cs="Times New Roman" w:eastAsia="Times New Roman" w:hAnsi="Times New Roman"/>
          <w:sz w:val="21"/>
          <w:szCs w:val="21"/>
          <w:color w:val="010000"/>
        </w:rPr>
      </w:pPr>
    </w:p>
    <w:p>
      <w:pPr>
        <w:ind w:left="180" w:firstLine="652"/>
        <w:spacing w:after="0" w:line="282" w:lineRule="auto"/>
        <w:tabs>
          <w:tab w:leader="none" w:pos="1524" w:val="left"/>
        </w:tabs>
        <w:numPr>
          <w:ilvl w:val="1"/>
          <w:numId w:val="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prior to but not after Partnership Unitholder Approval is obtained, if the Partnership Board (acting on the recommendation of the Conflicts Committee) shall have made an Adverse Recommendation Change; or</w:t>
      </w:r>
    </w:p>
    <w:p>
      <w:pPr>
        <w:spacing w:after="0" w:line="161" w:lineRule="exact"/>
        <w:rPr>
          <w:rFonts w:ascii="Times New Roman" w:cs="Times New Roman" w:eastAsia="Times New Roman" w:hAnsi="Times New Roman"/>
          <w:sz w:val="21"/>
          <w:szCs w:val="21"/>
          <w:color w:val="010000"/>
        </w:rPr>
      </w:pPr>
    </w:p>
    <w:p>
      <w:pPr>
        <w:jc w:val="both"/>
        <w:ind w:left="-460" w:firstLine="644"/>
        <w:spacing w:after="0" w:line="234" w:lineRule="auto"/>
        <w:tabs>
          <w:tab w:leader="none" w:pos="100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the Partnership if Parent or Merger Sub shall have breached any of its representations or warranties or failed to perform any of its covenants or agreements set forth in this Agreement, which breach or failure to perform (A) would give rise to the failure of a condition set forth in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6.03(b)</w:t>
      </w:r>
      <w:r>
        <w:rPr>
          <w:rFonts w:ascii="Times New Roman" w:cs="Times New Roman" w:eastAsia="Times New Roman" w:hAnsi="Times New Roman"/>
          <w:sz w:val="22"/>
          <w:szCs w:val="22"/>
          <w:color w:val="auto"/>
        </w:rPr>
        <w:t xml:space="preserve"> and (B) is incapable of being cured prior to the Termination Date, or if capable of being cured, has not been cured by Parent or Merger Sub within 30 days after Parent’s receipt of written notice of such breach or failure to perform from the Partnership stating the Partnership’s intention to terminate this Agreement pursuant to this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 xml:space="preserve"> and the basis for such termination (or in any event has not been cured by the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Partnership shall not have the right to terminate this Agreement pursuant to this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 xml:space="preserve"> if the Partnership is then in material breach of any of its material representations, warranties, covenants or agreements hereunder.</w:t>
      </w:r>
    </w:p>
    <w:p>
      <w:pPr>
        <w:spacing w:after="0" w:line="39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66" w:name="page67"/>
    <w:bookmarkEnd w:id="66"/>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 xml:space="preserve">. In the event of the termination of this Agreement as provided in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written notice thereof shall be given to the other party or parties hereto, specifying the provision hereof pursuant to which such termination is made, and this Agreement shall forthwith become null and void (other than </w:t>
      </w:r>
      <w:r>
        <w:rPr>
          <w:rFonts w:ascii="Times New Roman" w:cs="Times New Roman" w:eastAsia="Times New Roman" w:hAnsi="Times New Roman"/>
          <w:sz w:val="22"/>
          <w:szCs w:val="22"/>
          <w:u w:val="single" w:color="auto"/>
          <w:color w:val="auto"/>
        </w:rPr>
        <w:t>Section 5.12(c)</w:t>
      </w:r>
      <w:r>
        <w:rPr>
          <w:rFonts w:ascii="Times New Roman" w:cs="Times New Roman" w:eastAsia="Times New Roman" w:hAnsi="Times New Roman"/>
          <w:sz w:val="22"/>
          <w:szCs w:val="22"/>
          <w:color w:val="auto"/>
        </w:rPr>
        <w:t xml:space="preserve">, the indemnification and reimbursement obligations of Parent in </w:t>
      </w:r>
      <w:r>
        <w:rPr>
          <w:rFonts w:ascii="Times New Roman" w:cs="Times New Roman" w:eastAsia="Times New Roman" w:hAnsi="Times New Roman"/>
          <w:sz w:val="22"/>
          <w:szCs w:val="22"/>
          <w:u w:val="single" w:color="auto"/>
          <w:color w:val="auto"/>
        </w:rPr>
        <w:t>Section 5.17</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and the Confidentiality Agreement, all of which shall survive termination of this Agreement), and there shall be no liability on the part of Parent, Merger Sub, the Partnership, the General Partner or their respective directors, officers and Affiliates, except (a) the Partnership and/or the General Partner may have liability as provided in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(subject to the limitations on liability set forth therein), (b) nothing shall relieve any party from any liability or damages to another party for failure to consummate the Transactions when required pursuant to this Agreement; and (c) in the event of a party’s Willful Breach of this Agreement, the non-breaching party shall be entitled to pursue any and all legally available remedies, including equitable relief, and to seek recovery of all losses, liabilities, damages, costs and expenses of every kind and nature (including reasonable attorneys’ fees).</w:t>
      </w:r>
    </w:p>
    <w:p>
      <w:pPr>
        <w:spacing w:after="0" w:line="215"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7.03</w:t>
      </w:r>
      <w:r>
        <w:rPr>
          <w:sz w:val="20"/>
          <w:szCs w:val="20"/>
          <w:color w:val="auto"/>
        </w:rPr>
        <w:tab/>
      </w:r>
      <w:r>
        <w:rPr>
          <w:rFonts w:ascii="Times New Roman" w:cs="Times New Roman" w:eastAsia="Times New Roman" w:hAnsi="Times New Roman"/>
          <w:sz w:val="21"/>
          <w:szCs w:val="21"/>
          <w:u w:val="single" w:color="auto"/>
          <w:color w:val="auto"/>
        </w:rPr>
        <w:t>Termination Fee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firstLine="644"/>
        <w:spacing w:after="0" w:line="282" w:lineRule="auto"/>
        <w:tabs>
          <w:tab w:leader="none" w:pos="207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Partnership shall pay to Parent the Termination Fee (less any Parent Expenses previously reimbursed to Parent pursuant to </w:t>
      </w:r>
      <w:r>
        <w:rPr>
          <w:rFonts w:ascii="Times New Roman" w:cs="Times New Roman" w:eastAsia="Times New Roman" w:hAnsi="Times New Roman"/>
          <w:sz w:val="21"/>
          <w:szCs w:val="21"/>
          <w:u w:val="single" w:color="auto"/>
          <w:color w:val="auto"/>
        </w:rPr>
        <w:t>Section 7.03(b)</w:t>
      </w:r>
      <w:r>
        <w:rPr>
          <w:rFonts w:ascii="Times New Roman" w:cs="Times New Roman" w:eastAsia="Times New Roman" w:hAnsi="Times New Roman"/>
          <w:sz w:val="21"/>
          <w:szCs w:val="21"/>
          <w:color w:val="auto"/>
        </w:rPr>
        <w:t>) as promptly as possible (but in any event within 3 Business Days) in the event that:</w:t>
      </w:r>
    </w:p>
    <w:p>
      <w:pPr>
        <w:spacing w:after="0" w:line="161" w:lineRule="exact"/>
        <w:rPr>
          <w:rFonts w:ascii="Times New Roman" w:cs="Times New Roman" w:eastAsia="Times New Roman" w:hAnsi="Times New Roman"/>
          <w:sz w:val="21"/>
          <w:szCs w:val="21"/>
          <w:color w:val="auto"/>
        </w:rPr>
      </w:pPr>
    </w:p>
    <w:p>
      <w:pPr>
        <w:jc w:val="both"/>
        <w:ind w:left="1300" w:firstLine="652"/>
        <w:spacing w:after="0" w:line="235" w:lineRule="auto"/>
        <w:tabs>
          <w:tab w:leader="none" w:pos="2705" w:val="left"/>
        </w:tabs>
        <w:numPr>
          <w:ilvl w:val="1"/>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this Agreement is terminated by Parent or the Partnership pursuant to </w:t>
      </w:r>
      <w:r>
        <w:rPr>
          <w:rFonts w:ascii="Times New Roman" w:cs="Times New Roman" w:eastAsia="Times New Roman" w:hAnsi="Times New Roman"/>
          <w:sz w:val="22"/>
          <w:szCs w:val="22"/>
          <w:u w:val="single" w:color="auto"/>
          <w:color w:val="auto"/>
        </w:rPr>
        <w:t>Section 7.01(b)(i)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7.01(b)(iii)</w:t>
      </w:r>
      <w:r>
        <w:rPr>
          <w:rFonts w:ascii="Times New Roman" w:cs="Times New Roman" w:eastAsia="Times New Roman" w:hAnsi="Times New Roman"/>
          <w:sz w:val="22"/>
          <w:szCs w:val="22"/>
          <w:color w:val="auto"/>
        </w:rPr>
        <w:t xml:space="preserve">, or by Parent pursuant to </w:t>
      </w:r>
      <w:r>
        <w:rPr>
          <w:rFonts w:ascii="Times New Roman" w:cs="Times New Roman" w:eastAsia="Times New Roman" w:hAnsi="Times New Roman"/>
          <w:sz w:val="22"/>
          <w:szCs w:val="22"/>
          <w:u w:val="single" w:color="auto"/>
          <w:color w:val="auto"/>
        </w:rPr>
        <w:t>Section 7.01(c)(i)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a Takeover Proposal shall have been made to the Partnership Board or publicly made, proposed or communicated by a third party after the date of this Agreement and not withdrawn prior to the time this Agreement is terminated and (B) within 12 months of the date this Agreement is terminated, the Partnership consummates or enters into a definitive agreement to consummate any Takeover Proposal or consummates any Takeover Proposal;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solely for purposes of this </w:t>
      </w:r>
      <w:r>
        <w:rPr>
          <w:rFonts w:ascii="Times New Roman" w:cs="Times New Roman" w:eastAsia="Times New Roman" w:hAnsi="Times New Roman"/>
          <w:sz w:val="22"/>
          <w:szCs w:val="22"/>
          <w:u w:val="single" w:color="auto"/>
          <w:color w:val="auto"/>
        </w:rPr>
        <w:t>Section 7.03(a)(i)</w:t>
      </w:r>
      <w:r>
        <w:rPr>
          <w:rFonts w:ascii="Times New Roman" w:cs="Times New Roman" w:eastAsia="Times New Roman" w:hAnsi="Times New Roman"/>
          <w:sz w:val="22"/>
          <w:szCs w:val="22"/>
          <w:color w:val="auto"/>
        </w:rPr>
        <w:t>, all references to 15% in the definition of “Takeover Proposal” shall be deemed to be references to 50%; or</w:t>
      </w:r>
    </w:p>
    <w:p>
      <w:pPr>
        <w:spacing w:after="0" w:line="205" w:lineRule="exact"/>
        <w:rPr>
          <w:rFonts w:ascii="Times New Roman" w:cs="Times New Roman" w:eastAsia="Times New Roman" w:hAnsi="Times New Roman"/>
          <w:sz w:val="22"/>
          <w:szCs w:val="22"/>
          <w:color w:val="010000"/>
        </w:rPr>
      </w:pPr>
    </w:p>
    <w:p>
      <w:pPr>
        <w:jc w:val="both"/>
        <w:ind w:left="1300" w:firstLine="652"/>
        <w:spacing w:after="0" w:line="244" w:lineRule="auto"/>
        <w:tabs>
          <w:tab w:leader="none" w:pos="2719" w:val="left"/>
        </w:tabs>
        <w:numPr>
          <w:ilvl w:val="1"/>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this Agreement is terminated by Parent pursuant to </w:t>
      </w:r>
      <w:r>
        <w:rPr>
          <w:rFonts w:ascii="Times New Roman" w:cs="Times New Roman" w:eastAsia="Times New Roman" w:hAnsi="Times New Roman"/>
          <w:sz w:val="22"/>
          <w:szCs w:val="22"/>
          <w:u w:val="single" w:color="auto"/>
          <w:color w:val="auto"/>
        </w:rPr>
        <w:t>Section 7.01(b)(iv)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7.01(c)(ii)</w:t>
      </w:r>
      <w:r>
        <w:rPr>
          <w:rFonts w:ascii="Times New Roman" w:cs="Times New Roman" w:eastAsia="Times New Roman" w:hAnsi="Times New Roman"/>
          <w:sz w:val="22"/>
          <w:szCs w:val="22"/>
          <w:color w:val="auto"/>
        </w:rPr>
        <w:t xml:space="preserve"> or by the Partnership or Parent pursuant to </w:t>
      </w:r>
      <w:r>
        <w:rPr>
          <w:rFonts w:ascii="Times New Roman" w:cs="Times New Roman" w:eastAsia="Times New Roman" w:hAnsi="Times New Roman"/>
          <w:sz w:val="22"/>
          <w:szCs w:val="22"/>
          <w:u w:val="single" w:color="auto"/>
          <w:color w:val="auto"/>
        </w:rPr>
        <w:t>Section 7.01(b)(i)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7.01(b)(iii)</w:t>
      </w:r>
      <w:r>
        <w:rPr>
          <w:rFonts w:ascii="Times New Roman" w:cs="Times New Roman" w:eastAsia="Times New Roman" w:hAnsi="Times New Roman"/>
          <w:sz w:val="22"/>
          <w:szCs w:val="22"/>
          <w:color w:val="auto"/>
        </w:rPr>
        <w:t xml:space="preserve"> if Parent could have terminated this Agreement pursuant to </w:t>
      </w:r>
      <w:r>
        <w:rPr>
          <w:rFonts w:ascii="Times New Roman" w:cs="Times New Roman" w:eastAsia="Times New Roman" w:hAnsi="Times New Roman"/>
          <w:sz w:val="22"/>
          <w:szCs w:val="22"/>
          <w:u w:val="single" w:color="auto"/>
          <w:color w:val="auto"/>
        </w:rPr>
        <w:t>Section 7.01(b)(iv)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7.01(c)(ii)</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010000"/>
        </w:rPr>
      </w:pPr>
    </w:p>
    <w:p>
      <w:pPr>
        <w:jc w:val="both"/>
        <w:ind w:left="660" w:firstLine="644"/>
        <w:spacing w:after="0" w:line="244" w:lineRule="auto"/>
        <w:tabs>
          <w:tab w:leader="none" w:pos="21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is validly terminated pursuant to </w:t>
      </w:r>
      <w:r>
        <w:rPr>
          <w:rFonts w:ascii="Times New Roman" w:cs="Times New Roman" w:eastAsia="Times New Roman" w:hAnsi="Times New Roman"/>
          <w:sz w:val="22"/>
          <w:szCs w:val="22"/>
          <w:u w:val="single" w:color="auto"/>
          <w:color w:val="auto"/>
        </w:rPr>
        <w:t>Section 7.01(b)(iii)</w:t>
      </w:r>
      <w:r>
        <w:rPr>
          <w:rFonts w:ascii="Times New Roman" w:cs="Times New Roman" w:eastAsia="Times New Roman" w:hAnsi="Times New Roman"/>
          <w:sz w:val="22"/>
          <w:szCs w:val="22"/>
          <w:color w:val="auto"/>
        </w:rPr>
        <w:t>, then the Partnership shall pay or cause to be paid the Parent Expenses to Parent or its designee by wire transfer of same-day funds to an account designated by Parent for such payment within two Business Days after such termination.</w:t>
      </w:r>
    </w:p>
    <w:p>
      <w:pPr>
        <w:spacing w:after="0" w:line="200" w:lineRule="exact"/>
        <w:rPr>
          <w:rFonts w:ascii="Times New Roman" w:cs="Times New Roman" w:eastAsia="Times New Roman" w:hAnsi="Times New Roman"/>
          <w:sz w:val="22"/>
          <w:szCs w:val="22"/>
          <w:color w:val="auto"/>
        </w:rPr>
      </w:pPr>
    </w:p>
    <w:p>
      <w:pPr>
        <w:ind w:left="2080" w:hanging="776"/>
        <w:spacing w:after="0"/>
        <w:tabs>
          <w:tab w:leader="none" w:pos="20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w:t>
      </w:r>
      <w:r>
        <w:rPr>
          <w:rFonts w:ascii="Times New Roman" w:cs="Times New Roman" w:eastAsia="Times New Roman" w:hAnsi="Times New Roman"/>
          <w:sz w:val="22"/>
          <w:szCs w:val="22"/>
          <w:u w:val="single" w:color="auto"/>
          <w:color w:val="auto"/>
        </w:rPr>
        <w:t>Termination Fee</w:t>
      </w:r>
      <w:r>
        <w:rPr>
          <w:rFonts w:ascii="Times New Roman" w:cs="Times New Roman" w:eastAsia="Times New Roman" w:hAnsi="Times New Roman"/>
          <w:sz w:val="22"/>
          <w:szCs w:val="22"/>
          <w:color w:val="auto"/>
        </w:rPr>
        <w:t>” shall mean a cash amount equal to $9,424,849.</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209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w:t>
      </w:r>
      <w:r>
        <w:rPr>
          <w:rFonts w:ascii="Times New Roman" w:cs="Times New Roman" w:eastAsia="Times New Roman" w:hAnsi="Times New Roman"/>
          <w:sz w:val="22"/>
          <w:szCs w:val="22"/>
          <w:u w:val="single" w:color="auto"/>
          <w:color w:val="auto"/>
        </w:rPr>
        <w:t>Parent Expenses</w:t>
      </w:r>
      <w:r>
        <w:rPr>
          <w:rFonts w:ascii="Times New Roman" w:cs="Times New Roman" w:eastAsia="Times New Roman" w:hAnsi="Times New Roman"/>
          <w:sz w:val="22"/>
          <w:szCs w:val="22"/>
          <w:color w:val="auto"/>
        </w:rPr>
        <w:t>” shall mean a cash amount equal to the documented out-of-pocket expenses (including all reasonable fees and expenses of legal counsel, accountants, investment bankers, experts or consultants) incurred by Parent, Merger Sub and their respective Affiliates in connection with this Agreement and the Transactions up to a maximum amount of $2,513,293.</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p>
      <w:pPr>
        <w:jc w:val="both"/>
        <w:ind w:left="660" w:firstLine="644"/>
        <w:spacing w:after="0" w:line="233" w:lineRule="auto"/>
        <w:tabs>
          <w:tab w:leader="none" w:pos="220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parties hereto acknowledges and agrees: (A) the agreements contained in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are an integral part of the transactions contemplated by this Agreement, and that, without these agreements, the parties would not enter into this Agreement and (B) that the Termination Fee and the Parent Expenses, as applicable, are not intended to be a penalty, but rather is liquidated damages in and a reasonable amount that will compensate a party hereto in the circumstances in which such payment is due and payable and which do not involve fraud or a Willful Breach,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 If the Partnership fails to pay in a timely manner any amount due pursuant to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then (1) the Partnership shall reimburse Parent for all costs and expenses (including disbursements and reasonable fees of counsel) incurred in the collection of such overdue amount, including in connection with any related actions commenced and (2) the Partnership shall pay to the Parent interest on such amount from and including the date payment of such amount was due to but excluding the date of actual payment at the prime rate set forth in The Wall Street Journal in effect on the date such payment was required to be made plus 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ARTICLE 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37"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No Survival of Representations and Warranties</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and the agreements of the Partnership, Parent and Merger Sub contained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5.12(c)</w:t>
      </w:r>
      <w:r>
        <w:rPr>
          <w:rFonts w:ascii="Times New Roman" w:cs="Times New Roman" w:eastAsia="Times New Roman" w:hAnsi="Times New Roman"/>
          <w:sz w:val="22"/>
          <w:szCs w:val="22"/>
          <w:color w:val="auto"/>
        </w:rPr>
        <w:t xml:space="preserve"> and the indemnification and reimbursement provisions </w:t>
      </w:r>
      <w:r>
        <w:rPr>
          <w:rFonts w:ascii="Times New Roman" w:cs="Times New Roman" w:eastAsia="Times New Roman" w:hAnsi="Times New Roman"/>
          <w:sz w:val="22"/>
          <w:szCs w:val="22"/>
          <w:u w:val="single" w:color="auto"/>
          <w:color w:val="auto"/>
        </w:rPr>
        <w:t>Section 5.17</w:t>
      </w:r>
      <w:r>
        <w:rPr>
          <w:rFonts w:ascii="Times New Roman" w:cs="Times New Roman" w:eastAsia="Times New Roman" w:hAnsi="Times New Roman"/>
          <w:sz w:val="22"/>
          <w:szCs w:val="22"/>
          <w:color w:val="auto"/>
        </w:rPr>
        <w:t xml:space="preserve"> shall survive the Effective Time. No other representations, warranties, covenants or agreements in this Agreement shall survive the Effective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no such termination shall relieve any party from liability for any Willful Breach by such party of any provision of this Agreement or actual fraud by such party (which shall not include constructive fraud or similar claims).</w:t>
      </w:r>
    </w:p>
    <w:p>
      <w:pPr>
        <w:spacing w:after="0" w:line="20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Amendment or Supplement</w:t>
      </w:r>
      <w:r>
        <w:rPr>
          <w:rFonts w:ascii="Times New Roman" w:cs="Times New Roman" w:eastAsia="Times New Roman" w:hAnsi="Times New Roman"/>
          <w:sz w:val="22"/>
          <w:szCs w:val="22"/>
          <w:color w:val="auto"/>
        </w:rPr>
        <w:t xml:space="preserve">. At any time prior to the Effective Time, this Agreement may be amended or supplemented in any and all respects by written agreement of the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 any amendment or supplement to this Agreement shall require the approval of the Conflicts Committee and (b) after receipt of the Partnership Unitholder Approval no amendment shall be made which by Law would require the further approval of the Common Unitholders without first obtaining such further approval;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 amendment to this Agreement shall be made that would adversely affect the rights of the Financing Sources as set forth in this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8.16</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Extension of Time, Waiver, Etc</w:t>
      </w:r>
      <w:r>
        <w:rPr>
          <w:rFonts w:ascii="Times New Roman" w:cs="Times New Roman" w:eastAsia="Times New Roman" w:hAnsi="Times New Roman"/>
          <w:sz w:val="22"/>
          <w:szCs w:val="22"/>
          <w:color w:val="auto"/>
        </w:rPr>
        <w:t>.At any time prior to the Effective Time, Parent and (with the approval of the Conflicts Committee) the Partnership may, subject to applicable Law, (a) waive any inaccuracies in the representations and warranties of the other party, (b) extend the time for the performance of any of the obligations or acts of the other party or (c) subject to the requirements of applicable Law, waive compliance by the other party with any of the agreements contained herein or, except as otherwise provided herein, waive any of such party’s conditions (it being understood that Parent and Merger Sub shall be deemed a single party for purposes of the foregoing). Notwithstanding the foregoing, no failure or delay by the Partnership, the General Partner, Parent or Merger Sub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Neither this Agreement nor any of the rights, interests or obligations hereunder shall be assigned, in whole or in part, by operation of Law or otherwise, by any of the parties hereto without the prior written consent of the other parties hereto. No assignment by any party shall relieve such party of any of its obligations hereunder. Subject to the immediately preceding 2 sentences, this Agreement shall be binding upon, inure to the benefit of, and be enforceable by, the parties hereto and their respective successors and permitted assigns. Any purported assignment not permitted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8.04</w:t>
      </w:r>
      <w:r>
        <w:rPr>
          <w:rFonts w:ascii="Times New Roman" w:cs="Times New Roman" w:eastAsia="Times New Roman" w:hAnsi="Times New Roman"/>
          <w:sz w:val="22"/>
          <w:szCs w:val="22"/>
          <w:color w:val="auto"/>
        </w:rPr>
        <w:t xml:space="preserve"> shall be null and void.</w:t>
      </w:r>
    </w:p>
    <w:p>
      <w:pPr>
        <w:spacing w:after="0" w:line="20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(including by facsimile or electronic mail),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20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Entire Agreement; No Third-Party Beneficiaries</w:t>
      </w:r>
      <w:r>
        <w:rPr>
          <w:rFonts w:ascii="Times New Roman" w:cs="Times New Roman" w:eastAsia="Times New Roman" w:hAnsi="Times New Roman"/>
          <w:sz w:val="22"/>
          <w:szCs w:val="22"/>
          <w:color w:val="auto"/>
        </w:rPr>
        <w:t xml:space="preserve">. This Agreement, together with the exhibits and schedules attached hereto, the Partnership Disclosure Schedule, the Parent Disclosure Schedule and the Confidentiality Agreement, (a) constitute the entire agreement, and supersede all other prior agreements and understandings, both written and oral, among the parties hereto and their Affiliates, or any of them, with respect to the subject matter hereof and thereof and (b) other than the Indemnitees as set forth in </w:t>
      </w:r>
      <w:r>
        <w:rPr>
          <w:rFonts w:ascii="Times New Roman" w:cs="Times New Roman" w:eastAsia="Times New Roman" w:hAnsi="Times New Roman"/>
          <w:sz w:val="22"/>
          <w:szCs w:val="22"/>
          <w:u w:val="single" w:color="auto"/>
          <w:color w:val="auto"/>
        </w:rPr>
        <w:t>Section 5.09</w:t>
      </w:r>
      <w:r>
        <w:rPr>
          <w:rFonts w:ascii="Times New Roman" w:cs="Times New Roman" w:eastAsia="Times New Roman" w:hAnsi="Times New Roman"/>
          <w:sz w:val="22"/>
          <w:szCs w:val="22"/>
          <w:color w:val="auto"/>
        </w:rPr>
        <w:t xml:space="preserve">, are not intended to and shall not confer upon any Person other than the parties hereto any rights or remedies hereunder, except for, if the Effective Time occurs, the right of the Common Unitholders to receive the Common Unit Consideration payable in accordance with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of this Agreement. The representations and warranties in this Agreement are the product of negotiations among the parties hereto. Any inaccuracies in such representations and warranties are subject to waiver by the parties hereto in accordance with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without notice or liability to any other Person. Persons other than the parties hereto may not rely upon the representations and warranties in this Agreement as characterizations of actual facts or circumstances as of the date of this Agreement or as of any other date. Notwithstanding the foregoing, the Financing Sources shall be third-party beneficiaries with respect to this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8.16</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8.07</w:t>
      </w:r>
      <w:r>
        <w:rPr>
          <w:sz w:val="20"/>
          <w:szCs w:val="20"/>
          <w:color w:val="auto"/>
        </w:rPr>
        <w:tab/>
      </w:r>
      <w:r>
        <w:rPr>
          <w:rFonts w:ascii="Times New Roman" w:cs="Times New Roman" w:eastAsia="Times New Roman" w:hAnsi="Times New Roman"/>
          <w:sz w:val="21"/>
          <w:szCs w:val="21"/>
          <w:u w:val="single" w:color="auto"/>
          <w:color w:val="auto"/>
        </w:rPr>
        <w:t>Governing Law; Jurisdiction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firstLine="644"/>
        <w:spacing w:after="0" w:line="235" w:lineRule="auto"/>
        <w:tabs>
          <w:tab w:leader="none" w:pos="217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all claims or causes of action (whether in tort, contract or otherwise) that may be based upon, arise out of or relate to this Agreement shall be governed by, and construed in accordance with, the Laws of the State of Delaware applicable to contracts executed in and to be performed entirely in that state, regardless of the Laws that might otherwise govern under any applicable conflict of laws principles, except that to the extent any claims or provisions of this Agreement relate to statutory duties, obligations and/or statutory provisions of, or arise under, the Laws of the Marshall Islands (including those applicable to the Merger), such claims and provisions shall be governed by and in accordance with the Laws of the Marshall Islands.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p>
      <w:pPr>
        <w:jc w:val="both"/>
        <w:ind w:left="660" w:firstLine="644"/>
        <w:spacing w:after="0" w:line="244" w:lineRule="auto"/>
        <w:tabs>
          <w:tab w:leader="none" w:pos="223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actions and Proceedings arising out of or relating to the interpretation and enforcement of the provisions of this Agreement and in respect of the transactions contemplated by this Agreement (except to the extent any such Proceeding mandatorily must be brought in the Marshall Islands) shall be heard and determined in the courts of the State of Delaware or the federal courts of the United States of America located in the State of Delaware (together, the “</w:t>
      </w:r>
      <w:r>
        <w:rPr>
          <w:rFonts w:ascii="Times New Roman" w:cs="Times New Roman" w:eastAsia="Times New Roman" w:hAnsi="Times New Roman"/>
          <w:sz w:val="21"/>
          <w:szCs w:val="21"/>
          <w:u w:val="single" w:color="auto"/>
          <w:color w:val="auto"/>
        </w:rPr>
        <w:t>Chosen Courts</w:t>
      </w:r>
      <w:r>
        <w:rPr>
          <w:rFonts w:ascii="Times New Roman" w:cs="Times New Roman" w:eastAsia="Times New Roman" w:hAnsi="Times New Roman"/>
          <w:sz w:val="21"/>
          <w:szCs w:val="21"/>
          <w:color w:val="auto"/>
        </w:rPr>
        <w:t xml:space="preserve">”) and the parties hereto hereby irrevocably submit to the exclusive jurisdiction and venue of such courts in any such action or Proceeding and irrevocably waive the defense of an inconvenient forum or lack of jurisdiction to the maintenance of any such action or Proceeding. The consents to jurisdiction and venue set forth in this </w:t>
      </w:r>
      <w:r>
        <w:rPr>
          <w:rFonts w:ascii="Times New Roman" w:cs="Times New Roman" w:eastAsia="Times New Roman" w:hAnsi="Times New Roman"/>
          <w:sz w:val="21"/>
          <w:szCs w:val="21"/>
          <w:u w:val="single" w:color="auto"/>
          <w:color w:val="auto"/>
        </w:rPr>
        <w:t>Section 8.07(b)</w:t>
      </w:r>
      <w:r>
        <w:rPr>
          <w:rFonts w:ascii="Times New Roman" w:cs="Times New Roman" w:eastAsia="Times New Roman" w:hAnsi="Times New Roman"/>
          <w:sz w:val="21"/>
          <w:szCs w:val="21"/>
          <w:color w:val="auto"/>
        </w:rPr>
        <w:t xml:space="preserve"> shall not constitute general consents to service of process in the State of Delaware and shall have no effect for any purpose except as provided in this paragraph and shall not be deemed to confer rights on any Person other than the parties hereto. Each party hereto agrees that service of process upon such party in any action or Proceeding arising out of or relating to this Agreement shall be effective if notice is given by overnight courier at the address set forth in </w:t>
      </w:r>
      <w:r>
        <w:rPr>
          <w:rFonts w:ascii="Times New Roman" w:cs="Times New Roman" w:eastAsia="Times New Roman" w:hAnsi="Times New Roman"/>
          <w:sz w:val="21"/>
          <w:szCs w:val="21"/>
          <w:u w:val="single" w:color="auto"/>
          <w:color w:val="auto"/>
        </w:rPr>
        <w:t>Section 8.11</w:t>
      </w:r>
      <w:r>
        <w:rPr>
          <w:rFonts w:ascii="Times New Roman" w:cs="Times New Roman" w:eastAsia="Times New Roman" w:hAnsi="Times New Roman"/>
          <w:sz w:val="21"/>
          <w:szCs w:val="21"/>
          <w:color w:val="auto"/>
        </w:rPr>
        <w:t xml:space="preserve"> of this Agreement, in each case to the fullest extent permitted by applicable Law. The parties hereto agree that a final judgment in any such action or Proceeding shall be conclusive and may be enforced in other jurisdictions by suit on the judgment or in any other manner provided by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nothing in the foregoing shall restrict any party’s rights to seek any post-judgment relief regarding, or any appeal from, a final trial court judgment.</w:t>
      </w:r>
    </w:p>
    <w:p>
      <w:pPr>
        <w:spacing w:after="0" w:line="205" w:lineRule="exact"/>
        <w:rPr>
          <w:rFonts w:ascii="Times New Roman" w:cs="Times New Roman" w:eastAsia="Times New Roman" w:hAnsi="Times New Roman"/>
          <w:sz w:val="21"/>
          <w:szCs w:val="21"/>
          <w:color w:val="auto"/>
        </w:rPr>
      </w:pPr>
    </w:p>
    <w:p>
      <w:pPr>
        <w:jc w:val="both"/>
        <w:ind w:left="660" w:firstLine="644"/>
        <w:spacing w:after="0" w:line="235" w:lineRule="auto"/>
        <w:tabs>
          <w:tab w:leader="none" w:pos="211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in clauses (a) and (b) above, each of the parties agree that it will not bring or support any suit, action or proceeding of any kind or description, whether at law or in equity, whether in contract or in tort or otherwise, against any of the Financing Sources in any way relating to this Agreement or any of the transactions contemplated hereby, including any dispute arising out of or relating in any way to the Financing or the performance of the transactions related thereto, in any forum other than any New York State or, to the fullest extent permitted under applicable law, federal court sitting in the Borough of Manhattan in The City of New York (and appellate courts thereof), and makes the agreements, waivers and consents set forth in clauses (a) and (b)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but with respect to the courts specified in this clause (c).</w:t>
      </w:r>
    </w:p>
    <w:p>
      <w:pPr>
        <w:spacing w:after="0" w:line="20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8.08 </w:t>
      </w:r>
      <w:r>
        <w:rPr>
          <w:rFonts w:ascii="Times New Roman" w:cs="Times New Roman" w:eastAsia="Times New Roman" w:hAnsi="Times New Roman"/>
          <w:sz w:val="22"/>
          <w:szCs w:val="22"/>
          <w:u w:val="single" w:color="auto"/>
          <w:color w:val="auto"/>
        </w:rPr>
        <w:t>Specific Enforcement</w:t>
      </w:r>
      <w:r>
        <w:rPr>
          <w:rFonts w:ascii="Times New Roman" w:cs="Times New Roman" w:eastAsia="Times New Roman" w:hAnsi="Times New Roman"/>
          <w:sz w:val="22"/>
          <w:szCs w:val="22"/>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this Agreement, subject to the terms and conditions of this Agreement. The parties acknowledge and agree that (a) the parties shall be entitled to an injunction or injunctions, specific performance or other equitable relief to prevent breaches of this Agreement and to enforce specifically the terms and provisions hereof (including, for the avoidance of doubt, the right of the Partnership or Parent to cause the Merger to be consummated on the terms and subject to the conditions set forth in this Agreement) in the Chosen Courts, this being in addition to any other remedy to which they are entitled under this Agreement and (b) the right of specific enforcement is an integral part of the Transactions and without that right, neither the Partnership nor Parent would have entered into this Agreement. The parties hereto agree not to assert that a remedy of specific enforcement is unenforceable, invalid, contrary to Law or inequitable for any reason, and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22"/>
          <w:szCs w:val="22"/>
          <w:u w:val="single" w:color="auto"/>
          <w:color w:val="auto"/>
        </w:rPr>
        <w:t>Section 8.08</w:t>
      </w:r>
      <w:r>
        <w:rPr>
          <w:rFonts w:ascii="Times New Roman" w:cs="Times New Roman" w:eastAsia="Times New Roman" w:hAnsi="Times New Roman"/>
          <w:sz w:val="22"/>
          <w:szCs w:val="22"/>
          <w:color w:val="auto"/>
        </w:rPr>
        <w:t xml:space="preserve"> shall not be required to provide any bond or other security in connection with any such order or injunction.</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8.09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xml:space="preserve">.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INCLUDING WITH RESPECT TO ANY PROCEEDING OR COUNTERCLAIM THAT INVOLVES THE FINANCING SOURCES.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8.10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Except as otherwise provided in this Agreement, any and all remedies expressly conferred upon a party to this Agreement shall be cumulative with, and not exclusive of, any other remedy contained in this Agreement, at law or in equity. The exercise by a party to this Agreement of any one remedy shall not preclude the exercise by it of any other remedy.</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8.11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and other communications to any party hereunder shall be in writing and shall be deemed given if delivered personally, facsimiled (which is confirmed by email), emailed (which is confirmed by facsimile) or sent by overnight courier (providing proof of delivery) to the parties at the following addresses:</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Parent, GP Buyer or Merger Sub, to it at:</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111 W. 19th Street, 8th Floor</w:t>
      </w:r>
    </w:p>
    <w:p>
      <w:pPr>
        <w:ind w:left="1960"/>
        <w:spacing w:after="0"/>
        <w:rPr>
          <w:sz w:val="20"/>
          <w:szCs w:val="20"/>
          <w:color w:val="auto"/>
        </w:rPr>
      </w:pPr>
      <w:r>
        <w:rPr>
          <w:rFonts w:ascii="Times New Roman" w:cs="Times New Roman" w:eastAsia="Times New Roman" w:hAnsi="Times New Roman"/>
          <w:sz w:val="22"/>
          <w:szCs w:val="22"/>
          <w:color w:val="auto"/>
        </w:rPr>
        <w:t>New York, New York 10011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20" w:type="dxa"/>
            <w:vAlign w:val="bottom"/>
          </w:tcPr>
          <w:p>
            <w:pPr>
              <w:ind w:left="1960"/>
              <w:spacing w:after="0"/>
              <w:rPr>
                <w:sz w:val="20"/>
                <w:szCs w:val="20"/>
                <w:color w:val="auto"/>
              </w:rPr>
            </w:pPr>
            <w:r>
              <w:rPr>
                <w:rFonts w:ascii="Times New Roman" w:cs="Times New Roman" w:eastAsia="Times New Roman" w:hAnsi="Times New Roman"/>
                <w:sz w:val="22"/>
                <w:szCs w:val="22"/>
                <w:color w:val="auto"/>
              </w:rPr>
              <w:t>Attn:</w:t>
            </w:r>
          </w:p>
        </w:tc>
        <w:tc>
          <w:tcPr>
            <w:tcW w:w="8220" w:type="dxa"/>
            <w:vAlign w:val="bottom"/>
          </w:tcPr>
          <w:p>
            <w:pPr>
              <w:jc w:val="right"/>
              <w:ind w:right="5424"/>
              <w:spacing w:after="0"/>
              <w:rPr>
                <w:sz w:val="20"/>
                <w:szCs w:val="20"/>
                <w:color w:val="auto"/>
              </w:rPr>
            </w:pPr>
            <w:r>
              <w:rPr>
                <w:rFonts w:ascii="Times New Roman" w:cs="Times New Roman" w:eastAsia="Times New Roman" w:hAnsi="Times New Roman"/>
                <w:sz w:val="22"/>
                <w:szCs w:val="22"/>
                <w:color w:val="auto"/>
              </w:rPr>
              <w:t>Cameron D. MacDougall</w:t>
            </w:r>
          </w:p>
        </w:tc>
      </w:tr>
      <w:tr>
        <w:trPr>
          <w:trHeight w:val="282"/>
        </w:trPr>
        <w:tc>
          <w:tcPr>
            <w:tcW w:w="3020" w:type="dxa"/>
            <w:vAlign w:val="bottom"/>
          </w:tcPr>
          <w:p>
            <w:pPr>
              <w:ind w:left="1960"/>
              <w:spacing w:after="0"/>
              <w:rPr>
                <w:sz w:val="20"/>
                <w:szCs w:val="20"/>
                <w:color w:val="auto"/>
              </w:rPr>
            </w:pPr>
            <w:r>
              <w:rPr>
                <w:rFonts w:ascii="Times New Roman" w:cs="Times New Roman" w:eastAsia="Times New Roman" w:hAnsi="Times New Roman"/>
                <w:sz w:val="22"/>
                <w:szCs w:val="22"/>
                <w:color w:val="auto"/>
              </w:rPr>
              <w:t>Email:</w:t>
            </w:r>
          </w:p>
        </w:tc>
        <w:tc>
          <w:tcPr>
            <w:tcW w:w="8220" w:type="dxa"/>
            <w:vAlign w:val="bottom"/>
          </w:tcPr>
          <w:p>
            <w:pPr>
              <w:jc w:val="right"/>
              <w:ind w:right="5264"/>
              <w:spacing w:after="0"/>
              <w:rPr>
                <w:sz w:val="20"/>
                <w:szCs w:val="20"/>
                <w:color w:val="auto"/>
              </w:rPr>
            </w:pPr>
            <w:r>
              <w:rPr>
                <w:rFonts w:ascii="Times New Roman" w:cs="Times New Roman" w:eastAsia="Times New Roman" w:hAnsi="Times New Roman"/>
                <w:sz w:val="22"/>
                <w:szCs w:val="22"/>
                <w:color w:val="auto"/>
              </w:rPr>
              <w:t>cmacdougall@fortress.com</w:t>
            </w:r>
          </w:p>
        </w:tc>
      </w:tr>
      <w:tr>
        <w:trPr>
          <w:trHeight w:val="572"/>
        </w:trPr>
        <w:tc>
          <w:tcPr>
            <w:tcW w:w="3020" w:type="dxa"/>
            <w:vAlign w:val="bottom"/>
          </w:tcPr>
          <w:p>
            <w:pPr>
              <w:spacing w:after="0"/>
              <w:rPr>
                <w:sz w:val="24"/>
                <w:szCs w:val="24"/>
                <w:color w:val="auto"/>
              </w:rPr>
            </w:pPr>
          </w:p>
        </w:tc>
        <w:tc>
          <w:tcPr>
            <w:tcW w:w="8220" w:type="dxa"/>
            <w:vAlign w:val="bottom"/>
          </w:tcPr>
          <w:p>
            <w:pPr>
              <w:jc w:val="right"/>
              <w:ind w:right="5444"/>
              <w:spacing w:after="0"/>
              <w:rPr>
                <w:sz w:val="20"/>
                <w:szCs w:val="20"/>
                <w:color w:val="auto"/>
              </w:rPr>
            </w:pPr>
            <w:r>
              <w:rPr>
                <w:rFonts w:ascii="Times New Roman" w:cs="Times New Roman" w:eastAsia="Times New Roman" w:hAnsi="Times New Roman"/>
                <w:sz w:val="14"/>
                <w:szCs w:val="14"/>
                <w:color w:val="auto"/>
              </w:rPr>
              <w:t>58</w:t>
            </w:r>
          </w:p>
        </w:tc>
      </w:tr>
      <w:tr>
        <w:trPr>
          <w:trHeight w:val="44"/>
        </w:trPr>
        <w:tc>
          <w:tcPr>
            <w:tcW w:w="3020" w:type="dxa"/>
            <w:vAlign w:val="bottom"/>
            <w:tcBorders>
              <w:bottom w:val="single" w:sz="8" w:color="auto"/>
            </w:tcBorders>
          </w:tcPr>
          <w:p>
            <w:pPr>
              <w:spacing w:after="0"/>
              <w:rPr>
                <w:sz w:val="3"/>
                <w:szCs w:val="3"/>
                <w:color w:val="auto"/>
              </w:rPr>
            </w:pPr>
          </w:p>
        </w:tc>
        <w:tc>
          <w:tcPr>
            <w:tcW w:w="82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2" w:right="339" w:bottom="1440" w:gutter="0" w:footer="0" w:header="0"/>
        </w:sectPr>
      </w:pPr>
    </w:p>
    <w:bookmarkStart w:id="71" w:name="page72"/>
    <w:bookmarkEnd w:id="71"/>
    <w:p>
      <w:pPr>
        <w:ind w:left="13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Skadden, Arps, Slate, Meagher &amp; Flom LLP</w:t>
      </w:r>
    </w:p>
    <w:p>
      <w:pPr>
        <w:spacing w:after="0" w:line="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One Manhattan West</w:t>
      </w:r>
    </w:p>
    <w:p>
      <w:pPr>
        <w:ind w:left="1960"/>
        <w:spacing w:after="0"/>
        <w:rPr>
          <w:sz w:val="20"/>
          <w:szCs w:val="20"/>
          <w:color w:val="auto"/>
        </w:rPr>
      </w:pPr>
      <w:r>
        <w:rPr>
          <w:rFonts w:ascii="Times New Roman" w:cs="Times New Roman" w:eastAsia="Times New Roman" w:hAnsi="Times New Roman"/>
          <w:sz w:val="22"/>
          <w:szCs w:val="22"/>
          <w:color w:val="auto"/>
        </w:rPr>
        <w:t>New York, New York 10001</w:t>
      </w:r>
    </w:p>
    <w:p>
      <w:pPr>
        <w:sectPr>
          <w:pgSz w:w="11900" w:h="16838" w:orient="portrait"/>
          <w:cols w:equalWidth="0" w:num="1">
            <w:col w:w="11240"/>
          </w:cols>
          <w:pgMar w:left="320" w:top="112" w:right="339" w:bottom="1440" w:gutter="0" w:footer="0" w:header="0"/>
        </w:sectPr>
      </w:pPr>
    </w:p>
    <w:p>
      <w:pPr>
        <w:spacing w:after="0" w:line="20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w:t>
      </w:r>
    </w:p>
    <w:p>
      <w:pPr>
        <w:spacing w:after="0" w:line="1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Facsimile:</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Joseph A. Coco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212-735-2000</w:t>
      </w:r>
    </w:p>
    <w:p>
      <w:pPr>
        <w:ind w:left="60"/>
        <w:spacing w:after="0"/>
        <w:rPr>
          <w:sz w:val="20"/>
          <w:szCs w:val="20"/>
          <w:color w:val="auto"/>
        </w:rPr>
      </w:pPr>
      <w:r>
        <w:rPr>
          <w:rFonts w:ascii="Times New Roman" w:cs="Times New Roman" w:eastAsia="Times New Roman" w:hAnsi="Times New Roman"/>
          <w:sz w:val="21"/>
          <w:szCs w:val="21"/>
          <w:color w:val="auto"/>
        </w:rPr>
        <w:t>joseph.coco@skadden.com</w:t>
      </w:r>
    </w:p>
    <w:p>
      <w:pPr>
        <w:spacing w:after="0" w:line="211" w:lineRule="exact"/>
        <w:rPr>
          <w:sz w:val="20"/>
          <w:szCs w:val="20"/>
          <w:color w:val="auto"/>
        </w:rPr>
      </w:pPr>
    </w:p>
    <w:p>
      <w:pPr>
        <w:sectPr>
          <w:pgSz w:w="11900" w:h="16838" w:orient="portrait"/>
          <w:cols w:equalWidth="0" w:num="2">
            <w:col w:w="2860" w:space="640"/>
            <w:col w:w="7740"/>
          </w:cols>
          <w:pgMar w:left="320" w:top="112" w:right="339" w:bottom="1440" w:gutter="0" w:footer="0" w:header="0"/>
          <w:type w:val="continuous"/>
        </w:sectPr>
      </w:pP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w:t>
      </w:r>
    </w:p>
    <w:p>
      <w:pPr>
        <w:spacing w:after="0" w:line="1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Facsimile:</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22"/>
          <w:szCs w:val="22"/>
          <w:color w:val="auto"/>
        </w:rPr>
        <w:t>Thomas W. Greenberg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212-735-2000</w:t>
      </w:r>
    </w:p>
    <w:p>
      <w:pPr>
        <w:spacing w:after="0"/>
        <w:rPr>
          <w:sz w:val="20"/>
          <w:szCs w:val="20"/>
          <w:color w:val="auto"/>
        </w:rPr>
      </w:pPr>
      <w:r>
        <w:rPr>
          <w:rFonts w:ascii="Times New Roman" w:cs="Times New Roman" w:eastAsia="Times New Roman" w:hAnsi="Times New Roman"/>
          <w:sz w:val="21"/>
          <w:szCs w:val="21"/>
          <w:color w:val="auto"/>
        </w:rPr>
        <w:t>thomas.greenberg@skadden.com</w:t>
      </w:r>
    </w:p>
    <w:p>
      <w:pPr>
        <w:spacing w:after="0" w:line="211" w:lineRule="exact"/>
        <w:rPr>
          <w:sz w:val="20"/>
          <w:szCs w:val="20"/>
          <w:color w:val="auto"/>
        </w:rPr>
      </w:pPr>
    </w:p>
    <w:p>
      <w:pPr>
        <w:sectPr>
          <w:pgSz w:w="11900" w:h="16838" w:orient="portrait"/>
          <w:cols w:equalWidth="0" w:num="2">
            <w:col w:w="2860" w:space="640"/>
            <w:col w:w="7740"/>
          </w:cols>
          <w:pgMar w:left="320" w:top="112" w:right="339" w:bottom="1440" w:gutter="0" w:footer="0" w:header="0"/>
          <w:type w:val="continuous"/>
        </w:sectPr>
      </w:pP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Skadden, Arps, Slate, Meagher &amp; Flom LLP</w:t>
      </w:r>
    </w:p>
    <w:p>
      <w:pPr>
        <w:spacing w:after="0" w:line="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1000 Louisiana St, Suite 6800</w:t>
      </w:r>
    </w:p>
    <w:p>
      <w:pPr>
        <w:ind w:left="1960"/>
        <w:spacing w:after="0"/>
        <w:rPr>
          <w:sz w:val="20"/>
          <w:szCs w:val="20"/>
          <w:color w:val="auto"/>
        </w:rPr>
      </w:pPr>
      <w:r>
        <w:rPr>
          <w:rFonts w:ascii="Times New Roman" w:cs="Times New Roman" w:eastAsia="Times New Roman" w:hAnsi="Times New Roman"/>
          <w:sz w:val="22"/>
          <w:szCs w:val="22"/>
          <w:color w:val="auto"/>
        </w:rPr>
        <w:t>Houston, TX 77002</w:t>
      </w:r>
    </w:p>
    <w:p>
      <w:pPr>
        <w:sectPr>
          <w:pgSz w:w="11900" w:h="16838" w:orient="portrait"/>
          <w:cols w:equalWidth="0" w:num="1">
            <w:col w:w="11240"/>
          </w:cols>
          <w:pgMar w:left="320" w:top="112" w:right="339" w:bottom="1440" w:gutter="0" w:footer="0" w:header="0"/>
          <w:type w:val="continuous"/>
        </w:sectPr>
      </w:pPr>
    </w:p>
    <w:p>
      <w:pPr>
        <w:spacing w:after="0" w:line="20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w:t>
      </w:r>
    </w:p>
    <w:p>
      <w:pPr>
        <w:spacing w:after="0" w:line="1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Facsimile:</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C. Otness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713-483-9135</w:t>
      </w:r>
    </w:p>
    <w:p>
      <w:pPr>
        <w:spacing w:after="0"/>
        <w:rPr>
          <w:sz w:val="20"/>
          <w:szCs w:val="20"/>
          <w:color w:val="auto"/>
        </w:rPr>
      </w:pPr>
      <w:r>
        <w:rPr>
          <w:rFonts w:ascii="Times New Roman" w:cs="Times New Roman" w:eastAsia="Times New Roman" w:hAnsi="Times New Roman"/>
          <w:sz w:val="21"/>
          <w:szCs w:val="21"/>
          <w:color w:val="auto"/>
        </w:rPr>
        <w:t>eric.otness@skadden.com</w:t>
      </w:r>
    </w:p>
    <w:p>
      <w:pPr>
        <w:spacing w:after="0" w:line="211" w:lineRule="exact"/>
        <w:rPr>
          <w:sz w:val="20"/>
          <w:szCs w:val="20"/>
          <w:color w:val="auto"/>
        </w:rPr>
      </w:pPr>
    </w:p>
    <w:p>
      <w:pPr>
        <w:sectPr>
          <w:pgSz w:w="11900" w:h="16838" w:orient="portrait"/>
          <w:cols w:equalWidth="0" w:num="2">
            <w:col w:w="2860" w:space="640"/>
            <w:col w:w="7740"/>
          </w:cols>
          <w:pgMar w:left="320" w:top="112" w:right="339" w:bottom="1440" w:gutter="0" w:footer="0" w:header="0"/>
          <w:type w:val="continuous"/>
        </w:sectPr>
      </w:pP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Partnership, to:</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Golar LNG Partners LP</w:t>
      </w:r>
    </w:p>
    <w:p>
      <w:pPr>
        <w:ind w:left="1960"/>
        <w:spacing w:after="0" w:line="180" w:lineRule="auto"/>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20"/>
          <w:szCs w:val="20"/>
          <w:color w:val="auto"/>
        </w:rPr>
        <w:t xml:space="preserve"> Floor, The Zig Zag</w:t>
      </w:r>
    </w:p>
    <w:p>
      <w:pPr>
        <w:ind w:left="1960"/>
        <w:spacing w:after="0" w:line="231" w:lineRule="auto"/>
        <w:rPr>
          <w:sz w:val="20"/>
          <w:szCs w:val="20"/>
          <w:color w:val="auto"/>
        </w:rPr>
      </w:pPr>
      <w:r>
        <w:rPr>
          <w:rFonts w:ascii="Times New Roman" w:cs="Times New Roman" w:eastAsia="Times New Roman" w:hAnsi="Times New Roman"/>
          <w:sz w:val="22"/>
          <w:szCs w:val="22"/>
          <w:color w:val="auto"/>
        </w:rPr>
        <w:t>70 Victoria Street</w:t>
      </w:r>
    </w:p>
    <w:p>
      <w:pPr>
        <w:ind w:left="1960"/>
        <w:spacing w:after="0" w:line="231" w:lineRule="auto"/>
        <w:rPr>
          <w:sz w:val="20"/>
          <w:szCs w:val="20"/>
          <w:color w:val="auto"/>
        </w:rPr>
      </w:pPr>
      <w:r>
        <w:rPr>
          <w:rFonts w:ascii="Times New Roman" w:cs="Times New Roman" w:eastAsia="Times New Roman" w:hAnsi="Times New Roman"/>
          <w:sz w:val="22"/>
          <w:szCs w:val="22"/>
          <w:color w:val="auto"/>
        </w:rPr>
        <w:t>London SW1E 65Q</w:t>
      </w:r>
    </w:p>
    <w:p>
      <w:pPr>
        <w:ind w:left="196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38" w:orient="portrait"/>
          <w:cols w:equalWidth="0" w:num="1">
            <w:col w:w="11240"/>
          </w:cols>
          <w:pgMar w:left="320" w:top="112" w:right="339" w:bottom="1440" w:gutter="0" w:footer="0" w:header="0"/>
          <w:type w:val="continuous"/>
        </w:sectPr>
      </w:pPr>
    </w:p>
    <w:p>
      <w:pPr>
        <w:spacing w:after="0" w:line="20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Attention:</w:t>
      </w:r>
    </w:p>
    <w:p>
      <w:pPr>
        <w:spacing w:after="0" w:line="2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Karl Staubo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karl.staubo@golar.com</w:t>
      </w:r>
    </w:p>
    <w:p>
      <w:pPr>
        <w:spacing w:after="0" w:line="211" w:lineRule="exact"/>
        <w:rPr>
          <w:sz w:val="20"/>
          <w:szCs w:val="20"/>
          <w:color w:val="auto"/>
        </w:rPr>
      </w:pPr>
    </w:p>
    <w:p>
      <w:pPr>
        <w:sectPr>
          <w:pgSz w:w="11900" w:h="16838" w:orient="portrait"/>
          <w:cols w:equalWidth="0" w:num="2">
            <w:col w:w="2820" w:space="680"/>
            <w:col w:w="7740"/>
          </w:cols>
          <w:pgMar w:left="320" w:top="112" w:right="339" w:bottom="1440" w:gutter="0" w:footer="0" w:header="0"/>
          <w:type w:val="continuous"/>
        </w:sectPr>
      </w:pP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Akin Gump Strauss Hauer &amp; Feld LLP</w:t>
      </w:r>
    </w:p>
    <w:p>
      <w:pPr>
        <w:ind w:left="1960"/>
        <w:spacing w:after="0" w:line="184" w:lineRule="auto"/>
        <w:rPr>
          <w:sz w:val="20"/>
          <w:szCs w:val="20"/>
          <w:color w:val="auto"/>
        </w:rPr>
      </w:pPr>
      <w:r>
        <w:rPr>
          <w:rFonts w:ascii="Times New Roman" w:cs="Times New Roman" w:eastAsia="Times New Roman" w:hAnsi="Times New Roman"/>
          <w:sz w:val="19"/>
          <w:szCs w:val="19"/>
          <w:color w:val="auto"/>
        </w:rPr>
        <w:t>1111 Louisiana Street, 44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9"/>
          <w:szCs w:val="19"/>
          <w:color w:val="auto"/>
        </w:rPr>
        <w:t xml:space="preserve">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Houston, Texas 77002-5200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80" w:type="dxa"/>
            <w:vAlign w:val="bottom"/>
          </w:tcPr>
          <w:p>
            <w:pPr>
              <w:ind w:left="1960"/>
              <w:spacing w:after="0"/>
              <w:rPr>
                <w:sz w:val="20"/>
                <w:szCs w:val="20"/>
                <w:color w:val="auto"/>
              </w:rPr>
            </w:pPr>
            <w:r>
              <w:rPr>
                <w:rFonts w:ascii="Times New Roman" w:cs="Times New Roman" w:eastAsia="Times New Roman" w:hAnsi="Times New Roman"/>
                <w:sz w:val="22"/>
                <w:szCs w:val="22"/>
                <w:color w:val="auto"/>
              </w:rPr>
              <w:t>Attention:</w:t>
            </w:r>
          </w:p>
        </w:tc>
        <w:tc>
          <w:tcPr>
            <w:tcW w:w="80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John Goodgame, Lisa Hearn</w:t>
            </w:r>
          </w:p>
        </w:tc>
      </w:tr>
      <w:tr>
        <w:trPr>
          <w:trHeight w:val="243"/>
        </w:trPr>
        <w:tc>
          <w:tcPr>
            <w:tcW w:w="3180" w:type="dxa"/>
            <w:vAlign w:val="bottom"/>
          </w:tcPr>
          <w:p>
            <w:pPr>
              <w:ind w:left="1960"/>
              <w:spacing w:after="0" w:line="243" w:lineRule="exact"/>
              <w:rPr>
                <w:sz w:val="20"/>
                <w:szCs w:val="20"/>
                <w:color w:val="auto"/>
              </w:rPr>
            </w:pPr>
            <w:r>
              <w:rPr>
                <w:rFonts w:ascii="Times New Roman" w:cs="Times New Roman" w:eastAsia="Times New Roman" w:hAnsi="Times New Roman"/>
                <w:sz w:val="22"/>
                <w:szCs w:val="22"/>
                <w:color w:val="auto"/>
              </w:rPr>
              <w:t>Facsimile:</w:t>
            </w:r>
          </w:p>
        </w:tc>
        <w:tc>
          <w:tcPr>
            <w:tcW w:w="80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713-236-0822</w:t>
            </w:r>
          </w:p>
        </w:tc>
      </w:tr>
      <w:tr>
        <w:trPr>
          <w:trHeight w:val="282"/>
        </w:trPr>
        <w:tc>
          <w:tcPr>
            <w:tcW w:w="3180" w:type="dxa"/>
            <w:vAlign w:val="bottom"/>
          </w:tcPr>
          <w:p>
            <w:pPr>
              <w:ind w:left="1960"/>
              <w:spacing w:after="0"/>
              <w:rPr>
                <w:sz w:val="20"/>
                <w:szCs w:val="20"/>
                <w:color w:val="auto"/>
              </w:rPr>
            </w:pPr>
            <w:r>
              <w:rPr>
                <w:rFonts w:ascii="Times New Roman" w:cs="Times New Roman" w:eastAsia="Times New Roman" w:hAnsi="Times New Roman"/>
                <w:sz w:val="22"/>
                <w:szCs w:val="22"/>
                <w:color w:val="auto"/>
              </w:rPr>
              <w:t>Email:</w:t>
            </w:r>
          </w:p>
        </w:tc>
        <w:tc>
          <w:tcPr>
            <w:tcW w:w="80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jgoodgame@akingump.com; lhearn@akingump.com</w:t>
            </w:r>
          </w:p>
        </w:tc>
      </w:tr>
      <w:tr>
        <w:trPr>
          <w:trHeight w:val="572"/>
        </w:trPr>
        <w:tc>
          <w:tcPr>
            <w:tcW w:w="3180" w:type="dxa"/>
            <w:vAlign w:val="bottom"/>
          </w:tcPr>
          <w:p>
            <w:pPr>
              <w:spacing w:after="0"/>
              <w:rPr>
                <w:sz w:val="24"/>
                <w:szCs w:val="24"/>
                <w:color w:val="auto"/>
              </w:rPr>
            </w:pPr>
          </w:p>
        </w:tc>
        <w:tc>
          <w:tcPr>
            <w:tcW w:w="8060" w:type="dxa"/>
            <w:vAlign w:val="bottom"/>
          </w:tcPr>
          <w:p>
            <w:pPr>
              <w:jc w:val="right"/>
              <w:ind w:right="5441"/>
              <w:spacing w:after="0"/>
              <w:rPr>
                <w:sz w:val="20"/>
                <w:szCs w:val="20"/>
                <w:color w:val="auto"/>
              </w:rPr>
            </w:pPr>
            <w:r>
              <w:rPr>
                <w:rFonts w:ascii="Times New Roman" w:cs="Times New Roman" w:eastAsia="Times New Roman" w:hAnsi="Times New Roman"/>
                <w:sz w:val="14"/>
                <w:szCs w:val="14"/>
                <w:color w:val="auto"/>
              </w:rPr>
              <w:t>59</w:t>
            </w:r>
          </w:p>
        </w:tc>
      </w:tr>
      <w:tr>
        <w:trPr>
          <w:trHeight w:val="44"/>
        </w:trPr>
        <w:tc>
          <w:tcPr>
            <w:tcW w:w="3180" w:type="dxa"/>
            <w:vAlign w:val="bottom"/>
            <w:tcBorders>
              <w:bottom w:val="single" w:sz="8" w:color="auto"/>
            </w:tcBorders>
          </w:tcPr>
          <w:p>
            <w:pPr>
              <w:spacing w:after="0"/>
              <w:rPr>
                <w:sz w:val="3"/>
                <w:szCs w:val="3"/>
                <w:color w:val="auto"/>
              </w:rPr>
            </w:pPr>
          </w:p>
        </w:tc>
        <w:tc>
          <w:tcPr>
            <w:tcW w:w="80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2" w:right="339" w:bottom="1440" w:gutter="0" w:footer="0" w:header="0"/>
          <w:type w:val="continuous"/>
        </w:sectPr>
      </w:pPr>
    </w:p>
    <w:bookmarkStart w:id="72" w:name="page73"/>
    <w:bookmarkEnd w:id="72"/>
    <w:p>
      <w:pPr>
        <w:jc w:val="center"/>
        <w:ind w:right="6200"/>
        <w:spacing w:after="0"/>
        <w:rPr>
          <w:sz w:val="20"/>
          <w:szCs w:val="20"/>
          <w:color w:val="auto"/>
        </w:rPr>
      </w:pPr>
      <w:r>
        <w:rPr>
          <w:rFonts w:ascii="Times New Roman" w:cs="Times New Roman" w:eastAsia="Times New Roman" w:hAnsi="Times New Roman"/>
          <w:sz w:val="21"/>
          <w:szCs w:val="21"/>
          <w:color w:val="auto"/>
        </w:rPr>
        <w:t>If to the General Partner, to:</w:t>
      </w:r>
    </w:p>
    <w:p>
      <w:pPr>
        <w:spacing w:after="0" w:line="2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Golar GP LLC</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2nd Floor, S.E. Pearman Building</w:t>
      </w:r>
    </w:p>
    <w:p>
      <w:pPr>
        <w:ind w:left="1880"/>
        <w:spacing w:after="0" w:line="230" w:lineRule="auto"/>
        <w:rPr>
          <w:sz w:val="20"/>
          <w:szCs w:val="20"/>
          <w:color w:val="auto"/>
        </w:rPr>
      </w:pPr>
      <w:r>
        <w:rPr>
          <w:rFonts w:ascii="Times New Roman" w:cs="Times New Roman" w:eastAsia="Times New Roman" w:hAnsi="Times New Roman"/>
          <w:sz w:val="22"/>
          <w:szCs w:val="22"/>
          <w:color w:val="auto"/>
        </w:rPr>
        <w:t>9 Par-la-Ville Road</w:t>
      </w:r>
    </w:p>
    <w:p>
      <w:pPr>
        <w:ind w:left="1880"/>
        <w:spacing w:after="0" w:line="231" w:lineRule="auto"/>
        <w:rPr>
          <w:sz w:val="20"/>
          <w:szCs w:val="20"/>
          <w:color w:val="auto"/>
        </w:rPr>
      </w:pPr>
      <w:r>
        <w:rPr>
          <w:rFonts w:ascii="Times New Roman" w:cs="Times New Roman" w:eastAsia="Times New Roman" w:hAnsi="Times New Roman"/>
          <w:sz w:val="22"/>
          <w:szCs w:val="22"/>
          <w:color w:val="auto"/>
        </w:rPr>
        <w:t>Hamilton HM 11, Bermuda</w:t>
      </w:r>
    </w:p>
    <w:tbl>
      <w:tblPr>
        <w:tblLayout w:type="fixed"/>
        <w:tblInd w:w="1880" w:type="dxa"/>
        <w:tblCellMar>
          <w:top w:w="0" w:type="dxa"/>
          <w:left w:w="0" w:type="dxa"/>
          <w:bottom w:w="0" w:type="dxa"/>
          <w:right w:w="0" w:type="dxa"/>
        </w:tblCellMar>
      </w:tblPr>
      <w:tr>
        <w:trPr>
          <w:trHeight w:val="219"/>
        </w:trPr>
        <w:tc>
          <w:tcPr>
            <w:tcW w:w="162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Attention:</w:t>
            </w:r>
          </w:p>
        </w:tc>
        <w:tc>
          <w:tcPr>
            <w:tcW w:w="20" w:type="dxa"/>
            <w:vAlign w:val="bottom"/>
          </w:tcPr>
          <w:p>
            <w:pPr>
              <w:spacing w:after="0"/>
              <w:rPr>
                <w:sz w:val="19"/>
                <w:szCs w:val="19"/>
                <w:color w:val="auto"/>
              </w:rPr>
            </w:pPr>
          </w:p>
        </w:tc>
        <w:tc>
          <w:tcPr>
            <w:tcW w:w="2040" w:type="dxa"/>
            <w:vAlign w:val="bottom"/>
            <w:gridSpan w:val="3"/>
          </w:tcPr>
          <w:p>
            <w:pPr>
              <w:ind w:left="40"/>
              <w:spacing w:after="0" w:line="219" w:lineRule="exact"/>
              <w:rPr>
                <w:sz w:val="20"/>
                <w:szCs w:val="20"/>
                <w:color w:val="auto"/>
              </w:rPr>
            </w:pPr>
            <w:r>
              <w:rPr>
                <w:rFonts w:ascii="Times New Roman" w:cs="Times New Roman" w:eastAsia="Times New Roman" w:hAnsi="Times New Roman"/>
                <w:sz w:val="22"/>
                <w:szCs w:val="22"/>
                <w:color w:val="auto"/>
              </w:rPr>
              <w:t>Karl Staubo</w:t>
            </w: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Facsimile:</w:t>
            </w:r>
          </w:p>
        </w:tc>
        <w:tc>
          <w:tcPr>
            <w:tcW w:w="20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+44 (0)207 063 7901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16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Email:</w:t>
            </w:r>
          </w:p>
        </w:tc>
        <w:tc>
          <w:tcPr>
            <w:tcW w:w="20" w:type="dxa"/>
            <w:vAlign w:val="bottom"/>
          </w:tcPr>
          <w:p>
            <w:pPr>
              <w:spacing w:after="0"/>
              <w:rPr>
                <w:sz w:val="19"/>
                <w:szCs w:val="19"/>
                <w:color w:val="auto"/>
              </w:rPr>
            </w:pPr>
          </w:p>
        </w:tc>
        <w:tc>
          <w:tcPr>
            <w:tcW w:w="204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w w:val="98"/>
              </w:rPr>
              <w:t>karl.staubo@golar.com</w:t>
            </w:r>
          </w:p>
        </w:tc>
      </w:tr>
      <w:tr>
        <w:trPr>
          <w:trHeight w:val="223"/>
        </w:trPr>
        <w:tc>
          <w:tcPr>
            <w:tcW w:w="1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w w:val="95"/>
              </w:rPr>
              <w:t>GMLLegal@golar.com</w:t>
            </w: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with copies (which shall not constitute notice) to:</w:t>
      </w:r>
    </w:p>
    <w:p>
      <w:pPr>
        <w:spacing w:after="0" w:line="24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Baker Botts L.L.P.</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30 Rockefeller Plaza</w:t>
      </w:r>
    </w:p>
    <w:p>
      <w:pPr>
        <w:ind w:left="1960"/>
        <w:spacing w:after="0"/>
        <w:rPr>
          <w:sz w:val="20"/>
          <w:szCs w:val="20"/>
          <w:color w:val="auto"/>
        </w:rPr>
      </w:pPr>
      <w:r>
        <w:rPr>
          <w:rFonts w:ascii="Times New Roman" w:cs="Times New Roman" w:eastAsia="Times New Roman" w:hAnsi="Times New Roman"/>
          <w:sz w:val="22"/>
          <w:szCs w:val="22"/>
          <w:color w:val="auto"/>
        </w:rPr>
        <w:t>New York, New York 10112</w:t>
      </w:r>
    </w:p>
    <w:p>
      <w:pPr>
        <w:sectPr>
          <w:pgSz w:w="11900" w:h="16838" w:orient="portrait"/>
          <w:cols w:equalWidth="0" w:num="1">
            <w:col w:w="11240"/>
          </w:cols>
          <w:pgMar w:left="320" w:top="112" w:right="339" w:bottom="1440" w:gutter="0" w:footer="0" w:header="0"/>
        </w:sectPr>
      </w:pPr>
    </w:p>
    <w:p>
      <w:pPr>
        <w:spacing w:after="0" w:line="20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w:t>
      </w:r>
    </w:p>
    <w:p>
      <w:pPr>
        <w:spacing w:after="0" w:line="1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Facsimile:</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Michael Swidler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212-259-2511</w:t>
      </w:r>
    </w:p>
    <w:p>
      <w:pPr>
        <w:spacing w:after="0"/>
        <w:rPr>
          <w:sz w:val="20"/>
          <w:szCs w:val="20"/>
          <w:color w:val="auto"/>
        </w:rPr>
      </w:pPr>
      <w:r>
        <w:rPr>
          <w:rFonts w:ascii="Times New Roman" w:cs="Times New Roman" w:eastAsia="Times New Roman" w:hAnsi="Times New Roman"/>
          <w:sz w:val="21"/>
          <w:szCs w:val="21"/>
          <w:color w:val="auto"/>
        </w:rPr>
        <w:t>michael.swidler@bakerbotts.com</w:t>
      </w:r>
    </w:p>
    <w:p>
      <w:pPr>
        <w:spacing w:after="0" w:line="211" w:lineRule="exact"/>
        <w:rPr>
          <w:sz w:val="20"/>
          <w:szCs w:val="20"/>
          <w:color w:val="auto"/>
        </w:rPr>
      </w:pPr>
    </w:p>
    <w:p>
      <w:pPr>
        <w:sectPr>
          <w:pgSz w:w="11900" w:h="16838" w:orient="portrait"/>
          <w:cols w:equalWidth="0" w:num="2">
            <w:col w:w="2860" w:space="640"/>
            <w:col w:w="7740"/>
          </w:cols>
          <w:pgMar w:left="320" w:top="112" w:right="339" w:bottom="1440" w:gutter="0" w:footer="0" w:header="0"/>
          <w:type w:val="continuous"/>
        </w:sectPr>
      </w:pP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Baker Botts L.L.P.</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700 K Street, N.W.</w:t>
      </w:r>
    </w:p>
    <w:p>
      <w:pPr>
        <w:ind w:left="1960"/>
        <w:spacing w:after="0"/>
        <w:rPr>
          <w:sz w:val="20"/>
          <w:szCs w:val="20"/>
          <w:color w:val="auto"/>
        </w:rPr>
      </w:pPr>
      <w:r>
        <w:rPr>
          <w:rFonts w:ascii="Times New Roman" w:cs="Times New Roman" w:eastAsia="Times New Roman" w:hAnsi="Times New Roman"/>
          <w:sz w:val="21"/>
          <w:szCs w:val="21"/>
          <w:color w:val="auto"/>
        </w:rPr>
        <w:t>Washington, DC 20001</w:t>
      </w:r>
    </w:p>
    <w:p>
      <w:pPr>
        <w:sectPr>
          <w:pgSz w:w="11900" w:h="16838" w:orient="portrait"/>
          <w:cols w:equalWidth="0" w:num="1">
            <w:col w:w="11240"/>
          </w:cols>
          <w:pgMar w:left="320" w:top="112" w:right="339" w:bottom="1440" w:gutter="0" w:footer="0" w:header="0"/>
          <w:type w:val="continuous"/>
        </w:sectPr>
      </w:pPr>
    </w:p>
    <w:p>
      <w:pPr>
        <w:spacing w:after="0" w:line="2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Attention:</w:t>
      </w:r>
    </w:p>
    <w:p>
      <w:pPr>
        <w:spacing w:after="0" w:line="2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Catherine Gallagher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Catherine.gallagher@bakerbotts.com</w:t>
      </w:r>
    </w:p>
    <w:p>
      <w:pPr>
        <w:spacing w:after="0" w:line="211" w:lineRule="exact"/>
        <w:rPr>
          <w:sz w:val="20"/>
          <w:szCs w:val="20"/>
          <w:color w:val="auto"/>
        </w:rPr>
      </w:pPr>
    </w:p>
    <w:p>
      <w:pPr>
        <w:sectPr>
          <w:pgSz w:w="11900" w:h="16838" w:orient="portrait"/>
          <w:cols w:equalWidth="0" w:num="2">
            <w:col w:w="2820" w:space="680"/>
            <w:col w:w="7740"/>
          </w:cols>
          <w:pgMar w:left="320" w:top="112" w:right="339" w:bottom="1440" w:gutter="0" w:footer="0" w:header="0"/>
          <w:type w:val="continuous"/>
        </w:sectPr>
      </w:pPr>
    </w:p>
    <w:p>
      <w:pPr>
        <w:spacing w:after="0" w:line="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or such other address, email address or facsimile number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20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8.12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to attempt to modify this Agreement so as to effect the original intent of the parties as closely as possible to the fullest extent permitted by applicable Law in an acceptable manner to the end that the Transactions are fulfilled to the extent possible.</w:t>
      </w:r>
    </w:p>
    <w:p>
      <w:pPr>
        <w:spacing w:after="0" w:line="208"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8.13</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080" w:hanging="776"/>
        <w:spacing w:after="0"/>
        <w:tabs>
          <w:tab w:leader="none" w:pos="20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following terms have the meanings ascribed thereto below:</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3" w:name="page74"/>
    <w:bookmarkEnd w:id="73"/>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Acceptable Confidentiality Agreement</w:t>
      </w:r>
      <w:r>
        <w:rPr>
          <w:rFonts w:ascii="Times New Roman" w:cs="Times New Roman" w:eastAsia="Times New Roman" w:hAnsi="Times New Roman"/>
          <w:sz w:val="22"/>
          <w:szCs w:val="22"/>
          <w:color w:val="auto"/>
        </w:rPr>
        <w:t>” means any confidentiality agreement entered into by the Partnership from and after the date of this Agreement that contains provisions that are not materially less favorable in the aggregate to the Partnership than those contained in the Confidentiality Agreement.</w:t>
      </w:r>
    </w:p>
    <w:p>
      <w:pPr>
        <w:spacing w:after="0" w:line="20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means legal actions, causes of action, claims, demands, controversies, disputes, arbitrations, hearings, charges, complaints, investigations, examinations, indictments, litigations, suits or other civil, criminal, administrative or investigative proceedings.</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Antitrust Laws</w:t>
      </w:r>
      <w:r>
        <w:rPr>
          <w:rFonts w:ascii="Times New Roman" w:cs="Times New Roman" w:eastAsia="Times New Roman" w:hAnsi="Times New Roman"/>
          <w:sz w:val="22"/>
          <w:szCs w:val="22"/>
          <w:color w:val="auto"/>
        </w:rPr>
        <w:t>” means the Sherman Act, as amended, the Clayton Act, as amended, the Federal Trade Commission Act, as amended, all applicable non-U.S. antitrust Laws and all other applicable Laws issued by a Governmental Authority that are designed or intended to prohibit, restrict or regulate actions having the purpose or effect of monopolization or restraint of trade or lessening of competition through merger or acquisition.</w:t>
      </w:r>
    </w:p>
    <w:p>
      <w:pPr>
        <w:spacing w:after="0" w:line="20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Burdensome Condition</w:t>
      </w:r>
      <w:r>
        <w:rPr>
          <w:rFonts w:ascii="Times New Roman" w:cs="Times New Roman" w:eastAsia="Times New Roman" w:hAnsi="Times New Roman"/>
          <w:sz w:val="22"/>
          <w:szCs w:val="22"/>
          <w:color w:val="auto"/>
        </w:rPr>
        <w:t xml:space="preserve">” means, unless specifically waived in writing by Parent at its discretion, anything that shall require Parent or any Parent Subsidiary or permit the Partnership or any Partnership Subsidiary to undertake any efforts or to take any action (including accepting or agreeing to any terms, conditions, liabilities, obligations, commitments or sanctions relating to the operation of the business of Parent or any of its Subsidiaries, the Partnership or any of its Subsidiaries or otherwise or proposing, negotiating, committing to and effecting, by consent decree, hold separate order or otherwise, the sale, divestiture, licensing or disposition of assets or businesses of Parent or the Partnership or their respective Subsidiaries) if the taking of such efforts or action, individually or in the aggregate, would reasonably be expected to result in a material adverse effect on (i) the Partnership and its Subsidiaries, taken as a whole, (ii) Parent, or (iii) Parent, after giving effect to the Transaction (taking into account the expected benefits of the Transaction to Parent);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clauses (ii) and (iii), the materiality of any adverse effect shall be measured against the size of the assets and business of the Partnership and its Subsidiaries, taken as a whole.</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a day except a Saturday, a Sunday or other day on which the banks in the City of New York are authorized or required by Law to be closed.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Unit</w:t>
      </w:r>
      <w:r>
        <w:rPr>
          <w:rFonts w:ascii="Times New Roman" w:cs="Times New Roman" w:eastAsia="Times New Roman" w:hAnsi="Times New Roman"/>
          <w:sz w:val="22"/>
          <w:szCs w:val="22"/>
          <w:color w:val="auto"/>
        </w:rPr>
        <w:t>” has the meaning set forth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Unitholders</w:t>
      </w:r>
      <w:r>
        <w:rPr>
          <w:rFonts w:ascii="Times New Roman" w:cs="Times New Roman" w:eastAsia="Times New Roman" w:hAnsi="Times New Roman"/>
          <w:sz w:val="22"/>
          <w:szCs w:val="22"/>
          <w:color w:val="auto"/>
        </w:rPr>
        <w:t>” means the holders of Common Units.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Proposal</w:t>
      </w:r>
      <w:r>
        <w:rPr>
          <w:rFonts w:ascii="Times New Roman" w:cs="Times New Roman" w:eastAsia="Times New Roman" w:hAnsi="Times New Roman"/>
          <w:sz w:val="22"/>
          <w:szCs w:val="22"/>
          <w:color w:val="auto"/>
        </w:rPr>
        <w:t>” means a Takeover Proposal, substituting “75%” for each occurrence of “15%” in the definition of “Takeover Proposal”.</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COVID-19</w:t>
      </w:r>
      <w:r>
        <w:rPr>
          <w:rFonts w:ascii="Times New Roman" w:cs="Times New Roman" w:eastAsia="Times New Roman" w:hAnsi="Times New Roman"/>
          <w:sz w:val="22"/>
          <w:szCs w:val="22"/>
          <w:color w:val="auto"/>
        </w:rPr>
        <w:t>” means the COVID-19 pandemic, including any evolutions or mutations of the COVID-19 disease, and any further epidemics or pandemics arising therefrom.</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COVID-19 Measures</w:t>
      </w:r>
      <w:r>
        <w:rPr>
          <w:rFonts w:ascii="Times New Roman" w:cs="Times New Roman" w:eastAsia="Times New Roman" w:hAnsi="Times New Roman"/>
          <w:sz w:val="22"/>
          <w:szCs w:val="22"/>
          <w:color w:val="auto"/>
        </w:rPr>
        <w:t>” means any quarantine, “shelter in place,” “stay at home,” workforce reduction, social distancing, shut down, closure, sequester, safety or similar Law, directive or guidelines promulgated by any Governmental Authority, including the Centers for Disease Control and Prevention and the World Health Organization, in each case, in connection with or in response to COVID-19.</w:t>
      </w:r>
    </w:p>
    <w:p>
      <w:pPr>
        <w:spacing w:after="0" w:line="2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Encumbrance</w:t>
      </w:r>
      <w:r>
        <w:rPr>
          <w:rFonts w:ascii="Times New Roman" w:cs="Times New Roman" w:eastAsia="Times New Roman" w:hAnsi="Times New Roman"/>
          <w:sz w:val="22"/>
          <w:szCs w:val="22"/>
          <w:color w:val="auto"/>
        </w:rPr>
        <w:t>” means any mortgage, deed of trust, lease, license, condition, covenant, restriction, hypothecation, option to purchase or lease or otherwise acquire any interest, right of first refusal or offer, conditional sales or other title retention agreement, adverse claim of ownership or use, easement, encroachment, right of way or other title defect, third-party right or encumbrance of any kind or nature.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Person under common control with the Partnership within the meaning of Section 414(b), Section 414(c), Section 414(m) or Section 414(o) of the Code and the regulations thereunder.</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Securities Exchange Act of 1934, as amended, and the rules and regulations promulgated thereunder.</w:t>
      </w:r>
    </w:p>
    <w:p>
      <w:pPr>
        <w:spacing w:after="0" w:line="18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Sources</w:t>
      </w:r>
      <w:r>
        <w:rPr>
          <w:rFonts w:ascii="Times New Roman" w:cs="Times New Roman" w:eastAsia="Times New Roman" w:hAnsi="Times New Roman"/>
          <w:sz w:val="22"/>
          <w:szCs w:val="22"/>
          <w:color w:val="auto"/>
        </w:rPr>
        <w:t>” means the Persons that have committed to provide or have otherwise entered into agreements including any engagement letters or commitment letters, in each case, in connection with any debt or equity financing in connection with the transactions contemplated hereby, and any joinder agreements, indentures or credit agreements entered into pursuant thereto, including the lenders and investors thereunder, together with their Affiliates, officers, directors, employees, agents and representatives involved in such financing and their successors and assigns; it being understood that Parent, GP Buyer and Merger Sub shall not be Financing Sources for any purposes hereunder.</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consistently applied.</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government, court, regulatory or administrative agency, arbitral body or self-regulated entity, tribunal, commission or authority or other legislative, executive or judicial Governmental Authority, whether federal, national, provincial, state, local, foreign or multinational.</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GP Unit</w:t>
      </w:r>
      <w:r>
        <w:rPr>
          <w:rFonts w:ascii="Times New Roman" w:cs="Times New Roman" w:eastAsia="Times New Roman" w:hAnsi="Times New Roman"/>
          <w:sz w:val="22"/>
          <w:szCs w:val="22"/>
          <w:color w:val="auto"/>
        </w:rPr>
        <w:t>” means a “General Partner Unit” as such term is defined in the Partnership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 petroleum, petroleum products and by-products, asbestos and asbestos-containing materials, urea formaldehyde foam insulation, electronic, medical or infectious wastes, polychlorinated biphenyls, radon gas, mold, greenhouse gasses, radioactive substances, per- and polyfluoroalkyl substances (including PFAs, PFOA, PFOS, Gen X, and PFBs), and chlorofluorocarbons and all other ozone-depleting substances and (b) any other chemical, material, substance or waste that is regulated by or for which liability or standards of conduct may be imposed pursuant to Environmental Laws.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Distribution Right</w:t>
      </w:r>
      <w:r>
        <w:rPr>
          <w:rFonts w:ascii="Times New Roman" w:cs="Times New Roman" w:eastAsia="Times New Roman" w:hAnsi="Times New Roman"/>
          <w:sz w:val="22"/>
          <w:szCs w:val="22"/>
          <w:color w:val="auto"/>
        </w:rPr>
        <w:t>” has the meaning set forth in the Partnership Agreement.</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of any Person means: (a) indebtedness created, issued or incurred by such Person for borrowed money (whether by loan or the issuance and sale of debt securities or the sale of property of such Person to another Person subject to an understanding or agreement, contingent or otherwise, to repurchase such property) or payment obligations issued or incurred by such Person in substitution or exchange for payment obligations for borrowed money; (b) obligations of such Person to pay the deferred purchase or acquisition price for any property of such Person; (c) reimbursement obligations of such Person in respect of drawn letters of credit or similar instruments issued or accepted by banks and other financial institutions for the account of such Person; (d) obligations of such Person under a lease to the extent such obligations are required to be classified and accounted for as a capital lease on a balance sheet of such Person under GAAP; (e) arising out of swaps, options, forward sales contracts, derivatives and other hedging, cap, collar or futures Contracts, financial instruments or arrangements; and (f) indebtedness of others (other than any wholly owned Subsidiary of such Person) as described in clauses (a) through (f) above guaranteed by such Person; but Indebtedness does not include accounts payable to trade creditors, or accrued expenses arising in the Ordinary Course consistent with past practice, in each case, that are not yet due and payable, or are being disputed in good faith, and the endorsement of negotiable instruments for collection in the Ordinary Course.</w:t>
      </w:r>
    </w:p>
    <w:p>
      <w:pPr>
        <w:spacing w:after="0" w:line="209" w:lineRule="exact"/>
        <w:rPr>
          <w:sz w:val="20"/>
          <w:szCs w:val="20"/>
          <w:color w:val="auto"/>
        </w:rPr>
      </w:pPr>
    </w:p>
    <w:p>
      <w:pPr>
        <w:jc w:val="both"/>
        <w:ind w:firstLine="71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all intellectual property and other similar proprietary rights in any jurisdiction, whether registered or unregistered, including such rights in and to: any patent (including all reissues, divisions, continuations, continuations-in-part and extensions thereof), patent application and patent right; any trademark, service mark, trade name, business name and brand name, including any and all goodwill associated therewith; any copyright and database rights; any internet domain name; and any trade secret, know-how and other information of a proprietary nature.</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xml:space="preserve">” means, (i) with respect to the Partnership, the actual knowledge of the individuals listed on </w:t>
      </w:r>
      <w:r>
        <w:rPr>
          <w:rFonts w:ascii="Times New Roman" w:cs="Times New Roman" w:eastAsia="Times New Roman" w:hAnsi="Times New Roman"/>
          <w:sz w:val="22"/>
          <w:szCs w:val="22"/>
          <w:u w:val="single" w:color="auto"/>
          <w:color w:val="auto"/>
        </w:rPr>
        <w:t>Section 8.13</w:t>
      </w:r>
      <w:r>
        <w:rPr>
          <w:rFonts w:ascii="Times New Roman" w:cs="Times New Roman" w:eastAsia="Times New Roman" w:hAnsi="Times New Roman"/>
          <w:sz w:val="22"/>
          <w:szCs w:val="22"/>
          <w:color w:val="auto"/>
        </w:rPr>
        <w:t xml:space="preserve"> of the Partnership Disclosure Schedule, after due inquiry of their direct reports, and (ii) with respect to Parent or Merger Sub, the actual knowledge of the individuals listed on </w:t>
      </w:r>
      <w:r>
        <w:rPr>
          <w:rFonts w:ascii="Times New Roman" w:cs="Times New Roman" w:eastAsia="Times New Roman" w:hAnsi="Times New Roman"/>
          <w:sz w:val="22"/>
          <w:szCs w:val="22"/>
          <w:u w:val="single" w:color="auto"/>
          <w:color w:val="auto"/>
        </w:rPr>
        <w:t>Section 8.13</w:t>
      </w:r>
      <w:r>
        <w:rPr>
          <w:rFonts w:ascii="Times New Roman" w:cs="Times New Roman" w:eastAsia="Times New Roman" w:hAnsi="Times New Roman"/>
          <w:sz w:val="22"/>
          <w:szCs w:val="22"/>
          <w:color w:val="auto"/>
        </w:rPr>
        <w:t xml:space="preserve"> of the Parent Disclosure Schedule, after due inquiry of their direct reports.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Liens</w:t>
      </w:r>
      <w:r>
        <w:rPr>
          <w:rFonts w:ascii="Times New Roman" w:cs="Times New Roman" w:eastAsia="Times New Roman" w:hAnsi="Times New Roman"/>
          <w:sz w:val="21"/>
          <w:szCs w:val="21"/>
          <w:color w:val="auto"/>
        </w:rPr>
        <w:t>” means any pledges, liens, claims, options, charges, mortgages, Encumbrances or security interests of any kind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nature.</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Limited Partner</w:t>
      </w:r>
      <w:r>
        <w:rPr>
          <w:rFonts w:ascii="Times New Roman" w:cs="Times New Roman" w:eastAsia="Times New Roman" w:hAnsi="Times New Roman"/>
          <w:sz w:val="22"/>
          <w:szCs w:val="22"/>
          <w:color w:val="auto"/>
        </w:rPr>
        <w:t>” has the meaning set forth in the Partnership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Marshall Islands LLC Act</w:t>
      </w:r>
      <w:r>
        <w:rPr>
          <w:rFonts w:ascii="Times New Roman" w:cs="Times New Roman" w:eastAsia="Times New Roman" w:hAnsi="Times New Roman"/>
          <w:sz w:val="22"/>
          <w:szCs w:val="22"/>
          <w:color w:val="auto"/>
        </w:rPr>
        <w:t>” means the Marshall Islands Limited Liability Company Act of 1996, as amended.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Marshall Islands LP Act</w:t>
      </w:r>
      <w:r>
        <w:rPr>
          <w:rFonts w:ascii="Times New Roman" w:cs="Times New Roman" w:eastAsia="Times New Roman" w:hAnsi="Times New Roman"/>
          <w:sz w:val="22"/>
          <w:szCs w:val="22"/>
          <w:color w:val="auto"/>
        </w:rPr>
        <w:t>” means the Marshall Islands Limited Partnership Act, as amended.</w:t>
      </w:r>
    </w:p>
    <w:p>
      <w:pPr>
        <w:spacing w:after="0" w:line="23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xml:space="preserve">” means, with respect to the Partnership and its Subsidiaries, (a) a material adverse effect on the ability of the Partnership or its Subsidiaries to perform or comply with any material obligation under this Agreement or to consummate the transactions contemplated hereby in accordance with the terms hereof, or (b) any change, effect, event or occurrence that, individually or in the aggregate, has had or would reasonably be expected to have a material adverse effect on the business, assets, liabilities, financial condition or results of operations of the Partnership and its Subsidiaries, taken as a whole;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the case of clause (b) any changes, effects, events or occurrences to the extent resulting from or due to any of the following shall be disregarded in determining whether there has been a Material Adverse Effect: (i) changes, effects, events or occurrences generally affecting the United States or global economy, the financial, credit, debt, securities or other capital markets or political, legislative or regulatory conditions or changes in the industries in which the Partnership or its Subsidiaries operates; (ii) the announcement, pendency or consummation of this Agreement or the transactions contemplated hereby or the performance of this Agreement (including the impact thereof on relationships with customers or employees);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clause shall not apply to the representations and warranties set forth in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xml:space="preserve">; (iii) any change in the market price or trading volume of Common Units (it being understood and agreed that the foregoing shall not preclude any other Party to this Agreement from asserting that any facts or occurrences giving rise to or contributing to such change that are not otherwise excluded from the definition of Material Adverse Effect should be deemed to constitute, or be taken into account in determining whether there has been, or would reasonably be expected to be, a Material Adverse Effect); (iv) acts of war or terrorism (or the escalation of the foregoing), epidemics or pandemics (including COVID-19 and any COVID-19 Measures) or natural disasters or other force majeure events; (v) changes in any applicable Laws or regulations applicable to the Partnership or its Subsidiaries, GAAP or applicable accounting regulations or principles or the interpretation thereof; (vi) any Proceedings commenced by or involving any current or former member, partner or stockholder of the Partnership or its Subsidiaries (on their own or on behalf of such Person) arising out of or related to this Agreement or the transactions contemplated hereby; (vii) changes, effects, events or occurrences generally affecting the prices of oil, gas, natural gas, natural gas liquids or other commodities; (viii) any action taken by the Partnership or its Subsidiaries that is expressly required by the covenants set forth herein (other than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ml:space="preserve">) or at Parent’s express written request or with Parent’s written consent, or the failure to take any action by the Partnership or its Subsidiaries if that action is prohibited by this Agreement and the Parent did not consent to such action; and (ix) any action taken by Parent or any of its Affiliates (including termination by Parent or any of its Affiliates of any contract between such Person and the Partnership or any of its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changes, effects, events or occurrences referred to in clauses (i), (iv), (v) and (vii) above shall be considered for purposes of determining whether there has been or would reasonably be expected to be a Material Adverse Effect if and to the extent such changes, effects, events or occurrences has had or would reasonably be expected to have a disproportionate adverse effect on the Partnership and its Subsidiaries, as compared to other companies operating in the industries in which the Partnership and its Subsidiaries operate, in which case only the incremental disproportionate adverse effect of such changes, effects, events or occurrences shall be taken into account for the purpose of determining whether there has been or would reasonably be expected to be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means the Nasdaq Global Select Market.</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Course</w:t>
      </w:r>
      <w:r>
        <w:rPr>
          <w:rFonts w:ascii="Times New Roman" w:cs="Times New Roman" w:eastAsia="Times New Roman" w:hAnsi="Times New Roman"/>
          <w:sz w:val="22"/>
          <w:szCs w:val="22"/>
          <w:color w:val="auto"/>
        </w:rPr>
        <w:t>” means, with respect to any Person, the conduct by a Person of the relevant business in the ordinary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course.</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Bylaws</w:t>
      </w:r>
      <w:r>
        <w:rPr>
          <w:rFonts w:ascii="Times New Roman" w:cs="Times New Roman" w:eastAsia="Times New Roman" w:hAnsi="Times New Roman"/>
          <w:sz w:val="22"/>
          <w:szCs w:val="22"/>
          <w:color w:val="auto"/>
        </w:rPr>
        <w:t>” means the Bylaws of Parent, as amended to the date of this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Charter</w:t>
      </w:r>
      <w:r>
        <w:rPr>
          <w:rFonts w:ascii="Times New Roman" w:cs="Times New Roman" w:eastAsia="Times New Roman" w:hAnsi="Times New Roman"/>
          <w:sz w:val="22"/>
          <w:szCs w:val="22"/>
          <w:color w:val="auto"/>
        </w:rPr>
        <w:t>” means the Certificate of Incorporation of Parent, as from time to time amended.</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Material Adverse Effect</w:t>
      </w:r>
      <w:r>
        <w:rPr>
          <w:rFonts w:ascii="Times New Roman" w:cs="Times New Roman" w:eastAsia="Times New Roman" w:hAnsi="Times New Roman"/>
          <w:sz w:val="22"/>
          <w:szCs w:val="22"/>
          <w:color w:val="auto"/>
        </w:rPr>
        <w:t>” means, with respect to Parent and its Subsidiaries, a material adverse effect on the ability of Parent or its Subsidiaries to perform or comply with any material obligation under this Agreement or to consummate the transactions contemplated hereby and by the Transfer Agreement in accordance with the terms hereof and thereof.</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Organizational Documents</w:t>
      </w:r>
      <w:r>
        <w:rPr>
          <w:rFonts w:ascii="Times New Roman" w:cs="Times New Roman" w:eastAsia="Times New Roman" w:hAnsi="Times New Roman"/>
          <w:sz w:val="22"/>
          <w:szCs w:val="22"/>
          <w:color w:val="auto"/>
        </w:rPr>
        <w:t>” means the Parent Charter and the Parent Bylaws.</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Agreement</w:t>
      </w:r>
      <w:r>
        <w:rPr>
          <w:rFonts w:ascii="Times New Roman" w:cs="Times New Roman" w:eastAsia="Times New Roman" w:hAnsi="Times New Roman"/>
          <w:sz w:val="22"/>
          <w:szCs w:val="22"/>
          <w:color w:val="auto"/>
        </w:rPr>
        <w:t>” means the Partnership’s Third Amended and Restated Agreement of Limited Partnership, as amended to the date of this Agreement.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Board Recommendation</w:t>
      </w:r>
      <w:r>
        <w:rPr>
          <w:rFonts w:ascii="Times New Roman" w:cs="Times New Roman" w:eastAsia="Times New Roman" w:hAnsi="Times New Roman"/>
          <w:sz w:val="22"/>
          <w:szCs w:val="22"/>
          <w:color w:val="auto"/>
        </w:rPr>
        <w:t>” means the recommendation by the Partnership Board of the adoption and approval of this Agreement and the Transactions to the Common Unitholders.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Charter</w:t>
      </w:r>
      <w:r>
        <w:rPr>
          <w:rFonts w:ascii="Times New Roman" w:cs="Times New Roman" w:eastAsia="Times New Roman" w:hAnsi="Times New Roman"/>
          <w:sz w:val="22"/>
          <w:szCs w:val="22"/>
          <w:color w:val="auto"/>
        </w:rPr>
        <w:t>” means the Partnership’s Certificate of Limited Partnership, as amended to the date of this Agreement.</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Interest</w:t>
      </w:r>
      <w:r>
        <w:rPr>
          <w:rFonts w:ascii="Times New Roman" w:cs="Times New Roman" w:eastAsia="Times New Roman" w:hAnsi="Times New Roman"/>
          <w:sz w:val="22"/>
          <w:szCs w:val="22"/>
          <w:color w:val="auto"/>
        </w:rPr>
        <w:t>” means any class or series of equity interest in the Partnership (but excluding any options, rights, warrants, restricted units and appreciation rights relating to an equity interest in the Partnership), including common units, preferred units, general partner units and Incentive Distribution Rights.</w:t>
      </w:r>
    </w:p>
    <w:p>
      <w:pPr>
        <w:spacing w:after="0" w:line="20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Intervening Event</w:t>
      </w:r>
      <w:r>
        <w:rPr>
          <w:rFonts w:ascii="Times New Roman" w:cs="Times New Roman" w:eastAsia="Times New Roman" w:hAnsi="Times New Roman"/>
          <w:sz w:val="22"/>
          <w:szCs w:val="22"/>
          <w:color w:val="auto"/>
        </w:rPr>
        <w:t xml:space="preserve">” means any event, development or occurrence that is material to the Partnership and its Subsidiaries, taken as a whole, that was not known or reasonably foreseeable to the Partnership Board on the date of this Agreement (or if known, the consequences of which were not known or reasonably foreseeable to the Partnership Board as of the date of this Agreement), which event or circumstance, or any consequence thereof, becomes known to the Partnership Board after the date hereof and prior to the Partnership Unitholder Approval;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event shall any of the following effects, changes, events, facts, conditions, developments or occurrences be taken into account in determining whether an Intervening Event has occurred: (A) the receipt, existence or terms of a Takeover Proposal or any matter relating thereto or direct or indirect consequence thereof; (B) any effect, change, event, fact, condition, development or occurrence generally affecting (1) the petroleum industry generally or the marine-based LNG midstream or downstream industries (including the related terminaling, storage, processing and marketing industries), including regulatory conditions (or changes therein) of any other industry in which the Partnership and its Subsidiaries operate, or (2) the economy, credit, financial, capital or commodities markets in the countries in which the Partnership or its Subsidiaries operate, or elsewhere in the world, including changes in interest or currency exchange rates; or (C) the fact that, in and of itself, the Partnership or any of its Subsidiaries exceeds any internal or published projections, forecasts, estimates or predictions in respect of revenues, earnings or other financial or operating metrics for any period ending after the date of this Agreement, or changes or prospective changes in the market price or trading volume of the Common Units on the Nasdaq (it being understood that the underlying facts giving rise or contributing to such events may be taken into account in determining whether there has been an Intervening Event if such facts are not otherwise excluded under this definition)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8" w:name="page79"/>
    <w:bookmarkEnd w:id="78"/>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Organizational Documents</w:t>
      </w:r>
      <w:r>
        <w:rPr>
          <w:rFonts w:ascii="Times New Roman" w:cs="Times New Roman" w:eastAsia="Times New Roman" w:hAnsi="Times New Roman"/>
          <w:sz w:val="22"/>
          <w:szCs w:val="22"/>
          <w:color w:val="auto"/>
        </w:rPr>
        <w:t>” means the Partnership Charter and the Partnership Agreement and the partnership agreement and charter (or similar organizational documents) of each Subsidiary of the Partnership.</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Phantom Unit</w:t>
      </w:r>
      <w:r>
        <w:rPr>
          <w:rFonts w:ascii="Times New Roman" w:cs="Times New Roman" w:eastAsia="Times New Roman" w:hAnsi="Times New Roman"/>
          <w:sz w:val="22"/>
          <w:szCs w:val="22"/>
          <w:color w:val="auto"/>
        </w:rPr>
        <w:t>” means an award of notional Common Units granted under a Partnership Plan that is payable in Common Units or the value of which is determined by reference to the value of Common Units.</w:t>
      </w:r>
    </w:p>
    <w:p>
      <w:pPr>
        <w:spacing w:after="0" w:line="18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Plan</w:t>
      </w:r>
      <w:r>
        <w:rPr>
          <w:rFonts w:ascii="Times New Roman" w:cs="Times New Roman" w:eastAsia="Times New Roman" w:hAnsi="Times New Roman"/>
          <w:sz w:val="22"/>
          <w:szCs w:val="22"/>
          <w:color w:val="auto"/>
        </w:rPr>
        <w:t xml:space="preserve">” means each “employee benefit plan” (as such term is defined in Section 3(3) of ERISA) and each other material employment or employee benefit plan, program, practice, policy, arrangement or agreement, including any compensation, equity or equity-based compensation, bonus, incentive compensation, management incentive scheme, employment, change in control, retention, retirement, pension, post-employment benefits, supplemental retirement, deferred compensation, profit-sharing, unemployment, severance, termination pay, health or medical benefits, employee assistance program, welfare, hospitalization, life, accidental death and dismemberment, long-term disability or short-term disability, sick-leave, fringe benefit or other similar compensation or employee benefit plan, program, practice, policy, arrangement or agreement, in each case, whether written or unwritten and whether or not subject to ERISA, for any current or former employee, director, officer or individual service provider of the Partnership or any of its Subsidiaries, which is maintained, administered, sponsored, participated in, contributed to or required to be contributed to by the Partnership or any of its Subsidiaries, or with respect to which the Partnership or any of its Subsidiaries could reasonably be expected to have any liability;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 Partnership Plan include any plan, program, arrangement or practice that is implemented, administered or operated by a Governmental Authority.</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Preferred Unit</w:t>
      </w:r>
      <w:r>
        <w:rPr>
          <w:rFonts w:ascii="Times New Roman" w:cs="Times New Roman" w:eastAsia="Times New Roman" w:hAnsi="Times New Roman"/>
          <w:sz w:val="22"/>
          <w:szCs w:val="22"/>
          <w:color w:val="auto"/>
        </w:rPr>
        <w:t>” means a Series A Preferred Unit, as defined in the Partnership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Unitholder Approval</w:t>
      </w:r>
      <w:r>
        <w:rPr>
          <w:rFonts w:ascii="Times New Roman" w:cs="Times New Roman" w:eastAsia="Times New Roman" w:hAnsi="Times New Roman"/>
          <w:sz w:val="22"/>
          <w:szCs w:val="22"/>
          <w:color w:val="auto"/>
        </w:rPr>
        <w:t>” means approval of holders of a Unit Majority.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Encumbrances</w:t>
      </w:r>
      <w:r>
        <w:rPr>
          <w:rFonts w:ascii="Times New Roman" w:cs="Times New Roman" w:eastAsia="Times New Roman" w:hAnsi="Times New Roman"/>
          <w:sz w:val="21"/>
          <w:szCs w:val="21"/>
          <w:color w:val="auto"/>
        </w:rPr>
        <w:t xml:space="preserve">” means with respect to any Person, (a) easements, rights-of-way, encroachments, restrictions, conditions and other similar Encumbrances incurred or suffered in the Ordinary Course and which, individually or in the aggregate, do not and would not reasonably be expected to materially impair the use (or contemplated use), utility or value of the applicable real property or otherwise materially impair the present or contemplated business operations at such location; (b) zoning, entitlement, building and other land-use regulations imposed by Governmental Authorities having jurisdiction over such real property, (c) statutory Encumbrances for current Taxes not yet due and payable or the amount or validity of which is being contested in good faith by appropriate Proceedings and are adequately reserved for in accordance with GAAP; (d) mechanics’, carriers’, workers’, repairers’ and similar statutory Encumbrances arising or incurred in the Ordinary Course for amounts which are not delinquent or which are being contested by appropriate Proceedings; (e) zoning, entitlement, building and other land use regulations imposed by Governmental Authorities having jurisdiction over such Person’s owned or leased real property, which are not violated by the current or anticipated use and operation of such real property; (f) any right of way or easement related to public roads and highways; (g) Encumbrances arising under workers’ compensation, unemployment insurance, social security, retirement and similar legislation; (h) Encumbrances arising from the terms of the leases and other instruments creating such title or interest that do not materially affect the value or materially impair the use or operation of such property; (i) maritime and other Encumbrances arising by operation of law or otherwise in the Ordinary Course that do not impair value or materially impair the operation of the business of the Partnership; (j) Encumbrances arising under the $800 million Senior Secured Facilities Agreement, dated as of April 27, 2016, among Golar Operating, the Partnership and the guarantors and lenders party thereto, as amended; (k) Encumbrances under the Shareholders Agreement in respect of Faraway Maritime Shipping Company, dated June 14, 1997, as amended August 8, 2016; (l) Encumbrances arising under and related to the Lease Agreement dated August 27, 2003 among A&amp;L CF June (3) Limited and Golar LNG 2215 Corporation, as amended, in respect of the </w:t>
      </w:r>
      <w:r>
        <w:rPr>
          <w:rFonts w:ascii="Times New Roman" w:cs="Times New Roman" w:eastAsia="Times New Roman" w:hAnsi="Times New Roman"/>
          <w:sz w:val="21"/>
          <w:szCs w:val="21"/>
          <w:i w:val="1"/>
          <w:iCs w:val="1"/>
          <w:color w:val="auto"/>
        </w:rPr>
        <w:t>Methane Princess</w:t>
      </w:r>
      <w:r>
        <w:rPr>
          <w:rFonts w:ascii="Times New Roman" w:cs="Times New Roman" w:eastAsia="Times New Roman" w:hAnsi="Times New Roman"/>
          <w:sz w:val="21"/>
          <w:szCs w:val="21"/>
          <w:color w:val="auto"/>
        </w:rPr>
        <w:t xml:space="preserve">, which shall be released at Closing; (m) Encumbrances arising under and related to the Share Security Deed dated November 25, 2015, by and between Golar Operating and Sea 23 Leasing Co. Limited, in respect of the </w:t>
      </w:r>
      <w:r>
        <w:rPr>
          <w:rFonts w:ascii="Times New Roman" w:cs="Times New Roman" w:eastAsia="Times New Roman" w:hAnsi="Times New Roman"/>
          <w:sz w:val="21"/>
          <w:szCs w:val="21"/>
          <w:i w:val="1"/>
          <w:iCs w:val="1"/>
          <w:color w:val="auto"/>
        </w:rPr>
        <w:t>Golar Eskimo</w:t>
      </w:r>
      <w:r>
        <w:rPr>
          <w:rFonts w:ascii="Times New Roman" w:cs="Times New Roman" w:eastAsia="Times New Roman" w:hAnsi="Times New Roman"/>
          <w:sz w:val="21"/>
          <w:szCs w:val="21"/>
          <w:color w:val="auto"/>
        </w:rPr>
        <w:t xml:space="preserve">; and (n) Encumbrances arising under and related to the $175,000,000 Term Loan and Revolving Loan Facility in respect of the </w:t>
      </w:r>
      <w:r>
        <w:rPr>
          <w:rFonts w:ascii="Times New Roman" w:cs="Times New Roman" w:eastAsia="Times New Roman" w:hAnsi="Times New Roman"/>
          <w:sz w:val="21"/>
          <w:szCs w:val="21"/>
          <w:i w:val="1"/>
          <w:iCs w:val="1"/>
          <w:color w:val="auto"/>
        </w:rPr>
        <w:t>Nusantara Regas Satu</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corporation, limited liability company, partnership, joint venture, association, trust, unincorporated organization or any other entity, including a Governmental Authority.</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(a) action, claim, suit, investigation, charge, complaint, review, litigation, audit, inquiry or other hearing or proceeding by or before any Governmental Authority, whether civil, criminal, administrative, investigative or otherwise and whether or not such proceeding results in a formal civil or criminal litigation or regulatory action, (b) arbitration or (c) mediation.</w:t>
      </w:r>
    </w:p>
    <w:p>
      <w:pPr>
        <w:spacing w:after="0" w:line="20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Proxy Statement</w:t>
      </w:r>
      <w:r>
        <w:rPr>
          <w:rFonts w:ascii="Times New Roman" w:cs="Times New Roman" w:eastAsia="Times New Roman" w:hAnsi="Times New Roman"/>
          <w:sz w:val="22"/>
          <w:szCs w:val="22"/>
          <w:color w:val="auto"/>
        </w:rPr>
        <w:t>” means the proxy statement relating to the Partnership Unitholders’ Meeting (as amended or supplemented from time to time).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releasing, spilling, leaking, pumping, pouring, emitting, emptying, discharging, injecting, escaping, leaching, dumping or disposing into the Environment.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jc w:val="both"/>
        <w:ind w:right="20"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Representatives</w:t>
      </w:r>
      <w:r>
        <w:rPr>
          <w:rFonts w:ascii="Times New Roman" w:cs="Times New Roman" w:eastAsia="Times New Roman" w:hAnsi="Times New Roman"/>
          <w:sz w:val="21"/>
          <w:szCs w:val="21"/>
          <w:color w:val="auto"/>
        </w:rPr>
        <w:t>” means, with respect to any Person, its officers, directors, employees, consultants, agents, financial advisors, investment bankers, attorneys, accountants, other advisors, Subsidiaries, controlled Affiliates and other representatives.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A Distributions</w:t>
      </w:r>
      <w:r>
        <w:rPr>
          <w:rFonts w:ascii="Times New Roman" w:cs="Times New Roman" w:eastAsia="Times New Roman" w:hAnsi="Times New Roman"/>
          <w:sz w:val="22"/>
          <w:szCs w:val="22"/>
          <w:color w:val="auto"/>
        </w:rPr>
        <w:t>” has the meaning set forth in the Partnership Agreement.</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when used with respect to any party, means any corporation, limited liability company, partnership, association, trust or other entity of which securities or other ownership interests representing 50% or more of the equity or 50% or more of the ordinary voting power (or, in the case of a partnership, 50% or more of the general partnership interests) are, as of such date, owned by such party or one or more Subsidiaries of such party or by such party and one or more Subsidiaries of such party.</w:t>
      </w:r>
    </w:p>
    <w:p>
      <w:pPr>
        <w:spacing w:after="0" w:line="20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Superior Proposal</w:t>
      </w:r>
      <w:r>
        <w:rPr>
          <w:rFonts w:ascii="Times New Roman" w:cs="Times New Roman" w:eastAsia="Times New Roman" w:hAnsi="Times New Roman"/>
          <w:sz w:val="21"/>
          <w:szCs w:val="21"/>
          <w:color w:val="auto"/>
        </w:rPr>
        <w:t xml:space="preserve">” means a bona fide written Covered Proposal that did not result from a material breach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5.04</w:t>
      </w:r>
      <w:r>
        <w:rPr>
          <w:rFonts w:ascii="Times New Roman" w:cs="Times New Roman" w:eastAsia="Times New Roman" w:hAnsi="Times New Roman"/>
          <w:sz w:val="21"/>
          <w:szCs w:val="21"/>
          <w:color w:val="auto"/>
        </w:rPr>
        <w:t>, which the Partnership Board (acting on the recommendation of the Conflicts Committee) determines in good faith (after consultation with its financial advisor and outside legal counsel), and taking into account all legal, regulatory, financial, financing and other aspects of the Covered Proposal deemed relevant by the Partnership Board (including payment of any termination fee)</w:t>
      </w:r>
    </w:p>
    <w:p>
      <w:pPr>
        <w:spacing w:after="0" w:line="2" w:lineRule="exact"/>
        <w:rPr>
          <w:sz w:val="20"/>
          <w:szCs w:val="20"/>
          <w:color w:val="auto"/>
        </w:rPr>
      </w:pPr>
    </w:p>
    <w:p>
      <w:pPr>
        <w:jc w:val="both"/>
        <w:ind w:firstLine="8"/>
        <w:spacing w:after="0" w:line="234" w:lineRule="auto"/>
        <w:tabs>
          <w:tab w:leader="none" w:pos="34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on terms and conditions more favorable from a financial point of view to the Partnership, including the Common Unitholders, than those contemplated by this Agreement, (b) the conditions to the consummation of which are all reasonably capable of being satisfied in the reasonable opinion of the Conflicts Committee and (c) for which financing, to the extent required, is then fully committed or reasonably determined to be available by the Conflicts Committee.</w:t>
      </w:r>
    </w:p>
    <w:p>
      <w:pPr>
        <w:spacing w:after="0" w:line="2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Takeover Proposal</w:t>
      </w:r>
      <w:r>
        <w:rPr>
          <w:rFonts w:ascii="Times New Roman" w:cs="Times New Roman" w:eastAsia="Times New Roman" w:hAnsi="Times New Roman"/>
          <w:sz w:val="21"/>
          <w:szCs w:val="21"/>
          <w:color w:val="auto"/>
        </w:rPr>
        <w:t>” means any inquiry, proposal or offer from any Person (other than Parent and its Subsidiaries) relating to, in a single transaction or series of related transactions, any direct or indirect (i) sale, lease, exchange, transfer or other disposition of 15% or more of the fair market value of the assets of the Partnership and its Subsidiaries, taken as a whole, (ii) sale of Common Units or other securities representing 15% or more of the Common Units of the Partnership, including by way of a tender offer or exchange offer or (iii) merger, amalgamation, consolidation, exchange, business combination, reorganization, recapitalization, liquidation, dissolution or similar transaction involving the Partnership or any of its Subsidiaries pursuant to which such Person (or the shareholders of any Person) would acquire, directly or indirectly, 15% or more of the aggregate voting power of the Partnership or the surviving entity in a transaction involving the Partnership or the resulting direct or indirect parent of the Partnership or such surviving entity in any such transaction, in each case, other than the Transactions.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Agreement</w:t>
      </w:r>
      <w:r>
        <w:rPr>
          <w:rFonts w:ascii="Times New Roman" w:cs="Times New Roman" w:eastAsia="Times New Roman" w:hAnsi="Times New Roman"/>
          <w:sz w:val="22"/>
          <w:szCs w:val="22"/>
          <w:color w:val="auto"/>
        </w:rPr>
        <w:t xml:space="preserve">” means that certain Transfer Agreement between GP Parent and GP Buyer in substantially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 Majority</w:t>
      </w:r>
      <w:r>
        <w:rPr>
          <w:rFonts w:ascii="Times New Roman" w:cs="Times New Roman" w:eastAsia="Times New Roman" w:hAnsi="Times New Roman"/>
          <w:sz w:val="22"/>
          <w:szCs w:val="22"/>
          <w:color w:val="auto"/>
        </w:rPr>
        <w:t>” has the meaning set forth in the Partnership Agreement.</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Willful Breach</w:t>
      </w:r>
      <w:r>
        <w:rPr>
          <w:rFonts w:ascii="Times New Roman" w:cs="Times New Roman" w:eastAsia="Times New Roman" w:hAnsi="Times New Roman"/>
          <w:sz w:val="22"/>
          <w:szCs w:val="22"/>
          <w:color w:val="auto"/>
        </w:rPr>
        <w:t>” means a material breach of this Agreement that is a consequence of a deliberate act or omission undertaken by the breaching party with the Knowledge that the taking of or the omission of taking such act would, or would reasonably be expected to, cause or constitute a material breach of this Agreement.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ind w:left="2100" w:hanging="796"/>
        <w:spacing w:after="0"/>
        <w:tabs>
          <w:tab w:leader="none" w:pos="21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terms are defined in the section of this Agreement set forth after such term below: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Terms Not Defined in Section 8.13(a)</w:t>
      </w:r>
    </w:p>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Section</w:t>
            </w:r>
          </w:p>
        </w:tc>
      </w:tr>
      <w:tr>
        <w:trPr>
          <w:trHeight w:val="4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2019 Form 20-F</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3.05(b)</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Adverse Recommendation Change</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5.03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Bankruptcy and Equity Exception</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3.03(a)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Book-Entry Unit</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2.01(c)</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Certificate</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2.01(c)</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1.02</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Chosen Courts</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8.07(b)</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1.06</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1.06</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 Unit Consideration</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2.01(c)</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5.08(a)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Conflicts Committee</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Conflicts Committee Financial Advisor</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3.23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Contract</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3.03(d)</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D&amp;O Tail Insurance</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5.09(b)</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1.02</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Laws</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3.16</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Permits</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3.16</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2.02(a)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Existing Confidentiality Agreement</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5.04(a)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Existing Debt Documents</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5.12(f)</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3.05(b)</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5.12(a)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GP Buyer</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GP Parent</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GP Transfer</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Hazardous Material</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3.16</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Indemnitee</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5.09(a)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Contracts</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3.18</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Entity</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3.02(d)</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Interests</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3.02(d)</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Latest Balance Sheet</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3.05(b)</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Laws</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3.08(a)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Maximum Amount</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 5.09(b)</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584"/>
        </w:trPr>
        <w:tc>
          <w:tcPr>
            <w:tcW w:w="4200" w:type="dxa"/>
            <w:vAlign w:val="bottom"/>
          </w:tcPr>
          <w:p>
            <w:pPr>
              <w:spacing w:after="0"/>
              <w:rPr>
                <w:sz w:val="24"/>
                <w:szCs w:val="24"/>
                <w:color w:val="auto"/>
              </w:rPr>
            </w:pPr>
          </w:p>
        </w:tc>
        <w:tc>
          <w:tcPr>
            <w:tcW w:w="6500" w:type="dxa"/>
            <w:vAlign w:val="bottom"/>
          </w:tcPr>
          <w:p>
            <w:pPr>
              <w:jc w:val="right"/>
              <w:ind w:right="4910"/>
              <w:spacing w:after="0"/>
              <w:rPr>
                <w:sz w:val="20"/>
                <w:szCs w:val="20"/>
                <w:color w:val="auto"/>
              </w:rPr>
            </w:pPr>
            <w:r>
              <w:rPr>
                <w:rFonts w:ascii="Times New Roman" w:cs="Times New Roman" w:eastAsia="Times New Roman" w:hAnsi="Times New Roman"/>
                <w:sz w:val="14"/>
                <w:szCs w:val="14"/>
                <w:color w:val="auto"/>
              </w:rPr>
              <w:t>69</w:t>
            </w:r>
          </w:p>
        </w:tc>
        <w:tc>
          <w:tcPr>
            <w:tcW w:w="540" w:type="dxa"/>
            <w:vAlign w:val="bottom"/>
          </w:tcPr>
          <w:p>
            <w:pPr>
              <w:spacing w:after="0"/>
              <w:rPr>
                <w:sz w:val="24"/>
                <w:szCs w:val="24"/>
                <w:color w:val="auto"/>
              </w:rPr>
            </w:pPr>
          </w:p>
        </w:tc>
      </w:tr>
      <w:tr>
        <w:trPr>
          <w:trHeight w:val="44"/>
        </w:trPr>
        <w:tc>
          <w:tcPr>
            <w:tcW w:w="4200" w:type="dxa"/>
            <w:vAlign w:val="bottom"/>
            <w:tcBorders>
              <w:bottom w:val="single" w:sz="8" w:color="auto"/>
            </w:tcBorders>
          </w:tcPr>
          <w:p>
            <w:pPr>
              <w:spacing w:after="0"/>
              <w:rPr>
                <w:sz w:val="3"/>
                <w:szCs w:val="3"/>
                <w:color w:val="auto"/>
              </w:rPr>
            </w:pPr>
          </w:p>
        </w:tc>
        <w:tc>
          <w:tcPr>
            <w:tcW w:w="65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1" w:right="3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Merger Sub Units</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2.01</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OFAC</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3.21(b)</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Parent Disclosure Schedule</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IV</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Parent Filed SEC Documents</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IV</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Partnership</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2020 SEC Documents</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3.05(a)</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Board</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Disclosure Schedule</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III</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Filed SEC Documents</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III</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Material Contracts</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3.17(a)</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Notice Period</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5.03(b)(i)</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Option</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2.04</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Securities</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3.02(b)</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Unitholders’ Meeting</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5.02(b)</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2.02(a)</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Permits</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3.08(b)</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Pre-Closing Period</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5.01(a)</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Pre-Closing Reorganization</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5.17(a)(i)</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Required Regulatory Approvals</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6.01(b)</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Sanctions</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3.21(a)</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Sanctions</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3.21(a)</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Sanctioned Country</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3.21(a)</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Sanctioned Persons</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3.21(a)</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3.02(c)</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Customer</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3.19</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Surviving Entity</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Surviving Entity Units</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2.01(a)</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Tail Period</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5.09(b)</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Takeover Law</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3.13</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Tax</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3.09(p)</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Tax Returns</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3.09(p)</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Termination Date</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7.01(b)(i)</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Termination Fee</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7.03(a)(ii)</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Transfer Taxes</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5.06</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Vessel</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3.15</w:t>
            </w:r>
          </w:p>
        </w:tc>
      </w:tr>
    </w:tbl>
    <w:p>
      <w:pPr>
        <w:spacing w:after="0" w:line="216"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8.14 </w:t>
      </w: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Except as otherwise set forth in this Agreement, whether or not the Merger is consummated, all fees and expenses incurred in connection with the Merger, this Agreement and the other Transactions shall be paid by the party incurring or required to incur such fees or expenses.</w:t>
      </w:r>
    </w:p>
    <w:p>
      <w:pPr>
        <w:spacing w:after="0" w:line="200"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8.15</w:t>
      </w:r>
      <w:r>
        <w:rPr>
          <w:sz w:val="20"/>
          <w:szCs w:val="20"/>
          <w:color w:val="auto"/>
        </w:rPr>
        <w:tab/>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both"/>
        <w:ind w:left="-460" w:firstLine="644"/>
        <w:spacing w:after="0" w:line="243" w:lineRule="auto"/>
        <w:tabs>
          <w:tab w:leader="none" w:pos="99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When a reference is made in this Agreement to an Article, a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phrase “provided or made available” with respect to the Partnership or any of its Subsidiaries shall be construed to mean posted and accessible to Parent in the “Project Lobos VDR” data site operated by Intralinks, Inc., and which has been posted to such data site prior to the execution and delivery of this Agreement.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agreements and instruments, any such amendment, modification or supplement made after the date of this Agreement shall be made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5.01(a)</w:t>
      </w:r>
      <w:r>
        <w:rPr>
          <w:rFonts w:ascii="Times New Roman" w:cs="Times New Roman" w:eastAsia="Times New Roman" w:hAnsi="Times New Roman"/>
          <w:sz w:val="21"/>
          <w:szCs w:val="21"/>
          <w:color w:val="auto"/>
        </w:rPr>
        <w:t>. Unless otherwise specifically indicated, all references to “dollars” or “$” shall refer to the lawful money of the United States. References to a Person are also to its permitted assigns and successors. Whenever the last day for the exercise of any right or the discharge of any duty under this Agreement falls on a day other than a Business Day, the party having such right or duty shall have until the next Business Day to exercise such right or discharge such duty.</w:t>
      </w:r>
    </w:p>
    <w:p>
      <w:pPr>
        <w:spacing w:after="0" w:line="207" w:lineRule="exact"/>
        <w:rPr>
          <w:rFonts w:ascii="Times New Roman" w:cs="Times New Roman" w:eastAsia="Times New Roman" w:hAnsi="Times New Roman"/>
          <w:sz w:val="21"/>
          <w:szCs w:val="21"/>
          <w:color w:val="auto"/>
        </w:rPr>
      </w:pPr>
    </w:p>
    <w:p>
      <w:pPr>
        <w:jc w:val="both"/>
        <w:ind w:left="-460" w:firstLine="644"/>
        <w:spacing w:after="0" w:line="239" w:lineRule="auto"/>
        <w:tabs>
          <w:tab w:leader="none" w:pos="92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38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84" w:name="page85"/>
    <w:bookmarkEnd w:id="84"/>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8.16 </w:t>
      </w:r>
      <w:r>
        <w:rPr>
          <w:rFonts w:ascii="Times New Roman" w:cs="Times New Roman" w:eastAsia="Times New Roman" w:hAnsi="Times New Roman"/>
          <w:sz w:val="22"/>
          <w:szCs w:val="22"/>
          <w:u w:val="single" w:color="auto"/>
          <w:color w:val="auto"/>
        </w:rPr>
        <w:t>Non-Recourse Against Financing Sources; Waiver of Certain Claims</w:t>
      </w:r>
      <w:r>
        <w:rPr>
          <w:rFonts w:ascii="Times New Roman" w:cs="Times New Roman" w:eastAsia="Times New Roman" w:hAnsi="Times New Roman"/>
          <w:sz w:val="22"/>
          <w:szCs w:val="22"/>
          <w:color w:val="auto"/>
        </w:rPr>
        <w:t>. Each of the Partnership, on behalf of itself and its Affiliates, and the General Partner, on behalf of itself and its Affiliates, hereby agrees that none of the Financing Sources shall have any liability or obligations to the Partnership, the General Partner or any of their respective Affiliates relating to this Agreement or any of the transactions contemplated hereby (including with respect to the Financing). Each of the Partnership, on behalf of itself and its Affiliates, and the General Partner, on behalf of itself and its Affiliates, hereby waives any and all claims and causes of action (whether at law, in equity, in contract, in tort or otherwise) against the Financing Sources that may be based upon, arise out of or relate to this Agreement, any financing commitment or the transactions contemplated hereby (including the Financing).</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remainder of the page is intentionally left blank.]</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5" w:name="page86"/>
    <w:bookmarkEnd w:id="85"/>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and delivered as of the date first above written.</w:t>
      </w:r>
    </w:p>
    <w:p>
      <w:pPr>
        <w:spacing w:after="0" w:line="1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GOLAR LNG PARTNERS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Karl Fredrik Staubo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Karl Fredrik Staubo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GOLAR GP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Georgina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Georgina Sousa</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Agreement and Plan of Merger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6" w:name="page87"/>
    <w:bookmarkEnd w:id="86"/>
    <w:p>
      <w:pPr>
        <w:ind w:left="4520"/>
        <w:spacing w:after="0"/>
        <w:rPr>
          <w:sz w:val="20"/>
          <w:szCs w:val="20"/>
          <w:color w:val="auto"/>
        </w:rPr>
      </w:pPr>
      <w:r>
        <w:rPr>
          <w:rFonts w:ascii="Times New Roman" w:cs="Times New Roman" w:eastAsia="Times New Roman" w:hAnsi="Times New Roman"/>
          <w:sz w:val="18"/>
          <w:szCs w:val="18"/>
          <w:color w:val="auto"/>
        </w:rPr>
        <w:t>NEW FORTRESS ENERGY INC.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Christopher Guinta</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LOBOS ACQUISITION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Christopher Guinta</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NFE INTERNATIONAL HOLDINGS LIMITED</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Christopher Guinta</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Agreement and Plan of Merger</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398145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2.2</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TRANSFER AGREEMENT</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THIS TRANSFER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January 13, 2021, by and among Golar LNG Limited, a Bermuda exempted company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Golar GP LLC, a Marshall Islands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NFE International Holdings Limited, a private limited company incorporated under the laws of England and Wales, United Kingdom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Seller is the owner of 100% of the limited liability company membership interests in the Company, including all rights and obligations relating thereto and all economic and capital interest therein;</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WHEREAS, Purchaser and the Company have entered into that certain Agreement and Plan of Merger, dated as of January 13, 2021 (the “</w:t>
      </w:r>
      <w:r>
        <w:rPr>
          <w:rFonts w:ascii="Times New Roman" w:cs="Times New Roman" w:eastAsia="Times New Roman" w:hAnsi="Times New Roman"/>
          <w:sz w:val="22"/>
          <w:szCs w:val="22"/>
          <w:u w:val="single" w:color="auto"/>
          <w:color w:val="auto"/>
        </w:rPr>
        <w:t>Merger Agreement</w:t>
      </w:r>
      <w:r>
        <w:rPr>
          <w:rFonts w:ascii="Times New Roman" w:cs="Times New Roman" w:eastAsia="Times New Roman" w:hAnsi="Times New Roman"/>
          <w:sz w:val="22"/>
          <w:szCs w:val="22"/>
          <w:color w:val="auto"/>
        </w:rPr>
        <w:t>”), by and among Golar LNG Partners LP, a Marshall Islands limited partnership, the Company, New Fortress Energy Inc., a Delaware corporation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Lobos Acquisition LLC, a Marshall Islands limited liability company, and Purchaser;</w:t>
      </w:r>
    </w:p>
    <w:p>
      <w:pPr>
        <w:spacing w:after="0" w:line="2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WHEREAS, Purchaser and Seller desire that, concurrently with the closing of the transactions contemplated by the Merger Agreement, Seller sell, assign and convey to Purchaser, and Purchaser purchase and accept from Seller, 100% of the limited liability company membership interests in the Company (the “</w:t>
      </w:r>
      <w:r>
        <w:rPr>
          <w:rFonts w:ascii="Times New Roman" w:cs="Times New Roman" w:eastAsia="Times New Roman" w:hAnsi="Times New Roman"/>
          <w:sz w:val="22"/>
          <w:szCs w:val="22"/>
          <w:u w:val="single" w:color="auto"/>
          <w:color w:val="auto"/>
        </w:rPr>
        <w:t>Membership Interests</w:t>
      </w:r>
      <w:r>
        <w:rPr>
          <w:rFonts w:ascii="Times New Roman" w:cs="Times New Roman" w:eastAsia="Times New Roman" w:hAnsi="Times New Roman"/>
          <w:sz w:val="22"/>
          <w:szCs w:val="22"/>
          <w:color w:val="auto"/>
        </w:rPr>
        <w:t>”), free and clear of all Liens and on the terms and conditions hereinafter set forth in this Agreement;</w:t>
      </w:r>
    </w:p>
    <w:p>
      <w:pPr>
        <w:spacing w:after="0" w:line="20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WHEREAS, the parties intend that, concurrently with the Closing (as defined below), the parties to the Merger Agreement will consummate the Merger;</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WHEREAS, concurrently with the Closing, Seller and Purchaser will enter into an Omnibus Agreement substantially on the terms as contemplated by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of this Agreement (the “</w:t>
      </w:r>
      <w:r>
        <w:rPr>
          <w:rFonts w:ascii="Times New Roman" w:cs="Times New Roman" w:eastAsia="Times New Roman" w:hAnsi="Times New Roman"/>
          <w:sz w:val="22"/>
          <w:szCs w:val="22"/>
          <w:u w:val="single" w:color="auto"/>
          <w:color w:val="auto"/>
        </w:rPr>
        <w:t>Omnibus Agreement</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WHEREAS, concurrently with the Closing, Seller and Purchaser will enter into a Tax Indemnity Agreement substantially on the terms as contemplated by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of this Agreement (the “</w:t>
      </w:r>
      <w:r>
        <w:rPr>
          <w:rFonts w:ascii="Times New Roman" w:cs="Times New Roman" w:eastAsia="Times New Roman" w:hAnsi="Times New Roman"/>
          <w:sz w:val="22"/>
          <w:szCs w:val="22"/>
          <w:u w:val="single" w:color="auto"/>
          <w:color w:val="auto"/>
        </w:rPr>
        <w:t>Tax Indemnity Agreement</w:t>
      </w:r>
      <w:r>
        <w:rPr>
          <w:rFonts w:ascii="Times New Roman" w:cs="Times New Roman" w:eastAsia="Times New Roman" w:hAnsi="Times New Roman"/>
          <w:sz w:val="22"/>
          <w:szCs w:val="22"/>
          <w:color w:val="auto"/>
        </w:rPr>
        <w:t>”); and</w:t>
      </w:r>
    </w:p>
    <w:p>
      <w:pPr>
        <w:spacing w:after="0" w:line="18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WHEREAS, any capitalized term used but not defined herein shall have the respective meanings ascribed to such term in the Merger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foregoing, the parties hereto agree as follows: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THE PURCHASE AND TRANSFER OF MEMBERSHIP INTERESTS</w:t>
      </w:r>
    </w:p>
    <w:p>
      <w:pPr>
        <w:spacing w:after="0" w:line="237" w:lineRule="exact"/>
        <w:rPr>
          <w:sz w:val="20"/>
          <w:szCs w:val="20"/>
          <w:color w:val="auto"/>
        </w:rPr>
      </w:pPr>
    </w:p>
    <w:p>
      <w:pPr>
        <w:jc w:val="both"/>
        <w:ind w:firstLine="3078"/>
        <w:spacing w:after="0" w:line="239"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Purchase and Sale of Membership Interests</w:t>
      </w:r>
      <w:r>
        <w:rPr>
          <w:rFonts w:ascii="Times New Roman" w:cs="Times New Roman" w:eastAsia="Times New Roman" w:hAnsi="Times New Roman"/>
          <w:sz w:val="22"/>
          <w:szCs w:val="22"/>
          <w:color w:val="auto"/>
        </w:rPr>
        <w:t>. On the terms and conditions hereinafter set forth, effective at the Closing (as defined below), Seller hereby agrees to sell, assign and convey to Purchaser, and Purchaser hereby agrees to purchase and accept from Seller, all of Seller’s right, title and interest in and to the Membership Interests, free and clear of any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8" w:name="page89"/>
    <w:bookmarkEnd w:id="88"/>
    <w:p>
      <w:pPr>
        <w:jc w:val="both"/>
        <w:ind w:firstLine="3078"/>
        <w:spacing w:after="0" w:line="259"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The closing of the transaction described herein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occur concurrently with the closing of the transactions contemplated by the Merger Agreement on the Closing Date.</w:t>
      </w:r>
    </w:p>
    <w:p>
      <w:pPr>
        <w:spacing w:after="0" w:line="184" w:lineRule="exact"/>
        <w:rPr>
          <w:sz w:val="20"/>
          <w:szCs w:val="20"/>
          <w:color w:val="auto"/>
        </w:rPr>
      </w:pPr>
    </w:p>
    <w:p>
      <w:pPr>
        <w:jc w:val="both"/>
        <w:ind w:firstLine="3078"/>
        <w:spacing w:after="0" w:line="239"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The purchase price for the Membership Interests shall be $5,099,188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On the Closing Date, Purchaser shall pay to Seller the Purchase Price as follows: At the Closing, Purchaser shall deposit, or cause to be deposited, an amount equal to the Purchase Price in immediately available funds into an account designated by Seller at least two Business Days prior to the Closing.</w:t>
      </w:r>
    </w:p>
    <w:p>
      <w:pPr>
        <w:spacing w:after="0" w:line="207" w:lineRule="exact"/>
        <w:rPr>
          <w:sz w:val="20"/>
          <w:szCs w:val="20"/>
          <w:color w:val="auto"/>
        </w:rPr>
      </w:pPr>
    </w:p>
    <w:p>
      <w:pPr>
        <w:ind w:left="3080"/>
        <w:spacing w:after="0"/>
        <w:tabs>
          <w:tab w:leader="none" w:pos="4580" w:val="left"/>
        </w:tabs>
        <w:rPr>
          <w:sz w:val="20"/>
          <w:szCs w:val="20"/>
          <w:color w:val="auto"/>
        </w:rPr>
      </w:pPr>
      <w:r>
        <w:rPr>
          <w:rFonts w:ascii="Times New Roman" w:cs="Times New Roman" w:eastAsia="Times New Roman" w:hAnsi="Times New Roman"/>
          <w:sz w:val="22"/>
          <w:szCs w:val="22"/>
          <w:color w:val="auto"/>
        </w:rPr>
        <w:t>Section 1.4</w:t>
      </w:r>
      <w:r>
        <w:rPr>
          <w:sz w:val="20"/>
          <w:szCs w:val="20"/>
          <w:color w:val="auto"/>
        </w:rPr>
        <w:tab/>
      </w:r>
      <w:r>
        <w:rPr>
          <w:rFonts w:ascii="Times New Roman" w:cs="Times New Roman" w:eastAsia="Times New Roman" w:hAnsi="Times New Roman"/>
          <w:sz w:val="21"/>
          <w:szCs w:val="21"/>
          <w:u w:val="single" w:color="auto"/>
          <w:color w:val="auto"/>
        </w:rPr>
        <w:t>Deliverables on the Closing Date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4600" w:hanging="866"/>
        <w:spacing w:after="0"/>
        <w:tabs>
          <w:tab w:leader="none" w:pos="460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Closing, Seller shall deliver or cause to be delivered to Purchaser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w:t>
      </w:r>
    </w:p>
    <w:p>
      <w:pPr>
        <w:spacing w:after="0" w:line="209" w:lineRule="exact"/>
        <w:rPr>
          <w:sz w:val="20"/>
          <w:szCs w:val="20"/>
          <w:color w:val="auto"/>
        </w:rPr>
      </w:pPr>
    </w:p>
    <w:p>
      <w:pPr>
        <w:jc w:val="both"/>
        <w:ind w:left="660" w:right="660" w:firstLine="3722"/>
        <w:spacing w:after="0" w:line="238" w:lineRule="auto"/>
        <w:tabs>
          <w:tab w:leader="none" w:pos="4873"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Assignment and Assumption Agreement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Assignment and Assumption Agreement</w:t>
      </w:r>
      <w:r>
        <w:rPr>
          <w:rFonts w:ascii="Times New Roman" w:cs="Times New Roman" w:eastAsia="Times New Roman" w:hAnsi="Times New Roman"/>
          <w:sz w:val="22"/>
          <w:szCs w:val="22"/>
          <w:color w:val="auto"/>
        </w:rPr>
        <w:t>”), duly executed by Seller and acknowledged, pursuant to which Seller shall transfer to Purchaser all of Seller’s right, title and interest in and to the Membership Interests, free and clear of any Liens, and Purchaser shall assume all of the obligations of Seller under the Company’s Limited Liability Company Agreement with respect to the Membership Interests;</w:t>
      </w:r>
    </w:p>
    <w:p>
      <w:pPr>
        <w:spacing w:after="0" w:line="203" w:lineRule="exact"/>
        <w:rPr>
          <w:rFonts w:ascii="Times New Roman" w:cs="Times New Roman" w:eastAsia="Times New Roman" w:hAnsi="Times New Roman"/>
          <w:sz w:val="22"/>
          <w:szCs w:val="22"/>
          <w:color w:val="auto"/>
        </w:rPr>
      </w:pPr>
    </w:p>
    <w:p>
      <w:pPr>
        <w:ind w:left="4800" w:hanging="418"/>
        <w:spacing w:after="0"/>
        <w:tabs>
          <w:tab w:leader="none" w:pos="480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Omnibus Agreement, duly executed by Seller;</w:t>
      </w:r>
    </w:p>
    <w:p>
      <w:pPr>
        <w:spacing w:after="0" w:line="233" w:lineRule="exact"/>
        <w:rPr>
          <w:rFonts w:ascii="Times New Roman" w:cs="Times New Roman" w:eastAsia="Times New Roman" w:hAnsi="Times New Roman"/>
          <w:sz w:val="22"/>
          <w:szCs w:val="22"/>
          <w:color w:val="auto"/>
        </w:rPr>
      </w:pPr>
    </w:p>
    <w:p>
      <w:pPr>
        <w:ind w:left="4820" w:hanging="438"/>
        <w:spacing w:after="0"/>
        <w:tabs>
          <w:tab w:leader="none" w:pos="482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Tax Indemnity Agreement, duly executed by Seller; and</w:t>
      </w:r>
    </w:p>
    <w:p>
      <w:pPr>
        <w:spacing w:after="0" w:line="233" w:lineRule="exact"/>
        <w:rPr>
          <w:rFonts w:ascii="Times New Roman" w:cs="Times New Roman" w:eastAsia="Times New Roman" w:hAnsi="Times New Roman"/>
          <w:sz w:val="22"/>
          <w:szCs w:val="22"/>
          <w:color w:val="auto"/>
        </w:rPr>
      </w:pPr>
    </w:p>
    <w:p>
      <w:pPr>
        <w:ind w:left="4900" w:hanging="518"/>
        <w:spacing w:after="0"/>
        <w:tabs>
          <w:tab w:leader="none" w:pos="490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documents and instruments reasonably required by</w:t>
      </w:r>
    </w:p>
    <w:p>
      <w:pPr>
        <w:spacing w:after="0" w:line="14"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to effect the transfer of the Membership Interests pursuant to this Agreement.</w:t>
      </w:r>
    </w:p>
    <w:p>
      <w:pPr>
        <w:spacing w:after="0" w:line="209" w:lineRule="exact"/>
        <w:rPr>
          <w:rFonts w:ascii="Times New Roman" w:cs="Times New Roman" w:eastAsia="Times New Roman" w:hAnsi="Times New Roman"/>
          <w:sz w:val="22"/>
          <w:szCs w:val="22"/>
          <w:color w:val="auto"/>
        </w:rPr>
      </w:pPr>
    </w:p>
    <w:p>
      <w:pPr>
        <w:ind w:left="4520" w:hanging="786"/>
        <w:spacing w:after="0"/>
        <w:tabs>
          <w:tab w:leader="none" w:pos="45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Purchaser shall deliver or cause to be delivered to Seller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w:t>
      </w:r>
    </w:p>
    <w:p>
      <w:pPr>
        <w:spacing w:after="0" w:line="209" w:lineRule="exact"/>
        <w:rPr>
          <w:rFonts w:ascii="Times New Roman" w:cs="Times New Roman" w:eastAsia="Times New Roman" w:hAnsi="Times New Roman"/>
          <w:sz w:val="22"/>
          <w:szCs w:val="22"/>
          <w:color w:val="auto"/>
        </w:rPr>
      </w:pPr>
    </w:p>
    <w:p>
      <w:pPr>
        <w:ind w:left="4860" w:hanging="478"/>
        <w:spacing w:after="0"/>
        <w:tabs>
          <w:tab w:leader="none" w:pos="486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signature page to the Assignment and Assumption</w:t>
      </w:r>
    </w:p>
    <w:p>
      <w:pPr>
        <w:spacing w:after="0" w:line="14"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duly executed by Purchaser;</w:t>
      </w:r>
    </w:p>
    <w:p>
      <w:pPr>
        <w:spacing w:after="0" w:line="209" w:lineRule="exact"/>
        <w:rPr>
          <w:rFonts w:ascii="Times New Roman" w:cs="Times New Roman" w:eastAsia="Times New Roman" w:hAnsi="Times New Roman"/>
          <w:sz w:val="22"/>
          <w:szCs w:val="22"/>
          <w:color w:val="auto"/>
        </w:rPr>
      </w:pPr>
    </w:p>
    <w:p>
      <w:pPr>
        <w:ind w:left="4800" w:hanging="418"/>
        <w:spacing w:after="0"/>
        <w:tabs>
          <w:tab w:leader="none" w:pos="480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signature page to the Omnibus Agreement, duly</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executed by Purchaser;</w:t>
      </w:r>
    </w:p>
    <w:p>
      <w:pPr>
        <w:spacing w:after="0" w:line="20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(iii) a counterpart signature page to the Tax Indemnity Agreement,</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duly executed by Purchaser;</w:t>
      </w:r>
    </w:p>
    <w:p>
      <w:pPr>
        <w:spacing w:after="0" w:line="209" w:lineRule="exact"/>
        <w:rPr>
          <w:sz w:val="20"/>
          <w:szCs w:val="20"/>
          <w:color w:val="auto"/>
        </w:rPr>
      </w:pPr>
    </w:p>
    <w:p>
      <w:pPr>
        <w:ind w:left="4800" w:hanging="418"/>
        <w:spacing w:after="0"/>
        <w:tabs>
          <w:tab w:leader="none" w:pos="48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documents and instruments reasonably required by</w:t>
      </w:r>
    </w:p>
    <w:p>
      <w:pPr>
        <w:spacing w:after="0" w:line="14"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to effect the transfer of the Membership Interests pursuant to this Agreement.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9" w:name="page90"/>
    <w:bookmarkEnd w:id="89"/>
    <w:p>
      <w:pPr>
        <w:jc w:val="both"/>
        <w:ind w:firstLine="3078"/>
        <w:spacing w:after="0" w:line="234"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Purchaser and its Affiliates shall be entitled to deduct and withhold, or cause to be deducted and withheld, from any amount payable to Seller or any of its Affiliates pursuant to this Agreement, any amounts that would be required to be deducted and withheld under applicable Laws in respect of Taxes. To the extent such amounts are so deducted or withheld and timely paid over to the applicable Governmental Authority or other applicable Person in accordance with applicable Law, such amounts shall be treated for all purposes under this Agreement as having been paid to the Person to whom such amounts would otherwise have been paid. Purchaser and Seller shall reasonably cooperate, and shall cause their respective Affiliates to reasonably cooperate, in order to reduce or eliminate any amounts that would be required to be deducted and withheld on payments made pursuant to this Agreement under applicable Laws in respect of Taxes.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REPRESENTATIONS AND WARRANTIES OF SELLER AND THE COMPANY</w:t>
      </w:r>
    </w:p>
    <w:p>
      <w:pPr>
        <w:spacing w:after="0" w:line="23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Seller and the Company jointly and severally represent and warrant to Purchaser, except as set forth in the disclosure schedule delivered by the Seller on the date of this Agreement (the “</w:t>
      </w:r>
      <w:r>
        <w:rPr>
          <w:rFonts w:ascii="Times New Roman" w:cs="Times New Roman" w:eastAsia="Times New Roman" w:hAnsi="Times New Roman"/>
          <w:sz w:val="22"/>
          <w:szCs w:val="22"/>
          <w:u w:val="single" w:color="auto"/>
          <w:color w:val="auto"/>
        </w:rPr>
        <w:t>Seller Disclosure Schedule</w:t>
      </w:r>
      <w:r>
        <w:rPr>
          <w:rFonts w:ascii="Times New Roman" w:cs="Times New Roman" w:eastAsia="Times New Roman" w:hAnsi="Times New Roman"/>
          <w:sz w:val="22"/>
          <w:szCs w:val="22"/>
          <w:color w:val="auto"/>
        </w:rPr>
        <w:t>”) (it being understood that any information set forth on one section or subsection of the Seller Disclosure Schedule shall be deemed to apply to and qualify the section or subsection of this Agreement to which it corresponds in number and each other section or subsection of this Agreement to the extent that it is reasonably apparent on the face of such disclosure that such information is relevant to such other section or subsection):</w:t>
      </w:r>
    </w:p>
    <w:p>
      <w:pPr>
        <w:spacing w:after="0" w:line="208" w:lineRule="exact"/>
        <w:rPr>
          <w:sz w:val="20"/>
          <w:szCs w:val="20"/>
          <w:color w:val="auto"/>
        </w:rPr>
      </w:pPr>
    </w:p>
    <w:p>
      <w:pPr>
        <w:ind w:left="3080"/>
        <w:spacing w:after="0"/>
        <w:tabs>
          <w:tab w:leader="none" w:pos="458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Organization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40" w:firstLine="3734"/>
        <w:spacing w:after="0" w:line="238" w:lineRule="auto"/>
        <w:tabs>
          <w:tab w:leader="none" w:pos="450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a Bermuda exempted company duly organized, validly existing and in good standing under the Laws of Bermuda. Seller has all requisite power and authority necessary to carry on its business as it is now being conducted and to own, lease and operate its assets and properties, except (other than with respect to the due incorporation and valid existence of Seller) as would not reasonably be expected to have, individually or in the aggregate, a Material Adverse Effect.</w:t>
      </w:r>
    </w:p>
    <w:p>
      <w:pPr>
        <w:spacing w:after="0" w:line="203" w:lineRule="exact"/>
        <w:rPr>
          <w:rFonts w:ascii="Times New Roman" w:cs="Times New Roman" w:eastAsia="Times New Roman" w:hAnsi="Times New Roman"/>
          <w:sz w:val="22"/>
          <w:szCs w:val="22"/>
          <w:color w:val="auto"/>
        </w:rPr>
      </w:pPr>
    </w:p>
    <w:p>
      <w:pPr>
        <w:ind w:left="4520" w:hanging="786"/>
        <w:spacing w:after="0"/>
        <w:tabs>
          <w:tab w:leader="none" w:pos="452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a Marshall Islands limited liability company duly organized,</w:t>
      </w:r>
    </w:p>
    <w:p>
      <w:pPr>
        <w:spacing w:after="0" w:line="25" w:lineRule="exact"/>
        <w:rPr>
          <w:rFonts w:ascii="Times New Roman" w:cs="Times New Roman" w:eastAsia="Times New Roman" w:hAnsi="Times New Roman"/>
          <w:sz w:val="21"/>
          <w:szCs w:val="21"/>
          <w:color w:val="auto"/>
        </w:rPr>
      </w:pPr>
    </w:p>
    <w:p>
      <w:pPr>
        <w:ind w:right="240"/>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validly existing and in good standing under the Laws of the Republic of the Marshall Islands. The Company has all requisite power and authority necessary to carry on its business as it is now being conducted and to own, lease and operate its assets and properties, except (other than with respect to the due incorporation and valid existence of Seller) as would not reasonably be expected to have, individually or in the aggregate, a Material Adverse Effect. The Company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reasonably be expected to have, individually or in the aggregate, a Material Adverse Effect. Seller has provided to Purchaser a true and complete copy of the Company’s certificate of formation and limited liability company agreement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Organizational Documents</w:t>
      </w:r>
      <w:r>
        <w:rPr>
          <w:rFonts w:ascii="Times New Roman" w:cs="Times New Roman" w:eastAsia="Times New Roman" w:hAnsi="Times New Roman"/>
          <w:sz w:val="21"/>
          <w:szCs w:val="21"/>
          <w:color w:val="auto"/>
        </w:rPr>
        <w:t>”). The Company is not in violation of the Company Organizational Documents.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0" w:name="page91"/>
    <w:bookmarkEnd w:id="90"/>
    <w:p>
      <w:pPr>
        <w:ind w:left="3080"/>
        <w:spacing w:after="0"/>
        <w:tabs>
          <w:tab w:leader="none" w:pos="4580" w:val="left"/>
        </w:tabs>
        <w:rPr>
          <w:sz w:val="20"/>
          <w:szCs w:val="20"/>
          <w:color w:val="auto"/>
        </w:rPr>
      </w:pPr>
      <w:r>
        <w:rPr>
          <w:rFonts w:ascii="Times New Roman" w:cs="Times New Roman" w:eastAsia="Times New Roman" w:hAnsi="Times New Roman"/>
          <w:sz w:val="22"/>
          <w:szCs w:val="22"/>
          <w:color w:val="auto"/>
        </w:rPr>
        <w:t>Section 2.2</w:t>
      </w:r>
      <w:r>
        <w:rPr>
          <w:sz w:val="20"/>
          <w:szCs w:val="20"/>
          <w:color w:val="auto"/>
        </w:rPr>
        <w:tab/>
      </w:r>
      <w:r>
        <w:rPr>
          <w:rFonts w:ascii="Times New Roman" w:cs="Times New Roman" w:eastAsia="Times New Roman" w:hAnsi="Times New Roman"/>
          <w:sz w:val="21"/>
          <w:szCs w:val="21"/>
          <w:u w:val="single" w:color="auto"/>
          <w:color w:val="auto"/>
        </w:rPr>
        <w:t>Capitalization of the Company</w:t>
      </w:r>
    </w:p>
    <w:p>
      <w:pPr>
        <w:spacing w:after="0" w:line="234" w:lineRule="exact"/>
        <w:rPr>
          <w:sz w:val="20"/>
          <w:szCs w:val="20"/>
          <w:color w:val="auto"/>
        </w:rPr>
      </w:pPr>
    </w:p>
    <w:p>
      <w:pPr>
        <w:jc w:val="both"/>
        <w:ind w:firstLine="3734"/>
        <w:spacing w:after="0" w:line="236" w:lineRule="auto"/>
        <w:tabs>
          <w:tab w:leader="none" w:pos="453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Membership Interests constitute all of the issued and outstanding equity securities of or in the Company. Seller holds record and beneficial ownership of 100% of the Membership Interests, free and clear of any and all Liens. Upon transfer of the Membership Interests to Purchaser, Purchaser will hold record and beneficial ownership of 100% of the Membership Interests free and clear of all Liens. The Membership Interests were duly authorized and validly issued, and are fully paid and non-assessable. No equity security (except for the Membership Interests) of or in the General Partner has ever been issued.</w:t>
      </w:r>
    </w:p>
    <w:p>
      <w:pPr>
        <w:spacing w:after="0" w:line="208" w:lineRule="exact"/>
        <w:rPr>
          <w:rFonts w:ascii="Times New Roman" w:cs="Times New Roman" w:eastAsia="Times New Roman" w:hAnsi="Times New Roman"/>
          <w:sz w:val="22"/>
          <w:szCs w:val="22"/>
          <w:color w:val="auto"/>
        </w:rPr>
      </w:pPr>
    </w:p>
    <w:p>
      <w:pPr>
        <w:jc w:val="both"/>
        <w:ind w:firstLine="3734"/>
        <w:spacing w:after="0" w:line="236" w:lineRule="auto"/>
        <w:tabs>
          <w:tab w:leader="none" w:pos="43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this Agreement and the Limited Liability Company Agreement of the Company, dated September 24, 2007, together with all amendments thereto (the “</w:t>
      </w:r>
      <w:r>
        <w:rPr>
          <w:rFonts w:ascii="Times New Roman" w:cs="Times New Roman" w:eastAsia="Times New Roman" w:hAnsi="Times New Roman"/>
          <w:sz w:val="22"/>
          <w:szCs w:val="22"/>
          <w:u w:val="single" w:color="auto"/>
          <w:color w:val="auto"/>
        </w:rPr>
        <w:t>GP LLC Agreement</w:t>
      </w:r>
      <w:r>
        <w:rPr>
          <w:rFonts w:ascii="Times New Roman" w:cs="Times New Roman" w:eastAsia="Times New Roman" w:hAnsi="Times New Roman"/>
          <w:sz w:val="22"/>
          <w:szCs w:val="22"/>
          <w:color w:val="auto"/>
        </w:rPr>
        <w:t>”), there are no outstanding Contracts or obligations binding on the Company or any security holders of the Company with respect to the equity securities of or in the Company, including any Contract (i) restricting the transfer of, (ii) affecting the voting rights of, (iii) requiring the repurchase, redemption or disposition of, or containing any right of first refusal with respect to, (iv) requiring any registration for sale of or (v) granting any preemptive or anti-dilutive rights with respect to, any such equity security.</w:t>
      </w:r>
    </w:p>
    <w:p>
      <w:pPr>
        <w:spacing w:after="0" w:line="208" w:lineRule="exact"/>
        <w:rPr>
          <w:rFonts w:ascii="Times New Roman" w:cs="Times New Roman" w:eastAsia="Times New Roman" w:hAnsi="Times New Roman"/>
          <w:sz w:val="22"/>
          <w:szCs w:val="22"/>
          <w:color w:val="auto"/>
        </w:rPr>
      </w:pPr>
    </w:p>
    <w:p>
      <w:pPr>
        <w:ind w:firstLine="3734"/>
        <w:spacing w:after="0" w:line="258" w:lineRule="auto"/>
        <w:tabs>
          <w:tab w:leader="none" w:pos="439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Seller or any of its Affiliates has entered into any Contract obligating the Company to issue, sell or dispose of any equity security of any Person.</w:t>
      </w:r>
    </w:p>
    <w:p>
      <w:pPr>
        <w:spacing w:after="0" w:line="185" w:lineRule="exact"/>
        <w:rPr>
          <w:sz w:val="20"/>
          <w:szCs w:val="20"/>
          <w:color w:val="auto"/>
        </w:rPr>
      </w:pPr>
    </w:p>
    <w:p>
      <w:pPr>
        <w:ind w:left="3080"/>
        <w:spacing w:after="0"/>
        <w:tabs>
          <w:tab w:leader="none" w:pos="458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u w:val="single" w:color="auto"/>
          <w:color w:val="auto"/>
        </w:rPr>
        <w:t>Authority; Noncontravention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4520" w:hanging="786"/>
        <w:spacing w:after="0"/>
        <w:tabs>
          <w:tab w:leader="none" w:pos="45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Seller and the Company has all necessary power and authority to</w:t>
      </w:r>
    </w:p>
    <w:p>
      <w:pPr>
        <w:spacing w:after="0" w:line="14" w:lineRule="exact"/>
        <w:rPr>
          <w:rFonts w:ascii="Times New Roman" w:cs="Times New Roman" w:eastAsia="Times New Roman" w:hAnsi="Times New Roman"/>
          <w:sz w:val="22"/>
          <w:szCs w:val="22"/>
          <w:color w:val="auto"/>
        </w:rPr>
      </w:pPr>
    </w:p>
    <w:p>
      <w:pPr>
        <w:ind w:right="4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execute and deliver this Agreement and to perform its respective obligations hereunder. The execution, delivery and performance by Seller and the Company of this Agreement (the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have been duly and unanimously authorized and approved by the Board of Directors of each of Seller and the Company and no other corporate action on the part of each of Seller or the Company is necessary to authorize the execution, delivery and performance by Seller or the Company of this Agreement and the consummation by Seller or the Company of the Transaction. This Agreement has been duly executed and delivered by each of Seller and the Company and, assuming due authorization, execution and delivery hereof by Purchaser, constitutes a legal, valid and binding obligation of each of Seller and the Company, enforceable against each of Seller and the Company in accordance with its terms, subject to the Bankruptcy and Equity Exception. The Board of Directors of each of Seller and the Company has unanimously (i) determined that this Agreement, on the terms and subject to the conditions set forth herein, is in the best interests of, Seller, the Company and their respective shareholders or members, respectively, and (ii) adopted resolutions that have approved this Agreement, and such resolutions have not been subsequently rescinded, modified or withdrawn in any way.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1" w:name="page92"/>
    <w:bookmarkEnd w:id="91"/>
    <w:p>
      <w:pPr>
        <w:ind w:left="4520" w:hanging="786"/>
        <w:spacing w:after="0"/>
        <w:tabs>
          <w:tab w:leader="none" w:pos="45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by each of Seller and the Company of this</w:t>
      </w:r>
    </w:p>
    <w:p>
      <w:pPr>
        <w:spacing w:after="0" w:line="14" w:lineRule="exact"/>
        <w:rPr>
          <w:rFonts w:ascii="Times New Roman" w:cs="Times New Roman" w:eastAsia="Times New Roman" w:hAnsi="Times New Roman"/>
          <w:sz w:val="22"/>
          <w:szCs w:val="22"/>
          <w:color w:val="auto"/>
        </w:rPr>
      </w:pPr>
    </w:p>
    <w:p>
      <w:pPr>
        <w:ind w:right="8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or any other documents required hereunder to be executed and delivered by Seller or the Company pursuant to this Agreement, and the consummation by Seller or the Company of the Transaction, will not (i) conflict with, violate or result in a default under each of Seller’s memorandum of association and bye-laws or the Company Organizational Documents, (ii) conflict with or result in a breach, default or violation of, or require a consent under, any Law, order, Contract, document or Permit to which Seller or the Company is a party or to which Seller or the Company assets are subject, or (iii) require Seller or the Company to obtain or make any consent from or with any Person, except, in the case of clause (i) through (iii), as would not reasonably be expected to have a Material Adverse Effect.</w:t>
      </w:r>
    </w:p>
    <w:p>
      <w:pPr>
        <w:spacing w:after="0" w:line="208" w:lineRule="exact"/>
        <w:rPr>
          <w:rFonts w:ascii="Times New Roman" w:cs="Times New Roman" w:eastAsia="Times New Roman" w:hAnsi="Times New Roman"/>
          <w:sz w:val="22"/>
          <w:szCs w:val="22"/>
          <w:color w:val="auto"/>
        </w:rPr>
      </w:pPr>
    </w:p>
    <w:p>
      <w:pPr>
        <w:jc w:val="both"/>
        <w:ind w:firstLine="3734"/>
        <w:spacing w:after="0" w:line="238" w:lineRule="auto"/>
        <w:tabs>
          <w:tab w:leader="none" w:pos="450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Seller and the Company has all requisite power and authority and has taken all necessary action in order to execute and deliver this Agreement and the other agreements contemplated hereby to which it is or will be a party and to perform its obligations hereunder and thereunder. The execution and delivery of this Agreement by each of Seller and the Company and the performance of the Transaction by each of Seller and the Company has been duly authorized and approved by all necessary corporate or limited liability company action, respectively.</w:t>
      </w:r>
    </w:p>
    <w:p>
      <w:pPr>
        <w:spacing w:after="0" w:line="203" w:lineRule="exact"/>
        <w:rPr>
          <w:rFonts w:ascii="Times New Roman" w:cs="Times New Roman" w:eastAsia="Times New Roman" w:hAnsi="Times New Roman"/>
          <w:sz w:val="22"/>
          <w:szCs w:val="22"/>
          <w:color w:val="auto"/>
        </w:rPr>
      </w:pPr>
    </w:p>
    <w:p>
      <w:pPr>
        <w:jc w:val="both"/>
        <w:ind w:firstLine="3734"/>
        <w:spacing w:after="0" w:line="244" w:lineRule="auto"/>
        <w:tabs>
          <w:tab w:leader="none" w:pos="446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executed and delivered by each of Seller and the Company and constitutes the legal, valid and binding obligation of Seller and the Company, enforceable against each of Seller and the Company in accordance with its terms, subject to the Bankruptcy and Equity Exception.</w:t>
      </w:r>
    </w:p>
    <w:p>
      <w:pPr>
        <w:spacing w:after="0" w:line="200" w:lineRule="exact"/>
        <w:rPr>
          <w:rFonts w:ascii="Times New Roman" w:cs="Times New Roman" w:eastAsia="Times New Roman" w:hAnsi="Times New Roman"/>
          <w:sz w:val="22"/>
          <w:szCs w:val="22"/>
          <w:color w:val="auto"/>
        </w:rPr>
      </w:pPr>
    </w:p>
    <w:p>
      <w:pPr>
        <w:jc w:val="both"/>
        <w:ind w:firstLine="3734"/>
        <w:spacing w:after="0" w:line="239" w:lineRule="auto"/>
        <w:tabs>
          <w:tab w:leader="none" w:pos="476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each of the Omnibus Agreement and the Tax Indemnity Agreement will have been duly authorized, executed and delivered and, assuming due authorization, execution and delivery of such documents by any other parties thereto, will constitute legal, valid and binding obligations of Seller, enforceable against Seller in accordance with their terms, subject to the Bankruptcy and Equity Exception.</w:t>
      </w:r>
    </w:p>
    <w:p>
      <w:pPr>
        <w:spacing w:after="0" w:line="207" w:lineRule="exact"/>
        <w:rPr>
          <w:sz w:val="20"/>
          <w:szCs w:val="20"/>
          <w:color w:val="auto"/>
        </w:rPr>
      </w:pPr>
    </w:p>
    <w:p>
      <w:pPr>
        <w:ind w:right="600" w:firstLine="3078"/>
        <w:spacing w:after="0" w:line="282" w:lineRule="auto"/>
        <w:rPr>
          <w:sz w:val="20"/>
          <w:szCs w:val="20"/>
          <w:color w:val="auto"/>
        </w:rPr>
      </w:pPr>
      <w:r>
        <w:rPr>
          <w:rFonts w:ascii="Times New Roman" w:cs="Times New Roman" w:eastAsia="Times New Roman" w:hAnsi="Times New Roman"/>
          <w:sz w:val="21"/>
          <w:szCs w:val="21"/>
          <w:color w:val="auto"/>
        </w:rPr>
        <w:t xml:space="preserve">Section 2.4 </w:t>
      </w:r>
      <w:r>
        <w:rPr>
          <w:rFonts w:ascii="Times New Roman" w:cs="Times New Roman" w:eastAsia="Times New Roman" w:hAnsi="Times New Roman"/>
          <w:sz w:val="21"/>
          <w:szCs w:val="21"/>
          <w:u w:val="single" w:color="auto"/>
          <w:color w:val="auto"/>
        </w:rPr>
        <w:t>Ownership of General Partner Interests</w:t>
      </w:r>
      <w:r>
        <w:rPr>
          <w:rFonts w:ascii="Times New Roman" w:cs="Times New Roman" w:eastAsia="Times New Roman" w:hAnsi="Times New Roman"/>
          <w:sz w:val="21"/>
          <w:szCs w:val="21"/>
          <w:color w:val="auto"/>
        </w:rPr>
        <w:t>. The Company owns, directly, beneficially and of record all of the outstanding general partnership interests in the Partnership, free and clear of all Liens.</w:t>
      </w:r>
    </w:p>
    <w:p>
      <w:pPr>
        <w:spacing w:after="0" w:line="162" w:lineRule="exact"/>
        <w:rPr>
          <w:sz w:val="20"/>
          <w:szCs w:val="20"/>
          <w:color w:val="auto"/>
        </w:rPr>
      </w:pPr>
    </w:p>
    <w:p>
      <w:pPr>
        <w:ind w:right="260" w:firstLine="3078"/>
        <w:spacing w:after="0" w:line="238"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Business of General Partner</w:t>
      </w:r>
      <w:r>
        <w:rPr>
          <w:rFonts w:ascii="Times New Roman" w:cs="Times New Roman" w:eastAsia="Times New Roman" w:hAnsi="Times New Roman"/>
          <w:sz w:val="22"/>
          <w:szCs w:val="22"/>
          <w:color w:val="auto"/>
        </w:rPr>
        <w:t>. The Company’s sole business activities have been and are (a) to act as the general partner of the Partnership and to undertake activities that are ancillary or related thereto (including being a limited partner in the Partnership) and (b) to acquire, own or dispose of debt or equity securities in the Partnership. The Company does not hold any assets or liabilities other than those related to its ownership interest in the Partnership and activities related to its serving as general partner of the Partnership.</w:t>
      </w:r>
    </w:p>
    <w:p>
      <w:pPr>
        <w:spacing w:after="0" w:line="204" w:lineRule="exact"/>
        <w:rPr>
          <w:sz w:val="20"/>
          <w:szCs w:val="20"/>
          <w:color w:val="auto"/>
        </w:rPr>
      </w:pPr>
    </w:p>
    <w:p>
      <w:pPr>
        <w:ind w:left="3080"/>
        <w:spacing w:after="0"/>
        <w:tabs>
          <w:tab w:leader="none" w:pos="4580" w:val="left"/>
        </w:tabs>
        <w:rPr>
          <w:sz w:val="20"/>
          <w:szCs w:val="20"/>
          <w:color w:val="auto"/>
        </w:rPr>
      </w:pPr>
      <w:r>
        <w:rPr>
          <w:rFonts w:ascii="Times New Roman" w:cs="Times New Roman" w:eastAsia="Times New Roman" w:hAnsi="Times New Roman"/>
          <w:sz w:val="22"/>
          <w:szCs w:val="22"/>
          <w:color w:val="auto"/>
        </w:rPr>
        <w:t>Section 2.6</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4520" w:hanging="786"/>
        <w:spacing w:after="0"/>
        <w:tabs>
          <w:tab w:leader="none" w:pos="45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prepared (or caused to be prepared) and timely filed</w:t>
      </w:r>
    </w:p>
    <w:p>
      <w:pPr>
        <w:spacing w:after="0" w:line="14" w:lineRule="exact"/>
        <w:rPr>
          <w:rFonts w:ascii="Times New Roman" w:cs="Times New Roman" w:eastAsia="Times New Roman" w:hAnsi="Times New Roman"/>
          <w:sz w:val="22"/>
          <w:szCs w:val="22"/>
          <w:color w:val="auto"/>
        </w:rPr>
      </w:pPr>
    </w:p>
    <w:p>
      <w:pPr>
        <w:ind w:right="2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into account valid extensions of time within which to file) all material Tax Returns required to be filed by it. All such filed Tax Returns (taking into account all amendments thereto) are true, complete and accurate in all material respects, and all material Taxes owed by the Company that are due (whether or not shown on any Tax Return) (i) have been duly and timely paid or (ii) are being contested in good faith by appropriate Proceedings and have been adequately reserved against in accordance with GAAP.</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ind w:left="4520" w:hanging="786"/>
        <w:spacing w:after="0"/>
        <w:tabs>
          <w:tab w:leader="none" w:pos="45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received written notice of any audits, examinations,</w:t>
      </w:r>
    </w:p>
    <w:p>
      <w:pPr>
        <w:spacing w:after="0" w:line="14" w:lineRule="exact"/>
        <w:rPr>
          <w:rFonts w:ascii="Times New Roman" w:cs="Times New Roman" w:eastAsia="Times New Roman" w:hAnsi="Times New Roman"/>
          <w:sz w:val="22"/>
          <w:szCs w:val="22"/>
          <w:color w:val="auto"/>
        </w:rPr>
      </w:pPr>
    </w:p>
    <w:p>
      <w:pPr>
        <w:ind w:right="10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investigations, claims or other Proceedings in respect of any Taxes or Tax Returns of the Company and there are no audits, examinations, investigations, claims or other Proceedings pending, proposed (tentatively or definitely), asserted, or threatened in writing with respect to any material Taxes payable by or with respect to the Company.</w:t>
      </w:r>
    </w:p>
    <w:p>
      <w:pPr>
        <w:spacing w:after="0" w:line="204" w:lineRule="exact"/>
        <w:rPr>
          <w:rFonts w:ascii="Times New Roman" w:cs="Times New Roman" w:eastAsia="Times New Roman" w:hAnsi="Times New Roman"/>
          <w:sz w:val="22"/>
          <w:szCs w:val="22"/>
          <w:color w:val="auto"/>
        </w:rPr>
      </w:pPr>
    </w:p>
    <w:p>
      <w:pPr>
        <w:ind w:left="4520" w:hanging="786"/>
        <w:spacing w:after="0"/>
        <w:tabs>
          <w:tab w:leader="none" w:pos="452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Liens for Taxes on any of the assets of the Company other than</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Permitted Encumbrances.</w:t>
      </w:r>
    </w:p>
    <w:p>
      <w:pPr>
        <w:spacing w:after="0" w:line="209" w:lineRule="exact"/>
        <w:rPr>
          <w:rFonts w:ascii="Times New Roman" w:cs="Times New Roman" w:eastAsia="Times New Roman" w:hAnsi="Times New Roman"/>
          <w:sz w:val="21"/>
          <w:szCs w:val="21"/>
          <w:color w:val="auto"/>
        </w:rPr>
      </w:pPr>
    </w:p>
    <w:p>
      <w:pPr>
        <w:jc w:val="both"/>
        <w:ind w:right="200" w:firstLine="3734"/>
        <w:spacing w:after="0" w:line="244" w:lineRule="auto"/>
        <w:tabs>
          <w:tab w:leader="none" w:pos="451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deficiency for any material Tax has been proposed, threatened, asserted or assessed by any Governmental Authority in writing against the Company, except for deficiencies that have been satisfied by payment in full, settled or withdrawn.</w:t>
      </w:r>
    </w:p>
    <w:p>
      <w:pPr>
        <w:spacing w:after="0" w:line="200" w:lineRule="exact"/>
        <w:rPr>
          <w:rFonts w:ascii="Times New Roman" w:cs="Times New Roman" w:eastAsia="Times New Roman" w:hAnsi="Times New Roman"/>
          <w:sz w:val="22"/>
          <w:szCs w:val="22"/>
          <w:color w:val="auto"/>
        </w:rPr>
      </w:pPr>
    </w:p>
    <w:p>
      <w:pPr>
        <w:ind w:left="4520" w:hanging="786"/>
        <w:spacing w:after="0"/>
        <w:tabs>
          <w:tab w:leader="none" w:pos="452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not waived any statute of limitations in respect of material</w:t>
      </w:r>
    </w:p>
    <w:p>
      <w:pPr>
        <w:spacing w:after="0" w:line="25" w:lineRule="exact"/>
        <w:rPr>
          <w:rFonts w:ascii="Times New Roman" w:cs="Times New Roman" w:eastAsia="Times New Roman" w:hAnsi="Times New Roman"/>
          <w:sz w:val="21"/>
          <w:szCs w:val="21"/>
          <w:color w:val="auto"/>
        </w:rPr>
      </w:pPr>
    </w:p>
    <w:p>
      <w:pPr>
        <w:jc w:val="both"/>
        <w:ind w:right="22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Taxes or agreed to any extension of time with respect to an assessment or deficiency for material Taxes (other than any waivers or extensions that are no longer in effect or any extensions of time to file Tax Returns obtained in the Ordinary Course), and no request for such extension or waiver is pending.</w:t>
      </w:r>
    </w:p>
    <w:p>
      <w:pPr>
        <w:spacing w:after="0" w:line="204" w:lineRule="exact"/>
        <w:rPr>
          <w:rFonts w:ascii="Times New Roman" w:cs="Times New Roman" w:eastAsia="Times New Roman" w:hAnsi="Times New Roman"/>
          <w:sz w:val="21"/>
          <w:szCs w:val="21"/>
          <w:color w:val="auto"/>
        </w:rPr>
      </w:pPr>
    </w:p>
    <w:p>
      <w:pPr>
        <w:ind w:left="4480" w:hanging="746"/>
        <w:spacing w:after="0"/>
        <w:tabs>
          <w:tab w:leader="none" w:pos="44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participated in any “listed transaction” within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meaning of U.S. Treasury Regulation Section 1.6011-4(b)(2) or comparable provision of any other applicable Tax Law.</w:t>
      </w:r>
    </w:p>
    <w:p>
      <w:pPr>
        <w:spacing w:after="0" w:line="209" w:lineRule="exact"/>
        <w:rPr>
          <w:rFonts w:ascii="Times New Roman" w:cs="Times New Roman" w:eastAsia="Times New Roman" w:hAnsi="Times New Roman"/>
          <w:sz w:val="22"/>
          <w:szCs w:val="22"/>
          <w:color w:val="auto"/>
        </w:rPr>
      </w:pPr>
    </w:p>
    <w:p>
      <w:pPr>
        <w:ind w:left="4520" w:hanging="786"/>
        <w:spacing w:after="0"/>
        <w:tabs>
          <w:tab w:leader="none" w:pos="452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not a party to a Tax allocation, sharing, indemnity or similar</w:t>
      </w:r>
    </w:p>
    <w:p>
      <w:pPr>
        <w:spacing w:after="0" w:line="25" w:lineRule="exact"/>
        <w:rPr>
          <w:rFonts w:ascii="Times New Roman" w:cs="Times New Roman" w:eastAsia="Times New Roman" w:hAnsi="Times New Roman"/>
          <w:sz w:val="21"/>
          <w:szCs w:val="21"/>
          <w:color w:val="auto"/>
        </w:rPr>
      </w:pPr>
    </w:p>
    <w:p>
      <w:pPr>
        <w:ind w:right="48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agreement (other than agreements entered into in the Ordinary Course the principal purpose of which is not the allocation or indemnification of Taxes).</w:t>
      </w:r>
    </w:p>
    <w:p>
      <w:pPr>
        <w:spacing w:after="0" w:line="205" w:lineRule="exact"/>
        <w:rPr>
          <w:rFonts w:ascii="Times New Roman" w:cs="Times New Roman" w:eastAsia="Times New Roman" w:hAnsi="Times New Roman"/>
          <w:sz w:val="21"/>
          <w:szCs w:val="21"/>
          <w:color w:val="auto"/>
        </w:rPr>
      </w:pPr>
    </w:p>
    <w:p>
      <w:pPr>
        <w:ind w:firstLine="3734"/>
        <w:spacing w:after="0" w:line="235" w:lineRule="auto"/>
        <w:tabs>
          <w:tab w:leader="none" w:pos="451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 has not granted any power of attorney that will remain in force after the Closing with respect to any matters relating to any Taxes, (ii) has not applied for a ruling from a taxing authority relating to any material Taxes or has proposed to enter into an agreement with a taxing authority relating to any material Taxes, in each case, that is pending, and (iii) has not entered into any “closing agreement” as described in Section 7121 of the Code (or any similar provision of state, local or foreign Tax Law) or been issued any private letter rulings, technical advance memoranda or similar agreement or rulings by any taxing authority relating to material Taxes that is in effect or will be in effect after the Closing.</w:t>
      </w:r>
    </w:p>
    <w:p>
      <w:pPr>
        <w:spacing w:after="0" w:line="210" w:lineRule="exact"/>
        <w:rPr>
          <w:rFonts w:ascii="Times New Roman" w:cs="Times New Roman" w:eastAsia="Times New Roman" w:hAnsi="Times New Roman"/>
          <w:sz w:val="22"/>
          <w:szCs w:val="22"/>
          <w:color w:val="auto"/>
        </w:rPr>
      </w:pPr>
    </w:p>
    <w:p>
      <w:pPr>
        <w:ind w:left="4480" w:hanging="746"/>
        <w:spacing w:after="0"/>
        <w:tabs>
          <w:tab w:leader="none" w:pos="44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never been a member of an affiliated, combined,</w:t>
      </w:r>
    </w:p>
    <w:p>
      <w:pPr>
        <w:spacing w:after="0" w:line="14" w:lineRule="exact"/>
        <w:rPr>
          <w:rFonts w:ascii="Times New Roman" w:cs="Times New Roman" w:eastAsia="Times New Roman" w:hAnsi="Times New Roman"/>
          <w:sz w:val="22"/>
          <w:szCs w:val="22"/>
          <w:color w:val="auto"/>
        </w:rPr>
      </w:pPr>
    </w:p>
    <w:p>
      <w:pPr>
        <w:ind w:right="6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or unitary Tax group for purposes of filing any Tax Return. The Company does not have any liability for any Taxes of any Person (other than the Partnership or its Subsidiaries) under U.S. Treasury Regulation Section 1.1502-6 or any similar provision of state, local, or non-U.S. law, or as a transferee or successor.</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3" w:name="page94"/>
    <w:bookmarkEnd w:id="93"/>
    <w:p>
      <w:pPr>
        <w:jc w:val="right"/>
        <w:ind w:right="540" w:firstLine="3734"/>
        <w:spacing w:after="0" w:line="282" w:lineRule="auto"/>
        <w:tabs>
          <w:tab w:leader="none" w:pos="447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in writing has been made by any Governmental Authority in a jurisdiction where the Company does not file Tax Returns that the Company is or may be subject to Tax in that jurisdiction.</w:t>
      </w:r>
    </w:p>
    <w:p>
      <w:pPr>
        <w:spacing w:after="0" w:line="162" w:lineRule="exact"/>
        <w:rPr>
          <w:rFonts w:ascii="Times New Roman" w:cs="Times New Roman" w:eastAsia="Times New Roman" w:hAnsi="Times New Roman"/>
          <w:sz w:val="21"/>
          <w:szCs w:val="21"/>
          <w:color w:val="auto"/>
        </w:rPr>
      </w:pPr>
    </w:p>
    <w:p>
      <w:pPr>
        <w:jc w:val="right"/>
        <w:ind w:right="460" w:firstLine="3734"/>
        <w:spacing w:after="0" w:line="282" w:lineRule="auto"/>
        <w:tabs>
          <w:tab w:leader="none" w:pos="4464"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the past sixty (60) months, no election has been made under U.S. Treasury Regulation Section 301.7701-3 to change the Company’s entity classification for U.S. federal income tax purposes.</w:t>
      </w:r>
    </w:p>
    <w:p>
      <w:pPr>
        <w:spacing w:after="0" w:line="161" w:lineRule="exact"/>
        <w:rPr>
          <w:rFonts w:ascii="Times New Roman" w:cs="Times New Roman" w:eastAsia="Times New Roman" w:hAnsi="Times New Roman"/>
          <w:sz w:val="21"/>
          <w:szCs w:val="21"/>
          <w:color w:val="auto"/>
        </w:rPr>
      </w:pPr>
    </w:p>
    <w:p>
      <w:pPr>
        <w:ind w:left="4480" w:hanging="746"/>
        <w:spacing w:after="0"/>
        <w:tabs>
          <w:tab w:leader="none" w:pos="44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(i) “</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means all federal, national,</w:t>
      </w:r>
    </w:p>
    <w:p>
      <w:pPr>
        <w:spacing w:after="0" w:line="14" w:lineRule="exact"/>
        <w:rPr>
          <w:rFonts w:ascii="Times New Roman" w:cs="Times New Roman" w:eastAsia="Times New Roman" w:hAnsi="Times New Roman"/>
          <w:sz w:val="22"/>
          <w:szCs w:val="22"/>
          <w:color w:val="auto"/>
        </w:rPr>
      </w:pPr>
    </w:p>
    <w:p>
      <w:pPr>
        <w:ind w:right="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provincial, state or local taxes, charges, fees, levies, duties, tariffs, imposts, or other similar assessments or liabilities in the nature of taxes, including gross income, net income, capital gains, gross receipts, estate, branch profits, estimated, alternative or minimum, ad valorem, value-added, excise, real property, personal property, sales, use, transfer, stamp, registration, recording, documentary, customs, import, export, services, withholding, employment, unemployment, severance, social security, disability, national health insurance, payroll and franchise taxes imposed by a Governmental Authority, together with any interest, penalties, assessments or additions to tax, whether disputed or not, imposed by any Governmental Authority; and (ii) “</w:t>
      </w:r>
      <w:r>
        <w:rPr>
          <w:rFonts w:ascii="Times New Roman" w:cs="Times New Roman" w:eastAsia="Times New Roman" w:hAnsi="Times New Roman"/>
          <w:sz w:val="21"/>
          <w:szCs w:val="21"/>
          <w:u w:val="single" w:color="auto"/>
          <w:color w:val="auto"/>
        </w:rPr>
        <w:t>Tax Returns</w:t>
      </w:r>
      <w:r>
        <w:rPr>
          <w:rFonts w:ascii="Times New Roman" w:cs="Times New Roman" w:eastAsia="Times New Roman" w:hAnsi="Times New Roman"/>
          <w:sz w:val="21"/>
          <w:szCs w:val="21"/>
          <w:color w:val="auto"/>
        </w:rPr>
        <w:t>” means all reports, returns, forms, declarations, statements or other information, including any supplement, schedule or attachment thereto and any amendment thereof, supplied to or required to be supplied to a Governmental Authority in connection with the determination, assessment, administration, or collection of Taxes or enforcement of any Laws related to Taxes.</w:t>
      </w:r>
    </w:p>
    <w:p>
      <w:pPr>
        <w:spacing w:after="0" w:line="206" w:lineRule="exact"/>
        <w:rPr>
          <w:sz w:val="20"/>
          <w:szCs w:val="20"/>
          <w:color w:val="auto"/>
        </w:rPr>
      </w:pPr>
    </w:p>
    <w:p>
      <w:pPr>
        <w:jc w:val="both"/>
        <w:ind w:firstLine="3078"/>
        <w:spacing w:after="0" w:line="233" w:lineRule="auto"/>
        <w:rPr>
          <w:sz w:val="20"/>
          <w:szCs w:val="20"/>
          <w:color w:val="auto"/>
        </w:rPr>
      </w:pPr>
      <w:r>
        <w:rPr>
          <w:rFonts w:ascii="Times New Roman" w:cs="Times New Roman" w:eastAsia="Times New Roman" w:hAnsi="Times New Roman"/>
          <w:sz w:val="22"/>
          <w:szCs w:val="22"/>
          <w:color w:val="auto"/>
        </w:rPr>
        <w:t xml:space="preserve">Section 2.7 </w:t>
      </w:r>
      <w:r>
        <w:rPr>
          <w:rFonts w:ascii="Times New Roman" w:cs="Times New Roman" w:eastAsia="Times New Roman" w:hAnsi="Times New Roman"/>
          <w:sz w:val="22"/>
          <w:szCs w:val="22"/>
          <w:u w:val="single" w:color="auto"/>
          <w:color w:val="auto"/>
        </w:rPr>
        <w:t>No Other Representations and Warranties</w:t>
      </w:r>
      <w:r>
        <w:rPr>
          <w:rFonts w:ascii="Times New Roman" w:cs="Times New Roman" w:eastAsia="Times New Roman" w:hAnsi="Times New Roman"/>
          <w:sz w:val="22"/>
          <w:szCs w:val="22"/>
          <w:color w:val="auto"/>
        </w:rPr>
        <w:t>. Except for the representations and warranties made by Seller and the Company in this Article II or in the Merger Agreement, neither Seller nor the Company nor any other Person makes any other express or implied representation or warranty with respect to Seller or its businesses, operations, assets, liabilities, condition (financial or otherwise) or prospects, notwithstanding the delivery or disclosure to the Purchaser or any of its Representatives of any documentation, forecasts or other information with respect to any one or more of the foregoing, and the Purchaser acknowledges the foregoing. In particular, and without limiting the generality of the foregoing, except for the representations and warranties made by the Company in the Merger Agreement and each of the Seller and the Company in this Article II, neither Seller nor the Company nor any other Person makes or has made any express or implied representation or warranty to the Purchaser or any of its Representatives with respect to (a) any financial projection, forecast, estimate, budget or prospect information relating to Seller of the Company or their respective businesses or (b) any oral or written information presented to the Purchaser or any of its Representatives in the course of their due diligence investigation of Seller and the Company, the negotiation of this Agreement.</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REPRESENTATIONS AND WARRANTIES OF PURCHASER</w:t>
      </w:r>
    </w:p>
    <w:p>
      <w:pPr>
        <w:spacing w:after="0" w:line="237"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Purchaser represents and warrants to Seller and the Company that, except as set forth in the disclosure schedule delivered by Purchaser to Seller and the Company on the date of this Agreement (the “</w:t>
      </w:r>
      <w:r>
        <w:rPr>
          <w:rFonts w:ascii="Times New Roman" w:cs="Times New Roman" w:eastAsia="Times New Roman" w:hAnsi="Times New Roman"/>
          <w:sz w:val="22"/>
          <w:szCs w:val="22"/>
          <w:u w:val="single" w:color="auto"/>
          <w:color w:val="auto"/>
        </w:rPr>
        <w:t>Purchaser Disclosure Schedule</w:t>
      </w:r>
      <w:r>
        <w:rPr>
          <w:rFonts w:ascii="Times New Roman" w:cs="Times New Roman" w:eastAsia="Times New Roman" w:hAnsi="Times New Roman"/>
          <w:sz w:val="22"/>
          <w:szCs w:val="22"/>
          <w:color w:val="auto"/>
        </w:rPr>
        <w:t>”) (it being understood that any information set forth on one section or subsection of the Purchaser Disclosure Schedule shall be deemed to apply to and qualify the section or subsection of this Agreement to which it corresponds in number and each other section or subsection of this Agreement to the extent that it is reasonably apparent on the face of such disclosure that such information is relevant to such other section or subsection):</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4" w:name="page95"/>
    <w:bookmarkEnd w:id="94"/>
    <w:p>
      <w:pPr>
        <w:jc w:val="both"/>
        <w:ind w:firstLine="3078"/>
        <w:spacing w:after="0" w:line="238"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Purchaser is a corporation duly organized, validly existing and in good standing under the Laws of England. Purchaser has all requisite power and authority necessary to carry on its business as it is now being conducted and to own, lease and operate its assets and properties, except (other than with respect to the due organization and valid existence of Purchaser) as would not reasonably be expected to have, individually or in the aggregate, a Purchaser Material Adverse Effect.</w:t>
      </w:r>
    </w:p>
    <w:p>
      <w:pPr>
        <w:spacing w:after="0" w:line="204" w:lineRule="exact"/>
        <w:rPr>
          <w:sz w:val="20"/>
          <w:szCs w:val="20"/>
          <w:color w:val="auto"/>
        </w:rPr>
      </w:pPr>
    </w:p>
    <w:p>
      <w:pPr>
        <w:ind w:left="3080"/>
        <w:spacing w:after="0"/>
        <w:tabs>
          <w:tab w:leader="none" w:pos="458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u w:val="single" w:color="auto"/>
          <w:color w:val="auto"/>
        </w:rPr>
        <w:t>Authority; Noncontravention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60" w:firstLine="3734"/>
        <w:spacing w:after="0" w:line="233" w:lineRule="auto"/>
        <w:tabs>
          <w:tab w:leader="none" w:pos="450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has all necessary power and authority to execute and deliver this Agreement and to perform its obligations hereunder. The execution, delivery and performance by Purchaser of this Agreement and the consummation by Purchaser of the Transaction, have been duly and unanimously authorized and approved by the Board of Directors of Purchaser, and no other corporate action on the part of Purchaser is necessary to authorize the execution, delivery and performance by Purchaser of this Agreement and the consummation by Purchaser of the Transaction. This Agreement has been duly executed and delivered by Purchaser and, assuming due authorization, execution and delivery hereof by the Seller and the Company, constitutes a legal, valid and binding obligation of Purchaser, enforceable against Purchaser in accordance with its terms, subject to the Bankruptcy and Equity Exception. The Board of Directors of Purchaser has unanimously (i) determined that this Agreement, on the terms and subject to the conditions set forth herein, is fair to, and in the best interests of, Purchaser and its shareholders and (ii) adopted resolutions that have approved this Agreement, and such resolutions have not been subsequently rescinded, modified or withdrawn in any way.</w:t>
      </w:r>
    </w:p>
    <w:p>
      <w:pPr>
        <w:spacing w:after="0" w:line="214" w:lineRule="exact"/>
        <w:rPr>
          <w:rFonts w:ascii="Times New Roman" w:cs="Times New Roman" w:eastAsia="Times New Roman" w:hAnsi="Times New Roman"/>
          <w:sz w:val="22"/>
          <w:szCs w:val="22"/>
          <w:color w:val="auto"/>
        </w:rPr>
      </w:pPr>
    </w:p>
    <w:p>
      <w:pPr>
        <w:ind w:left="4520" w:hanging="786"/>
        <w:spacing w:after="0"/>
        <w:tabs>
          <w:tab w:leader="none" w:pos="45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by Purchaser of this Agreement or any other</w:t>
      </w:r>
    </w:p>
    <w:p>
      <w:pPr>
        <w:spacing w:after="0" w:line="14" w:lineRule="exact"/>
        <w:rPr>
          <w:rFonts w:ascii="Times New Roman" w:cs="Times New Roman" w:eastAsia="Times New Roman" w:hAnsi="Times New Roman"/>
          <w:sz w:val="22"/>
          <w:szCs w:val="22"/>
          <w:color w:val="auto"/>
        </w:rPr>
      </w:pPr>
    </w:p>
    <w:p>
      <w:pPr>
        <w:ind w:right="6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 required hereunder to be executed and delivered by Purchaser pursuant to this Agreement, and the consummation by Purchaser of the Transaction, will not (i) conflict with, violate or result in a default under the certificate of incorporation or bylaws of Purchaser, (ii) conflict with or result in a breach, default or violation of, or require a consent under, any Law, Order, Contract, document or Permit to which Purchaser is a party or to which the Purchaser assets are subject, or (iii) require Purchaser to obtain or make any Consent from or with any Person, except, in the case of clause (i) through (iii), as would not reasonably be expected to have a Purchaser Material Adverse Effect.</w:t>
      </w:r>
    </w:p>
    <w:p>
      <w:pPr>
        <w:spacing w:after="0" w:line="209" w:lineRule="exact"/>
        <w:rPr>
          <w:rFonts w:ascii="Times New Roman" w:cs="Times New Roman" w:eastAsia="Times New Roman" w:hAnsi="Times New Roman"/>
          <w:sz w:val="22"/>
          <w:szCs w:val="22"/>
          <w:color w:val="auto"/>
        </w:rPr>
      </w:pPr>
    </w:p>
    <w:p>
      <w:pPr>
        <w:jc w:val="both"/>
        <w:ind w:firstLine="3734"/>
        <w:spacing w:after="0" w:line="239" w:lineRule="auto"/>
        <w:tabs>
          <w:tab w:leader="none" w:pos="462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has all requisite power and authority and has taken all necessary action in order to execute and deliver this Agreement and the other agreements contemplated hereby to which it is or will be a party and to perform its obligations hereunder and thereunder. The execution and delivery of this Agreement by Purchaser and the performance of the Transaction by Purchaser has been duly authorized and approved by all necessary corporate action.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5" w:name="page96"/>
    <w:bookmarkEnd w:id="95"/>
    <w:p>
      <w:pPr>
        <w:jc w:val="both"/>
        <w:ind w:firstLine="3734"/>
        <w:spacing w:after="0" w:line="244" w:lineRule="auto"/>
        <w:tabs>
          <w:tab w:leader="none" w:pos="476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executed and delivered by Purchaser and constitutes the legal, valid and binding obligation of Purchaser, enforceable against Seller in accordance with its terms, subject to the Bankruptcy and Equity Exception.</w:t>
      </w:r>
    </w:p>
    <w:p>
      <w:pPr>
        <w:spacing w:after="0" w:line="200" w:lineRule="exact"/>
        <w:rPr>
          <w:rFonts w:ascii="Times New Roman" w:cs="Times New Roman" w:eastAsia="Times New Roman" w:hAnsi="Times New Roman"/>
          <w:sz w:val="22"/>
          <w:szCs w:val="22"/>
          <w:color w:val="auto"/>
        </w:rPr>
      </w:pPr>
    </w:p>
    <w:p>
      <w:pPr>
        <w:jc w:val="both"/>
        <w:ind w:firstLine="3734"/>
        <w:spacing w:after="0" w:line="239" w:lineRule="auto"/>
        <w:tabs>
          <w:tab w:leader="none" w:pos="476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each of the Omnibus Agreement and the Tax Indemnity Agreement will have been duly authorized, executed and delivered and, assuming due authorization, execution and delivery of such documents by any other parties thereto, will constitute legal, valid and binding obligations of Purchaser, enforceable against Purchaser in accordance with their terms, subject to the Bankruptcy and Equity Exception.</w:t>
      </w:r>
    </w:p>
    <w:p>
      <w:pPr>
        <w:spacing w:after="0" w:line="207" w:lineRule="exact"/>
        <w:rPr>
          <w:sz w:val="20"/>
          <w:szCs w:val="20"/>
          <w:color w:val="auto"/>
        </w:rPr>
      </w:pPr>
    </w:p>
    <w:p>
      <w:pPr>
        <w:jc w:val="both"/>
        <w:ind w:right="100" w:firstLine="3078"/>
        <w:spacing w:after="0" w:line="244"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Sufficient Funds</w:t>
      </w:r>
      <w:r>
        <w:rPr>
          <w:rFonts w:ascii="Times New Roman" w:cs="Times New Roman" w:eastAsia="Times New Roman" w:hAnsi="Times New Roman"/>
          <w:sz w:val="22"/>
          <w:szCs w:val="22"/>
          <w:color w:val="auto"/>
        </w:rPr>
        <w:t xml:space="preserve"> Purchaser will have available to it at the Closing sufficient funds for the satisfaction of all of Purchaser’s obligations under this Agreement, including the payment of Purchase Price and all related fees and expenses required to be paid by Purchaser pursuant to the terms of this Agreement.</w:t>
      </w:r>
    </w:p>
    <w:p>
      <w:pPr>
        <w:spacing w:after="0" w:line="200" w:lineRule="exact"/>
        <w:rPr>
          <w:sz w:val="20"/>
          <w:szCs w:val="20"/>
          <w:color w:val="auto"/>
        </w:rPr>
      </w:pPr>
    </w:p>
    <w:p>
      <w:pPr>
        <w:jc w:val="both"/>
        <w:ind w:firstLine="3078"/>
        <w:spacing w:after="0" w:line="233"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No Other Representations or Warranties</w:t>
      </w:r>
      <w:r>
        <w:rPr>
          <w:rFonts w:ascii="Times New Roman" w:cs="Times New Roman" w:eastAsia="Times New Roman" w:hAnsi="Times New Roman"/>
          <w:sz w:val="22"/>
          <w:szCs w:val="22"/>
          <w:color w:val="auto"/>
        </w:rPr>
        <w:t>. Except for the representations and warranties made by Purchaser in this Article III, Purchaser nor any other Person makes any other express or implied representation or warranty with respect to Purchaser or any of its Subsidiaries or their respective businesses, operations, assets, liabilities, condition (financial or otherwise) or prospects, notwithstanding the delivery or disclosure to Seller and the Company or any of its Representatives of any documentation, forecasts or other information with respect to any one or more of the foregoing, and each of Seller and the Company acknowledges the foregoing. In particular, and without limiting the generality of the foregoing, except for the representations and warranties made by Purchaser in the Merger Agreement and this Article III, neither Purchaser nor any other Person makes or has made any express or implied representation or warranty to Seller or the Company or any of its Representatives with respect to (a) any financial projection, forecast, estimate, budget or prospect information relating to Purchaser or any of its Subsidiaries or their respective businesses or (b) any oral or written information presented to Seller or the Company or any of its Representatives in the course of their due diligence investigation of Purchaser, the negotiation of this Agreement or the course of the Transaction.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COVENANTS AND AGREEMENTS</w:t>
      </w:r>
    </w:p>
    <w:p>
      <w:pPr>
        <w:spacing w:after="0" w:line="237" w:lineRule="exact"/>
        <w:rPr>
          <w:sz w:val="20"/>
          <w:szCs w:val="20"/>
          <w:color w:val="auto"/>
        </w:rPr>
      </w:pPr>
    </w:p>
    <w:p>
      <w:pPr>
        <w:ind w:right="120" w:firstLine="3078"/>
        <w:spacing w:after="0" w:line="235"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Conduct of Business of Seller and the Company</w:t>
      </w:r>
      <w:r>
        <w:rPr>
          <w:rFonts w:ascii="Times New Roman" w:cs="Times New Roman" w:eastAsia="Times New Roman" w:hAnsi="Times New Roman"/>
          <w:sz w:val="22"/>
          <w:szCs w:val="22"/>
          <w:color w:val="auto"/>
        </w:rPr>
        <w:t xml:space="preserve">. Except (i) as expressly provided by this Agreement, (ii) as set forth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of the Seller Disclosure Schedule, (iii) for Seller acting in accordance with its rights expressly set forth in the GP LLC Agreement or Partnership Agreement, or (iv) as expressly consented to in writing by Purchaser (such consent not to be unreasonably withheld, conditioned or delayed), from the date of this Agreement until the Closing, Seller and the Company shall use commercially reasonable efforts to, (A) conduct the Company’s business in the Ordinary Course in all material respects, (B) preserve the Company’s assets, and (C) maintain the goodwill and reputation of the Company’s businesses in all material respects.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6" w:name="page97"/>
    <w:bookmarkEnd w:id="96"/>
    <w:p>
      <w:pPr>
        <w:ind w:right="200" w:firstLine="3078"/>
        <w:spacing w:after="0"/>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Third-Party Consents</w:t>
      </w:r>
      <w:r>
        <w:rPr>
          <w:rFonts w:ascii="Times New Roman" w:cs="Times New Roman" w:eastAsia="Times New Roman" w:hAnsi="Times New Roman"/>
          <w:sz w:val="22"/>
          <w:szCs w:val="22"/>
          <w:color w:val="auto"/>
        </w:rPr>
        <w:t>. Each of Seller and the Company shall use its, and shall cause their respective Subsidiaries to use their, reasonable best efforts, to give and obtain (as the case may be) as promptly as practicable prior to the Closing all notices, acknowledgments, waivers and consents that are necessary or advisable to be obtained in order to consummate the Transaction contemplated by the Merger Agreement and this Agreement.</w:t>
      </w:r>
    </w:p>
    <w:p>
      <w:pPr>
        <w:spacing w:after="0" w:line="204" w:lineRule="exact"/>
        <w:rPr>
          <w:sz w:val="20"/>
          <w:szCs w:val="20"/>
          <w:color w:val="auto"/>
        </w:rPr>
      </w:pPr>
    </w:p>
    <w:p>
      <w:pPr>
        <w:ind w:right="20" w:firstLine="3078"/>
        <w:spacing w:after="0" w:line="239"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Restricted Actions of the Company</w:t>
      </w:r>
      <w:r>
        <w:rPr>
          <w:rFonts w:ascii="Times New Roman" w:cs="Times New Roman" w:eastAsia="Times New Roman" w:hAnsi="Times New Roman"/>
          <w:sz w:val="22"/>
          <w:szCs w:val="22"/>
          <w:color w:val="auto"/>
        </w:rPr>
        <w:t>. From and after the date of this Agreement until the day immediately following the Closing Date, the Company shall not take any actions that would be restricted under Section 5.01 of the Merger Agreement with respect to the Partnership under the Merger Agreement, to the same extent as if such restrictions applicable to the Partnership under the Merger Agreement applied to the Company.</w:t>
      </w:r>
    </w:p>
    <w:p>
      <w:pPr>
        <w:spacing w:after="0" w:line="207" w:lineRule="exact"/>
        <w:rPr>
          <w:sz w:val="20"/>
          <w:szCs w:val="20"/>
          <w:color w:val="auto"/>
        </w:rPr>
      </w:pPr>
    </w:p>
    <w:p>
      <w:pPr>
        <w:ind w:right="880" w:firstLine="3078"/>
        <w:spacing w:after="0" w:line="258"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Omnibus Agreement</w:t>
      </w:r>
      <w:r>
        <w:rPr>
          <w:rFonts w:ascii="Times New Roman" w:cs="Times New Roman" w:eastAsia="Times New Roman" w:hAnsi="Times New Roman"/>
          <w:sz w:val="22"/>
          <w:szCs w:val="22"/>
          <w:color w:val="auto"/>
        </w:rPr>
        <w:t xml:space="preserve">. At or prior to the Closing, each of Seller and Purchaser shall execute and deliver the Omnibus Agreement, substantially in the form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w:t>
      </w:r>
    </w:p>
    <w:p>
      <w:pPr>
        <w:spacing w:after="0" w:line="185" w:lineRule="exact"/>
        <w:rPr>
          <w:sz w:val="20"/>
          <w:szCs w:val="20"/>
          <w:color w:val="auto"/>
        </w:rPr>
      </w:pPr>
    </w:p>
    <w:p>
      <w:pPr>
        <w:ind w:right="400" w:firstLine="3078"/>
        <w:spacing w:after="0" w:line="258"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Tax Indemnity Agreement</w:t>
      </w:r>
      <w:r>
        <w:rPr>
          <w:rFonts w:ascii="Times New Roman" w:cs="Times New Roman" w:eastAsia="Times New Roman" w:hAnsi="Times New Roman"/>
          <w:sz w:val="22"/>
          <w:szCs w:val="22"/>
          <w:color w:val="auto"/>
        </w:rPr>
        <w:t xml:space="preserve">. At or prior to the Closing, each of Seller and Purchaser shall execute and deliver the Tax Indemnity Agreement, substantially in the form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w:t>
      </w:r>
    </w:p>
    <w:p>
      <w:pPr>
        <w:spacing w:after="0" w:line="185" w:lineRule="exact"/>
        <w:rPr>
          <w:sz w:val="20"/>
          <w:szCs w:val="20"/>
          <w:color w:val="auto"/>
        </w:rPr>
      </w:pPr>
    </w:p>
    <w:p>
      <w:pPr>
        <w:ind w:right="20" w:firstLine="3078"/>
        <w:spacing w:after="0" w:line="244"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Affiliate Agreements</w:t>
      </w:r>
      <w:r>
        <w:rPr>
          <w:rFonts w:ascii="Times New Roman" w:cs="Times New Roman" w:eastAsia="Times New Roman" w:hAnsi="Times New Roman"/>
          <w:sz w:val="22"/>
          <w:szCs w:val="22"/>
          <w:color w:val="auto"/>
        </w:rPr>
        <w:t xml:space="preserve">. All agreements set forth on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of the Seller Disclosure Schedule shall be terminated at or prior to the Closing without further liability to Purchaser, General Partner, Parent or any of Parent’s Subsidiaries.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CONDITIONS PRECEDENT</w:t>
      </w:r>
    </w:p>
    <w:p>
      <w:pPr>
        <w:spacing w:after="0" w:line="237" w:lineRule="exact"/>
        <w:rPr>
          <w:sz w:val="20"/>
          <w:szCs w:val="20"/>
          <w:color w:val="auto"/>
        </w:rPr>
      </w:pPr>
    </w:p>
    <w:p>
      <w:pPr>
        <w:ind w:left="3080"/>
        <w:spacing w:after="0"/>
        <w:tabs>
          <w:tab w:leader="none" w:pos="496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2"/>
          <w:szCs w:val="22"/>
          <w:u w:val="single" w:color="auto"/>
          <w:color w:val="auto"/>
        </w:rPr>
        <w:t>Purchaser’s Obligations</w:t>
      </w:r>
      <w:r>
        <w:rPr>
          <w:rFonts w:ascii="Times New Roman" w:cs="Times New Roman" w:eastAsia="Times New Roman" w:hAnsi="Times New Roman"/>
          <w:sz w:val="22"/>
          <w:szCs w:val="22"/>
          <w:color w:val="auto"/>
        </w:rPr>
        <w:t>. The obligation of Purchaser to acquire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Membership Interests is subject to the fulfillment or waiver at or prior to the Closing of the following conditions:</w:t>
      </w:r>
    </w:p>
    <w:p>
      <w:pPr>
        <w:spacing w:after="0" w:line="209" w:lineRule="exact"/>
        <w:rPr>
          <w:sz w:val="20"/>
          <w:szCs w:val="20"/>
          <w:color w:val="auto"/>
        </w:rPr>
      </w:pPr>
    </w:p>
    <w:p>
      <w:pPr>
        <w:jc w:val="both"/>
        <w:ind w:firstLine="3734"/>
        <w:spacing w:after="0" w:line="245" w:lineRule="auto"/>
        <w:tabs>
          <w:tab w:leader="none" w:pos="4506"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of Seller and the Company (i) set forth in </w:t>
      </w:r>
      <w:r>
        <w:rPr>
          <w:rFonts w:ascii="Times New Roman" w:cs="Times New Roman" w:eastAsia="Times New Roman" w:hAnsi="Times New Roman"/>
          <w:sz w:val="21"/>
          <w:szCs w:val="21"/>
          <w:u w:val="single" w:color="auto"/>
          <w:color w:val="auto"/>
        </w:rPr>
        <w:t>Section 2.3(d)</w:t>
      </w:r>
      <w:r>
        <w:rPr>
          <w:rFonts w:ascii="Times New Roman" w:cs="Times New Roman" w:eastAsia="Times New Roman" w:hAnsi="Times New Roman"/>
          <w:sz w:val="21"/>
          <w:szCs w:val="21"/>
          <w:color w:val="auto"/>
        </w:rPr>
        <w:t xml:space="preserve"> shall be true and correct as of the date of this Agreement and as of the Closing Date with the same effect as though made as the Closing Date (except to the extent expressly made as of an earlier date, in which case as of such date), (ii) set forth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shall be true and correct in all material respects as of the date of this Agreement and as of the Closing Date with the same effect as though made as of the Closing Date (except to the extent expressly made as of an earlier date, in which case as of such date) and (iii) set forth in this Agreement, other than those Sections specifically identified in clause (i) or</w:t>
      </w:r>
    </w:p>
    <w:p>
      <w:pPr>
        <w:spacing w:after="0" w:line="2" w:lineRule="exact"/>
        <w:rPr>
          <w:rFonts w:ascii="Times New Roman" w:cs="Times New Roman" w:eastAsia="Times New Roman" w:hAnsi="Times New Roman"/>
          <w:sz w:val="21"/>
          <w:szCs w:val="21"/>
          <w:color w:val="auto"/>
        </w:rPr>
      </w:pPr>
    </w:p>
    <w:p>
      <w:pPr>
        <w:jc w:val="both"/>
        <w:ind w:firstLine="8"/>
        <w:spacing w:after="0" w:line="232" w:lineRule="auto"/>
        <w:tabs>
          <w:tab w:leader="none" w:pos="3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this </w:t>
      </w: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 shall be true and correct (disregarding all qualifications or limitations as to “materiality”, “Material Adverse Effect” and words of similar import set forth therein) as of the date of this Agreement and as of the Closing Date with the same effect as though made as of the Closing Date (except to the extent expressly made as of an earlier date, in which case as of such date), except, in the case of this clause (iii), where the failure to be true and correct (disregarding all qualifications or limitations as to “materiality”, “Material Adverse Effect” and words of similar import set forth therein) would not, individually or in the aggregate, reasonably be expected to have a Material Adverse Effect.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7" w:name="page98"/>
    <w:bookmarkEnd w:id="97"/>
    <w:p>
      <w:pPr>
        <w:jc w:val="both"/>
        <w:ind w:firstLine="3734"/>
        <w:spacing w:after="0" w:line="244" w:lineRule="auto"/>
        <w:tabs>
          <w:tab w:leader="none" w:pos="470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the Company shall have performed or complied in all material respects with their respective obligations required to be performed or complied with by them under this Agreement at or prior to the Closing.</w:t>
      </w:r>
    </w:p>
    <w:p>
      <w:pPr>
        <w:spacing w:after="0" w:line="200" w:lineRule="exact"/>
        <w:rPr>
          <w:rFonts w:ascii="Times New Roman" w:cs="Times New Roman" w:eastAsia="Times New Roman" w:hAnsi="Times New Roman"/>
          <w:sz w:val="22"/>
          <w:szCs w:val="22"/>
          <w:color w:val="auto"/>
        </w:rPr>
      </w:pPr>
    </w:p>
    <w:p>
      <w:pPr>
        <w:ind w:left="4520" w:hanging="786"/>
        <w:spacing w:after="0"/>
        <w:tabs>
          <w:tab w:leader="none" w:pos="45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have delivered to Purchaser each of the deliverables set forth in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1.4(a).</w:t>
      </w:r>
    </w:p>
    <w:p>
      <w:pPr>
        <w:spacing w:after="0" w:line="209" w:lineRule="exact"/>
        <w:rPr>
          <w:rFonts w:ascii="Times New Roman" w:cs="Times New Roman" w:eastAsia="Times New Roman" w:hAnsi="Times New Roman"/>
          <w:sz w:val="22"/>
          <w:szCs w:val="22"/>
          <w:color w:val="auto"/>
        </w:rPr>
      </w:pPr>
    </w:p>
    <w:p>
      <w:pPr>
        <w:ind w:left="4560" w:hanging="826"/>
        <w:spacing w:after="0"/>
        <w:tabs>
          <w:tab w:leader="none" w:pos="45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conditions of the Partnership’s obligation to close the Merger set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forth in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of the Merger Agreement shall have been satisfied or waived.</w:t>
      </w:r>
    </w:p>
    <w:p>
      <w:pPr>
        <w:spacing w:after="0" w:line="209" w:lineRule="exact"/>
        <w:rPr>
          <w:sz w:val="20"/>
          <w:szCs w:val="20"/>
          <w:color w:val="auto"/>
        </w:rPr>
      </w:pPr>
    </w:p>
    <w:p>
      <w:pPr>
        <w:ind w:left="3080"/>
        <w:spacing w:after="0"/>
        <w:tabs>
          <w:tab w:leader="none" w:pos="4960" w:val="left"/>
        </w:tabs>
        <w:rPr>
          <w:sz w:val="20"/>
          <w:szCs w:val="20"/>
          <w:color w:val="auto"/>
        </w:rPr>
      </w:pPr>
      <w:r>
        <w:rPr>
          <w:rFonts w:ascii="Times New Roman" w:cs="Times New Roman" w:eastAsia="Times New Roman" w:hAnsi="Times New Roman"/>
          <w:sz w:val="22"/>
          <w:szCs w:val="22"/>
          <w:color w:val="auto"/>
        </w:rPr>
        <w:t>Section 5.2</w:t>
      </w:r>
      <w:r>
        <w:rPr>
          <w:sz w:val="20"/>
          <w:szCs w:val="20"/>
          <w:color w:val="auto"/>
        </w:rPr>
        <w:tab/>
      </w:r>
      <w:r>
        <w:rPr>
          <w:rFonts w:ascii="Times New Roman" w:cs="Times New Roman" w:eastAsia="Times New Roman" w:hAnsi="Times New Roman"/>
          <w:sz w:val="22"/>
          <w:szCs w:val="22"/>
          <w:u w:val="single" w:color="auto"/>
          <w:color w:val="auto"/>
        </w:rPr>
        <w:t>Seller’s Obligations</w:t>
      </w:r>
      <w:r>
        <w:rPr>
          <w:rFonts w:ascii="Times New Roman" w:cs="Times New Roman" w:eastAsia="Times New Roman" w:hAnsi="Times New Roman"/>
          <w:sz w:val="22"/>
          <w:szCs w:val="22"/>
          <w:color w:val="auto"/>
        </w:rPr>
        <w:t>. The obligation of Seller to sell the Membership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Interests is subject to the fulfillment or waiver at or prior to the Closing of the following conditions:</w:t>
      </w:r>
    </w:p>
    <w:p>
      <w:pPr>
        <w:spacing w:after="0" w:line="209" w:lineRule="exact"/>
        <w:rPr>
          <w:sz w:val="20"/>
          <w:szCs w:val="20"/>
          <w:color w:val="auto"/>
        </w:rPr>
      </w:pPr>
    </w:p>
    <w:p>
      <w:pPr>
        <w:jc w:val="both"/>
        <w:ind w:firstLine="3734"/>
        <w:spacing w:after="0" w:line="234" w:lineRule="auto"/>
        <w:tabs>
          <w:tab w:leader="none" w:pos="449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Purchaser (i) set forth in </w:t>
      </w:r>
      <w:r>
        <w:rPr>
          <w:rFonts w:ascii="Times New Roman" w:cs="Times New Roman" w:eastAsia="Times New Roman" w:hAnsi="Times New Roman"/>
          <w:sz w:val="22"/>
          <w:szCs w:val="22"/>
          <w:u w:val="single" w:color="auto"/>
          <w:color w:val="auto"/>
        </w:rPr>
        <w:t>Section 3.2(d)</w:t>
      </w:r>
      <w:r>
        <w:rPr>
          <w:rFonts w:ascii="Times New Roman" w:cs="Times New Roman" w:eastAsia="Times New Roman" w:hAnsi="Times New Roman"/>
          <w:sz w:val="22"/>
          <w:szCs w:val="22"/>
          <w:color w:val="auto"/>
        </w:rPr>
        <w:t xml:space="preserve"> shall be true and correct in all material respects as of the date of this Agreement and as of the Closing Date with the same effect as though made as of the Closing Date (except to the extent expressly made as of an earlier date, in which case as of such date) and (ii) set forth in this Agreement, other than the Section specifically identified in clause (i) of this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 shall be true and correct (disregarding all qualifications or limitations as to “materiality”, “Purchaser Material Adverse Effect” and words of similar import set forth therein) as of the date of this Agreement and as of the Closing Date with the same effect as though made as of the Closing Date (except to the extent expressly made as of an earlier date, in which case as of such date), except, in the case of this clause (ii), where the failure to be true and correct (disregarding all qualifications or limitations as to “materiality”, “Purchaser Material Adverse Effect” and words of similar import set forth therein) would not, individually or in the aggregate, reasonably be expected to have a Purchaser Material Adverse Effect.</w:t>
      </w:r>
    </w:p>
    <w:p>
      <w:pPr>
        <w:spacing w:after="0" w:line="206" w:lineRule="exact"/>
        <w:rPr>
          <w:rFonts w:ascii="Times New Roman" w:cs="Times New Roman" w:eastAsia="Times New Roman" w:hAnsi="Times New Roman"/>
          <w:sz w:val="22"/>
          <w:szCs w:val="22"/>
          <w:color w:val="auto"/>
        </w:rPr>
      </w:pPr>
    </w:p>
    <w:p>
      <w:pPr>
        <w:ind w:left="4580" w:hanging="846"/>
        <w:spacing w:after="0"/>
        <w:tabs>
          <w:tab w:leader="none" w:pos="45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shall have performed or complied in all material respects with its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required to be performed or complied by it under this Agreement at or prior to the Closing.</w:t>
      </w:r>
    </w:p>
    <w:p>
      <w:pPr>
        <w:spacing w:after="0" w:line="209" w:lineRule="exact"/>
        <w:rPr>
          <w:rFonts w:ascii="Times New Roman" w:cs="Times New Roman" w:eastAsia="Times New Roman" w:hAnsi="Times New Roman"/>
          <w:sz w:val="22"/>
          <w:szCs w:val="22"/>
          <w:color w:val="auto"/>
        </w:rPr>
      </w:pPr>
    </w:p>
    <w:p>
      <w:pPr>
        <w:ind w:left="4480" w:hanging="746"/>
        <w:spacing w:after="0"/>
        <w:tabs>
          <w:tab w:leader="none" w:pos="44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shall have delivered to Seller each of the deliverables set forth in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1.4(b).</w:t>
      </w:r>
    </w:p>
    <w:p>
      <w:pPr>
        <w:spacing w:after="0" w:line="209" w:lineRule="exact"/>
        <w:rPr>
          <w:rFonts w:ascii="Times New Roman" w:cs="Times New Roman" w:eastAsia="Times New Roman" w:hAnsi="Times New Roman"/>
          <w:sz w:val="22"/>
          <w:szCs w:val="22"/>
          <w:color w:val="auto"/>
        </w:rPr>
      </w:pPr>
    </w:p>
    <w:p>
      <w:pPr>
        <w:ind w:left="4560" w:hanging="826"/>
        <w:spacing w:after="0"/>
        <w:tabs>
          <w:tab w:leader="none" w:pos="45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conditions of Purchaser’s obligation to close the Merger set forth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of the Merger Agreement shall have been satisfied or waived.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37" w:lineRule="exact"/>
        <w:rPr>
          <w:sz w:val="20"/>
          <w:szCs w:val="20"/>
          <w:color w:val="auto"/>
        </w:rPr>
      </w:pPr>
    </w:p>
    <w:p>
      <w:pPr>
        <w:jc w:val="both"/>
        <w:ind w:firstLine="3078"/>
        <w:spacing w:after="0" w:line="239"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No Survival</w:t>
      </w:r>
      <w:r>
        <w:rPr>
          <w:rFonts w:ascii="Times New Roman" w:cs="Times New Roman" w:eastAsia="Times New Roman" w:hAnsi="Times New Roman"/>
          <w:sz w:val="22"/>
          <w:szCs w:val="22"/>
          <w:color w:val="auto"/>
        </w:rPr>
        <w:t xml:space="preserve">. No representations, warranties, covenants or agreements in this Agreement shall survive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nothing herein shall relieve any party from liability for any Willful Breach by such party of any provision of this Agreement or actual fraud by such party (which shall not include constructive fraud or similar claims).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8" w:name="page99"/>
    <w:bookmarkEnd w:id="98"/>
    <w:p>
      <w:pPr>
        <w:jc w:val="both"/>
        <w:ind w:firstLine="3078"/>
        <w:spacing w:after="0" w:line="244"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Amendment or Supplement</w:t>
      </w:r>
      <w:r>
        <w:rPr>
          <w:rFonts w:ascii="Times New Roman" w:cs="Times New Roman" w:eastAsia="Times New Roman" w:hAnsi="Times New Roman"/>
          <w:sz w:val="22"/>
          <w:szCs w:val="22"/>
          <w:color w:val="auto"/>
        </w:rPr>
        <w:t>. At any time prior to the Closing, this Agreement may be amended or supplemented in any and all respects by written agreement of the parties hereto, by action taken by their respective Boards of Directors.</w:t>
      </w:r>
    </w:p>
    <w:p>
      <w:pPr>
        <w:spacing w:after="0" w:line="201" w:lineRule="exact"/>
        <w:rPr>
          <w:sz w:val="20"/>
          <w:szCs w:val="20"/>
          <w:color w:val="auto"/>
        </w:rPr>
      </w:pPr>
    </w:p>
    <w:p>
      <w:pPr>
        <w:jc w:val="both"/>
        <w:ind w:firstLine="3078"/>
        <w:spacing w:after="0" w:line="241"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Extension of Time, Waiver, Etc.</w:t>
      </w:r>
      <w:r>
        <w:rPr>
          <w:rFonts w:ascii="Times New Roman" w:cs="Times New Roman" w:eastAsia="Times New Roman" w:hAnsi="Times New Roman"/>
          <w:sz w:val="22"/>
          <w:szCs w:val="22"/>
          <w:color w:val="auto"/>
        </w:rPr>
        <w:t xml:space="preserve"> At any time prior to the Closing, Purchaser and the Seller may, subject to applicable Law, (a) waive any inaccuracies in the representations and warranties of the other party,</w:t>
      </w:r>
    </w:p>
    <w:p>
      <w:pPr>
        <w:spacing w:after="0" w:line="2" w:lineRule="exact"/>
        <w:rPr>
          <w:sz w:val="20"/>
          <w:szCs w:val="20"/>
          <w:color w:val="auto"/>
        </w:rPr>
      </w:pPr>
    </w:p>
    <w:p>
      <w:pPr>
        <w:jc w:val="both"/>
        <w:ind w:firstLine="8"/>
        <w:spacing w:after="0" w:line="232" w:lineRule="auto"/>
        <w:tabs>
          <w:tab w:leader="none" w:pos="31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the time for the performance of any of the obligations or acts of the other party or (c) subject to the requirements of applicable Law, waive compliance by the other party with any of the agreements contained herein or, except as otherwise provided herein, waive any of such party’s conditions. Notwithstanding the foregoing, no failure or delay by Seller or Purchaser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210" w:lineRule="exact"/>
        <w:rPr>
          <w:sz w:val="20"/>
          <w:szCs w:val="20"/>
          <w:color w:val="auto"/>
        </w:rPr>
      </w:pPr>
    </w:p>
    <w:p>
      <w:pPr>
        <w:ind w:left="3080"/>
        <w:spacing w:after="0"/>
        <w:tabs>
          <w:tab w:leader="none" w:pos="4580" w:val="left"/>
        </w:tabs>
        <w:rPr>
          <w:sz w:val="20"/>
          <w:szCs w:val="20"/>
          <w:color w:val="auto"/>
        </w:rPr>
      </w:pPr>
      <w:r>
        <w:rPr>
          <w:rFonts w:ascii="Times New Roman" w:cs="Times New Roman" w:eastAsia="Times New Roman" w:hAnsi="Times New Roman"/>
          <w:sz w:val="22"/>
          <w:szCs w:val="22"/>
          <w:color w:val="auto"/>
        </w:rPr>
        <w:t>Section 6.4</w:t>
      </w:r>
      <w:r>
        <w:rPr>
          <w:sz w:val="20"/>
          <w:szCs w:val="20"/>
          <w:color w:val="auto"/>
        </w:rPr>
        <w:tab/>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4520" w:hanging="786"/>
        <w:spacing w:after="0"/>
        <w:tabs>
          <w:tab w:leader="none" w:pos="452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this Agreement nor any of the rights, interests or obligations</w:t>
      </w:r>
    </w:p>
    <w:p>
      <w:pPr>
        <w:spacing w:after="0" w:line="14" w:lineRule="exact"/>
        <w:rPr>
          <w:rFonts w:ascii="Times New Roman" w:cs="Times New Roman" w:eastAsia="Times New Roman" w:hAnsi="Times New Roman"/>
          <w:sz w:val="22"/>
          <w:szCs w:val="22"/>
          <w:color w:val="auto"/>
        </w:rPr>
      </w:pPr>
    </w:p>
    <w:p>
      <w:pPr>
        <w:ind w:right="18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hereunder shall be assigned, in whole or in part, by operation of Law or otherwise, by any of the parties hereto without the prior written consent of the other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Purchaser may assign all or any of its rights and obligations hereunder to any Affiliate so long as such assignment in no way causes a material delay or materially impairs the ability of Purchaser to consummate this Agreement.</w:t>
      </w:r>
    </w:p>
    <w:p>
      <w:pPr>
        <w:spacing w:after="0" w:line="204" w:lineRule="exact"/>
        <w:rPr>
          <w:rFonts w:ascii="Times New Roman" w:cs="Times New Roman" w:eastAsia="Times New Roman" w:hAnsi="Times New Roman"/>
          <w:sz w:val="22"/>
          <w:szCs w:val="22"/>
          <w:color w:val="auto"/>
        </w:rPr>
      </w:pPr>
    </w:p>
    <w:p>
      <w:pPr>
        <w:ind w:left="4520" w:hanging="786"/>
        <w:spacing w:after="0"/>
        <w:tabs>
          <w:tab w:leader="none" w:pos="452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assignment by any party shall relieve such party of any of its obligations</w:t>
      </w:r>
    </w:p>
    <w:p>
      <w:pPr>
        <w:spacing w:after="0" w:line="14" w:lineRule="exact"/>
        <w:rPr>
          <w:rFonts w:ascii="Times New Roman" w:cs="Times New Roman" w:eastAsia="Times New Roman" w:hAnsi="Times New Roman"/>
          <w:sz w:val="22"/>
          <w:szCs w:val="22"/>
          <w:color w:val="auto"/>
        </w:rPr>
      </w:pPr>
    </w:p>
    <w:p>
      <w:pPr>
        <w:ind w:right="24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hereunder. Subject to clause (a) above and the first section of this clause (b), this Agreement shall be binding upon, inure to the benefit of, and be enforceable by, the parties hereto and their respective successors and permitted assigns. Any purported assignment not permitted under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shall be null and void.</w:t>
      </w:r>
    </w:p>
    <w:p>
      <w:pPr>
        <w:spacing w:after="0" w:line="205" w:lineRule="exact"/>
        <w:rPr>
          <w:sz w:val="20"/>
          <w:szCs w:val="20"/>
          <w:color w:val="auto"/>
        </w:rPr>
      </w:pPr>
    </w:p>
    <w:p>
      <w:pPr>
        <w:jc w:val="both"/>
        <w:ind w:firstLine="3078"/>
        <w:spacing w:after="0" w:line="239"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(including by facsimile or electronic mail),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207" w:lineRule="exact"/>
        <w:rPr>
          <w:sz w:val="20"/>
          <w:szCs w:val="20"/>
          <w:color w:val="auto"/>
        </w:rPr>
      </w:pPr>
    </w:p>
    <w:p>
      <w:pPr>
        <w:jc w:val="both"/>
        <w:ind w:firstLine="3078"/>
        <w:spacing w:after="0" w:line="234" w:lineRule="auto"/>
        <w:rPr>
          <w:sz w:val="20"/>
          <w:szCs w:val="20"/>
          <w:color w:val="auto"/>
        </w:rPr>
      </w:pPr>
      <w:r>
        <w:rPr>
          <w:rFonts w:ascii="Times New Roman" w:cs="Times New Roman" w:eastAsia="Times New Roman" w:hAnsi="Times New Roman"/>
          <w:sz w:val="22"/>
          <w:szCs w:val="22"/>
          <w:color w:val="auto"/>
        </w:rPr>
        <w:t xml:space="preserve">Section 6.6 </w:t>
      </w:r>
      <w:r>
        <w:rPr>
          <w:rFonts w:ascii="Times New Roman" w:cs="Times New Roman" w:eastAsia="Times New Roman" w:hAnsi="Times New Roman"/>
          <w:sz w:val="22"/>
          <w:szCs w:val="22"/>
          <w:u w:val="single" w:color="auto"/>
          <w:color w:val="auto"/>
        </w:rPr>
        <w:t>Entire Agreement; No Third-Party Beneficiaries</w:t>
      </w:r>
      <w:r>
        <w:rPr>
          <w:rFonts w:ascii="Times New Roman" w:cs="Times New Roman" w:eastAsia="Times New Roman" w:hAnsi="Times New Roman"/>
          <w:sz w:val="22"/>
          <w:szCs w:val="22"/>
          <w:color w:val="auto"/>
        </w:rPr>
        <w:t xml:space="preserve">. This Agreement, together with the Merger Agreement, the GP LLC Agreement, the exhibits attached hereto and the Confidentiality Agreement, (a) constitute the entire agreement, and supersede all other prior agreements and understandings, both written and oral, among the parties hereto and their Affiliates, or any of them, with respect to the subject matter hereof and thereof and (b) are not intended to and shall not confer upon any Person other than the parties hereto any rights or remedies hereunder. The representations and warranties in this Agreement are the product of negotiations among the parties hereto. Any inaccuracies in such representations and warranties are subject to waiver by the parties hereto in accordance with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without notice or liability to any other Person. Persons other than the parties hereto may not rely upon the representations and warranties in this Agreement as characterizations of actual facts or circumstances as of the date of this Agreement or as of any other date.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9" w:name="page100"/>
    <w:bookmarkEnd w:id="99"/>
    <w:p>
      <w:pPr>
        <w:jc w:val="both"/>
        <w:ind w:firstLine="3078"/>
        <w:spacing w:after="0" w:line="259" w:lineRule="auto"/>
        <w:rPr>
          <w:sz w:val="20"/>
          <w:szCs w:val="20"/>
          <w:color w:val="auto"/>
        </w:rPr>
      </w:pPr>
      <w:r>
        <w:rPr>
          <w:rFonts w:ascii="Times New Roman" w:cs="Times New Roman" w:eastAsia="Times New Roman" w:hAnsi="Times New Roman"/>
          <w:sz w:val="22"/>
          <w:szCs w:val="22"/>
          <w:color w:val="auto"/>
        </w:rPr>
        <w:t xml:space="preserve">Section 6.7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interpreted under, and construed and enforced in accordance with, the laws of the State of Delaware.</w:t>
      </w:r>
    </w:p>
    <w:p>
      <w:pPr>
        <w:spacing w:after="0" w:line="184" w:lineRule="exact"/>
        <w:rPr>
          <w:sz w:val="20"/>
          <w:szCs w:val="20"/>
          <w:color w:val="auto"/>
        </w:rPr>
      </w:pPr>
    </w:p>
    <w:p>
      <w:pPr>
        <w:jc w:val="both"/>
        <w:ind w:firstLine="3078"/>
        <w:spacing w:after="0" w:line="233" w:lineRule="auto"/>
        <w:rPr>
          <w:sz w:val="20"/>
          <w:szCs w:val="20"/>
          <w:color w:val="auto"/>
        </w:rPr>
      </w:pPr>
      <w:r>
        <w:rPr>
          <w:rFonts w:ascii="Times New Roman" w:cs="Times New Roman" w:eastAsia="Times New Roman" w:hAnsi="Times New Roman"/>
          <w:sz w:val="22"/>
          <w:szCs w:val="22"/>
          <w:color w:val="auto"/>
        </w:rPr>
        <w:t xml:space="preserve">Section 6.8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this Agreement, subject to the terms and conditions of this Agreement. The parties acknowledge and agree that (a) the parties shall be entitled to an injunction or injunctions, specific performance or other equitable relief to prevent breaches of this Agreement and to enforce specifically the terms and provisions hereof in the Chosen Courts, this being in addition to any other remedy to which they are entitled under this Agreement and (b) the right of specific enforcement is an integral part of the Transaction and without that right, neither Seller nor Purchaser would have entered into this Agreement. The parties hereto agree not to assert that a remedy of specific enforcement is unenforceable, invalid, contrary to Law or inequitable for any reason, and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shall not be required to provide any bond or other security in connection with any such order or injunction.</w:t>
      </w:r>
    </w:p>
    <w:p>
      <w:pPr>
        <w:spacing w:after="0" w:line="207" w:lineRule="exact"/>
        <w:rPr>
          <w:sz w:val="20"/>
          <w:szCs w:val="20"/>
          <w:color w:val="auto"/>
        </w:rPr>
      </w:pPr>
    </w:p>
    <w:p>
      <w:pPr>
        <w:jc w:val="both"/>
        <w:ind w:firstLine="3078"/>
        <w:spacing w:after="0" w:line="244" w:lineRule="auto"/>
        <w:rPr>
          <w:sz w:val="20"/>
          <w:szCs w:val="20"/>
          <w:color w:val="auto"/>
        </w:rPr>
      </w:pPr>
      <w:r>
        <w:rPr>
          <w:rFonts w:ascii="Times New Roman" w:cs="Times New Roman" w:eastAsia="Times New Roman" w:hAnsi="Times New Roman"/>
          <w:sz w:val="21"/>
          <w:szCs w:val="21"/>
          <w:color w:val="auto"/>
        </w:rPr>
        <w:t xml:space="preserve">Section 6.9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w:t>
      </w:r>
    </w:p>
    <w:p>
      <w:pPr>
        <w:spacing w:after="0" w:line="6" w:lineRule="exact"/>
        <w:rPr>
          <w:sz w:val="20"/>
          <w:szCs w:val="20"/>
          <w:color w:val="auto"/>
        </w:rPr>
      </w:pPr>
    </w:p>
    <w:p>
      <w:pPr>
        <w:jc w:val="both"/>
        <w:ind w:firstLine="8"/>
        <w:spacing w:after="0" w:line="245" w:lineRule="auto"/>
        <w:tabs>
          <w:tab w:leader="none" w:pos="367"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cs="Times New Roman" w:eastAsia="Times New Roman" w:hAnsi="Times New Roman"/>
          <w:sz w:val="21"/>
          <w:szCs w:val="21"/>
          <w:u w:val="single" w:color="auto"/>
          <w:color w:val="auto"/>
        </w:rPr>
        <w:t>SECTION 6.9</w:t>
      </w:r>
      <w:r>
        <w:rPr>
          <w:rFonts w:ascii="Times New Roman" w:cs="Times New Roman" w:eastAsia="Times New Roman" w:hAnsi="Times New Roman"/>
          <w:sz w:val="21"/>
          <w:szCs w:val="21"/>
          <w:color w:val="auto"/>
        </w:rPr>
        <w:t>.</w:t>
      </w:r>
    </w:p>
    <w:p>
      <w:pPr>
        <w:spacing w:after="0" w:line="201" w:lineRule="exact"/>
        <w:rPr>
          <w:sz w:val="20"/>
          <w:szCs w:val="20"/>
          <w:color w:val="auto"/>
        </w:rPr>
      </w:pPr>
    </w:p>
    <w:p>
      <w:pPr>
        <w:jc w:val="both"/>
        <w:ind w:firstLine="3078"/>
        <w:spacing w:after="0" w:line="239"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Except as otherwise provided in this Agreement, any and all remedies expressly conferred upon a party to this Agreement shall be cumulative with, and not exclusive of, any other remedy contained in this Agreement, at law or in equity. The exercise by a party to this Agreement of any one remedy shall not preclude the exercise by it of any other remedy.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0" w:name="page101"/>
    <w:bookmarkEnd w:id="100"/>
    <w:p>
      <w:pPr>
        <w:jc w:val="both"/>
        <w:ind w:firstLine="3078"/>
        <w:spacing w:after="0"/>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and other communications to any party hereunder shall be in writing and shall be deemed given if delivered personally, facsimiled (which is confirmed by email), emailed (which is confirmed by facsimile) or sent by overnight courier (providing proof of delivery) to the parties at the following addresses:</w:t>
      </w:r>
    </w:p>
    <w:p>
      <w:pPr>
        <w:spacing w:after="0" w:line="200" w:lineRule="exact"/>
        <w:rPr>
          <w:sz w:val="20"/>
          <w:szCs w:val="20"/>
          <w:color w:val="auto"/>
        </w:rPr>
      </w:pPr>
    </w:p>
    <w:p>
      <w:pPr>
        <w:spacing w:after="0" w:line="25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If to Purchaser:</w:t>
      </w:r>
    </w:p>
    <w:p>
      <w:pPr>
        <w:spacing w:after="0" w:line="24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New Fortress Energy Inc.</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111 W. 19th Street, 8th Floor</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New York, New York 10011</w:t>
      </w:r>
    </w:p>
    <w:p>
      <w:pPr>
        <w:sectPr>
          <w:pgSz w:w="11900" w:h="16838" w:orient="portrait"/>
          <w:cols w:equalWidth="0" w:num="1">
            <w:col w:w="11240"/>
          </w:cols>
          <w:pgMar w:left="320" w:top="111" w:right="339" w:bottom="1440" w:gutter="0" w:footer="0" w:header="0"/>
        </w:sectPr>
      </w:pPr>
    </w:p>
    <w:p>
      <w:pPr>
        <w:spacing w:after="0" w:line="2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Attn:</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Cameron D. MacDougall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cmacdougall@fortress.com</w:t>
      </w:r>
    </w:p>
    <w:p>
      <w:pPr>
        <w:spacing w:after="0" w:line="200" w:lineRule="exact"/>
        <w:rPr>
          <w:sz w:val="20"/>
          <w:szCs w:val="20"/>
          <w:color w:val="auto"/>
        </w:rPr>
      </w:pPr>
    </w:p>
    <w:p>
      <w:pPr>
        <w:sectPr>
          <w:pgSz w:w="11900" w:h="16838" w:orient="portrait"/>
          <w:cols w:equalWidth="0" w:num="2">
            <w:col w:w="4220" w:space="280"/>
            <w:col w:w="6740"/>
          </w:cols>
          <w:pgMar w:left="320" w:top="111" w:right="339" w:bottom="1440" w:gutter="0" w:footer="0" w:header="0"/>
          <w:type w:val="continuous"/>
        </w:sectPr>
      </w:pPr>
    </w:p>
    <w:p>
      <w:pPr>
        <w:spacing w:after="0" w:line="3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spacing w:after="0" w:line="2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New York, New York 10001</w:t>
      </w:r>
    </w:p>
    <w:p>
      <w:pPr>
        <w:sectPr>
          <w:pgSz w:w="11900" w:h="16838" w:orient="portrait"/>
          <w:cols w:equalWidth="0" w:num="1">
            <w:col w:w="11240"/>
          </w:cols>
          <w:pgMar w:left="320" w:top="111" w:right="339" w:bottom="1440" w:gutter="0" w:footer="0" w:header="0"/>
          <w:type w:val="continuous"/>
        </w:sectPr>
      </w:pPr>
    </w:p>
    <w:p>
      <w:pPr>
        <w:spacing w:after="0" w:line="2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Facsimile:</w:t>
      </w:r>
    </w:p>
    <w:p>
      <w:pPr>
        <w:spacing w:after="0" w:line="2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A. Coco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212-735-2000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joseph.coco@skadden.com</w:t>
      </w:r>
    </w:p>
    <w:p>
      <w:pPr>
        <w:spacing w:after="0" w:line="200" w:lineRule="exact"/>
        <w:rPr>
          <w:sz w:val="20"/>
          <w:szCs w:val="20"/>
          <w:color w:val="auto"/>
        </w:rPr>
      </w:pPr>
    </w:p>
    <w:p>
      <w:pPr>
        <w:sectPr>
          <w:pgSz w:w="11900" w:h="16838" w:orient="portrait"/>
          <w:cols w:equalWidth="0" w:num="2">
            <w:col w:w="4480" w:space="380"/>
            <w:col w:w="6380"/>
          </w:cols>
          <w:pgMar w:left="320" w:top="111" w:right="339" w:bottom="1440" w:gutter="0" w:footer="0" w:header="0"/>
          <w:type w:val="continuous"/>
        </w:sectPr>
      </w:pP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Facsimile:</w:t>
      </w:r>
    </w:p>
    <w:p>
      <w:pPr>
        <w:spacing w:after="0" w:line="2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Thomas W. Greenberg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212-735-2000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thomas.greenberg@skadden.com</w:t>
      </w:r>
    </w:p>
    <w:p>
      <w:pPr>
        <w:spacing w:after="0" w:line="200" w:lineRule="exact"/>
        <w:rPr>
          <w:sz w:val="20"/>
          <w:szCs w:val="20"/>
          <w:color w:val="auto"/>
        </w:rPr>
      </w:pPr>
    </w:p>
    <w:p>
      <w:pPr>
        <w:sectPr>
          <w:pgSz w:w="11900" w:h="16838" w:orient="portrait"/>
          <w:cols w:equalWidth="0" w:num="2">
            <w:col w:w="4480" w:space="380"/>
            <w:col w:w="6380"/>
          </w:cols>
          <w:pgMar w:left="320" w:top="111" w:right="339" w:bottom="1440" w:gutter="0" w:footer="0" w:header="0"/>
          <w:type w:val="continuous"/>
        </w:sectPr>
      </w:pP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Skadden, Arps, Slate, Meagher &amp; Flom LLP</w:t>
      </w:r>
    </w:p>
    <w:p>
      <w:pPr>
        <w:spacing w:after="0" w:line="3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1000 Louisiana St., Suite 6800</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Houston, TX 77002</w:t>
      </w:r>
    </w:p>
    <w:p>
      <w:pPr>
        <w:sectPr>
          <w:pgSz w:w="11900" w:h="16838" w:orient="portrait"/>
          <w:cols w:equalWidth="0" w:num="1">
            <w:col w:w="11240"/>
          </w:cols>
          <w:pgMar w:left="320" w:top="111" w:right="339" w:bottom="1440" w:gutter="0" w:footer="0" w:header="0"/>
          <w:type w:val="continuous"/>
        </w:sectPr>
      </w:pPr>
    </w:p>
    <w:p>
      <w:pPr>
        <w:spacing w:after="0" w:line="20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Attention</w:t>
      </w:r>
      <w:r>
        <w:rPr>
          <w:rFonts w:ascii="Times New Roman" w:cs="Times New Roman" w:eastAsia="Times New Roman" w:hAnsi="Times New Roman"/>
          <w:sz w:val="18"/>
          <w:szCs w:val="18"/>
          <w:i w:val="1"/>
          <w:iCs w:val="1"/>
          <w:color w:val="auto"/>
        </w:rPr>
        <w:t>:</w:t>
      </w:r>
    </w:p>
    <w:p>
      <w:pPr>
        <w:spacing w:after="0" w:line="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Facsimile</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C. Otness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713-483-9135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eric.ottness@skadden.com</w:t>
      </w:r>
    </w:p>
    <w:p>
      <w:pPr>
        <w:spacing w:after="0" w:line="200" w:lineRule="exact"/>
        <w:rPr>
          <w:sz w:val="20"/>
          <w:szCs w:val="20"/>
          <w:color w:val="auto"/>
        </w:rPr>
      </w:pPr>
    </w:p>
    <w:p>
      <w:pPr>
        <w:sectPr>
          <w:pgSz w:w="11900" w:h="16838" w:orient="portrait"/>
          <w:cols w:equalWidth="0" w:num="2">
            <w:col w:w="4500" w:space="360"/>
            <w:col w:w="6380"/>
          </w:cols>
          <w:pgMar w:left="320" w:top="111" w:right="339" w:bottom="1440" w:gutter="0" w:footer="0" w:header="0"/>
          <w:type w:val="continuous"/>
        </w:sectPr>
      </w:pPr>
    </w:p>
    <w:p>
      <w:pPr>
        <w:spacing w:after="0" w:line="2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If to the Seller, to:</w:t>
      </w:r>
    </w:p>
    <w:p>
      <w:pPr>
        <w:spacing w:after="0" w:line="24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Golar LNG Limited</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2nd Floor, S.E. Pearman Building</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9 Par-la-Ville Road</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Hamilton HM 11, Bermuda</w:t>
      </w:r>
    </w:p>
    <w:tbl>
      <w:tblPr>
        <w:tblLayout w:type="fixed"/>
        <w:tblInd w:w="0" w:type="dxa"/>
        <w:tblCellMar>
          <w:top w:w="0" w:type="dxa"/>
          <w:left w:w="0" w:type="dxa"/>
          <w:bottom w:w="0" w:type="dxa"/>
          <w:right w:w="0" w:type="dxa"/>
        </w:tblCellMar>
      </w:tblPr>
      <w:tr>
        <w:trPr>
          <w:trHeight w:val="207"/>
        </w:trPr>
        <w:tc>
          <w:tcPr>
            <w:tcW w:w="468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Attention:</w:t>
            </w: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Karl Staubo</w:t>
            </w:r>
          </w:p>
        </w:tc>
      </w:tr>
      <w:tr>
        <w:trPr>
          <w:trHeight w:val="216"/>
        </w:trPr>
        <w:tc>
          <w:tcPr>
            <w:tcW w:w="468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Facsimile:</w:t>
            </w: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 (0)207 063 7901</w:t>
            </w:r>
          </w:p>
        </w:tc>
      </w:tr>
      <w:tr>
        <w:trPr>
          <w:trHeight w:val="216"/>
        </w:trPr>
        <w:tc>
          <w:tcPr>
            <w:tcW w:w="468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Email:</w:t>
            </w: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karl.staubo@golar.com</w:t>
            </w:r>
          </w:p>
        </w:tc>
      </w:tr>
      <w:tr>
        <w:trPr>
          <w:trHeight w:val="234"/>
        </w:trPr>
        <w:tc>
          <w:tcPr>
            <w:tcW w:w="4680" w:type="dxa"/>
            <w:vAlign w:val="bottom"/>
          </w:tcPr>
          <w:p>
            <w:pPr>
              <w:spacing w:after="0"/>
              <w:rPr>
                <w:sz w:val="20"/>
                <w:szCs w:val="20"/>
                <w:color w:val="auto"/>
              </w:rPr>
            </w:pPr>
          </w:p>
        </w:tc>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GMLLegal@golar.com</w:t>
            </w:r>
          </w:p>
        </w:tc>
      </w:tr>
      <w:tr>
        <w:trPr>
          <w:trHeight w:val="584"/>
        </w:trPr>
        <w:tc>
          <w:tcPr>
            <w:tcW w:w="4680" w:type="dxa"/>
            <w:vAlign w:val="bottom"/>
          </w:tcPr>
          <w:p>
            <w:pPr>
              <w:spacing w:after="0"/>
              <w:rPr>
                <w:sz w:val="24"/>
                <w:szCs w:val="24"/>
                <w:color w:val="auto"/>
              </w:rPr>
            </w:pPr>
          </w:p>
        </w:tc>
        <w:tc>
          <w:tcPr>
            <w:tcW w:w="65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14</w:t>
            </w:r>
          </w:p>
        </w:tc>
      </w:tr>
      <w:tr>
        <w:trPr>
          <w:trHeight w:val="44"/>
        </w:trPr>
        <w:tc>
          <w:tcPr>
            <w:tcW w:w="4680" w:type="dxa"/>
            <w:vAlign w:val="bottom"/>
            <w:tcBorders>
              <w:bottom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1" w:right="339" w:bottom="1440" w:gutter="0" w:footer="0" w:header="0"/>
          <w:type w:val="continuous"/>
        </w:sectPr>
      </w:pPr>
    </w:p>
    <w:bookmarkStart w:id="101" w:name="page102"/>
    <w:bookmarkEnd w:id="101"/>
    <w:p>
      <w:pPr>
        <w:ind w:left="308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4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Baker Botts L.L.P.</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30 Rockefeller Plaza</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New York, New York 10112</w:t>
      </w:r>
    </w:p>
    <w:p>
      <w:pPr>
        <w:spacing w:after="0" w:line="9" w:lineRule="exact"/>
        <w:rPr>
          <w:sz w:val="20"/>
          <w:szCs w:val="20"/>
          <w:color w:val="auto"/>
        </w:rPr>
      </w:pPr>
    </w:p>
    <w:p>
      <w:pPr>
        <w:ind w:left="3740"/>
        <w:spacing w:after="0"/>
        <w:tabs>
          <w:tab w:leader="none" w:pos="48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Michael Swidler</w:t>
      </w:r>
    </w:p>
    <w:p>
      <w:pPr>
        <w:spacing w:after="0" w:line="9" w:lineRule="exact"/>
        <w:rPr>
          <w:sz w:val="20"/>
          <w:szCs w:val="20"/>
          <w:color w:val="auto"/>
        </w:rPr>
      </w:pPr>
    </w:p>
    <w:p>
      <w:pPr>
        <w:ind w:left="3740"/>
        <w:spacing w:after="0"/>
        <w:tabs>
          <w:tab w:leader="none" w:pos="490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212-259-2511</w:t>
      </w:r>
    </w:p>
    <w:p>
      <w:pPr>
        <w:spacing w:after="0" w:line="9" w:lineRule="exact"/>
        <w:rPr>
          <w:sz w:val="20"/>
          <w:szCs w:val="20"/>
          <w:color w:val="auto"/>
        </w:rPr>
      </w:pPr>
    </w:p>
    <w:p>
      <w:pPr>
        <w:ind w:left="3740"/>
        <w:spacing w:after="0"/>
        <w:tabs>
          <w:tab w:leader="none" w:pos="48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michael.swidler@bakerbotts.com</w:t>
      </w:r>
    </w:p>
    <w:p>
      <w:pPr>
        <w:spacing w:after="0" w:line="2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Baker Botts L.L.P.</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700 K Street, N.W.</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3740"/>
        <w:spacing w:after="0"/>
        <w:tabs>
          <w:tab w:leader="none" w:pos="48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Catherine Gallagher</w:t>
      </w:r>
    </w:p>
    <w:p>
      <w:pPr>
        <w:spacing w:after="0" w:line="9" w:lineRule="exact"/>
        <w:rPr>
          <w:sz w:val="20"/>
          <w:szCs w:val="20"/>
          <w:color w:val="auto"/>
        </w:rPr>
      </w:pPr>
    </w:p>
    <w:p>
      <w:pPr>
        <w:ind w:left="3740"/>
        <w:spacing w:after="0"/>
        <w:tabs>
          <w:tab w:leader="none" w:pos="48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catherine.gallagher@bakerbotts.com</w:t>
      </w:r>
    </w:p>
    <w:p>
      <w:pPr>
        <w:spacing w:after="0" w:line="22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or such other address, email address or facsimile number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204" w:lineRule="exact"/>
        <w:rPr>
          <w:sz w:val="20"/>
          <w:szCs w:val="20"/>
          <w:color w:val="auto"/>
        </w:rPr>
      </w:pPr>
    </w:p>
    <w:p>
      <w:pPr>
        <w:jc w:val="both"/>
        <w:ind w:firstLine="3078"/>
        <w:spacing w:after="0" w:line="249" w:lineRule="auto"/>
        <w:rPr>
          <w:sz w:val="20"/>
          <w:szCs w:val="20"/>
          <w:color w:val="auto"/>
        </w:rPr>
      </w:pPr>
      <w:r>
        <w:rPr>
          <w:rFonts w:ascii="Times New Roman" w:cs="Times New Roman" w:eastAsia="Times New Roman" w:hAnsi="Times New Roman"/>
          <w:sz w:val="21"/>
          <w:szCs w:val="21"/>
          <w:color w:val="auto"/>
        </w:rPr>
        <w:t xml:space="preserve">Section 6.12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to attempt to modify this Agreement so as to effect the original intent of the parties as closely as possible to the fullest extent permitted by applicable Law in an acceptable manner to the end that the Transaction are fulfilled to the extent possible.</w:t>
      </w:r>
    </w:p>
    <w:p>
      <w:pPr>
        <w:spacing w:after="0" w:line="198" w:lineRule="exact"/>
        <w:rPr>
          <w:sz w:val="20"/>
          <w:szCs w:val="20"/>
          <w:color w:val="auto"/>
        </w:rPr>
      </w:pPr>
    </w:p>
    <w:p>
      <w:pPr>
        <w:jc w:val="both"/>
        <w:ind w:firstLine="3078"/>
        <w:spacing w:after="0" w:line="236"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Except as otherwise set forth in this Agreement, whether or not the Merger is consummated, (i) all fees and expenses incurred by Purchaser in connection with this Agreement shall be paid by Purchaser and (ii) all fees and expenses incurred by the Seller or the Company in connection with this Agreement shall be paid by the Seller. All Transfer Taxes incurred in connection with the purchase and sale of the Membership Interests pursuant to by this Agreement shall be paid by Purchaser and, to the extent applicable prior to the Closing, the Company shall cooperate with Purchaser in preparing, executing and filing any applicable Tax Returns with respect to such Transfer Taxes.</w:t>
      </w:r>
    </w:p>
    <w:p>
      <w:pPr>
        <w:spacing w:after="0" w:line="208" w:lineRule="exact"/>
        <w:rPr>
          <w:sz w:val="20"/>
          <w:szCs w:val="20"/>
          <w:color w:val="auto"/>
        </w:rPr>
      </w:pPr>
    </w:p>
    <w:p>
      <w:pPr>
        <w:ind w:left="3080"/>
        <w:spacing w:after="0"/>
        <w:tabs>
          <w:tab w:leader="none" w:pos="4680" w:val="left"/>
        </w:tabs>
        <w:rPr>
          <w:sz w:val="20"/>
          <w:szCs w:val="20"/>
          <w:color w:val="auto"/>
        </w:rPr>
      </w:pPr>
      <w:r>
        <w:rPr>
          <w:rFonts w:ascii="Times New Roman" w:cs="Times New Roman" w:eastAsia="Times New Roman" w:hAnsi="Times New Roman"/>
          <w:sz w:val="22"/>
          <w:szCs w:val="22"/>
          <w:color w:val="auto"/>
        </w:rPr>
        <w:t>Section 6.14</w:t>
      </w:r>
      <w:r>
        <w:rPr>
          <w:sz w:val="20"/>
          <w:szCs w:val="20"/>
          <w:color w:val="auto"/>
        </w:rPr>
        <w:tab/>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For the purposes of this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2" w:name="page103"/>
    <w:bookmarkEnd w:id="102"/>
    <w:p>
      <w:pPr>
        <w:ind w:firstLine="3734"/>
        <w:spacing w:after="0" w:line="242" w:lineRule="auto"/>
        <w:tabs>
          <w:tab w:leader="none" w:pos="4506"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xml:space="preserve">” means (a) a material adverse effect on the ability of Seller, the Company or their respective Subsidiaries to perform or comply with any material obligation under this Agreement or to consummate the transactions contemplated hereby in accordance with the terms hereof, or (b) any change, effect, event or occurrence that, individually or in the aggregate, has had or would reasonably be expected to have a material adverse effect on the business, assets, liabilities, financial condition or results of operations of the Company and its Subsidiaries, taken as a whole; provided, however, that, in the case of clause (b) any changes, effects, events or occurrences to the extent resulting from or due to any of the following shall be disregarded in determining whether there has been a Material Adverse Effect: (i) changes, effects, events or occurrences generally affecting the United States or global economy, the financial, credit, debt, securities or other capital markets or political, legislative or regulatory conditions or changes in the industries in which the Company or its Subsidiaries operates; (ii) the announcement, pendency or consummation of this Agreement or the transactions contemplated hereby or the performance of this Agreement (including the impact thereof on relationships with customers or employees); provided that this clause shall not apply to the representations and warranties set forth in </w:t>
      </w:r>
      <w:r>
        <w:rPr>
          <w:rFonts w:ascii="Times New Roman" w:cs="Times New Roman" w:eastAsia="Times New Roman" w:hAnsi="Times New Roman"/>
          <w:sz w:val="21"/>
          <w:szCs w:val="21"/>
          <w:u w:val="single" w:color="auto"/>
          <w:color w:val="auto"/>
        </w:rPr>
        <w:t>Section 2.3(b)</w:t>
      </w:r>
      <w:r>
        <w:rPr>
          <w:rFonts w:ascii="Times New Roman" w:cs="Times New Roman" w:eastAsia="Times New Roman" w:hAnsi="Times New Roman"/>
          <w:sz w:val="21"/>
          <w:szCs w:val="21"/>
          <w:color w:val="auto"/>
        </w:rPr>
        <w:t xml:space="preserve">; (iii) any change in the market price or trading volume of Common Units (it being understood and agreed that the foregoing shall not preclude any other Party to this Agreement from asserting that any facts or occurrences giving rise to or contributing to such change that are not otherwise excluded from the definition of Material Adverse Effect should be deemed to constitute, or be taken into account in determining whether there has been, or would reasonably be expected to be, a Material Adverse Effect); (iv) acts of war or terrorism (or the escalation of the foregoing), epidemics or pandemics (including COVID-19 and any COVID-19 Measures) or natural disasters or other force majeure events; (v) changes in any applicable Laws or regulations applicable to the Company or its Subsidiaries, GAAP or applicable accounting regulations or principles or the interpretation thereof; (vi) any Proceedings commenced by or involving any current or former member, partner or stockholder of the Company or its Subsidiaries (on their own or on behalf of such Person) arising out of or related to this Agreement or the transactions contemplated hereby; (vii) changes, effects, events or occurrences generally affecting the prices of oil, gas, natural gas, natural gas liquids or other commodities; (viii) any action taken by the Company or its Subsidiaries that is expressly required by the covenants set forth herein (other than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or at Purchaser’s express written request or with Purchaser’s written consent, or the failure to take any action by the Company or its Subsidiaries if that action is prohibited by this Agreement and Purchaser did not consent to such action; and (ix) any action taken by Purchaser or any of its Affiliates (including termination by Purchaser or any of its Affiliates of any contract between such Person and the Company or any of its Subsidiaries); provided, however, that changes, effects, events or occurrences referred to in clauses (i), (iv), (v) and (vii) above shall be considered for purposes of determining whether there has been or would reasonably be expected to be a Material Adverse Effect if and to the extent such changes, effects, events or occurrences has had or would reasonably be expected to have a disproportionate adverse effect on the Company and its Subsidiaries, as compared to other companies operating in the industries in which the Company and its Subsidiaries operate, in which case only the incremental disproportionate adverse effect of such changes, effects, events or occurrences shall be taken into account for the purpose of determining whether there has been or would reasonably be expected to be a Material Adverse Effect.</w:t>
      </w:r>
    </w:p>
    <w:p>
      <w:pPr>
        <w:spacing w:after="0" w:line="200" w:lineRule="exact"/>
        <w:rPr>
          <w:rFonts w:ascii="Times New Roman" w:cs="Times New Roman" w:eastAsia="Times New Roman" w:hAnsi="Times New Roman"/>
          <w:sz w:val="21"/>
          <w:szCs w:val="21"/>
          <w:color w:val="auto"/>
        </w:rPr>
      </w:pPr>
    </w:p>
    <w:p>
      <w:pPr>
        <w:spacing w:after="0" w:line="270" w:lineRule="exact"/>
        <w:rPr>
          <w:rFonts w:ascii="Times New Roman" w:cs="Times New Roman" w:eastAsia="Times New Roman" w:hAnsi="Times New Roman"/>
          <w:sz w:val="21"/>
          <w:szCs w:val="21"/>
          <w:color w:val="auto"/>
        </w:rPr>
      </w:pPr>
    </w:p>
    <w:p>
      <w:pPr>
        <w:ind w:left="4520" w:hanging="786"/>
        <w:spacing w:after="0"/>
        <w:tabs>
          <w:tab w:leader="none" w:pos="452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Material Adverse Effect</w:t>
      </w:r>
      <w:r>
        <w:rPr>
          <w:rFonts w:ascii="Times New Roman" w:cs="Times New Roman" w:eastAsia="Times New Roman" w:hAnsi="Times New Roman"/>
          <w:sz w:val="22"/>
          <w:szCs w:val="22"/>
          <w:color w:val="auto"/>
        </w:rPr>
        <w:t>” means a material adverse effect on the</w:t>
      </w:r>
    </w:p>
    <w:p>
      <w:pPr>
        <w:spacing w:after="0" w:line="14" w:lineRule="exact"/>
        <w:rPr>
          <w:rFonts w:ascii="Times New Roman" w:cs="Times New Roman" w:eastAsia="Times New Roman" w:hAnsi="Times New Roman"/>
          <w:sz w:val="22"/>
          <w:szCs w:val="22"/>
          <w:color w:val="auto"/>
        </w:rPr>
      </w:pPr>
    </w:p>
    <w:p>
      <w:pPr>
        <w:ind w:right="10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ability of Purchaser and its Subsidiaries to perform or comply with any material obligation under this Agreement or to consummate the transactions contemplated hereby in accordance with the terms hereof.</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3" w:name="page104"/>
    <w:bookmarkEnd w:id="103"/>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and delivered as of the date first above written.</w:t>
      </w:r>
    </w:p>
    <w:p>
      <w:pPr>
        <w:spacing w:after="0" w:line="18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NFE INTERNATIONAL HOLDINGS LIMITED</w:t>
      </w:r>
    </w:p>
    <w:p>
      <w:pPr>
        <w:spacing w:after="0" w:line="229"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Chistopher Guinta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 Transfer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and delivered as of the date first above written.</w:t>
      </w:r>
    </w:p>
    <w:p>
      <w:pPr>
        <w:spacing w:after="0" w:line="2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GOLAR LNG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Karl Fredrik Staubo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Karl Fredrik Staubo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 Transfer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320" w:top="121" w:right="1379" w:bottom="1440" w:gutter="0" w:footer="0" w:header="0"/>
        </w:sectPr>
      </w:pPr>
    </w:p>
    <w:bookmarkStart w:id="105" w:name="page106"/>
    <w:bookmarkEnd w:id="105"/>
    <w:p>
      <w:pPr>
        <w:ind w:left="4580"/>
        <w:spacing w:after="0"/>
        <w:rPr>
          <w:sz w:val="20"/>
          <w:szCs w:val="20"/>
          <w:color w:val="auto"/>
        </w:rPr>
      </w:pPr>
      <w:r>
        <w:rPr>
          <w:rFonts w:ascii="Times New Roman" w:cs="Times New Roman" w:eastAsia="Times New Roman" w:hAnsi="Times New Roman"/>
          <w:sz w:val="18"/>
          <w:szCs w:val="18"/>
          <w:b w:val="1"/>
          <w:bCs w:val="1"/>
          <w:color w:val="auto"/>
        </w:rPr>
        <w:t>GOLAR GP LLC</w:t>
      </w:r>
    </w:p>
    <w:p>
      <w:pPr>
        <w:spacing w:after="0" w:line="2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By: GOLAR LNG LIMITED,</w:t>
      </w:r>
    </w:p>
    <w:p>
      <w:pPr>
        <w:spacing w:after="0" w:line="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as sole member</w:t>
      </w:r>
    </w:p>
    <w:p>
      <w:pPr>
        <w:spacing w:after="0" w:line="20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/s/ Georgia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26035</wp:posOffset>
            </wp:positionV>
            <wp:extent cx="331724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17240" cy="17145"/>
                    </a:xfrm>
                    <a:prstGeom prst="rect">
                      <a:avLst/>
                    </a:prstGeom>
                    <a:noFill/>
                  </pic:spPr>
                </pic:pic>
              </a:graphicData>
            </a:graphic>
          </wp:anchor>
        </w:drawing>
      </w:r>
    </w:p>
    <w:p>
      <w:pPr>
        <w:spacing w:after="0" w:line="3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Name: Georgia Sousa</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 Transfer Agreement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132080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2"/>
          <w:szCs w:val="22"/>
          <w:b w:val="1"/>
          <w:bCs w:val="1"/>
          <w:color w:val="auto"/>
        </w:rPr>
        <w:t>ASSIGNMENT AND ASSUMPTION AGREEMENT</w:t>
      </w:r>
    </w:p>
    <w:p>
      <w:pPr>
        <w:spacing w:after="0" w:line="23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This ASSIGNMENT AND ASSUMPTION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by and between Golar LNG Limited, a Bermuda exempted company (“</w:t>
      </w: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 and NFE International Holdings Limited, a private limited company incorporated under the laws of England and Wales, United Kingdom,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effective as of [ ● ], 2021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Assignor is the owner of 100% of the membership interests in Golar GP LLC, a Marshall Islands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pursuant to the Limited Liability Company Agreement of the Company, effective as of September 24, 2007 (as the same may be amended from time to time, the “</w:t>
      </w:r>
      <w:r>
        <w:rPr>
          <w:rFonts w:ascii="Times New Roman" w:cs="Times New Roman" w:eastAsia="Times New Roman" w:hAnsi="Times New Roman"/>
          <w:sz w:val="22"/>
          <w:szCs w:val="22"/>
          <w:u w:val="single" w:color="auto"/>
          <w:color w:val="auto"/>
        </w:rPr>
        <w:t>LLC Agreement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Assignor and Assignee are parties to that certain Transfer Agreement among Assignor, the Company and Assignee (the “</w:t>
      </w:r>
      <w:r>
        <w:rPr>
          <w:rFonts w:ascii="Times New Roman" w:cs="Times New Roman" w:eastAsia="Times New Roman" w:hAnsi="Times New Roman"/>
          <w:sz w:val="22"/>
          <w:szCs w:val="22"/>
          <w:u w:val="single" w:color="auto"/>
          <w:color w:val="auto"/>
        </w:rPr>
        <w:t>Transfer Agreement</w:t>
      </w:r>
      <w:r>
        <w:rPr>
          <w:rFonts w:ascii="Times New Roman" w:cs="Times New Roman" w:eastAsia="Times New Roman" w:hAnsi="Times New Roman"/>
          <w:sz w:val="22"/>
          <w:szCs w:val="22"/>
          <w:color w:val="auto"/>
        </w:rPr>
        <w:t>”), pursuant to which the Assignee is purchasing the Assigned Interests (as defined below) from Assignor;</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Golar LNG Partners LP, a Marshall Islands limited partnership, Lobos Acquisitions LLC, a Marshall Islands limited liability company, Assignor and the Assignee are parties to that certain Agreement and Plan of Merger dated as of January 13, 2021 (the “</w:t>
      </w:r>
      <w:r>
        <w:rPr>
          <w:rFonts w:ascii="Times New Roman" w:cs="Times New Roman" w:eastAsia="Times New Roman" w:hAnsi="Times New Roman"/>
          <w:sz w:val="22"/>
          <w:szCs w:val="22"/>
          <w:u w:val="single" w:color="auto"/>
          <w:color w:val="auto"/>
        </w:rPr>
        <w:t>Merger Agreement</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WHEREAS, in connection with the Closing (as such term is defined in the Transfer Agreement), Assignor wishes to transfer to Assignee, and Assignee wishes to accept from Assignor, membership interests in the Company equal to 100% of the membership interests in the Company outstanding as of the Effective Date (the “</w:t>
      </w:r>
      <w:r>
        <w:rPr>
          <w:rFonts w:ascii="Times New Roman" w:cs="Times New Roman" w:eastAsia="Times New Roman" w:hAnsi="Times New Roman"/>
          <w:sz w:val="22"/>
          <w:szCs w:val="22"/>
          <w:u w:val="single" w:color="auto"/>
          <w:color w:val="auto"/>
        </w:rPr>
        <w:t>Assigned Interests</w:t>
      </w:r>
      <w:r>
        <w:rPr>
          <w:rFonts w:ascii="Times New Roman" w:cs="Times New Roman" w:eastAsia="Times New Roman" w:hAnsi="Times New Roman"/>
          <w:sz w:val="22"/>
          <w:szCs w:val="22"/>
          <w:color w:val="auto"/>
        </w:rPr>
        <w:t>”), on the terms and conditions set forth in this Agreement.</w:t>
      </w:r>
    </w:p>
    <w:p>
      <w:pPr>
        <w:spacing w:after="0" w:line="20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mutual promises contained in this Agreement, and for other good and valuable consideration, the receipt and sufficiency of which are hereby acknowledged, the parties hereby agree as follows:</w:t>
      </w:r>
    </w:p>
    <w:p>
      <w:pPr>
        <w:spacing w:after="0" w:line="185" w:lineRule="exact"/>
        <w:rPr>
          <w:sz w:val="20"/>
          <w:szCs w:val="20"/>
          <w:color w:val="auto"/>
        </w:rPr>
      </w:pPr>
    </w:p>
    <w:p>
      <w:pPr>
        <w:jc w:val="both"/>
        <w:ind w:firstLine="656"/>
        <w:spacing w:after="0" w:line="238" w:lineRule="auto"/>
        <w:tabs>
          <w:tab w:leader="none" w:pos="143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Assignor does hereby transfer, assign, convey and deliver to Assignee all of the Assigned Interests including, without limitation (a) the Assignor’s rights to receive profits, compensation, and other distributions from the Company attributable to the Assigned Interests which accrue after the date hereof, and (b) all of the rights, titles, interests and benefits of whatsoever kind or character now or thereafter accruing to the Assigned Interests, in each case free and clear of any Liens (collectively, the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Assumption</w:t>
      </w:r>
      <w:r>
        <w:rPr>
          <w:rFonts w:ascii="Times New Roman" w:cs="Times New Roman" w:eastAsia="Times New Roman" w:hAnsi="Times New Roman"/>
          <w:sz w:val="22"/>
          <w:szCs w:val="22"/>
          <w:color w:val="auto"/>
        </w:rPr>
        <w:t>. Assignee accepts such Assignment and agrees to be bound by the terms of the LLC Agreement.</w:t>
      </w:r>
    </w:p>
    <w:p>
      <w:pPr>
        <w:spacing w:after="0" w:line="233" w:lineRule="exact"/>
        <w:rPr>
          <w:rFonts w:ascii="Times New Roman" w:cs="Times New Roman" w:eastAsia="Times New Roman" w:hAnsi="Times New Roman"/>
          <w:sz w:val="22"/>
          <w:szCs w:val="22"/>
          <w:color w:val="auto"/>
        </w:rPr>
      </w:pPr>
    </w:p>
    <w:p>
      <w:pPr>
        <w:jc w:val="both"/>
        <w:ind w:firstLine="656"/>
        <w:spacing w:after="0" w:line="244" w:lineRule="auto"/>
        <w:tabs>
          <w:tab w:leader="none" w:pos="144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Assignment</w:t>
      </w:r>
      <w:r>
        <w:rPr>
          <w:rFonts w:ascii="Times New Roman" w:cs="Times New Roman" w:eastAsia="Times New Roman" w:hAnsi="Times New Roman"/>
          <w:sz w:val="22"/>
          <w:szCs w:val="22"/>
          <w:color w:val="auto"/>
        </w:rPr>
        <w:t>. The Assignor, as sole member of the Company on the Effective Date, hereby approves and consents to the Assignment and consents to the Assignee becoming a Member of the Company in the place and stead of Assignor with respect to the Assigned Interests as of the Effective Date for all purposes.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7" w:name="page108"/>
    <w:bookmarkEnd w:id="107"/>
    <w:p>
      <w:pPr>
        <w:jc w:val="both"/>
        <w:ind w:firstLine="656"/>
        <w:spacing w:after="0" w:line="238" w:lineRule="auto"/>
        <w:tabs>
          <w:tab w:leader="none" w:pos="156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modified or supplemented only by written agreement of the parties hereto. This Agreement and all of the provisions hereof shall be binding upon and inure to the benefit of the parties hereto and their respective successors and permitted assigns. Nothing expressed or implied in this Agreement is intended or shall be construed to confer upon or give any person, other than the parties, and their successors and permitted assigns, any right or remedies under or by reason of this Agreement.</w:t>
      </w:r>
    </w:p>
    <w:p>
      <w:pPr>
        <w:spacing w:after="0" w:line="204" w:lineRule="exact"/>
        <w:rPr>
          <w:rFonts w:ascii="Times New Roman" w:cs="Times New Roman" w:eastAsia="Times New Roman" w:hAnsi="Times New Roman"/>
          <w:sz w:val="22"/>
          <w:szCs w:val="22"/>
          <w:color w:val="auto"/>
        </w:rPr>
      </w:pPr>
    </w:p>
    <w:p>
      <w:pPr>
        <w:ind w:right="20" w:firstLine="656"/>
        <w:spacing w:after="0" w:line="258" w:lineRule="auto"/>
        <w:tabs>
          <w:tab w:leader="none" w:pos="171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interpreted under, and construed and enforced in accordance with, the laws of the State of Delaware.</w:t>
      </w:r>
    </w:p>
    <w:p>
      <w:pPr>
        <w:spacing w:after="0" w:line="185" w:lineRule="exact"/>
        <w:rPr>
          <w:rFonts w:ascii="Times New Roman" w:cs="Times New Roman" w:eastAsia="Times New Roman" w:hAnsi="Times New Roman"/>
          <w:sz w:val="22"/>
          <w:szCs w:val="22"/>
          <w:color w:val="auto"/>
        </w:rPr>
      </w:pPr>
    </w:p>
    <w:p>
      <w:pPr>
        <w:jc w:val="both"/>
        <w:ind w:firstLine="656"/>
        <w:spacing w:after="0" w:line="239" w:lineRule="auto"/>
        <w:tabs>
          <w:tab w:leader="none" w:pos="151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LLC Agreement, the Transfer Agreement, the Merger Agreement, the Confidentiality Agreement and the other documents and instruments referred to herein and therein, embody the entire agreement and understanding of the parties in respect of the subject matter contained herein. This Agreement supersedes all other prior agreements and understandings between the parties with respect to such subject matter.</w:t>
      </w:r>
    </w:p>
    <w:p>
      <w:pPr>
        <w:spacing w:after="0" w:line="207" w:lineRule="exact"/>
        <w:rPr>
          <w:rFonts w:ascii="Times New Roman" w:cs="Times New Roman" w:eastAsia="Times New Roman" w:hAnsi="Times New Roman"/>
          <w:sz w:val="22"/>
          <w:szCs w:val="22"/>
          <w:color w:val="auto"/>
        </w:rPr>
      </w:pPr>
    </w:p>
    <w:p>
      <w:pPr>
        <w:jc w:val="both"/>
        <w:ind w:firstLine="656"/>
        <w:spacing w:after="0" w:line="238" w:lineRule="auto"/>
        <w:tabs>
          <w:tab w:leader="none" w:pos="147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The parties agree to take all such further actions and execute, acknowledge and deliver all such further documents that are necessary or useful in carrying out the purposes of this Agreement. Without limitation of the foregoing, Assignor agrees to execute, acknowledge and deliver to the Assignee all such other additional instruments, notices, and other documents and to do all to more fully and effectively grant, convey and assign to the Assignee the Assigned Interests conveyed hereby and intended so to be.</w:t>
      </w:r>
    </w:p>
    <w:p>
      <w:pPr>
        <w:spacing w:after="0" w:line="203" w:lineRule="exact"/>
        <w:rPr>
          <w:rFonts w:ascii="Times New Roman" w:cs="Times New Roman" w:eastAsia="Times New Roman" w:hAnsi="Times New Roman"/>
          <w:sz w:val="22"/>
          <w:szCs w:val="22"/>
          <w:color w:val="auto"/>
        </w:rPr>
      </w:pPr>
    </w:p>
    <w:p>
      <w:pPr>
        <w:jc w:val="both"/>
        <w:ind w:firstLine="656"/>
        <w:spacing w:after="0" w:line="244" w:lineRule="auto"/>
        <w:tabs>
          <w:tab w:leader="none" w:pos="143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will be deemed to be an original but all of which taken together will constitute one and the same agreement) and will become effective when one or more counterparts have been signed by each of the parties hereto and delivered (including delivery by email) to the other party.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8" w:name="page109"/>
    <w:bookmarkEnd w:id="108"/>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by their duly authorized representatives as of the Effective Date.</w:t>
      </w:r>
    </w:p>
    <w:p>
      <w:pPr>
        <w:spacing w:after="0" w:line="1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“Assignor”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GOLAR LNG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302895</wp:posOffset>
            </wp:positionV>
            <wp:extent cx="3566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09" w:name="page110"/>
    <w:bookmarkEnd w:id="109"/>
    <w:p>
      <w:pPr>
        <w:ind w:left="4500"/>
        <w:spacing w:after="0"/>
        <w:rPr>
          <w:sz w:val="20"/>
          <w:szCs w:val="20"/>
          <w:color w:val="auto"/>
        </w:rPr>
      </w:pPr>
      <w:r>
        <w:rPr>
          <w:rFonts w:ascii="Times New Roman" w:cs="Times New Roman" w:eastAsia="Times New Roman" w:hAnsi="Times New Roman"/>
          <w:sz w:val="18"/>
          <w:szCs w:val="18"/>
          <w:color w:val="auto"/>
        </w:rPr>
        <w:t>“Assignee”</w:t>
      </w: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NFE INTERNATIONAL HOLDINGS</w:t>
      </w:r>
    </w:p>
    <w:p>
      <w:pPr>
        <w:spacing w:after="0" w:line="4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288925</wp:posOffset>
            </wp:positionV>
            <wp:extent cx="3566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382905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A</w:t>
      </w:r>
    </w:p>
    <w:p>
      <w:pPr>
        <w:sectPr>
          <w:pgSz w:w="11900" w:h="16838" w:orient="portrait"/>
          <w:cols w:equalWidth="0" w:num="1">
            <w:col w:w="9019"/>
          </w:cols>
          <w:pgMar w:left="1440" w:top="121" w:right="1440"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EXECUTION VERSION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HYGO ENERGY TRANSITION LTD.</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NEW FORTRESS ENERGY INC.</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GOLAR LNG LIMITED</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STONEPEAK INFRASTRUCTURE FUND II CAYMAN (G) LTD.</w:t>
      </w:r>
    </w:p>
    <w:p>
      <w:pPr>
        <w:spacing w:after="0" w:line="2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5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LOBOS ACQUISITION LTD.</w:t>
      </w:r>
    </w:p>
    <w:p>
      <w:pPr>
        <w:spacing w:after="0" w:line="2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Dated as of January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9"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87"/>
        </w:trPr>
        <w:tc>
          <w:tcPr>
            <w:tcW w:w="1300" w:type="dxa"/>
            <w:vAlign w:val="bottom"/>
          </w:tcPr>
          <w:p>
            <w:pPr>
              <w:spacing w:after="0"/>
              <w:rPr>
                <w:sz w:val="24"/>
                <w:szCs w:val="24"/>
                <w:color w:val="auto"/>
              </w:rPr>
            </w:pPr>
          </w:p>
        </w:tc>
        <w:tc>
          <w:tcPr>
            <w:tcW w:w="8400" w:type="dxa"/>
            <w:vAlign w:val="bottom"/>
          </w:tcPr>
          <w:p>
            <w:pPr>
              <w:jc w:val="center"/>
              <w:ind w:left="150"/>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3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5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84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Article I</w:t>
            </w:r>
          </w:p>
        </w:tc>
        <w:tc>
          <w:tcPr>
            <w:tcW w:w="1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84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The Merger</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Merger</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Merger Effective Time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Effects of Merger</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Memorandum of Association and Bye-Laws of the Surviving Company</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1.05</w:t>
            </w:r>
          </w:p>
        </w:tc>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Board of Directors and Officers of Surviving Company</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Closing</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00" w:type="dxa"/>
            <w:vAlign w:val="bottom"/>
          </w:tcPr>
          <w:p>
            <w:pPr>
              <w:spacing w:after="0"/>
              <w:rPr>
                <w:sz w:val="24"/>
                <w:szCs w:val="24"/>
                <w:color w:val="auto"/>
              </w:rPr>
            </w:pPr>
          </w:p>
        </w:tc>
        <w:tc>
          <w:tcPr>
            <w:tcW w:w="8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Article II</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00" w:type="dxa"/>
            <w:vAlign w:val="bottom"/>
          </w:tcPr>
          <w:p>
            <w:pPr>
              <w:spacing w:after="0"/>
              <w:rPr>
                <w:sz w:val="24"/>
                <w:szCs w:val="24"/>
                <w:color w:val="auto"/>
              </w:rPr>
            </w:pPr>
          </w:p>
        </w:tc>
        <w:tc>
          <w:tcPr>
            <w:tcW w:w="84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Effect on the Share Capital of the Constituent Entities;</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84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Payment of Consideration</w:t>
            </w: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Effect of Merger on the Share Capital of Merger Sub and the Company</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Payment of Cash Consideration and Delivery of Shares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Adjustments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Withholding Taxes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Fair Value and Dissenter’s Rights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84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Article III</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8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Representations and Warranties of the Company Shareholders and the Company</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Organization; Standing</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Capitalization</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3.03</w:t>
            </w:r>
          </w:p>
        </w:tc>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Authority; Noncontravention</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Governmental Approvals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3.05</w:t>
            </w:r>
          </w:p>
        </w:tc>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Company SEC Documents; Financial Statements; Undisclosed Liabilities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3.07</w:t>
            </w:r>
          </w:p>
        </w:tc>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Legal Proceedings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3.09</w:t>
            </w:r>
          </w:p>
        </w:tc>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Tax Matters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Employee Benefits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3.11</w:t>
            </w:r>
          </w:p>
        </w:tc>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Labor Matters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Intellectual Property</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3.13</w:t>
            </w:r>
          </w:p>
        </w:tc>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Anti-Takeover Provisions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Title to Properties; Security Interests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3.15</w:t>
            </w:r>
          </w:p>
        </w:tc>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Vessels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Environmental Matters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3.17</w:t>
            </w:r>
          </w:p>
        </w:tc>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Company Material Contracts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3.18</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Joint Venture Agreements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Customers and Suppliers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3.20</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Insurance Policies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Export Controls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3.22</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Anti-Corruption</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3.23</w:t>
            </w: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Regulatory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3.24</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Opinions of Financial Advisors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3.25</w:t>
            </w: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Brokers and Other Advisors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3.26</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81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Article IV</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81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Representations and Warranties of Parent and Merger Sub</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Organization; Standing</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Capitalization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Authority; Noncontravention</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Governmental Approvals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Ownership and Operations of Merger Sub</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Parent SEC Documents; Undisclosed Liabilities; Internal Controls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4.07</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Legal Proceedings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4.09</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Export Controls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4.11</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Anti-Corruption</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4.13</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Acceleration of Compensation and Benefits Payments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Sufficient Funds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4.15</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Anti-Takeover Provisions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Brokers and Other Advisors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4.17</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81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Article V</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81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Additional Covenants and Agreements</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Conduct of Business of the Company, its Subsidiaries and the Joint Venture Entities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Conduct of Business of Parent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Exclusivity</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Reasonable Best Efforts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5.05</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Transfer Taxes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Public Announcements; Other Communications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5.07</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Indemnification and Insurance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5.09</w:t>
            </w:r>
          </w:p>
        </w:tc>
        <w:tc>
          <w:tcPr>
            <w:tcW w:w="8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Release</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Merger Sub Consent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Stock Exchange Listing</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Treatment of Certain Existing Indebtedness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Financing Cooperation</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Ancillary Agreements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Affiliate Agreements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7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280G Consent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5.17</w:t>
            </w:r>
          </w:p>
        </w:tc>
        <w:tc>
          <w:tcPr>
            <w:tcW w:w="7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Pre-Closing Reorganization</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5.18</w:t>
            </w:r>
          </w:p>
        </w:tc>
        <w:tc>
          <w:tcPr>
            <w:tcW w:w="7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Treatment of Joint Venture Entities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00" w:type="dxa"/>
            <w:vAlign w:val="bottom"/>
          </w:tcPr>
          <w:p>
            <w:pPr>
              <w:spacing w:after="0"/>
              <w:rPr>
                <w:sz w:val="24"/>
                <w:szCs w:val="24"/>
                <w:color w:val="auto"/>
              </w:rPr>
            </w:pPr>
          </w:p>
        </w:tc>
        <w:tc>
          <w:tcPr>
            <w:tcW w:w="75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Article VI</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75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Conditions Precedent</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Conditions to Each Party’s Obligation to Effect the Merger</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Conditions to Obligations of Parent and Merger Sub</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Conditions to Obligations of the Company Shareholders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75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Article VII</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75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Termination</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Termination</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7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 of Termination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00" w:type="dxa"/>
            <w:vAlign w:val="bottom"/>
          </w:tcPr>
          <w:p>
            <w:pPr>
              <w:spacing w:after="0"/>
              <w:rPr>
                <w:sz w:val="24"/>
                <w:szCs w:val="24"/>
                <w:color w:val="auto"/>
              </w:rPr>
            </w:pPr>
          </w:p>
        </w:tc>
        <w:tc>
          <w:tcPr>
            <w:tcW w:w="75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Article VIII</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75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Miscellaneous</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8.01</w:t>
            </w:r>
          </w:p>
        </w:tc>
        <w:tc>
          <w:tcPr>
            <w:tcW w:w="7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 Survival of Representations and Warranties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7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Amendment or Supplement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8.03</w:t>
            </w:r>
          </w:p>
        </w:tc>
        <w:tc>
          <w:tcPr>
            <w:tcW w:w="7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Extension of Time, Waiver, Etc</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7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Assignment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8.05</w:t>
            </w:r>
          </w:p>
        </w:tc>
        <w:tc>
          <w:tcPr>
            <w:tcW w:w="7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Counterparts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7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Entire Agreement; No Third-Party Beneficiaries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8.07</w:t>
            </w:r>
          </w:p>
        </w:tc>
        <w:tc>
          <w:tcPr>
            <w:tcW w:w="7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7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Specific Enforcement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8.09</w:t>
            </w:r>
          </w:p>
        </w:tc>
        <w:tc>
          <w:tcPr>
            <w:tcW w:w="7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WAIVER OF JURY TRIAL</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7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Remedies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8.11</w:t>
            </w:r>
          </w:p>
        </w:tc>
        <w:tc>
          <w:tcPr>
            <w:tcW w:w="7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Notices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7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Severability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8.13</w:t>
            </w:r>
          </w:p>
        </w:tc>
        <w:tc>
          <w:tcPr>
            <w:tcW w:w="7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Definitions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8.14</w:t>
            </w:r>
          </w:p>
        </w:tc>
        <w:tc>
          <w:tcPr>
            <w:tcW w:w="7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Fees and Expenses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8.15</w:t>
            </w:r>
          </w:p>
        </w:tc>
        <w:tc>
          <w:tcPr>
            <w:tcW w:w="7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Non-Recourse</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8.16</w:t>
            </w:r>
          </w:p>
        </w:tc>
        <w:tc>
          <w:tcPr>
            <w:tcW w:w="7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Interpretation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8.17</w:t>
            </w:r>
          </w:p>
        </w:tc>
        <w:tc>
          <w:tcPr>
            <w:tcW w:w="7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Non-Recourse Against Financing Sources; Waiver of Certain Claims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480" w:type="dxa"/>
            <w:vAlign w:val="bottom"/>
          </w:tcPr>
          <w:p>
            <w:pPr>
              <w:spacing w:after="0"/>
              <w:rPr>
                <w:sz w:val="17"/>
                <w:szCs w:val="17"/>
                <w:color w:val="auto"/>
              </w:rPr>
            </w:pPr>
          </w:p>
        </w:tc>
      </w:tr>
      <w:tr>
        <w:trPr>
          <w:trHeight w:val="263"/>
        </w:trPr>
        <w:tc>
          <w:tcPr>
            <w:tcW w:w="640" w:type="dxa"/>
            <w:vAlign w:val="bottom"/>
            <w:tcBorders>
              <w:top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9480" w:type="dxa"/>
            <w:vAlign w:val="bottom"/>
          </w:tcPr>
          <w:p>
            <w:pPr>
              <w:spacing w:after="0"/>
              <w:rPr>
                <w:sz w:val="22"/>
                <w:szCs w:val="22"/>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w:t>
            </w:r>
          </w:p>
        </w:tc>
        <w:tc>
          <w:tcPr>
            <w:tcW w:w="94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Transition Services Agreement</w:t>
            </w:r>
          </w:p>
        </w:tc>
      </w:tr>
      <w:tr>
        <w:trPr>
          <w:trHeight w:val="234"/>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94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Shareholders’ Agreement</w:t>
            </w:r>
          </w:p>
        </w:tc>
      </w:tr>
    </w:tbl>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January 13, 2021, is by and among Hygo Energy Transition Ltd., a Bermuda exempted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Golar LNG Limited, a Bermuda exempted company (“</w:t>
      </w:r>
      <w:r>
        <w:rPr>
          <w:rFonts w:ascii="Times New Roman" w:cs="Times New Roman" w:eastAsia="Times New Roman" w:hAnsi="Times New Roman"/>
          <w:sz w:val="18"/>
          <w:szCs w:val="18"/>
          <w:u w:val="single" w:color="auto"/>
          <w:color w:val="auto"/>
        </w:rPr>
        <w:t>GLNG</w:t>
      </w:r>
      <w:r>
        <w:rPr>
          <w:rFonts w:ascii="Times New Roman" w:cs="Times New Roman" w:eastAsia="Times New Roman" w:hAnsi="Times New Roman"/>
          <w:sz w:val="18"/>
          <w:szCs w:val="18"/>
          <w:color w:val="auto"/>
        </w:rPr>
        <w:t>”), Stonepeak Infrastructure Fund II Cayman (G) Ltd. (“</w:t>
      </w:r>
      <w:r>
        <w:rPr>
          <w:rFonts w:ascii="Times New Roman" w:cs="Times New Roman" w:eastAsia="Times New Roman" w:hAnsi="Times New Roman"/>
          <w:sz w:val="18"/>
          <w:szCs w:val="18"/>
          <w:u w:val="single" w:color="auto"/>
          <w:color w:val="auto"/>
        </w:rPr>
        <w:t>Stonepeak</w:t>
      </w:r>
      <w:r>
        <w:rPr>
          <w:rFonts w:ascii="Times New Roman" w:cs="Times New Roman" w:eastAsia="Times New Roman" w:hAnsi="Times New Roman"/>
          <w:sz w:val="18"/>
          <w:szCs w:val="18"/>
          <w:color w:val="auto"/>
        </w:rPr>
        <w:t>” and together with GLNG, the “</w:t>
      </w:r>
      <w:r>
        <w:rPr>
          <w:rFonts w:ascii="Times New Roman" w:cs="Times New Roman" w:eastAsia="Times New Roman" w:hAnsi="Times New Roman"/>
          <w:sz w:val="18"/>
          <w:szCs w:val="18"/>
          <w:u w:val="single" w:color="auto"/>
          <w:color w:val="auto"/>
        </w:rPr>
        <w:t>Company Shareholders</w:t>
      </w:r>
      <w:r>
        <w:rPr>
          <w:rFonts w:ascii="Times New Roman" w:cs="Times New Roman" w:eastAsia="Times New Roman" w:hAnsi="Times New Roman"/>
          <w:sz w:val="18"/>
          <w:szCs w:val="18"/>
          <w:color w:val="auto"/>
        </w:rPr>
        <w:t>”), New Fortress Energy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Lobos Acquisition Ltd., a Bermuda exempted company and an indirect,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Certain capitalized terms used in this Agreement are defined in Section 8.13.</w:t>
      </w:r>
    </w:p>
    <w:p>
      <w:pPr>
        <w:spacing w:after="0" w:line="210" w:lineRule="exact"/>
        <w:rPr>
          <w:sz w:val="20"/>
          <w:szCs w:val="20"/>
          <w:color w:val="auto"/>
        </w:rPr>
      </w:pPr>
    </w:p>
    <w:p>
      <w:pPr>
        <w:ind w:right="380" w:firstLine="648"/>
        <w:spacing w:after="0" w:line="277" w:lineRule="auto"/>
        <w:rPr>
          <w:sz w:val="20"/>
          <w:szCs w:val="20"/>
          <w:color w:val="auto"/>
        </w:rPr>
      </w:pPr>
      <w:r>
        <w:rPr>
          <w:rFonts w:ascii="Times New Roman" w:cs="Times New Roman" w:eastAsia="Times New Roman" w:hAnsi="Times New Roman"/>
          <w:sz w:val="17"/>
          <w:szCs w:val="17"/>
          <w:color w:val="auto"/>
        </w:rPr>
        <w:t>WHEREAS, the Board of Directors of each of the Company, Parent and Merger Sub (i) have unanimously approved and adopted the business combination transaction provided for herein in which Merger Sub will, subject to the terms and conditions set forth herein and in the Statutory Merger Agreement, merge with and into the Company, with the Company surviving such merger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(ii) have determined that the terms of this Agreement and the Statutory Merger Agreement are in the best interests of and fair to the Company, Parent or Merger Sub, as applicable, and their respective shareholders, and (iii) have declared the advisability of this Agreement, the Statutory Merger Agreement and the Merger;</w:t>
      </w:r>
    </w:p>
    <w:p>
      <w:pPr>
        <w:spacing w:after="0" w:line="19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the Company has unanimously recommended approval of the Merger, the Statutory Merger Agreement and this Agreement by the Company Shareholders;</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Parent has unanimously recommended approval of the issuance of Parent Shares in connection with the Merger (the “</w:t>
      </w:r>
      <w:r>
        <w:rPr>
          <w:rFonts w:ascii="Times New Roman" w:cs="Times New Roman" w:eastAsia="Times New Roman" w:hAnsi="Times New Roman"/>
          <w:sz w:val="18"/>
          <w:szCs w:val="18"/>
          <w:u w:val="single" w:color="auto"/>
          <w:color w:val="auto"/>
        </w:rPr>
        <w:t>Parent Share Issuance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the willingness of Parent to enter into this Agreement, the Company Shareholders executed and delivered to Parent a written consent in their capacity as the holders of all of the outstanding common shares of the Company and, solely with respect to Stonepeak, also in its capacity as the holder of all of the outstanding preferred shares of the Company, approving this Agreement and the Merger (the “</w:t>
      </w:r>
      <w:r>
        <w:rPr>
          <w:rFonts w:ascii="Times New Roman" w:cs="Times New Roman" w:eastAsia="Times New Roman" w:hAnsi="Times New Roman"/>
          <w:sz w:val="18"/>
          <w:szCs w:val="18"/>
          <w:u w:val="single" w:color="auto"/>
          <w:color w:val="auto"/>
        </w:rPr>
        <w:t>Company Shareholder Consent</w:t>
      </w:r>
      <w:r>
        <w:rPr>
          <w:rFonts w:ascii="Times New Roman" w:cs="Times New Roman" w:eastAsia="Times New Roman" w:hAnsi="Times New Roman"/>
          <w:sz w:val="18"/>
          <w:szCs w:val="18"/>
          <w:color w:val="auto"/>
        </w:rPr>
        <w:t>”), thereby providing all requisite approval of the Company Shareholders that is required to consummate the Merger; and</w:t>
      </w:r>
    </w:p>
    <w:p>
      <w:pPr>
        <w:spacing w:after="0" w:line="21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the Company Shareholders, Parent and Merger Sub desire to make certain representations, warranties, covenants and agreements in connection with the Merger and also to prescribe various conditions to the Merger.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foregoing, the parties hereto agree as follows: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MERGER</w:t>
      </w:r>
    </w:p>
    <w:p>
      <w:pPr>
        <w:spacing w:after="0" w:line="24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21"/>
          <w:szCs w:val="21"/>
          <w:color w:val="auto"/>
        </w:rPr>
        <w:t>. On the terms and subject to the conditions set forth in this Agreement and the Statutory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Agreement, and pursuant to Section 104H of the Companies Act 1981 of Bermuda, as amended (the “</w:t>
      </w:r>
      <w:r>
        <w:rPr>
          <w:rFonts w:ascii="Times New Roman" w:cs="Times New Roman" w:eastAsia="Times New Roman" w:hAnsi="Times New Roman"/>
          <w:sz w:val="17"/>
          <w:szCs w:val="17"/>
          <w:u w:val="single" w:color="auto"/>
          <w:color w:val="auto"/>
        </w:rPr>
        <w:t>Bermuda Companies Act</w:t>
      </w:r>
      <w:r>
        <w:rPr>
          <w:rFonts w:ascii="Times New Roman" w:cs="Times New Roman" w:eastAsia="Times New Roman" w:hAnsi="Times New Roman"/>
          <w:sz w:val="21"/>
          <w:szCs w:val="21"/>
          <w:color w:val="auto"/>
        </w:rPr>
        <w:t>”), at the Effective Time, Merger Sub shall be merged with and into the Company, the separate existence of Merger Sub shall thereupon cease, and the Company shall be the surviving company in the Merger (such surviving company, the “</w:t>
      </w:r>
      <w:r>
        <w:rPr>
          <w:rFonts w:ascii="Times New Roman" w:cs="Times New Roman" w:eastAsia="Times New Roman" w:hAnsi="Times New Roman"/>
          <w:sz w:val="17"/>
          <w:szCs w:val="17"/>
          <w:u w:val="single" w:color="auto"/>
          <w:color w:val="auto"/>
        </w:rPr>
        <w:t>Surviving Company</w:t>
      </w:r>
      <w:r>
        <w:rPr>
          <w:rFonts w:ascii="Times New Roman" w:cs="Times New Roman" w:eastAsia="Times New Roman" w:hAnsi="Times New Roman"/>
          <w:sz w:val="21"/>
          <w:szCs w:val="21"/>
          <w:color w:val="auto"/>
        </w:rPr>
        <w:t>”), such that immediately following the Merger, the Surviving Company will be an indirect, wholly-owned Subsidiary of Parent.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21"/>
          <w:szCs w:val="21"/>
          <w:color w:val="auto"/>
        </w:rPr>
        <w:t>. On the terms and subject to the conditions set forth in this Agreement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Statutory Merger Agreement, the Company, Parent and Merger Sub will (a) on the Closing Date, execute and deliver the Statutory Merger Agreement, (b) on or prior to the Closing Date, cause an application for registration of the Surviving Company (the “</w:t>
      </w:r>
      <w:r>
        <w:rPr>
          <w:rFonts w:ascii="Times New Roman" w:cs="Times New Roman" w:eastAsia="Times New Roman" w:hAnsi="Times New Roman"/>
          <w:sz w:val="17"/>
          <w:szCs w:val="17"/>
          <w:u w:val="single" w:color="auto"/>
          <w:color w:val="auto"/>
        </w:rPr>
        <w:t>Merger Application</w:t>
      </w:r>
      <w:r>
        <w:rPr>
          <w:rFonts w:ascii="Times New Roman" w:cs="Times New Roman" w:eastAsia="Times New Roman" w:hAnsi="Times New Roman"/>
          <w:sz w:val="21"/>
          <w:szCs w:val="21"/>
          <w:color w:val="auto"/>
        </w:rPr>
        <w:t>”) to be executed and delivered to the Registrar of Companies in Bermuda (the “</w:t>
      </w:r>
      <w:r>
        <w:rPr>
          <w:rFonts w:ascii="Times New Roman" w:cs="Times New Roman" w:eastAsia="Times New Roman" w:hAnsi="Times New Roman"/>
          <w:sz w:val="17"/>
          <w:szCs w:val="17"/>
          <w:u w:val="single" w:color="auto"/>
          <w:color w:val="auto"/>
        </w:rPr>
        <w:t>Registrar</w:t>
      </w:r>
      <w:r>
        <w:rPr>
          <w:rFonts w:ascii="Times New Roman" w:cs="Times New Roman" w:eastAsia="Times New Roman" w:hAnsi="Times New Roman"/>
          <w:sz w:val="21"/>
          <w:szCs w:val="21"/>
          <w:color w:val="auto"/>
        </w:rPr>
        <w:t>”) as provided under Section 108 of the Bermuda Companies Act and to be accompanied by the documents required by Section 108(2) of the Bermuda Companies Act and (b) cause to be included in the Merger Application a request that the Registrar issue the certificate of merger with respect to the Merger (the “</w:t>
      </w:r>
      <w:r>
        <w:rPr>
          <w:rFonts w:ascii="Times New Roman" w:cs="Times New Roman" w:eastAsia="Times New Roman" w:hAnsi="Times New Roman"/>
          <w:sz w:val="17"/>
          <w:szCs w:val="17"/>
          <w:u w:val="single" w:color="auto"/>
          <w:color w:val="auto"/>
        </w:rPr>
        <w:t>Certificate of Merger</w:t>
      </w:r>
      <w:r>
        <w:rPr>
          <w:rFonts w:ascii="Times New Roman" w:cs="Times New Roman" w:eastAsia="Times New Roman" w:hAnsi="Times New Roman"/>
          <w:sz w:val="21"/>
          <w:szCs w:val="21"/>
          <w:color w:val="auto"/>
        </w:rPr>
        <w:t>”) on the Closing Date at the time of day mutually agreed upon by the Company and Parent and set forth in the Merger Application. The Merger shall become effective upon the issuance of the Certificate of Merger by the Registrar or such other date and time as the Certificate of Merger shall provide. The Company, Parent and Merger Sub agree that they will request that the Registrar provide in the Certificate of Merger that the effective time of the Merger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21"/>
          <w:szCs w:val="21"/>
          <w:color w:val="auto"/>
        </w:rPr>
        <w:t>”) be on the Closing Date.</w:t>
      </w:r>
    </w:p>
    <w:p>
      <w:pPr>
        <w:spacing w:after="0" w:line="20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Effects of Merger</w:t>
      </w:r>
      <w:r>
        <w:rPr>
          <w:rFonts w:ascii="Times New Roman" w:cs="Times New Roman" w:eastAsia="Times New Roman" w:hAnsi="Times New Roman"/>
          <w:sz w:val="21"/>
          <w:szCs w:val="21"/>
          <w:color w:val="auto"/>
        </w:rPr>
        <w:t>. From and after the Effective Time, the Merger shall have the effects set forth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Agreement and Section 109(2) of the Bermuda Companies Act.</w:t>
      </w:r>
    </w:p>
    <w:p>
      <w:pPr>
        <w:spacing w:after="0" w:line="162"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Memorandum of Association and Bye-Laws of the Surviving Company</w:t>
      </w:r>
      <w:r>
        <w:rPr>
          <w:rFonts w:ascii="Times New Roman" w:cs="Times New Roman" w:eastAsia="Times New Roman" w:hAnsi="Times New Roman"/>
          <w:sz w:val="21"/>
          <w:szCs w:val="21"/>
          <w:color w:val="auto"/>
        </w:rPr>
        <w:t>. At the Effective Time, the memorandum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association and bye-laws of Merger Sub in effect immediately prior to the Effective Time shall be the memorandum of association and bye-laws of the Surviving Company until thereafter changed or amended as provided therein or pursuant to applicable Law (in each case, subject to Section 5.08 hereof), except that all references therein to Merger Sub shall be automatically amended and shall become references to the Surviving Company.</w:t>
      </w:r>
    </w:p>
    <w:p>
      <w:pPr>
        <w:spacing w:after="0" w:line="19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Board of Directors and Officers of Surviving Company</w:t>
      </w:r>
      <w:r>
        <w:rPr>
          <w:rFonts w:ascii="Times New Roman" w:cs="Times New Roman" w:eastAsia="Times New Roman" w:hAnsi="Times New Roman"/>
          <w:sz w:val="21"/>
          <w:szCs w:val="21"/>
          <w:color w:val="auto"/>
        </w:rPr>
        <w:t>. The directors of Merger Sub in office immediately 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to the Effective Time shall be the directors of the Surviving Company until the earlier of their resignation or removal or until their respective successors are duly elected and qualified, as the case may be. The officers of Merger Sub in office immediately prior to the Effective Time shall be the officers of the Surviving Company until the earlier of their resignation or removal or until their respective successors are duly elected or appointed and qualified, as the case may be.</w:t>
      </w:r>
    </w:p>
    <w:p>
      <w:pPr>
        <w:spacing w:after="0" w:line="195"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21"/>
          <w:szCs w:val="21"/>
          <w:color w:val="auto"/>
        </w:rPr>
        <w:t>. The closing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21"/>
          <w:szCs w:val="21"/>
          <w:color w:val="auto"/>
        </w:rPr>
        <w:t>”) of the Merger shall take place at the offices of Skadden, Arps, Slate,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Meagher &amp; Flom LLP at 10:00 a.m., New York time, on a date to be specified by the Company and Parent, which date shall be as soon as reasonably practicable (but in any event no later than the fifth (5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1"/>
          <w:szCs w:val="21"/>
          <w:color w:val="auto"/>
        </w:rPr>
        <w:t>) Business Day) following the satisfaction or (to the extent permitted by applicable Law) waiver by the party or parties entitled to the benefits thereof of the conditions set forth in Article VI (other than those conditions that by their nature are to be satisfied at the Closing, but subject to the satisfaction or (to the extent permitted by applicable Law) waiver of those conditions at such time), or at such other place, time and date as shall be agreed to in writing by the Company and Parent. The date on which the Closing occurs is referred to in this Agreement as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EFFECT ON THE SHARE CAPITAL OF THE CONSTITUENT ENTITIES;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PAYMENT OF CONSIDERATION</w:t>
      </w:r>
    </w:p>
    <w:p>
      <w:pPr>
        <w:spacing w:after="0" w:line="22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Effect of Merger on the Share Capital of Merger Sub and the Company</w:t>
      </w:r>
      <w:r>
        <w:rPr>
          <w:rFonts w:ascii="Times New Roman" w:cs="Times New Roman" w:eastAsia="Times New Roman" w:hAnsi="Times New Roman"/>
          <w:sz w:val="21"/>
          <w:szCs w:val="21"/>
          <w:color w:val="auto"/>
        </w:rPr>
        <w:t>. At the Effective Time, by virtue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occurrence of the Merger, and without any action on the part of the Company, Parent, Merger Sub or any holder of any common shares, par value $1.00 per share, of the Company (“</w:t>
      </w:r>
      <w:r>
        <w:rPr>
          <w:rFonts w:ascii="Times New Roman" w:cs="Times New Roman" w:eastAsia="Times New Roman" w:hAnsi="Times New Roman"/>
          <w:sz w:val="17"/>
          <w:szCs w:val="17"/>
          <w:u w:val="single" w:color="auto"/>
          <w:color w:val="auto"/>
        </w:rPr>
        <w:t>Company Shares</w:t>
      </w:r>
      <w:r>
        <w:rPr>
          <w:rFonts w:ascii="Times New Roman" w:cs="Times New Roman" w:eastAsia="Times New Roman" w:hAnsi="Times New Roman"/>
          <w:sz w:val="21"/>
          <w:szCs w:val="21"/>
          <w:color w:val="auto"/>
        </w:rPr>
        <w:t>”), any redeemable preferred shares, par value $5.00 per share, of the Company (“</w:t>
      </w:r>
      <w:r>
        <w:rPr>
          <w:rFonts w:ascii="Times New Roman" w:cs="Times New Roman" w:eastAsia="Times New Roman" w:hAnsi="Times New Roman"/>
          <w:sz w:val="17"/>
          <w:szCs w:val="17"/>
          <w:u w:val="single" w:color="auto"/>
          <w:color w:val="auto"/>
        </w:rPr>
        <w:t>Company Preferred Shares</w:t>
      </w:r>
      <w:r>
        <w:rPr>
          <w:rFonts w:ascii="Times New Roman" w:cs="Times New Roman" w:eastAsia="Times New Roman" w:hAnsi="Times New Roman"/>
          <w:sz w:val="21"/>
          <w:szCs w:val="21"/>
          <w:color w:val="auto"/>
        </w:rPr>
        <w:t>”), or any common shares, par value $1.00 per share, of Merger Sub (the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4" w:lineRule="exact"/>
        <w:rPr>
          <w:sz w:val="20"/>
          <w:szCs w:val="20"/>
          <w:color w:val="auto"/>
        </w:rPr>
      </w:pPr>
    </w:p>
    <w:p>
      <w:pPr>
        <w:ind w:right="380" w:firstLine="1304"/>
        <w:spacing w:after="0" w:line="261" w:lineRule="auto"/>
        <w:tabs>
          <w:tab w:leader="none" w:pos="20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Capital of Merger Sub</w:t>
      </w:r>
      <w:r>
        <w:rPr>
          <w:rFonts w:ascii="Times New Roman" w:cs="Times New Roman" w:eastAsia="Times New Roman" w:hAnsi="Times New Roman"/>
          <w:sz w:val="21"/>
          <w:szCs w:val="21"/>
          <w:color w:val="auto"/>
        </w:rPr>
        <w:t>. Each issued and outstanding Merger Sub Share shall be converted into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become one (1) duly authorized, validly issued, fully paid and nonassessable common share, par value $1.00 per share, of the Surviving Company (the “</w:t>
      </w:r>
      <w:r>
        <w:rPr>
          <w:rFonts w:ascii="Times New Roman" w:cs="Times New Roman" w:eastAsia="Times New Roman" w:hAnsi="Times New Roman"/>
          <w:sz w:val="17"/>
          <w:szCs w:val="17"/>
          <w:u w:val="single" w:color="auto"/>
          <w:color w:val="auto"/>
        </w:rPr>
        <w:t>Surviving Company Shares</w:t>
      </w:r>
      <w:r>
        <w:rPr>
          <w:rFonts w:ascii="Times New Roman" w:cs="Times New Roman" w:eastAsia="Times New Roman" w:hAnsi="Times New Roman"/>
          <w:sz w:val="21"/>
          <w:szCs w:val="21"/>
          <w:color w:val="auto"/>
        </w:rPr>
        <w:t>”);</w:t>
      </w:r>
    </w:p>
    <w:p>
      <w:pPr>
        <w:spacing w:after="0" w:line="220"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Cancelation of Treasury Shares; Treatment of Shares Held by Company Subsidiaries</w:t>
      </w:r>
      <w:r>
        <w:rPr>
          <w:rFonts w:ascii="Times New Roman" w:cs="Times New Roman" w:eastAsia="Times New Roman" w:hAnsi="Times New Roman"/>
          <w:sz w:val="18"/>
          <w:szCs w:val="18"/>
          <w:color w:val="auto"/>
        </w:rPr>
        <w:t>. All Company Shares and Company</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Preferred Shares, in each case, that are owned by the Company as treasury shares shall be canceled and retired automatically and shall cease to exist and no consideration shall be delivered in exchange therefor. Each Company Share and Company Preferred Share, in each case, owned by any direct or indirect wholly owned Subsidiary of the Company shall not represent the right to receive the Merger Consideration (as defined below) and shall be converted into a proportionate number of Surviving Company Shares.</w:t>
      </w:r>
    </w:p>
    <w:p>
      <w:pPr>
        <w:spacing w:after="0" w:line="243" w:lineRule="exact"/>
        <w:rPr>
          <w:sz w:val="20"/>
          <w:szCs w:val="20"/>
          <w:color w:val="auto"/>
        </w:rPr>
      </w:pPr>
    </w:p>
    <w:p>
      <w:pPr>
        <w:ind w:left="2040" w:hanging="736"/>
        <w:spacing w:after="0"/>
        <w:tabs>
          <w:tab w:leader="none" w:pos="2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Company Shares</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ind w:left="660" w:firstLine="1292"/>
        <w:spacing w:after="0" w:line="282" w:lineRule="auto"/>
        <w:tabs>
          <w:tab w:leader="none" w:pos="266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2.01(e), each Company Share held by GLNG that is issued and outstanding immediately prior to the Effective Time shall automatically be canceled and converted into and shall thereafter represent the right to receive:</w:t>
      </w:r>
    </w:p>
    <w:p>
      <w:pPr>
        <w:spacing w:after="0" w:line="215" w:lineRule="exact"/>
        <w:rPr>
          <w:rFonts w:ascii="Times New Roman" w:cs="Times New Roman" w:eastAsia="Times New Roman" w:hAnsi="Times New Roman"/>
          <w:sz w:val="18"/>
          <w:szCs w:val="18"/>
          <w:color w:val="auto"/>
        </w:rPr>
      </w:pPr>
    </w:p>
    <w:p>
      <w:pPr>
        <w:ind w:left="660" w:right="40" w:firstLine="1940"/>
        <w:spacing w:after="0" w:line="282" w:lineRule="auto"/>
        <w:tabs>
          <w:tab w:leader="none" w:pos="3331"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0.79349904 duly authorized, validly issued, fully paid and nonassessable ordinary share of Class A Common Stock, par value $0.01 per share, of Parent (such shares, “</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ind w:left="3320" w:hanging="720"/>
        <w:spacing w:after="0"/>
        <w:tabs>
          <w:tab w:leader="none" w:pos="332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$2.12991847 in cash, without interest; and</w:t>
      </w:r>
    </w:p>
    <w:p>
      <w:pPr>
        <w:spacing w:after="0" w:line="279" w:lineRule="exact"/>
        <w:rPr>
          <w:rFonts w:ascii="Times New Roman" w:cs="Times New Roman" w:eastAsia="Times New Roman" w:hAnsi="Times New Roman"/>
          <w:sz w:val="18"/>
          <w:szCs w:val="18"/>
          <w:color w:val="auto"/>
        </w:rPr>
      </w:pPr>
    </w:p>
    <w:p>
      <w:pPr>
        <w:ind w:left="3380" w:hanging="780"/>
        <w:spacing w:after="0"/>
        <w:tabs>
          <w:tab w:leader="none" w:pos="338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any cash paid in lieu of fractional Parent Shares in accordance with Section 2.01(e) (the “</w:t>
      </w:r>
      <w:r>
        <w:rPr>
          <w:rFonts w:ascii="Times New Roman" w:cs="Times New Roman" w:eastAsia="Times New Roman" w:hAnsi="Times New Roman"/>
          <w:sz w:val="18"/>
          <w:szCs w:val="18"/>
          <w:u w:val="single" w:color="auto"/>
          <w:color w:val="auto"/>
        </w:rPr>
        <w:t>GLNG Merger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w:t>
      </w:r>
    </w:p>
    <w:p>
      <w:pPr>
        <w:spacing w:after="0" w:line="260"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66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2.01(e), each Company Share held by Stonepeak that is issued and outstanding immediately prior to the Effective Time shall automatically be canceled and converted into and shall thereafter represent the right to receive: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8" w:name="page119"/>
    <w:bookmarkEnd w:id="118"/>
    <w:p>
      <w:pPr>
        <w:ind w:left="3340" w:hanging="740"/>
        <w:spacing w:after="0"/>
        <w:tabs>
          <w:tab w:leader="none" w:pos="334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0.54292039 </w:t>
      </w:r>
      <w:r>
        <w:rPr>
          <w:rFonts w:ascii="Times New Roman" w:cs="Times New Roman" w:eastAsia="Times New Roman" w:hAnsi="Times New Roman"/>
          <w:sz w:val="18"/>
          <w:szCs w:val="18"/>
          <w:u w:val="single" w:color="auto"/>
          <w:color w:val="auto"/>
        </w:rPr>
        <w:t>Parent Share</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ind w:left="3320" w:hanging="720"/>
        <w:spacing w:after="0"/>
        <w:tabs>
          <w:tab w:leader="none" w:pos="332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$14.90942926 in cash, without interest; and</w:t>
      </w:r>
    </w:p>
    <w:p>
      <w:pPr>
        <w:spacing w:after="0" w:line="279" w:lineRule="exact"/>
        <w:rPr>
          <w:rFonts w:ascii="Times New Roman" w:cs="Times New Roman" w:eastAsia="Times New Roman" w:hAnsi="Times New Roman"/>
          <w:sz w:val="18"/>
          <w:szCs w:val="18"/>
          <w:color w:val="auto"/>
        </w:rPr>
      </w:pPr>
    </w:p>
    <w:p>
      <w:pPr>
        <w:ind w:left="660" w:right="120" w:firstLine="1940"/>
        <w:spacing w:after="0" w:line="282" w:lineRule="auto"/>
        <w:tabs>
          <w:tab w:leader="none" w:pos="333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paid in lieu of fractional Parent Shares in accordance with Section 2.01(e) (the “</w:t>
      </w:r>
      <w:r>
        <w:rPr>
          <w:rFonts w:ascii="Times New Roman" w:cs="Times New Roman" w:eastAsia="Times New Roman" w:hAnsi="Times New Roman"/>
          <w:sz w:val="18"/>
          <w:szCs w:val="18"/>
          <w:u w:val="single" w:color="auto"/>
          <w:color w:val="auto"/>
        </w:rPr>
        <w:t>Stonepeak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and together with the GLNG Merger Consideration,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ind w:left="660" w:right="280" w:firstLine="1292"/>
        <w:spacing w:after="0" w:line="256" w:lineRule="auto"/>
        <w:tabs>
          <w:tab w:leader="none" w:pos="265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Share shall no longer be outstanding and shall automatically be canceled, retired and shall cease to exist, and each holder of a certificate previously evidencing any Company Shares (each,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uncertificated Company Shares represented by book-entry (each, a “</w:t>
      </w:r>
      <w:r>
        <w:rPr>
          <w:rFonts w:ascii="Times New Roman" w:cs="Times New Roman" w:eastAsia="Times New Roman" w:hAnsi="Times New Roman"/>
          <w:sz w:val="18"/>
          <w:szCs w:val="18"/>
          <w:u w:val="single" w:color="auto"/>
          <w:color w:val="auto"/>
        </w:rPr>
        <w:t>Book-Entry Share</w:t>
      </w:r>
      <w:r>
        <w:rPr>
          <w:rFonts w:ascii="Times New Roman" w:cs="Times New Roman" w:eastAsia="Times New Roman" w:hAnsi="Times New Roman"/>
          <w:sz w:val="18"/>
          <w:szCs w:val="18"/>
          <w:color w:val="auto"/>
        </w:rPr>
        <w:t>”) shall cease to have any rights with respect thereto, except (i) the right to receive the Merger Consideration pertaining to the Company Shares represented by such Certificate or Book-Entry Share, as applicable, to be paid in consideration therefor, in accordance with Section 2.01(e) and (ii) the right to receive other dividends and distributions in accordance with this Article II, in each case without interest.</w:t>
      </w:r>
    </w:p>
    <w:p>
      <w:pPr>
        <w:spacing w:after="0" w:line="241" w:lineRule="exact"/>
        <w:rPr>
          <w:rFonts w:ascii="Times New Roman" w:cs="Times New Roman" w:eastAsia="Times New Roman" w:hAnsi="Times New Roman"/>
          <w:sz w:val="18"/>
          <w:szCs w:val="18"/>
          <w:color w:val="auto"/>
        </w:rPr>
      </w:pPr>
    </w:p>
    <w:p>
      <w:pPr>
        <w:ind w:right="40" w:firstLine="1304"/>
        <w:spacing w:after="0" w:line="255" w:lineRule="auto"/>
        <w:tabs>
          <w:tab w:leader="none" w:pos="20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Preferred Shares</w:t>
      </w:r>
      <w:r>
        <w:rPr>
          <w:rFonts w:ascii="Times New Roman" w:cs="Times New Roman" w:eastAsia="Times New Roman" w:hAnsi="Times New Roman"/>
          <w:sz w:val="18"/>
          <w:szCs w:val="18"/>
          <w:color w:val="auto"/>
        </w:rPr>
        <w:t>. Each Company Preferred Share issued and outstanding immediately prior to the Effective Time (other than Company Preferred Shares owned by the Company as treasury shares) will be converted into the right to receive cash in an amount (subject to any applicable withholding Tax) equal to $9, without interest (the “</w:t>
      </w:r>
      <w:r>
        <w:rPr>
          <w:rFonts w:ascii="Times New Roman" w:cs="Times New Roman" w:eastAsia="Times New Roman" w:hAnsi="Times New Roman"/>
          <w:sz w:val="18"/>
          <w:szCs w:val="18"/>
          <w:u w:val="single" w:color="auto"/>
          <w:color w:val="auto"/>
        </w:rPr>
        <w:t>Preferred Share Consideration</w:t>
      </w:r>
      <w:r>
        <w:rPr>
          <w:rFonts w:ascii="Times New Roman" w:cs="Times New Roman" w:eastAsia="Times New Roman" w:hAnsi="Times New Roman"/>
          <w:sz w:val="18"/>
          <w:szCs w:val="18"/>
          <w:color w:val="auto"/>
        </w:rPr>
        <w:t>”). Upon receipt by Stonepeak, the Preferred Share Consideration payable upon conversion of a Company Preferred Share in accordance with the terms hereof will be deemed to have been paid in full satisfaction of all rights pertaining to such Company Preferred Share. All Company Preferred Shares converted into the right to receive the Preferred Share Consideration pursuant to this Section 2.01(d) will cease to be outstanding and will automatically be canceled and will cease to exist when converted as a result of and pursuant to the Merger.</w:t>
      </w:r>
    </w:p>
    <w:p>
      <w:pPr>
        <w:spacing w:after="0" w:line="242" w:lineRule="exact"/>
        <w:rPr>
          <w:rFonts w:ascii="Times New Roman" w:cs="Times New Roman" w:eastAsia="Times New Roman" w:hAnsi="Times New Roman"/>
          <w:sz w:val="18"/>
          <w:szCs w:val="18"/>
          <w:color w:val="auto"/>
        </w:rPr>
      </w:pPr>
    </w:p>
    <w:p>
      <w:pPr>
        <w:ind w:firstLine="1304"/>
        <w:spacing w:after="0" w:line="256" w:lineRule="auto"/>
        <w:tabs>
          <w:tab w:leader="none" w:pos="20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Notwithstanding anything in this Agreement to the contrary, no fraction of a Parent Share may be issued in connection with the Merger and no dividends or other distributions with respect to Parent Shares shall be payable on or with respect to any fractional share and no such fractional share will entitle the owner thereof to vote or to any rights of a shareholder of Parent. In lieu of the issuance of any such fractional share, any holder of Company Shares who would otherwise have been entitled to a fraction of a Parent Share shall be paid cash, without interest, in an amount equal to the product of (i) the fractional share interest to which such holder would otherwise be entitled under this Article II multiplied by (ii) $51 per share.</w:t>
      </w:r>
    </w:p>
    <w:p>
      <w:pPr>
        <w:spacing w:after="0" w:line="20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Payment of Cash Consideration and Delivery of Shares</w:t>
      </w:r>
      <w:r>
        <w:rPr>
          <w:rFonts w:ascii="Times New Roman" w:cs="Times New Roman" w:eastAsia="Times New Roman" w:hAnsi="Times New Roman"/>
          <w:sz w:val="21"/>
          <w:szCs w:val="21"/>
          <w:color w:val="auto"/>
        </w:rPr>
        <w:t>. At or prior to the Effective Time, and in accordance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 xml:space="preserve">Section 2.01(c), Parent shall (i) deposit, or cause to be deposited, (A) $50,000,000 in immediately available funds into an account designated by GLNG at least two (2) Business Days prior to the Closing and (B) $530,000,000 in immediately available funds into an account designated by Stonepeak at least two (2) Business Days prior to the Closing and (ii) deliver (A) 18,627,451 Parent Shares to GLNG and (B) 12,745,098 Parent Shares to Stonepeak, in each case, free and clear of all Liens (other than those arising from any securities laws), and each Company Shareholder shall accept such Merger Consideration and Preferred Share Consideration from Parent;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21"/>
          <w:szCs w:val="21"/>
          <w:color w:val="auto"/>
        </w:rPr>
        <w:t xml:space="preserve"> that, if and to the extent requested by Stonepeak, Parent shall, at or prior to the Effective Time, deliver a portion of the Merger Consideration (in cash or Parent Shares or a combination thereof) otherwise payable to Stonepeak to one or more of the MIS Participants in the amounts included in a schedule provided to Parent by Stonepeak at least five (5) Business Days prior to the Closing, which schedule shall include account information for each MIS Participant to receive cash Merger Consideration.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8" w:right="379" w:bottom="1440" w:gutter="0" w:footer="0" w:header="0"/>
        </w:sectPr>
      </w:pPr>
    </w:p>
    <w:bookmarkStart w:id="119" w:name="page120"/>
    <w:bookmarkEnd w:id="119"/>
    <w:p>
      <w:pPr>
        <w:ind w:right="60" w:firstLine="648"/>
        <w:spacing w:after="0" w:line="249"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21"/>
          <w:szCs w:val="21"/>
          <w:color w:val="auto"/>
        </w:rPr>
        <w:t>. Notwithstanding any provision of this Article II to the contrary, if between the date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Agreement and the Effective Time the outstanding Parent Shares, Company Shares or Company Preferred Shares shall have been changed into a different number of shares or a different class by reason of the occurrence or record date of any stock dividend, subdivision, reclassification, recapitalization, split, combination, exchange of shares or similar transaction, the Merger Consideration and Preferred Share Consideration shall be appropriately adjusted to reflect such stock dividend, subdivision, reclassification, recapitalization, split, combination, exchange of shares or similar transaction.</w:t>
      </w:r>
    </w:p>
    <w:p>
      <w:pPr>
        <w:spacing w:after="0" w:line="198"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21"/>
          <w:szCs w:val="21"/>
          <w:color w:val="auto"/>
        </w:rPr>
        <w:t>. Notwithstanding any provision of this Agreement to the contrary, each of Parent,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Sub and their respective Affiliates shall be entitled to deduct and withhold, or cause to be deducted and withheld, from any amount payable to the Company Shareholders or any of their respective Affiliates pursuant to this Agreement, any amounts that are required to be deducted and withheld by them, or their agents, under applicable Laws in respect of Taxes. To the extent such amounts are so deducted or withheld and timely paid over to the applicable Governmental Authority in accordance with applicable Law, such amounts shall be treated for all purposes under this Agreement as having been paid to the Person to whom such amounts would otherwise have been paid. Parent, Merger Sub, and the Company Shareholders shall reasonably cooperate, and shall cause their respective Affiliates to reasonably cooperate, in order to reduce or eliminate any amounts that would otherwise be required to be deducted and withheld on payments made pursuant to this Agreement under applicable Laws in respect of Taxes.</w:t>
      </w:r>
    </w:p>
    <w:p>
      <w:pPr>
        <w:spacing w:after="0" w:line="200" w:lineRule="exact"/>
        <w:rPr>
          <w:sz w:val="20"/>
          <w:szCs w:val="20"/>
          <w:color w:val="auto"/>
        </w:rPr>
      </w:pPr>
    </w:p>
    <w:p>
      <w:pPr>
        <w:spacing w:after="0" w:line="245"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Fair Value and Dissenter’s Rights</w:t>
      </w:r>
      <w:r>
        <w:rPr>
          <w:rFonts w:ascii="Times New Roman" w:cs="Times New Roman" w:eastAsia="Times New Roman" w:hAnsi="Times New Roman"/>
          <w:sz w:val="21"/>
          <w:szCs w:val="21"/>
          <w:color w:val="auto"/>
        </w:rPr>
        <w:t>. Notwithstanding that section 106 of the Bermuda Companies Act obliges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the Board of Directors of the Company to notify each of the Company Shareholders (i) of the fair value of the Company Shares and the Company Preferred Shares and (ii) that a dissenting shareholder is entitled to be paid the fair value of its Company Shares and/or Company Preferred Shares, each of the Company Shareholders and the Company acknowledges that the Merger Consideration and the Preferred Share Consideration set forth in this Agreement constitutes the fair value for each Company Share and each Company Preferred Share, respectively, and each of the Company Shareholders irrevocably waives all dissenter’s rights under the Company Organizational Documents or applicable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0" w:name="page121"/>
    <w:bookmarkEnd w:id="1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 SHAREHOLDERS AND THE COMPANY</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and solely with respect to Sections 3.03(b), 3.03(e), 3.03(g), 3.04(b), the last sentence of Section 3.05(d), and Section 3.06(b), each of the Company Shareholders, severally and not jointly, hereby represents and warrants to Parent and Merger Sub that, except as (A) set forth in the disclosure schedule delivered by the Company to Parent and Merger Sub on the date of this Agreement (the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(it being understood that any information set forth on one section or subsection of the Company Disclosure Schedule shall be deemed to apply to and qualify the section or subsection of this Agreement to which it corresponds in number and each other section or subsection of this Agreement to the extent that it is reasonably apparent on the face of such disclosure that such information is relevant to such other section or subsection) or (B) disclosed in any report, schedule, form, statement or other document filed with, or furnished to, the SEC by the Company since January 1, 2020, and any draft SEC filings of the Company made available by the Company to Parent and Merger Sub prior to the date of this Agreement (collectively,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other than the disclosure contained in the “Risk Factors” or “Forward-Looking Statements” sections of such Company SEC Documents or that otherwise constitute risk factors or forward-looking statements of risks generally faced by participants in the industries in which the Company operates without disclosure of specific facts and circumstances:</w:t>
      </w:r>
    </w:p>
    <w:p>
      <w:pPr>
        <w:spacing w:after="0" w:line="210"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u w:val="single" w:color="auto"/>
          <w:color w:val="auto"/>
        </w:rPr>
        <w:t>Organization; Standing</w:t>
      </w:r>
      <w:r>
        <w:rPr>
          <w:rFonts w:ascii="Times New Roman" w:cs="Times New Roman" w:eastAsia="Times New Roman" w:hAnsi="Times New Roman"/>
          <w:sz w:val="20"/>
          <w:szCs w:val="20"/>
          <w:color w:val="auto"/>
        </w:rPr>
        <w:t>.</w:t>
      </w:r>
    </w:p>
    <w:p>
      <w:pPr>
        <w:spacing w:after="0" w:line="292" w:lineRule="exact"/>
        <w:rPr>
          <w:sz w:val="20"/>
          <w:szCs w:val="20"/>
          <w:color w:val="auto"/>
        </w:rPr>
      </w:pPr>
    </w:p>
    <w:p>
      <w:pPr>
        <w:ind w:right="40" w:firstLine="1304"/>
        <w:spacing w:after="0" w:line="253" w:lineRule="auto"/>
        <w:tabs>
          <w:tab w:leader="none" w:pos="20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exempted company duly incorporated, validly existing and in good standing under the Laws of Bermuda. The Company has all requisite corporate power and authority necessary to carry on its business as it is now being conducted and to own, lease and operate its assets and properties, except (other than with respect to the due incorporation and valid existence of the Company) as would not reasonably be expected to have, individually or in the aggregate, a Material Adverse Effect. The Company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reasonably be expected to have, individually or in the aggregate, a Material Adverse Effect. The Company has made available to Parent and Merger Sub a true and complete copy of each of the Company Organizational Documents as in effect on the date of this Agreement. The Company is not in violation of the Company Organizational Documents and no Subsidiary of the Company or Joint Venture Entity is in violation of any of its organizational documents, except as would not be material to the Company, its Subsidiaries and the Joint Venture Entities taken as a whole.</w:t>
      </w:r>
    </w:p>
    <w:p>
      <w:pPr>
        <w:spacing w:after="0" w:line="245" w:lineRule="exact"/>
        <w:rPr>
          <w:rFonts w:ascii="Times New Roman" w:cs="Times New Roman" w:eastAsia="Times New Roman" w:hAnsi="Times New Roman"/>
          <w:sz w:val="18"/>
          <w:szCs w:val="18"/>
          <w:color w:val="auto"/>
        </w:rPr>
      </w:pPr>
    </w:p>
    <w:p>
      <w:pPr>
        <w:jc w:val="both"/>
        <w:ind w:right="340" w:firstLine="1304"/>
        <w:spacing w:after="0" w:line="266" w:lineRule="auto"/>
        <w:tabs>
          <w:tab w:leader="none" w:pos="20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Subsidiaries and each Joint Venture Entity is duly organized, validly existing and in good standing (where such concept is recognized under applicable Law) under the Laws of the jurisdiction of its organization, except as would not be material to the Company, its Subsidiaries and the Joint Venture Entities taken as a whole.</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1" w:name="page122"/>
    <w:bookmarkEnd w:id="121"/>
    <w:p>
      <w:pPr>
        <w:ind w:left="64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u w:val="single" w:color="auto"/>
          <w:color w:val="auto"/>
        </w:rPr>
        <w:t>Capitalization</w:t>
      </w:r>
      <w:r>
        <w:rPr>
          <w:rFonts w:ascii="Times New Roman" w:cs="Times New Roman" w:eastAsia="Times New Roman" w:hAnsi="Times New Roman"/>
          <w:sz w:val="20"/>
          <w:szCs w:val="20"/>
          <w:color w:val="auto"/>
        </w:rPr>
        <w:t>.</w:t>
      </w:r>
    </w:p>
    <w:p>
      <w:pPr>
        <w:spacing w:after="0" w:line="293" w:lineRule="exact"/>
        <w:rPr>
          <w:sz w:val="20"/>
          <w:szCs w:val="20"/>
          <w:color w:val="auto"/>
        </w:rPr>
      </w:pPr>
    </w:p>
    <w:p>
      <w:pPr>
        <w:ind w:left="-20" w:right="20" w:firstLine="1304"/>
        <w:spacing w:after="0" w:line="254" w:lineRule="auto"/>
        <w:tabs>
          <w:tab w:leader="none" w:pos="201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consists of 46,950,154 Company Shares and 100,000,000 Company Preferred Shares. At the close of business on January 12, 2021 (the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(i) 46,950,154 Company Shares (excluding any treasury shares which may be deemed to be issued) and 20,000,000 Company Preferred Shares were issued and outstanding, (ii) 23,475,077 Company Shares were held by GLNG and (iii) 23,475,077 Company Shares and 20,000,000 Company Preferred Shares were held by Stonepeak. Since the Capitalization Date through the date of this Agreement, neither the Company nor any of its Subsidiaries or Joint Venture Entities has (1) issued any Company Securities or incurred any obligation to make any payments based on the price or value of any Company Securities or dividends paid thereon that were outstanding as of the Capitalization Date, or (2) established a record date for, declared, set aside for payment or paid any dividend on, or made any other distribution in respect of, any shares of the Company’s capital stock.</w:t>
      </w:r>
    </w:p>
    <w:p>
      <w:pPr>
        <w:spacing w:after="0" w:line="245" w:lineRule="exact"/>
        <w:rPr>
          <w:rFonts w:ascii="Times New Roman" w:cs="Times New Roman" w:eastAsia="Times New Roman" w:hAnsi="Times New Roman"/>
          <w:sz w:val="18"/>
          <w:szCs w:val="18"/>
          <w:color w:val="auto"/>
        </w:rPr>
      </w:pPr>
    </w:p>
    <w:p>
      <w:pPr>
        <w:ind w:left="-20" w:firstLine="1304"/>
        <w:spacing w:after="0" w:line="252" w:lineRule="auto"/>
        <w:tabs>
          <w:tab w:leader="none" w:pos="202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this Section 3.02, as of the Capitalization Date, there were (i) no outstanding shares of share capital of, or other equity or voting interests in, the Company, (ii) no outstanding securities of the Company convertible into or exchangeable for shares of share capital of, or other equity or voting interests in, the Company, (iii) no outstanding options, warrants, rights or other commitments or agreements to acquire from the Company, or that obligate the Company to issue, any shares of, or other equity or voting interests in, or any securities convertible into or exchangeable for shares of, or other equity or voting interests in, the Company, (iv) no obligations of the Company to grant, extend or enter into any subscription, warrant, right, convertible or exchangeable security or other similar agreement or commitment relating to any shares of, or other equity or voting interests in, the Company (the items in clauses (i), (ii), (iii) and (iv) being referred to collectively as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and (v) no other obligations by the Company or any of its Subsidiaries or the Joint Venture Entities to make any payments based on the price or value of any Company Securities or dividends paid thereon. There are no outstanding agreements or instruments of any kind that obligate the Company or any of its Subsidiaries or the Joint Venture Entities to repurchase, redeem or otherwise acquire any Company Securities (or obligate the Company to grant, extend or enter into any such agreements relating to any Company Securities) or that grant any preemptive rights, subscription rights, anti-dilutive rights, rights of first refusal or similar rights with respect to any Company Securities. Except as described in this Section 3.02, no direct or indirect Subsidiary of the Company or Joint Venture Entity owns any Company Shares. Except as listed on Section 3.02(b) of the Company Disclosure Schedule, none of the Company, its Subsidiaries or the Joint Venture Entities is a party to any shareholders’ agreement, voting trust agreement, registration rights agreement or other similar agreement relating to any Company Securities or any other agreement relating to the disposition, voting or dividends with respect to any Company Securities. All outstanding Company Shares and Company Preferred Shares have been duly authorized and validly issued and are fully paid, nonassessable and free of preemptive rights.</w:t>
      </w:r>
    </w:p>
    <w:p>
      <w:pPr>
        <w:spacing w:after="0" w:line="247" w:lineRule="exact"/>
        <w:rPr>
          <w:rFonts w:ascii="Times New Roman" w:cs="Times New Roman" w:eastAsia="Times New Roman" w:hAnsi="Times New Roman"/>
          <w:sz w:val="18"/>
          <w:szCs w:val="18"/>
          <w:color w:val="auto"/>
        </w:rPr>
      </w:pPr>
    </w:p>
    <w:p>
      <w:pPr>
        <w:ind w:left="-20" w:right="140" w:firstLine="1304"/>
        <w:spacing w:after="0" w:line="277" w:lineRule="auto"/>
        <w:tabs>
          <w:tab w:leader="none" w:pos="2016"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3.02(c) of the Company Disclosure Schedule sets forth, as of the date of this Agreement, the name and jurisdiction of organization of each of the Company’s Subsidiaries and includes a true and complete organizational chart setting forth the Company’s direct and indirect ownership of each of its Subsidiaries and Joint Venture Entities. Except as disclosed on Section 3.02(c) of the Company Disclosure Schedule, all of the outstanding shares of capital stock of, or other equity or voting interests in, each Subsidiary of the Company (except for directors’ qualifying shares or similar interests) are owned, directly or indirectly, beneficially and of record, by the Company free and clear of all Liens and material transfer restrictions.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1" w:right="339" w:bottom="1440" w:gutter="0" w:footer="0" w:header="0"/>
        </w:sectPr>
      </w:pPr>
    </w:p>
    <w:bookmarkStart w:id="122" w:name="page123"/>
    <w:bookmarkEnd w:id="122"/>
    <w:p>
      <w:pPr>
        <w:ind w:left="-8" w:firstLine="1304"/>
        <w:spacing w:after="0" w:line="253" w:lineRule="auto"/>
        <w:tabs>
          <w:tab w:leader="none" w:pos="203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3.02(d) of the Company Disclosure Schedule sets forth, as of the date of this Agreement, any joint venture, partnership or other similar arrangement or other entity in which the Company has an equity interest (other than a wholly owned Subsidiary of the Company) (each a “</w:t>
      </w:r>
      <w:r>
        <w:rPr>
          <w:rFonts w:ascii="Times New Roman" w:cs="Times New Roman" w:eastAsia="Times New Roman" w:hAnsi="Times New Roman"/>
          <w:sz w:val="18"/>
          <w:szCs w:val="18"/>
          <w:u w:val="single" w:color="auto"/>
          <w:color w:val="auto"/>
        </w:rPr>
        <w:t>Joint Venture Entity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Joint Venture Entities</w:t>
      </w:r>
      <w:r>
        <w:rPr>
          <w:rFonts w:ascii="Times New Roman" w:cs="Times New Roman" w:eastAsia="Times New Roman" w:hAnsi="Times New Roman"/>
          <w:sz w:val="18"/>
          <w:szCs w:val="18"/>
          <w:color w:val="auto"/>
        </w:rPr>
        <w:t>”), including for each Joint Venture Entity, (i) the name and jurisdiction of formation of such Joint Venture Entity, (ii) the number of shares of capital stock of, or other equity or voting interests in, such Joint Venture Entity that is owned, directly or indirectly, beneficially and of record, by the Company or by any Subsidiary of the Company (the “</w:t>
      </w:r>
      <w:r>
        <w:rPr>
          <w:rFonts w:ascii="Times New Roman" w:cs="Times New Roman" w:eastAsia="Times New Roman" w:hAnsi="Times New Roman"/>
          <w:sz w:val="18"/>
          <w:szCs w:val="18"/>
          <w:u w:val="single" w:color="auto"/>
          <w:color w:val="auto"/>
        </w:rPr>
        <w:t>Joint Venture Interests</w:t>
      </w:r>
      <w:r>
        <w:rPr>
          <w:rFonts w:ascii="Times New Roman" w:cs="Times New Roman" w:eastAsia="Times New Roman" w:hAnsi="Times New Roman"/>
          <w:sz w:val="18"/>
          <w:szCs w:val="18"/>
          <w:color w:val="auto"/>
        </w:rPr>
        <w:t>”), (iii) the total number of outstanding shares of capital stock of, or other equity or voting interests in, such Joint Venture Entity and (iv) the percentage ownership interests of such Joint Venture Entity held directly or indirectly by the Company. Except as disclosed on Section 3.02(d) of the Company Disclosure Schedule, all of the Joint Venture Interests are owned by the Company or its Subsidiaries, as applicable, free and clear of all Liens and material transfer restrictions other than transfer restrictions of general applicability as may be provided under the Securities Act of 1933, as amended, and the rules and regulations promulgated thereunder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xml:space="preserve"> or other applicable securities Laws.</w:t>
      </w:r>
    </w:p>
    <w:p>
      <w:pPr>
        <w:spacing w:after="0" w:line="248" w:lineRule="exact"/>
        <w:rPr>
          <w:rFonts w:ascii="Times New Roman" w:cs="Times New Roman" w:eastAsia="Times New Roman" w:hAnsi="Times New Roman"/>
          <w:sz w:val="18"/>
          <w:szCs w:val="18"/>
          <w:color w:val="auto"/>
        </w:rPr>
      </w:pPr>
    </w:p>
    <w:p>
      <w:pPr>
        <w:ind w:left="-8" w:right="40" w:firstLine="1304"/>
        <w:spacing w:after="0" w:line="254" w:lineRule="auto"/>
        <w:tabs>
          <w:tab w:leader="none" w:pos="202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capital stock of each Subsidiary of the Company and each Joint Venture Interest that is held, directly or indirectly, by the Company, is duly authorized, validly issued, fully paid, nonassessable and free of preemptive rights, and there are no subscriptions, options, warrants, rights, calls, contracts or other commitments, restrictions or arrangements relating to the issuance, acquisition, redemption, repurchase or sale of any shares of capital stock or other equity or voting interests of any Subsidiary of the Company or any Joint Venture Entity, including any right of conversion or exchange under any outstanding security, instrument or agreement, any agreements granting any preemptive rights, subscription rights, anti-dilutive rights, rights of first refusal or similar rights with respect to any securities of any Subsidiary of the Company or any Joint Venture Entity. None of the Subsidiaries of the Company, and to the Knowledge of the Company, none of the Joint Venture Entities has any outstanding equity compensation plans relating to the capital stock of, or other equity or voting interests in, any Subsidiary of the Company or, to the Knowledge of the Company, any Joint Venture Entity.</w:t>
      </w:r>
    </w:p>
    <w:p>
      <w:pPr>
        <w:spacing w:after="0" w:line="242" w:lineRule="exact"/>
        <w:rPr>
          <w:rFonts w:ascii="Times New Roman" w:cs="Times New Roman" w:eastAsia="Times New Roman" w:hAnsi="Times New Roman"/>
          <w:sz w:val="18"/>
          <w:szCs w:val="18"/>
          <w:color w:val="auto"/>
        </w:rPr>
      </w:pPr>
    </w:p>
    <w:p>
      <w:pPr>
        <w:ind w:left="-8" w:right="140" w:firstLine="1304"/>
        <w:spacing w:after="0" w:line="261" w:lineRule="auto"/>
        <w:tabs>
          <w:tab w:leader="none" w:pos="200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Joint Venture Entities has any obligation to make any payments based on the price or value of any securities of any Subsidiary of the Company or any Joint Venture Entity or dividends paid thereon. No holder of securities in the Company or any of its Subsidiaries or Joint Venture Entities has any right to have such securities registered by the Company or any of its Subsidiaries or Joint Venture Entities.</w:t>
      </w:r>
    </w:p>
    <w:p>
      <w:pPr>
        <w:spacing w:after="0" w:line="198" w:lineRule="exact"/>
        <w:rPr>
          <w:sz w:val="20"/>
          <w:szCs w:val="20"/>
          <w:color w:val="auto"/>
        </w:rPr>
      </w:pPr>
    </w:p>
    <w:p>
      <w:pPr>
        <w:ind w:left="652"/>
        <w:spacing w:after="0"/>
        <w:tabs>
          <w:tab w:leader="none" w:pos="2072"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7"/>
          <w:szCs w:val="17"/>
          <w:u w:val="single" w:color="auto"/>
          <w:color w:val="auto"/>
        </w:rPr>
        <w:t>Authority; Noncontravention</w:t>
      </w:r>
      <w:r>
        <w:rPr>
          <w:rFonts w:ascii="Times New Roman" w:cs="Times New Roman" w:eastAsia="Times New Roman" w:hAnsi="Times New Roman"/>
          <w:sz w:val="20"/>
          <w:szCs w:val="20"/>
          <w:color w:val="auto"/>
        </w:rPr>
        <w:t>.</w:t>
      </w:r>
    </w:p>
    <w:p>
      <w:pPr>
        <w:spacing w:after="0" w:line="292" w:lineRule="exact"/>
        <w:rPr>
          <w:sz w:val="20"/>
          <w:szCs w:val="20"/>
          <w:color w:val="auto"/>
        </w:rPr>
      </w:pPr>
    </w:p>
    <w:p>
      <w:pPr>
        <w:ind w:left="-8" w:right="40" w:firstLine="1304"/>
        <w:spacing w:after="0" w:line="267" w:lineRule="auto"/>
        <w:tabs>
          <w:tab w:leader="none" w:pos="2028"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all necessary corporate power and authority to execute and deliver this Agreement and to perform its obligations hereunder and to consummate the Transactions. The execution, delivery and performance by each of the Company and the Company Shareholders of this Agreement and the Statutory Merger Agreement, and the consummation by the Company and the Company Shareholders of the Transactions, have been duly and unanimously authorized and approved by the Board of Directors of the Company, and, except for executing and delivering the Statutory Merger Agreement and filing the Merger Application with the Registrar pursuant to the Bermuda Companies Act, no other action on the part of the Company is necessary to authorize the execution, delivery and performance by the Company of this Agreement and the Statutory Merger Agreement and the consummation by the Company of the Transactions. This Agreement has been duly executed and delivered by the Company and, assuming due authorization, execution and delivery hereof by the other parties hereto, constitutes a legal, valid and binding obligation of the Company, enforceable against the Company in accordance with its terms, except that such enforceability (i) may be limited by bankruptcy, insolvency, fraudulent transfer, reorganization, moratorium and other similar Laws of general application affecting or relating to the enforcement of creditors’ rights generally and</w:t>
      </w:r>
    </w:p>
    <w:p>
      <w:pPr>
        <w:spacing w:after="0" w:line="3" w:lineRule="exact"/>
        <w:rPr>
          <w:rFonts w:ascii="Times New Roman" w:cs="Times New Roman" w:eastAsia="Times New Roman" w:hAnsi="Times New Roman"/>
          <w:sz w:val="17"/>
          <w:szCs w:val="17"/>
          <w:color w:val="auto"/>
        </w:rPr>
      </w:pPr>
    </w:p>
    <w:p>
      <w:pPr>
        <w:ind w:left="272" w:hanging="272"/>
        <w:spacing w:after="0"/>
        <w:tabs>
          <w:tab w:leader="none" w:pos="27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general principles of equity, whether considered in a proceeding at law or in equity (the “</w:t>
      </w:r>
      <w:r>
        <w:rPr>
          <w:rFonts w:ascii="Times New Roman" w:cs="Times New Roman" w:eastAsia="Times New Roman" w:hAnsi="Times New Roman"/>
          <w:sz w:val="18"/>
          <w:szCs w:val="18"/>
          <w:u w:val="single" w:color="auto"/>
          <w:color w:val="auto"/>
        </w:rPr>
        <w:t>Bankruptcy and Equity Exception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48" w:right="339" w:bottom="1440" w:gutter="0" w:footer="0" w:header="0"/>
        </w:sectPr>
      </w:pPr>
    </w:p>
    <w:bookmarkStart w:id="123" w:name="page124"/>
    <w:bookmarkEnd w:id="123"/>
    <w:p>
      <w:pPr>
        <w:ind w:left="-40" w:right="120" w:firstLine="1304"/>
        <w:spacing w:after="0" w:line="254" w:lineRule="auto"/>
        <w:tabs>
          <w:tab w:leader="none" w:pos="200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Company Shareholder has all necessary corporate or other entity power and authority to execute and deliver this Agreement and to perform its obligations hereunder and to consummate the Transactions. Except for executing and delivering the Statutory Merger Agreement and filing the Merger Application with the Registrar pursuant to the Bermuda Companies Act, no other action on the part of such Company Shareholder is necessary to authorize the execution, delivery and performance by such Company Shareholder of this Agreement and the Statutory Merger Agreement and the consummation by such Company Shareholder of the Transactions. This Agreement has been duly executed and delivered by such Company Shareholder and, assuming due authorization, execution and delivery hereof by the other parties hereto, constitutes a legal, valid and binding obligation of such Company Shareholder, enforceable against such Company Shareholder in accordance with its terms, subject to the </w:t>
      </w:r>
      <w:r>
        <w:rPr>
          <w:rFonts w:ascii="Times New Roman" w:cs="Times New Roman" w:eastAsia="Times New Roman" w:hAnsi="Times New Roman"/>
          <w:sz w:val="18"/>
          <w:szCs w:val="18"/>
          <w:u w:val="single" w:color="auto"/>
          <w:color w:val="auto"/>
        </w:rPr>
        <w:t>Bankruptcy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Equity Exception</w:t>
      </w:r>
      <w:r>
        <w:rPr>
          <w:rFonts w:ascii="Times New Roman" w:cs="Times New Roman" w:eastAsia="Times New Roman" w:hAnsi="Times New Roman"/>
          <w:sz w:val="18"/>
          <w:szCs w:val="18"/>
          <w:color w:val="auto"/>
        </w:rPr>
        <w:t>.</w:t>
      </w:r>
    </w:p>
    <w:p>
      <w:pPr>
        <w:spacing w:after="0" w:line="245" w:lineRule="exact"/>
        <w:rPr>
          <w:rFonts w:ascii="Times New Roman" w:cs="Times New Roman" w:eastAsia="Times New Roman" w:hAnsi="Times New Roman"/>
          <w:sz w:val="18"/>
          <w:szCs w:val="18"/>
          <w:color w:val="auto"/>
        </w:rPr>
      </w:pPr>
    </w:p>
    <w:p>
      <w:pPr>
        <w:ind w:left="2000" w:hanging="736"/>
        <w:spacing w:after="0"/>
        <w:tabs>
          <w:tab w:leader="none" w:pos="2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has unanimously:</w:t>
      </w:r>
    </w:p>
    <w:p>
      <w:pPr>
        <w:spacing w:after="0" w:line="279" w:lineRule="exact"/>
        <w:rPr>
          <w:rFonts w:ascii="Times New Roman" w:cs="Times New Roman" w:eastAsia="Times New Roman" w:hAnsi="Times New Roman"/>
          <w:sz w:val="18"/>
          <w:szCs w:val="18"/>
          <w:color w:val="auto"/>
        </w:rPr>
      </w:pPr>
    </w:p>
    <w:p>
      <w:pPr>
        <w:ind w:left="620" w:right="120" w:firstLine="1292"/>
        <w:spacing w:after="0" w:line="266" w:lineRule="auto"/>
        <w:tabs>
          <w:tab w:leader="none" w:pos="262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Merger Consideration constitutes fair value for each Company Share in accordance with the Bermuda Companies Act and that the Preferred Share Consideration constitutes fair value for each Company Preferred Share in accordance with the Bermuda Companies Act;</w:t>
      </w:r>
    </w:p>
    <w:p>
      <w:pPr>
        <w:spacing w:after="0" w:line="229" w:lineRule="exact"/>
        <w:rPr>
          <w:rFonts w:ascii="Times New Roman" w:cs="Times New Roman" w:eastAsia="Times New Roman" w:hAnsi="Times New Roman"/>
          <w:sz w:val="18"/>
          <w:szCs w:val="18"/>
          <w:color w:val="auto"/>
        </w:rPr>
      </w:pPr>
    </w:p>
    <w:p>
      <w:pPr>
        <w:ind w:left="620" w:right="540" w:firstLine="1292"/>
        <w:spacing w:after="0" w:line="282" w:lineRule="auto"/>
        <w:tabs>
          <w:tab w:leader="none" w:pos="262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Merger, on the terms and subject to the conditions set forth herein, is fair to, and in the best interests of, the Company and its shareholders;</w:t>
      </w:r>
    </w:p>
    <w:p>
      <w:pPr>
        <w:spacing w:after="0" w:line="215" w:lineRule="exact"/>
        <w:rPr>
          <w:rFonts w:ascii="Times New Roman" w:cs="Times New Roman" w:eastAsia="Times New Roman" w:hAnsi="Times New Roman"/>
          <w:sz w:val="18"/>
          <w:szCs w:val="18"/>
          <w:color w:val="auto"/>
        </w:rPr>
      </w:pPr>
    </w:p>
    <w:p>
      <w:pPr>
        <w:ind w:left="2620" w:hanging="708"/>
        <w:spacing w:after="0"/>
        <w:tabs>
          <w:tab w:leader="none" w:pos="26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this Agreement, the Statutory Merger Agreement and the Transactions; and</w:t>
      </w:r>
    </w:p>
    <w:p>
      <w:pPr>
        <w:spacing w:after="0" w:line="279" w:lineRule="exact"/>
        <w:rPr>
          <w:rFonts w:ascii="Times New Roman" w:cs="Times New Roman" w:eastAsia="Times New Roman" w:hAnsi="Times New Roman"/>
          <w:sz w:val="18"/>
          <w:szCs w:val="18"/>
          <w:color w:val="auto"/>
        </w:rPr>
      </w:pPr>
    </w:p>
    <w:p>
      <w:pPr>
        <w:ind w:left="2600" w:hanging="688"/>
        <w:spacing w:after="0"/>
        <w:tabs>
          <w:tab w:leader="none" w:pos="260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recommended approval of the Merger, this Agreement and the Statutory Merger Agreement to the holders of Company</w:t>
      </w:r>
    </w:p>
    <w:p>
      <w:pPr>
        <w:spacing w:after="0" w:line="38"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48" w:right="379" w:bottom="1440" w:gutter="0" w:footer="0" w:header="0"/>
        </w:sectPr>
      </w:pPr>
    </w:p>
    <w:bookmarkStart w:id="124" w:name="page125"/>
    <w:bookmarkEnd w:id="124"/>
    <w:p>
      <w:pPr>
        <w:ind w:right="160" w:firstLine="1304"/>
        <w:spacing w:after="0" w:line="282" w:lineRule="auto"/>
        <w:tabs>
          <w:tab w:leader="none" w:pos="204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has directed that the Merger, this Agreement and the Statutory Merger Agreement be submitted to the holders of Company Shares and the holders of Company Preferred Shares for their approval.</w:t>
      </w:r>
    </w:p>
    <w:p>
      <w:pPr>
        <w:spacing w:after="0" w:line="215" w:lineRule="exact"/>
        <w:rPr>
          <w:rFonts w:ascii="Times New Roman" w:cs="Times New Roman" w:eastAsia="Times New Roman" w:hAnsi="Times New Roman"/>
          <w:sz w:val="18"/>
          <w:szCs w:val="18"/>
          <w:color w:val="auto"/>
        </w:rPr>
      </w:pPr>
    </w:p>
    <w:p>
      <w:pPr>
        <w:ind w:right="260" w:firstLine="1304"/>
        <w:spacing w:after="0" w:line="266" w:lineRule="auto"/>
        <w:tabs>
          <w:tab w:leader="none" w:pos="203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Shareholder Consent is valid and in full effect, and is the only vote or approval of the holders of any class or series of share capital or other equity of the Company or any of its Subsidiaries or Joint Venture Entities that is necessary to approve this Agreement and the Merger.</w:t>
      </w:r>
    </w:p>
    <w:p>
      <w:pPr>
        <w:spacing w:after="0" w:line="229" w:lineRule="exact"/>
        <w:rPr>
          <w:rFonts w:ascii="Times New Roman" w:cs="Times New Roman" w:eastAsia="Times New Roman" w:hAnsi="Times New Roman"/>
          <w:sz w:val="18"/>
          <w:szCs w:val="18"/>
          <w:color w:val="auto"/>
        </w:rPr>
      </w:pPr>
    </w:p>
    <w:p>
      <w:pPr>
        <w:ind w:right="20" w:firstLine="1304"/>
        <w:spacing w:after="0" w:line="252" w:lineRule="auto"/>
        <w:tabs>
          <w:tab w:leader="none" w:pos="201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on Section 3.03(f) of the Company Disclosure Schedule, none of (i) the execution and delivery of this Agreement or the Statutory Merger Agreement by the Company, (ii) the consummation by the Company of the Transactions, or (iii) performance or compliance by the Company with any of the terms or provisions hereof, will (A) contravene, conflict with or violate any provision (1) of the Company Organizational Documents or (2) of the similar organizational documents of Company Shareholders or any of the Company’s Subsidiaries or the Joint Venture Entities or (B) assuming (1) compliance with the matters set forth in Section 4.03(b) (other than Section 4.03(b)(iii)(A)) (and assuming the accuracy of the representations and warranties made in such Section 4.03(b)), (2) that the actions described in Section 4.03(a) have been completed, (3) that the authorizations, consents and approvals referred to in Section 3.04 and (4) that the filings referred to in Section 3.04 are made and any waiting periods thereunder have terminated or expired, in the case of each of the foregoing clauses (1) through (4), prior to the Effective Time, (w) violate any Law applicable to the Company or any of its Subsidiaries or the Joint Venture Entities, (x) violate or constitute a breach of or default (with or without notice or lapse of time or both) under any of the terms, conditions or provisions of any loan or credit agreement, debenture, note, bond, mortgage, indenture, deed of trust, lease, sublease, license, contract or other agreement (each, a “</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to which the Company or any of its Subsidiaries or the Joint Venture Entities is a party or by which any of the assets or properties of the Company, its Subsidiaries or the Joint Venture Entities, as applicable, are bound, or give rise to any right to terminate, cancel, amend, modify or accelerate the Company’s or, if applicable, any of its Subsidiaries’, the Joint Venture Entities’ or the Company Shareholders’, rights or obligations under any such Contract, (y) give rise to any right of first refusal, preemptive right, tag-along right, transfer right or other similar right of any other party to a Contract to which the Company, any of its Subsidiaries, either of the Company Shareholders or any of the Joint Venture Entities is bound, or (z) result in the creation of any Lien on any properties or assets of the Company or any of its Subsidiaries or the Joint Venture Entities, except, in the case of clause (A)(2) and clause (B), as would not reasonably be expected to have a Material Adverse Effect.</w:t>
      </w:r>
    </w:p>
    <w:p>
      <w:pPr>
        <w:spacing w:after="0" w:line="247" w:lineRule="exact"/>
        <w:rPr>
          <w:rFonts w:ascii="Times New Roman" w:cs="Times New Roman" w:eastAsia="Times New Roman" w:hAnsi="Times New Roman"/>
          <w:sz w:val="18"/>
          <w:szCs w:val="18"/>
          <w:color w:val="auto"/>
        </w:rPr>
      </w:pPr>
    </w:p>
    <w:p>
      <w:pPr>
        <w:ind w:firstLine="1304"/>
        <w:spacing w:after="0" w:line="276" w:lineRule="auto"/>
        <w:tabs>
          <w:tab w:leader="none" w:pos="2046"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disclosed on Section 3.03(g) of the Company Disclosure Schedule, none of (i) the execution and delivery of this Agreement or the Statutory Merger Agreement by such Company Shareholder, (ii) the consummation by such Company Shareholder of the Transactions, or</w:t>
      </w:r>
    </w:p>
    <w:p>
      <w:pPr>
        <w:ind w:right="80" w:firstLine="8"/>
        <w:spacing w:after="0" w:line="250" w:lineRule="auto"/>
        <w:tabs>
          <w:tab w:leader="none" w:pos="31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or compliance by such Company Shareholder with any of the terms or provisions hereof, will (A) contravene, conflict with or violate any provision (1) of the Company Organizational Documents or (2) of the similar organizational documents of such Company Shareholder or any of the Company’s Subsidiaries or the Joint Venture Entities or (B) assuming (1) compliance with the matters set forth in Section 4.03(b) (other than Section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4.03(b)(iii)(A)) (and assuming the accuracy of the representations and warranties made in such Section 4.03(b)), (2) that the actions described in Section</w:t>
      </w:r>
    </w:p>
    <w:p>
      <w:pPr>
        <w:spacing w:after="0" w:line="9"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3.03(a) and 3.03(b) have been completed, (3) that the authorizations, consents and approvals referred to in Section 3.04 and (4) that the filings referred to in Section 3.04 are made and any waiting periods thereunder have terminated or expired, in the case of each of the foregoing clauses (1) through (4), prior to the Effective Time, (w) violate any Law applicable to the Company or any of its Subsidiaries or the Joint Venture Entities, (x) violate or constitute a breach of or default (with or without notice or lapse of time or both) under any Contract to which the Company or any of its Subsidiaries or the Joint Venture Entities is a party or by which any of the assets or properties of the Company, its Subsidiaries or the Joint Venture Entities, as applicable, are bound, or give rise to any right to terminate, cancel, amend, modify or accelerate the Company’s or, if applicable, any of its Subsidiaries’, the Joint Venture Entities’ or the Company Shareholders’, rights or obligations under any such Contract, (y) give rise to any right of first refusal, preemptive right, tag-along right, transfer right or other similar right of any other party to a Contract to which the Company, any of its Subsidiaries, such Company Shareholder or any of the Joint Venture Entities is bound, or (z) result in the creation of any Lien on any properties or assets of the Company or any of its Subsidiaries or the Joint Venture Entities, except, in the case of clause (A)(2) and clause (B), as would not reasonably be expected to have a Material Adverse Effect.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25" w:name="page126"/>
    <w:bookmarkEnd w:id="125"/>
    <w:p>
      <w:pPr>
        <w:ind w:left="64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21"/>
          <w:szCs w:val="21"/>
          <w:color w:val="auto"/>
        </w:rPr>
        <w:t>.</w:t>
      </w:r>
    </w:p>
    <w:p>
      <w:pPr>
        <w:spacing w:after="0" w:line="281" w:lineRule="exact"/>
        <w:rPr>
          <w:sz w:val="20"/>
          <w:szCs w:val="20"/>
          <w:color w:val="auto"/>
        </w:rPr>
      </w:pPr>
    </w:p>
    <w:p>
      <w:pPr>
        <w:ind w:left="-20" w:firstLine="1304"/>
        <w:spacing w:after="0" w:line="254" w:lineRule="auto"/>
        <w:tabs>
          <w:tab w:leader="none" w:pos="201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 the filing of (A) the Merger Application with the Registrar pursuant to the Bermuda Companies Act and (B) appropriate documents with the relevant authorities of other jurisdictions in which the Company or any of its Subsidiaries or Joint Venture Entities is qualified to do business, (ii) filings required under, and compliance with other applicable requirements of, the HSR Act, and such other consents, approvals, filings, authorizations, declarations or registrations as are required to be made or obtained under any non-U.S. Antitrust Laws, (iii) for other consents, approvals, filings, authorizations, declarations or registrations listed on Section 3.04 of the Company Disclosure Schedule, and (iv) permission of the Bermuda Monetary Authority in respect of the Merger for the purposes of the Exchange Control Act 1972 of Bermuda and the related regulations made thereunder, no consent or approval of, or filing, license, permit or authorization, declaration or registration with, or notification to, or waiver from, any Governmental Authority is necessary for the execution and delivery of this Agreement by the Company, the performance by the Company of its obligations hereunder and the consummation by the Company of the Transactions.</w:t>
      </w:r>
    </w:p>
    <w:p>
      <w:pPr>
        <w:spacing w:after="0" w:line="242" w:lineRule="exact"/>
        <w:rPr>
          <w:rFonts w:ascii="Times New Roman" w:cs="Times New Roman" w:eastAsia="Times New Roman" w:hAnsi="Times New Roman"/>
          <w:sz w:val="18"/>
          <w:szCs w:val="18"/>
          <w:color w:val="auto"/>
        </w:rPr>
      </w:pPr>
    </w:p>
    <w:p>
      <w:pPr>
        <w:ind w:left="-20" w:firstLine="1304"/>
        <w:spacing w:after="0" w:line="254" w:lineRule="auto"/>
        <w:tabs>
          <w:tab w:leader="none" w:pos="202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 the filing of (A) the Merger Application with the Registrar pursuant to the Bermuda Companies Act and (B) appropriate documents with the relevant authorities of other jurisdictions in which the Company or any of its Subsidiaries or the Joint Venture Entities is qualified to do business, (ii) filings required under, and compliance with other applicable requirements of, the HSR Act, and such other consents, approvals, filings, authorizations, declarations or registrations as are required to be made or obtained under any non-U.S. Antitrust Laws, and (iii) for other consents, approvals, filings, authorizations, declarations or registrations listed on Section 3.04 of the Company Disclosure Schedule, no consent or approval of, or filing, license, permit or authorization, declaration or registration with, or notification to, or waiver from, any Governmental Authority is necessary for the execution and delivery of this Agreement by such Company Shareholder, the performance by such Company Shareholder of its obligations hereunder and the consummation by such Company Shareholder of the Transactions.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1" w:right="339" w:bottom="1440" w:gutter="0" w:footer="0" w:header="0"/>
        </w:sectPr>
      </w:pPr>
    </w:p>
    <w:bookmarkStart w:id="126" w:name="page127"/>
    <w:bookmarkEnd w:id="126"/>
    <w:p>
      <w:pPr>
        <w:ind w:left="6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8"/>
          <w:szCs w:val="18"/>
          <w:u w:val="single" w:color="auto"/>
          <w:color w:val="auto"/>
        </w:rPr>
        <w:t>Company SEC Documents; Financial Statements; Undisclosed Liabilities</w:t>
      </w:r>
      <w:r>
        <w:rPr>
          <w:rFonts w:ascii="Times New Roman" w:cs="Times New Roman" w:eastAsia="Times New Roman" w:hAnsi="Times New Roman"/>
          <w:sz w:val="21"/>
          <w:szCs w:val="21"/>
          <w:color w:val="auto"/>
        </w:rPr>
        <w:t>.</w:t>
      </w:r>
    </w:p>
    <w:p>
      <w:pPr>
        <w:spacing w:after="0" w:line="281" w:lineRule="exact"/>
        <w:rPr>
          <w:sz w:val="20"/>
          <w:szCs w:val="20"/>
          <w:color w:val="auto"/>
        </w:rPr>
      </w:pPr>
    </w:p>
    <w:p>
      <w:pPr>
        <w:ind w:left="-40" w:right="120" w:firstLine="1304"/>
        <w:spacing w:after="0" w:line="255" w:lineRule="auto"/>
        <w:tabs>
          <w:tab w:leader="none" w:pos="199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SEC Documents complied as to form in all material respects with the requirements of the Securities Act or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as the case may be, applicable to such Company SEC Documents, and none of the Company SEC Documents as of such respective dates (or, if amended prior to the date of this Agreement, the date of the filing of such amendment, with respect to the disclosures that are amended) contained any untrue statement of a material fact or omitted to state a material fact necessary in order to make the statements therein, in light of the circumstances under which they were made, not misleading. Except as disclosed on Section 3.05(a) of the Company Disclosure Schedule, as of the date of this Agreement, there are no outstanding written comments from the SEC with respect to the Company SEC Documents.</w:t>
      </w:r>
    </w:p>
    <w:p>
      <w:pPr>
        <w:spacing w:after="0" w:line="242" w:lineRule="exact"/>
        <w:rPr>
          <w:rFonts w:ascii="Times New Roman" w:cs="Times New Roman" w:eastAsia="Times New Roman" w:hAnsi="Times New Roman"/>
          <w:sz w:val="18"/>
          <w:szCs w:val="18"/>
          <w:color w:val="auto"/>
        </w:rPr>
      </w:pPr>
    </w:p>
    <w:p>
      <w:pPr>
        <w:ind w:left="-40" w:firstLine="1304"/>
        <w:spacing w:after="0" w:line="253" w:lineRule="auto"/>
        <w:tabs>
          <w:tab w:leader="none" w:pos="200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3.05(b) of the Company Disclosure Schedule includes true, correct and complete copies of the following financial statements (collectively,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Company’s consolidated unaudited (i) balance sheet, statements of operations, stockholders’ equity and cash flows for the fiscal years ended December 31, 2019, 2018 and 2017 and (ii) balance sheet as of September 30, 2020 (the “</w:t>
      </w:r>
      <w:r>
        <w:rPr>
          <w:rFonts w:ascii="Times New Roman" w:cs="Times New Roman" w:eastAsia="Times New Roman" w:hAnsi="Times New Roman"/>
          <w:sz w:val="18"/>
          <w:szCs w:val="18"/>
          <w:u w:val="single" w:color="auto"/>
          <w:color w:val="auto"/>
        </w:rPr>
        <w:t>Latest 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Sheet</w:t>
      </w:r>
      <w:r>
        <w:rPr>
          <w:rFonts w:ascii="Times New Roman" w:cs="Times New Roman" w:eastAsia="Times New Roman" w:hAnsi="Times New Roman"/>
          <w:sz w:val="18"/>
          <w:szCs w:val="18"/>
          <w:color w:val="auto"/>
        </w:rPr>
        <w:t>”) and statements of operations, stockholders’ equity and cash flows for the nine (9) months then ended. The Financial Statements (including all notes thereto) have been prepared in accordance with GAAP, consistently applied, were prepared from the books and records of the Company and present fairly in all material respects the financial condition and results of operations of the Company as of the times and for the periods referred to therein, subject to (i) the absence of footnote disclosures and (ii) changes resulting from normal year-end adjustments that are not material in amount. Since the Latest Balance Sheet through the date of this Agreement, there have been no material changes in the accounting policies of the Company (including any change in depreciation or amortization policies or rates, or policies with respect to reserves for uncollectible accounts receivable or excess or obsolete inventory) and no revaluation of the Company’s properties or assets. Section 3.05(b) of the Company Disclosure Schedule contains a true, correct and complete list of all Indebtedness and identifies for each item of Indebtedness the outstanding principal, the accrued but unpaid interest and any applicable prepayment or call penalty or premium, in each case, as of the date of this Agreement.</w:t>
      </w:r>
    </w:p>
    <w:p>
      <w:pPr>
        <w:spacing w:after="0" w:line="243" w:lineRule="exact"/>
        <w:rPr>
          <w:rFonts w:ascii="Times New Roman" w:cs="Times New Roman" w:eastAsia="Times New Roman" w:hAnsi="Times New Roman"/>
          <w:sz w:val="18"/>
          <w:szCs w:val="18"/>
          <w:color w:val="auto"/>
        </w:rPr>
      </w:pPr>
    </w:p>
    <w:p>
      <w:pPr>
        <w:ind w:left="-40" w:right="80" w:firstLine="1304"/>
        <w:spacing w:after="0" w:line="256" w:lineRule="auto"/>
        <w:tabs>
          <w:tab w:leader="none" w:pos="199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books and records that fairly reflect, in all material respects, the assets and liabilities of the Company and the Company maintains a proper and effective system of accounting controls sufficient to provide reasonable assurances that (i) transactions are executed with management’s authorization and (ii) transactions are recorded as necessary to permit preparation of the consolidated financial statements of the Company and to maintain accountability for the Company’s consolidated assets, (iii) access to assets of the Company is permitted only in accordance with management’s authorization, (iv) the reporting of assets of the Company is compared with existing assets at regular intervals and (v) proper and adequate procedures are implemented to effect the collection of accounts, notes and other receivables on a current and timely basis.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1" w:right="359" w:bottom="1440" w:gutter="0" w:footer="0" w:header="0"/>
        </w:sectPr>
      </w:pPr>
    </w:p>
    <w:bookmarkStart w:id="127" w:name="page128"/>
    <w:bookmarkEnd w:id="127"/>
    <w:p>
      <w:pPr>
        <w:ind w:right="100" w:firstLine="1304"/>
        <w:spacing w:after="0" w:line="258" w:lineRule="auto"/>
        <w:tabs>
          <w:tab w:leader="none" w:pos="204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2017, neither the Company, nor any director, officer, or, to the Company’s Knowledge, employee or accountant thereof, has received any material complaint, allegation, assertion or claim, whether written or oral, that the Company has engaged in illegal or fraudulent accounting practices. There are no significant deficiencies or material weaknesses in the design or operation of the internal controls of the Company which have materially and adversely affected the ability of the Company to record, process, summarize and report financial data. There is no fraud, whether or not material, involving management or other employees that was reported to the board or management of the Company.</w:t>
      </w:r>
    </w:p>
    <w:p>
      <w:pPr>
        <w:spacing w:after="0" w:line="20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21"/>
          <w:szCs w:val="21"/>
          <w:color w:val="auto"/>
        </w:rPr>
        <w:t>. From September 30, 2020 through the date of this Agreement, (a) (i) except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the execution, delivery and performance of this Agreement and the discussions, negotiations and transactions related thereto, the business of the Company, its Subsidiaries and, to the Knowledge of the Company, the Joint Venture Entities has been carried on and conducted in all material respects in the Ordinary Course and (ii) neither the Company nor any of its Subsidiaries or, to the Knowledge of the Company, any Joint Venture Entity has taken any action or failed to take any action that would have resulted in a breach of Section 5.01(b)(i), (ii)(C), (iii), (iv), (v), (vii), (ix), (xi), (xii), (xiii), (xiv), (xv), (xvi) or (xvii) (to the extent related to any of the foregoing clauses) had the restrictions thereunder been in effect since September 30, 2020, and (b) there has not been any event, circumstance, development, change or effect that has had or would reasonably be expected to have, individually or in the aggregate, a Material Adverse Effect.</w:t>
      </w:r>
    </w:p>
    <w:p>
      <w:pPr>
        <w:spacing w:after="0" w:line="202"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21"/>
          <w:szCs w:val="21"/>
          <w:color w:val="auto"/>
        </w:rPr>
        <w:t>. Except as would not reasonably be expected to have, individually or in the aggregate,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Material Adverse Effect, there is no (a) pending or, to the Knowledge of the Company, threatened legal or administrative proceeding, suit, arbitration, action, claim, dispute, hearing, charge, complaint, indictment, litigation or, to the Knowledge of the Company, investigation against the Company or any of its Subsidiaries or the Joint Venture Entities, or (b) outstanding injunction, order, judgment, ruling, decree or writ imposed upon the Company or any of its Subsidiaries or the Joint Venture Entities or any director or officer of the Company or any of its Subsidiaries or the Joint Venture Entities or, to the Knowledge of the Company, any other Person for whom the Company or any of its Subsidiaries or the Joint Venture Entities may be liable as an indemnifying party or otherwise, in each case, by or before any Governmental Authority.</w:t>
      </w:r>
    </w:p>
    <w:p>
      <w:pPr>
        <w:spacing w:after="0" w:line="199"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3.08</w:t>
      </w:r>
      <w:r>
        <w:rPr>
          <w:sz w:val="20"/>
          <w:szCs w:val="20"/>
          <w:color w:val="auto"/>
        </w:rPr>
        <w:tab/>
      </w:r>
      <w:r>
        <w:rPr>
          <w:rFonts w:ascii="Times New Roman" w:cs="Times New Roman" w:eastAsia="Times New Roman" w:hAnsi="Times New Roman"/>
          <w:sz w:val="17"/>
          <w:szCs w:val="17"/>
          <w:u w:val="single" w:color="auto"/>
          <w:color w:val="auto"/>
        </w:rPr>
        <w:t>Compliance with Laws; Permits</w:t>
      </w:r>
      <w:r>
        <w:rPr>
          <w:rFonts w:ascii="Times New Roman" w:cs="Times New Roman" w:eastAsia="Times New Roman" w:hAnsi="Times New Roman"/>
          <w:sz w:val="20"/>
          <w:szCs w:val="20"/>
          <w:color w:val="auto"/>
        </w:rPr>
        <w:t>.</w:t>
      </w:r>
    </w:p>
    <w:p>
      <w:pPr>
        <w:spacing w:after="0" w:line="292" w:lineRule="exact"/>
        <w:rPr>
          <w:sz w:val="20"/>
          <w:szCs w:val="20"/>
          <w:color w:val="auto"/>
        </w:rPr>
      </w:pPr>
    </w:p>
    <w:p>
      <w:pPr>
        <w:ind w:right="40" w:firstLine="1304"/>
        <w:spacing w:after="0" w:line="258" w:lineRule="auto"/>
        <w:tabs>
          <w:tab w:leader="none" w:pos="203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each of its Subsidiaries and, to the Knowledge of the Company, each of the Joint Venture Entities are, and since January 1, 2018, have been, in compliance in all material respects with all federal, national, provincial, state, local or multinational laws, statutes, common laws, ordinances, codes, rules, orders, judgments, injunctions, writs, decrees, governmental guidelines or interpretations having the force of law, Permits, regulations, decrees, codes or executive orders enacted, issued, adopted, promulgated or applied by or on behalf of any Governmental Authorities (collectively,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applicable to the Company or any of its Subsidiaries or the Joint Venture Entities.</w:t>
      </w:r>
    </w:p>
    <w:p>
      <w:pPr>
        <w:spacing w:after="0" w:line="237" w:lineRule="exact"/>
        <w:rPr>
          <w:rFonts w:ascii="Times New Roman" w:cs="Times New Roman" w:eastAsia="Times New Roman" w:hAnsi="Times New Roman"/>
          <w:sz w:val="18"/>
          <w:szCs w:val="18"/>
          <w:color w:val="auto"/>
        </w:rPr>
      </w:pPr>
    </w:p>
    <w:p>
      <w:pPr>
        <w:ind w:firstLine="1304"/>
        <w:spacing w:after="0" w:line="258" w:lineRule="auto"/>
        <w:tabs>
          <w:tab w:leader="none" w:pos="204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each of its Subsidiaries and, to the Knowledge of the Company, each of the Joint Venture Entities, holds, and since January 1, 2018, has held, all material licenses, franchises, permits, certificates, approvals, authorizations and registrations from Governmental Authorities (collectively,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necessary for the Company, each such Subsidiary and each such Joint Venture Entity, as applicable, to own, lease and operate its properties and assets and necessary for the lawful conduct of their respective businesses as each such business is now being, or at such time was, conducted, and all such Permits are in full force and effect.</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8" w:right="359" w:bottom="1440" w:gutter="0" w:footer="0" w:header="0"/>
        </w:sectPr>
      </w:pPr>
    </w:p>
    <w:bookmarkStart w:id="128" w:name="page129"/>
    <w:bookmarkEnd w:id="128"/>
    <w:p>
      <w:pPr>
        <w:ind w:left="6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3.09</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20"/>
          <w:szCs w:val="20"/>
          <w:color w:val="auto"/>
        </w:rPr>
        <w:t>.</w:t>
      </w:r>
    </w:p>
    <w:p>
      <w:pPr>
        <w:spacing w:after="0" w:line="293" w:lineRule="exact"/>
        <w:rPr>
          <w:sz w:val="20"/>
          <w:szCs w:val="20"/>
          <w:color w:val="auto"/>
        </w:rPr>
      </w:pPr>
    </w:p>
    <w:p>
      <w:pPr>
        <w:ind w:left="-40" w:firstLine="1304"/>
        <w:spacing w:after="0" w:line="258" w:lineRule="auto"/>
        <w:tabs>
          <w:tab w:leader="none" w:pos="199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its Subsidiaries and the Joint Venture Entities has prepared (or caused to be prepared) and timely filed (taking into account valid extensions of time within which to file) all material Tax Returns required to be filed by it. All such filed Tax Returns (taking into account all amendments thereto) are true, complete and accurate in all material respects, and all material Taxes owed by the Company, its Subsidiaries and the Joint Venture Entities that are due (whether or not shown on any Tax Return) (i) have been duly and timely paid or (ii) are being contested in good faith by appropriate Proceedings and have been adequately reserved against in accordance with GAAP.</w:t>
      </w:r>
    </w:p>
    <w:p>
      <w:pPr>
        <w:spacing w:after="0" w:line="237" w:lineRule="exact"/>
        <w:rPr>
          <w:rFonts w:ascii="Times New Roman" w:cs="Times New Roman" w:eastAsia="Times New Roman" w:hAnsi="Times New Roman"/>
          <w:sz w:val="18"/>
          <w:szCs w:val="18"/>
          <w:color w:val="auto"/>
        </w:rPr>
      </w:pPr>
    </w:p>
    <w:p>
      <w:pPr>
        <w:ind w:left="-40" w:right="140" w:firstLine="1304"/>
        <w:spacing w:after="0" w:line="258" w:lineRule="auto"/>
        <w:tabs>
          <w:tab w:leader="none" w:pos="200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any Joint Venture Entity has received written notice of any audits, examinations, investigations, claims or other Proceedings in respect of any material Taxes or material Tax Returns of the Company or any of its Subsidiaries or the Joint Venture Entities and there are no audits, examinations, investigations, claims or other Proceedings pending, proposed (tentatively or definitely), asserted, or threatened in writing with respect to any material Taxes payable by or with respect to the Company or any of its Subsidiaries or the Joint Venture Entities.</w:t>
      </w:r>
    </w:p>
    <w:p>
      <w:pPr>
        <w:spacing w:after="0" w:line="237" w:lineRule="exact"/>
        <w:rPr>
          <w:rFonts w:ascii="Times New Roman" w:cs="Times New Roman" w:eastAsia="Times New Roman" w:hAnsi="Times New Roman"/>
          <w:sz w:val="18"/>
          <w:szCs w:val="18"/>
          <w:color w:val="auto"/>
        </w:rPr>
      </w:pPr>
    </w:p>
    <w:p>
      <w:pPr>
        <w:ind w:left="-40" w:right="140" w:firstLine="1304"/>
        <w:spacing w:after="0" w:line="282" w:lineRule="auto"/>
        <w:tabs>
          <w:tab w:leader="none" w:pos="199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material Taxes on any of the assets of the Company or any of its Subsidiaries or on any of the assets of the Joint Venture Entities, in each case other than Permitted Liens.</w:t>
      </w:r>
    </w:p>
    <w:p>
      <w:pPr>
        <w:spacing w:after="0" w:line="215" w:lineRule="exact"/>
        <w:rPr>
          <w:rFonts w:ascii="Times New Roman" w:cs="Times New Roman" w:eastAsia="Times New Roman" w:hAnsi="Times New Roman"/>
          <w:sz w:val="18"/>
          <w:szCs w:val="18"/>
          <w:color w:val="auto"/>
        </w:rPr>
      </w:pPr>
    </w:p>
    <w:p>
      <w:pPr>
        <w:ind w:left="-40" w:right="260" w:firstLine="1304"/>
        <w:spacing w:after="0" w:line="266" w:lineRule="auto"/>
        <w:tabs>
          <w:tab w:leader="none" w:pos="200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the Joint Venture Entities has been either a “controlled corporation” or a “distributing corporation” (within the meaning of Section 355(a)(1)(A) of the Code) in any distribution of stock occurring during the two-year period ending on the date of this Agreement that was purported or intended to be governed by Section 355 of the Code.</w:t>
      </w:r>
    </w:p>
    <w:p>
      <w:pPr>
        <w:spacing w:after="0" w:line="229" w:lineRule="exact"/>
        <w:rPr>
          <w:rFonts w:ascii="Times New Roman" w:cs="Times New Roman" w:eastAsia="Times New Roman" w:hAnsi="Times New Roman"/>
          <w:sz w:val="18"/>
          <w:szCs w:val="18"/>
          <w:color w:val="auto"/>
        </w:rPr>
      </w:pPr>
    </w:p>
    <w:p>
      <w:pPr>
        <w:ind w:left="-40" w:right="120" w:firstLine="1304"/>
        <w:spacing w:after="0" w:line="266" w:lineRule="auto"/>
        <w:tabs>
          <w:tab w:leader="none" w:pos="199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deficiency for any material Tax has been asserted or assessed, or, to the Knowledge of the Company, proposed or threatened by any Governmental Authority in writing against the Company, any of its Subsidiaries or any Joint Venture Entity, except for deficiencies that have been satisfied by payment in full, settled or withdrawn.</w:t>
      </w:r>
    </w:p>
    <w:p>
      <w:pPr>
        <w:spacing w:after="0" w:line="229" w:lineRule="exact"/>
        <w:rPr>
          <w:rFonts w:ascii="Times New Roman" w:cs="Times New Roman" w:eastAsia="Times New Roman" w:hAnsi="Times New Roman"/>
          <w:sz w:val="18"/>
          <w:szCs w:val="18"/>
          <w:color w:val="auto"/>
        </w:rPr>
      </w:pPr>
    </w:p>
    <w:p>
      <w:pPr>
        <w:ind w:left="-40" w:right="140" w:firstLine="1304"/>
        <w:spacing w:after="0" w:line="261" w:lineRule="auto"/>
        <w:tabs>
          <w:tab w:leader="none" w:pos="197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agreed to any currently effective extension of time with respect to an assessment or deficiency for material Taxes, and no request for such extension is pending. To the Knowledge of the Company, no Joint Venture Entity has agreed to any currently effective extension of time with respect to an assessment or deficiency for material Taxes, and no request for such extension is pending.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1" w:right="359" w:bottom="1440" w:gutter="0" w:footer="0" w:header="0"/>
        </w:sectPr>
      </w:pPr>
    </w:p>
    <w:bookmarkStart w:id="129" w:name="page130"/>
    <w:bookmarkEnd w:id="129"/>
    <w:p>
      <w:pPr>
        <w:ind w:left="-40" w:right="800" w:firstLine="1304"/>
        <w:spacing w:after="0" w:line="282" w:lineRule="auto"/>
        <w:tabs>
          <w:tab w:leader="none" w:pos="200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to the Knowledge of the Company, any Joint Venture Entity has participated in any “listed transaction” within the meaning of Treasury Regulation Section 1.6011-4(b)(2).</w:t>
      </w:r>
    </w:p>
    <w:p>
      <w:pPr>
        <w:spacing w:after="0" w:line="215" w:lineRule="exact"/>
        <w:rPr>
          <w:rFonts w:ascii="Times New Roman" w:cs="Times New Roman" w:eastAsia="Times New Roman" w:hAnsi="Times New Roman"/>
          <w:sz w:val="18"/>
          <w:szCs w:val="18"/>
          <w:color w:val="auto"/>
        </w:rPr>
      </w:pPr>
    </w:p>
    <w:p>
      <w:pPr>
        <w:ind w:left="-40" w:right="240" w:firstLine="1304"/>
        <w:spacing w:after="0" w:line="266" w:lineRule="auto"/>
        <w:tabs>
          <w:tab w:leader="none" w:pos="200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each of its Subsidiaries and each Joint Venture Entity have withheld all material Taxes required to have been withheld by them in connection with amounts paid or owed to (or any benefits or property provided to) any employee, independent contractor, creditor, shareholder or any other third party and have complied in all material respects with all related Tax reporting and deposit requirements.</w:t>
      </w:r>
    </w:p>
    <w:p>
      <w:pPr>
        <w:spacing w:after="0" w:line="229" w:lineRule="exact"/>
        <w:rPr>
          <w:rFonts w:ascii="Times New Roman" w:cs="Times New Roman" w:eastAsia="Times New Roman" w:hAnsi="Times New Roman"/>
          <w:sz w:val="18"/>
          <w:szCs w:val="18"/>
          <w:color w:val="auto"/>
        </w:rPr>
      </w:pPr>
    </w:p>
    <w:p>
      <w:pPr>
        <w:ind w:left="-40" w:right="160" w:firstLine="1304"/>
        <w:spacing w:after="0" w:line="266" w:lineRule="auto"/>
        <w:tabs>
          <w:tab w:leader="none" w:pos="196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any Joint Venture Entity is a party to any material Tax allocation, sharing, indemnity or similar agreement (other than agreements entered into in the Ordinary Course the principal purpose of which is not the allocation or indemnification of Taxes or agreements solely between or among any of the Company, its Subsidiaries and the Joint Venture Entities).</w:t>
      </w:r>
    </w:p>
    <w:p>
      <w:pPr>
        <w:spacing w:after="0" w:line="229" w:lineRule="exact"/>
        <w:rPr>
          <w:rFonts w:ascii="Times New Roman" w:cs="Times New Roman" w:eastAsia="Times New Roman" w:hAnsi="Times New Roman"/>
          <w:sz w:val="18"/>
          <w:szCs w:val="18"/>
          <w:color w:val="auto"/>
        </w:rPr>
      </w:pPr>
    </w:p>
    <w:p>
      <w:pPr>
        <w:ind w:left="-40" w:right="20" w:firstLine="1304"/>
        <w:spacing w:after="0" w:line="258" w:lineRule="auto"/>
        <w:tabs>
          <w:tab w:leader="none" w:pos="196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to the Knowledge of the Company, any Joint Venture Entity (i) has granted any power of attorney that will remain in force after the Closing with respect to any matters relating to any Taxes, (ii) has applied for a ruling from a taxing authority relating to any material Taxes or has proposed to enter into an agreement with a taxing authority that is pending, or (iii) has entered into any “closing agreement” as described in Section 7121 of the Code (or any similar provision of state, local or non-U.S. Tax Law) or been issued any private letter rulings, technical advance memoranda or similar agreement or rulings by any taxing authority.</w:t>
      </w:r>
    </w:p>
    <w:p>
      <w:pPr>
        <w:spacing w:after="0" w:line="237" w:lineRule="exact"/>
        <w:rPr>
          <w:rFonts w:ascii="Times New Roman" w:cs="Times New Roman" w:eastAsia="Times New Roman" w:hAnsi="Times New Roman"/>
          <w:sz w:val="18"/>
          <w:szCs w:val="18"/>
          <w:color w:val="auto"/>
        </w:rPr>
      </w:pPr>
    </w:p>
    <w:p>
      <w:pPr>
        <w:ind w:left="-40" w:right="20" w:firstLine="1304"/>
        <w:spacing w:after="0" w:line="258" w:lineRule="auto"/>
        <w:tabs>
          <w:tab w:leader="none" w:pos="200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to the Knowledge of the Company, any Joint Venture Entity has ever been a member of an affiliated, combined, consolidated or unitary Tax group for purposes of filing any Tax Return except for a group of which the Company or one of its Subsidiaries is the common parent. Neither the Company nor any of its Subsidiaries or, to the Knowledge of the Company, any Joint Venture Entity has any liability for any Taxes of any Person (other than the Company or any of its Subsidiaries) under Treasury Regulation Section 1.1502-6 or any similar provision of state, local, or non-U.S. law, or as a transferee or successor, or by operation of Law.</w:t>
      </w:r>
    </w:p>
    <w:p>
      <w:pPr>
        <w:spacing w:after="0" w:line="237" w:lineRule="exact"/>
        <w:rPr>
          <w:rFonts w:ascii="Times New Roman" w:cs="Times New Roman" w:eastAsia="Times New Roman" w:hAnsi="Times New Roman"/>
          <w:sz w:val="18"/>
          <w:szCs w:val="18"/>
          <w:color w:val="auto"/>
        </w:rPr>
      </w:pPr>
    </w:p>
    <w:p>
      <w:pPr>
        <w:ind w:left="-40" w:firstLine="1304"/>
        <w:spacing w:after="0" w:line="258" w:lineRule="auto"/>
        <w:tabs>
          <w:tab w:leader="none" w:pos="196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to the Knowledge of the Company, any Joint Venture Entity (i) has a permanent establishment (within the meaning of an applicable Tax treaty), branch, or other fixed place of business, nor (ii) has otherwise been, or deemed to be, engaged in a trade or business in any jurisdiction, other than its own country of incorporation or formation, and no claim in writing has been made by any Governmental Authority in a jurisdiction where the Company, its Subsidiaries or the Joint Venture Entities do not file Tax Returns that the Company or any of its Subsidiaries or the Joint Venture Entities is or may be subject to Tax in that jurisdiction.</w:t>
      </w:r>
    </w:p>
    <w:p>
      <w:pPr>
        <w:spacing w:after="0" w:line="237" w:lineRule="exact"/>
        <w:rPr>
          <w:rFonts w:ascii="Times New Roman" w:cs="Times New Roman" w:eastAsia="Times New Roman" w:hAnsi="Times New Roman"/>
          <w:sz w:val="18"/>
          <w:szCs w:val="18"/>
          <w:color w:val="auto"/>
        </w:rPr>
      </w:pPr>
    </w:p>
    <w:p>
      <w:pPr>
        <w:ind w:left="-40" w:right="20" w:firstLine="1304"/>
        <w:spacing w:after="0" w:line="256" w:lineRule="auto"/>
        <w:tabs>
          <w:tab w:leader="none" w:pos="200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to the Knowledge of the Company, any Joint Venture Entity will be required to include any material item of income or gain in, or exclude any material item of deduction or loss from, taxable income from any taxable period (or portion thereof) beginning after the Closing Date as a result of (i) any change in a method of accounting for a taxable period ending on or before the Closing Date, (ii) any installment sale or open transaction disposition, intercompany transaction or intercompany account made or existing on or before the Closing, (iii) any prepaid amount received or deferred revenue accrued on or prior to the Closing, or (iv) any “closing agreement” within the meaning of Section 7121 of the Code (or any corresponding or similar provision of applicable Tax Law) executed on or before the Closing.</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48" w:right="379" w:bottom="1440" w:gutter="0" w:footer="0" w:header="0"/>
        </w:sectPr>
      </w:pPr>
    </w:p>
    <w:bookmarkStart w:id="130" w:name="page131"/>
    <w:bookmarkEnd w:id="130"/>
    <w:p>
      <w:pPr>
        <w:ind w:left="-8" w:firstLine="1304"/>
        <w:spacing w:after="0" w:line="253" w:lineRule="auto"/>
        <w:tabs>
          <w:tab w:leader="none" w:pos="203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(i)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xml:space="preserve">” means (A) all federal, national, provincial, state or local taxes, charges, fees, levies, duties, tariffs, imposts, or other similar assessments or liabilities in the nature of taxes, including gross income, net income, capital gains, gross receipts, estate, branch profits, estimated, alternative or minimum, </w:t>
      </w:r>
      <w:r>
        <w:rPr>
          <w:rFonts w:ascii="Times New Roman" w:cs="Times New Roman" w:eastAsia="Times New Roman" w:hAnsi="Times New Roman"/>
          <w:sz w:val="18"/>
          <w:szCs w:val="18"/>
          <w:i w:val="1"/>
          <w:iCs w:val="1"/>
          <w:color w:val="auto"/>
        </w:rPr>
        <w:t>ad valorem</w:t>
      </w:r>
      <w:r>
        <w:rPr>
          <w:rFonts w:ascii="Times New Roman" w:cs="Times New Roman" w:eastAsia="Times New Roman" w:hAnsi="Times New Roman"/>
          <w:sz w:val="18"/>
          <w:szCs w:val="18"/>
          <w:color w:val="auto"/>
        </w:rPr>
        <w:t>, value-added, excise, real property, personal property, sales, use, transfer, stamp, registration, recording, documentary, customs, import, export, services, withholding, employment, unemployment, severance, social security, disability, national health insurance, payroll and franchise taxes imposed by a Governmental Authority, together with any interest, penalties, assessments or additions to tax, whether disputed or not, imposed by any Governmental Authority, and (B) any liability for any of the items described in clause (A) above resulting from having been a member of a group filing an affiliated, consolidated, combined or unitary income Tax Return, by operation of any other Law, or pursuant to a contract; and (ii) “</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all reports, returns, forms, declarations, statements or other information, including any supplement, schedule or attachment thereto and any amendment thereof, supplied to or required to be supplied to a Governmental Authority in connection with the determination, assessment, administration, or collection of Taxes.</w:t>
      </w:r>
    </w:p>
    <w:p>
      <w:pPr>
        <w:spacing w:after="0" w:line="212" w:lineRule="exact"/>
        <w:rPr>
          <w:sz w:val="20"/>
          <w:szCs w:val="20"/>
          <w:color w:val="auto"/>
        </w:rPr>
      </w:pPr>
    </w:p>
    <w:p>
      <w:pPr>
        <w:ind w:left="652"/>
        <w:spacing w:after="0"/>
        <w:tabs>
          <w:tab w:leader="none" w:pos="2012" w:val="left"/>
        </w:tabs>
        <w:rPr>
          <w:sz w:val="20"/>
          <w:szCs w:val="20"/>
          <w:color w:val="auto"/>
        </w:rPr>
      </w:pPr>
      <w:r>
        <w:rPr>
          <w:rFonts w:ascii="Times New Roman" w:cs="Times New Roman" w:eastAsia="Times New Roman" w:hAnsi="Times New Roman"/>
          <w:sz w:val="18"/>
          <w:szCs w:val="18"/>
          <w:color w:val="auto"/>
        </w:rPr>
        <w:t>Section 3.10</w:t>
      </w:r>
      <w:r>
        <w:rPr>
          <w:sz w:val="20"/>
          <w:szCs w:val="20"/>
          <w:color w:val="auto"/>
        </w:rPr>
        <w:tab/>
      </w:r>
      <w:r>
        <w:rPr>
          <w:rFonts w:ascii="Times New Roman" w:cs="Times New Roman" w:eastAsia="Times New Roman" w:hAnsi="Times New Roman"/>
          <w:sz w:val="17"/>
          <w:szCs w:val="17"/>
          <w:u w:val="single" w:color="auto"/>
          <w:color w:val="auto"/>
        </w:rPr>
        <w:t>Employee Benefits</w:t>
      </w:r>
      <w:r>
        <w:rPr>
          <w:rFonts w:ascii="Times New Roman" w:cs="Times New Roman" w:eastAsia="Times New Roman" w:hAnsi="Times New Roman"/>
          <w:sz w:val="20"/>
          <w:szCs w:val="20"/>
          <w:color w:val="auto"/>
        </w:rPr>
        <w:t>.</w:t>
      </w:r>
    </w:p>
    <w:p>
      <w:pPr>
        <w:spacing w:after="0" w:line="292" w:lineRule="exact"/>
        <w:rPr>
          <w:sz w:val="20"/>
          <w:szCs w:val="20"/>
          <w:color w:val="auto"/>
        </w:rPr>
      </w:pPr>
    </w:p>
    <w:p>
      <w:pPr>
        <w:ind w:left="-8" w:right="40" w:firstLine="1304"/>
        <w:spacing w:after="0" w:line="254" w:lineRule="auto"/>
        <w:tabs>
          <w:tab w:leader="none" w:pos="202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3.10(a) of the Company Disclosure Schedule sets forth a true and complete list, as of the date of this Agreement, of each material Company Plan. With respect to each material Company Plan, the Company has made available to Parent a true and complete copy of, to the extent applicable: (i) the plan document and any amendments thereto (including a written description of the material provisions of each unwritten material Company Plan), (ii) the most recent summary plan description and any summary of material modification thereto, (iii) each trust, insurance or annuity contract or other funding vehicle with respect to each funded or insured plan, (iv) the most recent annual report on Form 5500 and any schedules thereto,</w:t>
      </w:r>
    </w:p>
    <w:p>
      <w:pPr>
        <w:spacing w:after="0" w:line="3" w:lineRule="exact"/>
        <w:rPr>
          <w:rFonts w:ascii="Times New Roman" w:cs="Times New Roman" w:eastAsia="Times New Roman" w:hAnsi="Times New Roman"/>
          <w:sz w:val="18"/>
          <w:szCs w:val="18"/>
          <w:color w:val="auto"/>
        </w:rPr>
      </w:pPr>
    </w:p>
    <w:p>
      <w:pPr>
        <w:ind w:left="-8" w:right="400" w:firstLine="8"/>
        <w:spacing w:after="0" w:line="255" w:lineRule="auto"/>
        <w:tabs>
          <w:tab w:leader="none" w:pos="24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financial statements and actuarial or other valuation reports, (vi) the most recent determination letter (or, if applicable, advisory or opinion letter) and (vii) all notices or correspondence received in the past three (3) years with respect to any Company Plan from any Governmental Authority.</w:t>
      </w:r>
    </w:p>
    <w:p>
      <w:pPr>
        <w:spacing w:after="0" w:line="239" w:lineRule="exact"/>
        <w:rPr>
          <w:rFonts w:ascii="Times New Roman" w:cs="Times New Roman" w:eastAsia="Times New Roman" w:hAnsi="Times New Roman"/>
          <w:sz w:val="18"/>
          <w:szCs w:val="18"/>
          <w:color w:val="auto"/>
        </w:rPr>
      </w:pPr>
    </w:p>
    <w:p>
      <w:pPr>
        <w:ind w:left="-8" w:right="120" w:firstLine="1304"/>
        <w:spacing w:after="0" w:line="258" w:lineRule="auto"/>
        <w:tabs>
          <w:tab w:leader="none" w:pos="203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has been established, adopted, operated, maintained and administered in material compliance with its terms and applicable Law, except as would not reasonably be expected to result in material liability to the Company. All material payments and contributions required to be made under the terms of any Company Plan and applicable Laws have been timely made or accrued or otherwise adequately reserved to the extent required by and in accordance with GAAP. No non-exempt “prohibited transaction” (within the meaning of Section 406 of ERISA and Section 4975 of the Code) has occurred or is reasonably expected to occur with respect to any Company Plan.</w:t>
      </w:r>
    </w:p>
    <w:p>
      <w:pPr>
        <w:spacing w:after="0" w:line="382"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52"/>
          </w:cols>
          <w:pgMar w:left="328" w:top="148" w:right="419" w:bottom="1440" w:gutter="0" w:footer="0" w:header="0"/>
        </w:sectPr>
      </w:pPr>
    </w:p>
    <w:bookmarkStart w:id="131" w:name="page132"/>
    <w:bookmarkEnd w:id="131"/>
    <w:p>
      <w:pPr>
        <w:jc w:val="both"/>
        <w:ind w:left="-40" w:right="220" w:firstLine="1304"/>
        <w:spacing w:after="0" w:line="261" w:lineRule="auto"/>
        <w:tabs>
          <w:tab w:leader="none" w:pos="199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intended to be qualified under Section 401(a) of the Code does so qualify, and any trusts intended to be exempt from federal income taxation under the provisions of Section 501(a) of the Code are so exempt. To the Knowledge of the Company, nothing has occurred with respect to the operation of the Company Plans that would reasonably be expected to cause the denial or loss of such qualification or exemption.</w:t>
      </w:r>
    </w:p>
    <w:p>
      <w:pPr>
        <w:spacing w:after="0" w:line="233" w:lineRule="exact"/>
        <w:rPr>
          <w:rFonts w:ascii="Times New Roman" w:cs="Times New Roman" w:eastAsia="Times New Roman" w:hAnsi="Times New Roman"/>
          <w:sz w:val="18"/>
          <w:szCs w:val="18"/>
          <w:color w:val="auto"/>
        </w:rPr>
      </w:pPr>
    </w:p>
    <w:p>
      <w:pPr>
        <w:ind w:left="-40" w:right="20" w:firstLine="1304"/>
        <w:spacing w:after="0" w:line="258" w:lineRule="auto"/>
        <w:tabs>
          <w:tab w:leader="none" w:pos="200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to the Knowledge of the Company, any Joint Venture Entity operates, maintains, contributes to, is required to contribute to or sponsors (or has in the past six (6) years established, operated, maintained, contributed to, been required to contribute to or sponsored) (i) a “multiemployer plan” (as defined in Section 3(37) of ERISA), (ii) a “multiple employer plan” (within the meaning of Section 413(c) of the Code), (iii) a “single-employer plan” (within the meaning of Section 4001(a)(15) of ERISA), or (iv) a “multiple employer welfare arrangement” (within the meaning of Section 3(40) of ERISA).</w:t>
      </w:r>
    </w:p>
    <w:p>
      <w:pPr>
        <w:spacing w:after="0" w:line="237" w:lineRule="exact"/>
        <w:rPr>
          <w:rFonts w:ascii="Times New Roman" w:cs="Times New Roman" w:eastAsia="Times New Roman" w:hAnsi="Times New Roman"/>
          <w:sz w:val="18"/>
          <w:szCs w:val="18"/>
          <w:color w:val="auto"/>
        </w:rPr>
      </w:pPr>
    </w:p>
    <w:p>
      <w:pPr>
        <w:ind w:left="-40" w:right="60" w:firstLine="1304"/>
        <w:spacing w:after="0" w:line="258" w:lineRule="auto"/>
        <w:tabs>
          <w:tab w:leader="none" w:pos="199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Company, threatened Proceedings (other than routine claims for benefits) against or affecting any Company Plan by any employee or officer (or beneficiary thereof) of the Company or any of its Subsidiaries covered under such Company Plan, as applicable, or otherwise involving such Company Plan. To the Knowledge of the Company, there are no pending or threatened Proceedings (other than routine claims for benefits) against or affecting any Company Plan by any employee or officer (or beneficiary thereof) of any Joint Venture Entity covered under such Company Plan, as applicable, or otherwise involving such Company Plan.</w:t>
      </w:r>
    </w:p>
    <w:p>
      <w:pPr>
        <w:spacing w:after="0" w:line="237" w:lineRule="exact"/>
        <w:rPr>
          <w:rFonts w:ascii="Times New Roman" w:cs="Times New Roman" w:eastAsia="Times New Roman" w:hAnsi="Times New Roman"/>
          <w:sz w:val="18"/>
          <w:szCs w:val="18"/>
          <w:color w:val="auto"/>
        </w:rPr>
      </w:pPr>
    </w:p>
    <w:p>
      <w:pPr>
        <w:ind w:left="-40" w:right="240" w:firstLine="1304"/>
        <w:spacing w:after="0" w:line="266" w:lineRule="auto"/>
        <w:tabs>
          <w:tab w:leader="none" w:pos="197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neither the Company nor any of its Subsidiaries or any Joint Venture Entity has any obligations with respect to any post-termination health, welfare or life insurance benefits under any Company Plan (other than for continuation coverage required to be provided pursuant to Section 4980B of the Code (or comparable Law)).</w:t>
      </w:r>
    </w:p>
    <w:p>
      <w:pPr>
        <w:spacing w:after="0" w:line="229" w:lineRule="exact"/>
        <w:rPr>
          <w:rFonts w:ascii="Times New Roman" w:cs="Times New Roman" w:eastAsia="Times New Roman" w:hAnsi="Times New Roman"/>
          <w:sz w:val="18"/>
          <w:szCs w:val="18"/>
          <w:color w:val="auto"/>
        </w:rPr>
      </w:pPr>
    </w:p>
    <w:p>
      <w:pPr>
        <w:jc w:val="both"/>
        <w:ind w:left="-40" w:right="180" w:firstLine="1304"/>
        <w:spacing w:after="0" w:line="261" w:lineRule="auto"/>
        <w:tabs>
          <w:tab w:leader="none" w:pos="200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which is a “nonqualified deferred compensation plan” subject to Section 409A or 457A of the Code has been established, operated and maintained in material compliance with Section 409A or 457A of the Code, as applicable. No Company Plan provides for any reimbursement of any penalty or additional income Taxes incurred under Section 409A or 457A of the Code. No Company Plan provides for any reimbursement of any excise Taxes incurred under Section 4999 of the Code.</w:t>
      </w:r>
    </w:p>
    <w:p>
      <w:pPr>
        <w:spacing w:after="0" w:line="233" w:lineRule="exact"/>
        <w:rPr>
          <w:rFonts w:ascii="Times New Roman" w:cs="Times New Roman" w:eastAsia="Times New Roman" w:hAnsi="Times New Roman"/>
          <w:sz w:val="18"/>
          <w:szCs w:val="18"/>
          <w:color w:val="auto"/>
        </w:rPr>
      </w:pPr>
    </w:p>
    <w:p>
      <w:pPr>
        <w:ind w:left="-40" w:firstLine="1304"/>
        <w:spacing w:after="0" w:line="272" w:lineRule="auto"/>
        <w:tabs>
          <w:tab w:leader="none" w:pos="2006"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or delivery of this Agreement nor the consummation of the Transactions will, either alone or in conjunction with any other event, (i) entitle any current or former director, officer, employee or individual service provider of the Company, any of its Subsidiaries or any Joint Venture Entity to any material payment or benefit (or result in the funding of any such material payment or benefit), (ii) materially increase the amount or value of any benefit or compensation otherwise payable or required to be provided to any director, officer, employee or individual service provider of the Company, any of its Subsidiaries or any Joint Venture Entity, (iii) accelerate the time of payment, funding or vesting of amounts due any such director, officer, employee or individual service provider of the Company, any of its Subsidiaries or, any Joint Venture Entity, (iv) after giving effect to Section 5.16 of this Agreement, result in the imposition of any excise tax imposed under Section 4999 of the Code, or (v) limit or restrict the right of Parent, the Surviving Company, the Company, any of its Subsidiaries or any Joint Venture Entity to merge, amend or terminate any Company Plan.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48" w:right="359" w:bottom="1440" w:gutter="0" w:footer="0" w:header="0"/>
        </w:sectPr>
      </w:pPr>
    </w:p>
    <w:bookmarkStart w:id="132" w:name="page133"/>
    <w:bookmarkEnd w:id="132"/>
    <w:p>
      <w:pPr>
        <w:ind w:left="-20" w:firstLine="1304"/>
        <w:spacing w:after="0" w:line="254" w:lineRule="auto"/>
        <w:tabs>
          <w:tab w:leader="none" w:pos="20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International Plan (i) has been established, operated, maintained and administered in material compliance with its terms and all applicable Laws; (ii) if required to be registered or approved by a non-U.S. Governmental Authority, has been registered or approved and has been maintained in good standing with applicable regulatory authorities, and, to the Knowledge of the Company, no event has occurred since the date of the most recent approval or application therefor relating to any such International Plan that would reasonably be expected to adversely affect any such approval or good standing; (iii) that is intended to qualify for special Tax treatment meets all the requirements for such treatment; (iv) if required to be fully funded or fully insured, is fully funded or fully insured, as applicable, on an ongoing and termination or solvency basis (determined using reasonable actuarial assumptions) in compliance with applicable Laws; and (v) is not subject to any pending or, to the Knowledge of the Company, threatened material Proceedings (other than routine claims for benefits) by or on behalf of any participant in any International Plan, or otherwise involving any such International Plan or the assets of any International Plan, other than routine claims for benefits.</w:t>
      </w:r>
    </w:p>
    <w:p>
      <w:pPr>
        <w:spacing w:after="0" w:line="206"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3.11</w:t>
      </w:r>
      <w:r>
        <w:rPr>
          <w:sz w:val="20"/>
          <w:szCs w:val="20"/>
          <w:color w:val="auto"/>
        </w:rPr>
        <w:tab/>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21"/>
          <w:szCs w:val="21"/>
          <w:color w:val="auto"/>
        </w:rPr>
        <w:t>.</w:t>
      </w:r>
    </w:p>
    <w:p>
      <w:pPr>
        <w:spacing w:after="0" w:line="281" w:lineRule="exact"/>
        <w:rPr>
          <w:sz w:val="20"/>
          <w:szCs w:val="20"/>
          <w:color w:val="auto"/>
        </w:rPr>
      </w:pPr>
    </w:p>
    <w:p>
      <w:pPr>
        <w:ind w:left="-20" w:firstLine="1304"/>
        <w:spacing w:after="0" w:line="256" w:lineRule="auto"/>
        <w:tabs>
          <w:tab w:leader="none" w:pos="201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to the Knowledge of the Company, any Joint Venture Entity is a party to, or bound by, any collective bargaining agreement, collective agreement, or any other similar labor-related agreements or arrangements with any labor union, trade union, labor organization or works council. There are no collective bargaining agreements, collective agreements, or any other labor-related agreements or arrangements that pertain to any of the employees of the Company, its Subsidiaries or the Joint Venture Entities. No labor union, trade union, labor organization or works council represents employees of the Company, its Subsidiaries or the Joint Venture Entities with respect to their employment with the Company or its Subsidiaries or the Joint Venture Entities, as applicable.</w:t>
      </w:r>
    </w:p>
    <w:p>
      <w:pPr>
        <w:spacing w:after="0" w:line="241" w:lineRule="exact"/>
        <w:rPr>
          <w:rFonts w:ascii="Times New Roman" w:cs="Times New Roman" w:eastAsia="Times New Roman" w:hAnsi="Times New Roman"/>
          <w:sz w:val="18"/>
          <w:szCs w:val="18"/>
          <w:color w:val="auto"/>
        </w:rPr>
      </w:pPr>
    </w:p>
    <w:p>
      <w:pPr>
        <w:ind w:left="-20" w:right="20" w:firstLine="1304"/>
        <w:spacing w:after="0" w:line="277" w:lineRule="auto"/>
        <w:tabs>
          <w:tab w:leader="none" w:pos="2026"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labor union, labor organization, works council, or group of employees of the Company, its Subsidiaries or, to the Knowledge of the Company, the Joint Venture Entities has made a pending demand for recognition or certification, and, to the Knowledge of the Company, there are no representation or certification proceedings or petitions seeking a representation proceeding presently pending or threatened to be brought or filed with the National Labor Relations Board or any other labor relations tribunal or authority. To the Knowledge of the Company, since January 1, 2018, there have been no labor union organizing activities with respect to any employees of the Company, its Subsidiaries or the Joint Venture Entities.</w:t>
      </w:r>
    </w:p>
    <w:p>
      <w:pPr>
        <w:spacing w:after="0" w:line="221" w:lineRule="exact"/>
        <w:rPr>
          <w:rFonts w:ascii="Times New Roman" w:cs="Times New Roman" w:eastAsia="Times New Roman" w:hAnsi="Times New Roman"/>
          <w:sz w:val="17"/>
          <w:szCs w:val="17"/>
          <w:color w:val="auto"/>
        </w:rPr>
      </w:pPr>
    </w:p>
    <w:p>
      <w:pPr>
        <w:ind w:left="-20" w:right="40" w:firstLine="1304"/>
        <w:spacing w:after="0" w:line="266" w:lineRule="auto"/>
        <w:tabs>
          <w:tab w:leader="none" w:pos="201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2018, there has been no actual or, to the Knowledge of the Company, threatened unfair labor practice charges, material grievances, material arbitrations, strikes, lockouts, work stoppages, slowdowns, picketing, hand billing or other labor disputes against the Company, its Subsidiaries or, to the Knowledge of the Company, the Joint Venture Entities.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8" w:right="359" w:bottom="1440" w:gutter="0" w:footer="0" w:header="0"/>
        </w:sectPr>
      </w:pPr>
    </w:p>
    <w:bookmarkStart w:id="133" w:name="page134"/>
    <w:bookmarkEnd w:id="133"/>
    <w:p>
      <w:pPr>
        <w:ind w:left="-20" w:right="100" w:firstLine="1304"/>
        <w:spacing w:after="0" w:line="266" w:lineRule="auto"/>
        <w:tabs>
          <w:tab w:leader="none" w:pos="202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Subsidiaries and the Joint Venture Entities have satisfied any pre-signing legal or contractual requirement to provide notice to, or to enter into any consultation procedure with, any labor union, labor organization or works council, which is representing any employee, in connection with the execution of this Agreement or the transactions contemplated by this Agreement.</w:t>
      </w:r>
    </w:p>
    <w:p>
      <w:pPr>
        <w:spacing w:after="0" w:line="229" w:lineRule="exact"/>
        <w:rPr>
          <w:rFonts w:ascii="Times New Roman" w:cs="Times New Roman" w:eastAsia="Times New Roman" w:hAnsi="Times New Roman"/>
          <w:sz w:val="18"/>
          <w:szCs w:val="18"/>
          <w:color w:val="auto"/>
        </w:rPr>
      </w:pPr>
    </w:p>
    <w:p>
      <w:pPr>
        <w:ind w:left="-20" w:right="20" w:firstLine="1304"/>
        <w:spacing w:after="0" w:line="261" w:lineRule="auto"/>
        <w:tabs>
          <w:tab w:leader="none" w:pos="201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Subsidiaries and the Joint Venture Entities are in material compliance with all applicable laws respecting employment and employment practices, including all Laws respecting terms and conditions of employment, health and safety, wages and hours, child labor, immigration, employment discrimination, disability rights or benefits, equal opportunity, plant closures and layoffs, affirmative action, workers’ compensation, labor relations, employee leave issues and unemployment insurance.</w:t>
      </w:r>
    </w:p>
    <w:p>
      <w:pPr>
        <w:spacing w:after="0" w:line="233" w:lineRule="exact"/>
        <w:rPr>
          <w:rFonts w:ascii="Times New Roman" w:cs="Times New Roman" w:eastAsia="Times New Roman" w:hAnsi="Times New Roman"/>
          <w:sz w:val="18"/>
          <w:szCs w:val="18"/>
          <w:color w:val="auto"/>
        </w:rPr>
      </w:pPr>
    </w:p>
    <w:p>
      <w:pPr>
        <w:jc w:val="both"/>
        <w:ind w:left="-20" w:right="100" w:firstLine="1304"/>
        <w:spacing w:after="0" w:line="261" w:lineRule="auto"/>
        <w:tabs>
          <w:tab w:leader="none" w:pos="199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Subsidiaries and, to the Knowledge of the Company, the Joint Venture Entities are not and have not been: (i) a “contractor” or “subcontractor” (as defined by Executive Order 11246), (ii) required to comply with Executive Order 11246 or any other applicable Law requiring affirmative action or other employment related actions for government contractors or subcontractors, or (iii) otherwise required to maintain an affirmative action plan with respect to United States employees.</w:t>
      </w:r>
    </w:p>
    <w:p>
      <w:pPr>
        <w:spacing w:after="0" w:line="233" w:lineRule="exact"/>
        <w:rPr>
          <w:rFonts w:ascii="Times New Roman" w:cs="Times New Roman" w:eastAsia="Times New Roman" w:hAnsi="Times New Roman"/>
          <w:sz w:val="18"/>
          <w:szCs w:val="18"/>
          <w:color w:val="auto"/>
        </w:rPr>
      </w:pPr>
    </w:p>
    <w:p>
      <w:pPr>
        <w:ind w:left="-20" w:right="380" w:firstLine="1304"/>
        <w:spacing w:after="0" w:line="261" w:lineRule="auto"/>
        <w:tabs>
          <w:tab w:leader="none" w:pos="202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employee of the Company is in any respect in violation of any term of any employment agreement, nondisclosure agreement, common law nondisclosure obligation, fiduciary duty, non-competition agreement, restrictive covenant or other obligation: (i) to the Company or (ii) to a former employer of any such employee relating (A) to the right of any such employee to be employed by the Company or (B) to the knowledge or use of trade secrets or proprietary information.</w:t>
      </w:r>
    </w:p>
    <w:p>
      <w:pPr>
        <w:spacing w:after="0" w:line="233" w:lineRule="exact"/>
        <w:rPr>
          <w:rFonts w:ascii="Times New Roman" w:cs="Times New Roman" w:eastAsia="Times New Roman" w:hAnsi="Times New Roman"/>
          <w:sz w:val="18"/>
          <w:szCs w:val="18"/>
          <w:color w:val="auto"/>
        </w:rPr>
      </w:pPr>
    </w:p>
    <w:p>
      <w:pPr>
        <w:ind w:left="-20" w:right="300" w:firstLine="1304"/>
        <w:spacing w:after="0" w:line="282" w:lineRule="auto"/>
        <w:tabs>
          <w:tab w:leader="none" w:pos="202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Subsidiaries and the Joint Venture Entities are not delinquent in any material amounts in payments to any employees or former employees for any services or amounts required to be reimbursed or otherwise paid.</w:t>
      </w:r>
    </w:p>
    <w:p>
      <w:pPr>
        <w:spacing w:after="0" w:line="215" w:lineRule="exact"/>
        <w:rPr>
          <w:rFonts w:ascii="Times New Roman" w:cs="Times New Roman" w:eastAsia="Times New Roman" w:hAnsi="Times New Roman"/>
          <w:sz w:val="18"/>
          <w:szCs w:val="18"/>
          <w:color w:val="auto"/>
        </w:rPr>
      </w:pPr>
    </w:p>
    <w:p>
      <w:pPr>
        <w:ind w:left="-20" w:firstLine="1304"/>
        <w:spacing w:after="0" w:line="253" w:lineRule="auto"/>
        <w:tabs>
          <w:tab w:leader="none" w:pos="198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2018, the Company, its Subsidiaries and, to the Knowledge of the Company, the Joint Venture Entities have not received (i) notice of any unfair labor practice charge or complaint pending or threatened before the National Labor Relations Board or any other Governmental Authority against them, (ii) notice of any complaints, grievances or arbitrations arising out of any collective bargaining agreement or any other complaints, grievances or arbitration procedures against them, (iii) notice of any charge or complaint with respect to or relating to them pending before the Equal Employment Opportunity Commission or any other Governmental Authority responsible for the prevention of unlawful employment practices, (iv) notice of the intent of any Governmental Authority responsible for the enforcement of labor, employment, wages and hours of work, child labor, immigration, or occupational safety and health Laws to conduct an investigation with respect to or relating to them or notice that such investigation is in progress, or (v) notice of any complaint, lawsuit or other Proceeding pending or threatened in any forum by or on behalf of any present or former employee of such entities, any applicant for employment or classes of the foregoing alleging breach of any express or implied contract of employment, any applicable Law governing employment or the termination thereof or other discriminatory, wrongful or tortious conduct in connection with the employment relationship.</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8" w:right="339" w:bottom="1440" w:gutter="0" w:footer="0" w:header="0"/>
        </w:sectPr>
      </w:pPr>
    </w:p>
    <w:bookmarkStart w:id="134" w:name="page135"/>
    <w:bookmarkEnd w:id="134"/>
    <w:p>
      <w:pPr>
        <w:ind w:left="-8" w:right="40" w:firstLine="1304"/>
        <w:spacing w:after="0" w:line="266" w:lineRule="auto"/>
        <w:tabs>
          <w:tab w:leader="none" w:pos="199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2018, the Company, its Subsidiaries and the Joint Venture Entities have been in compliance with all notice and other requirements under the Worker Adjustment and Retraining Notification Act and any similar foreign, state or local law relating to plant closings and layoffs.</w:t>
      </w:r>
    </w:p>
    <w:p>
      <w:pPr>
        <w:spacing w:after="0" w:line="229" w:lineRule="exact"/>
        <w:rPr>
          <w:rFonts w:ascii="Times New Roman" w:cs="Times New Roman" w:eastAsia="Times New Roman" w:hAnsi="Times New Roman"/>
          <w:sz w:val="18"/>
          <w:szCs w:val="18"/>
          <w:color w:val="auto"/>
        </w:rPr>
      </w:pPr>
    </w:p>
    <w:p>
      <w:pPr>
        <w:ind w:left="-8" w:right="100" w:firstLine="1304"/>
        <w:spacing w:after="0" w:line="282" w:lineRule="auto"/>
        <w:tabs>
          <w:tab w:leader="none" w:pos="203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employee of the Company, its Subsidiaries or the Joint Venture Entities, who is at the level of Vice President or higher, intends to terminate his or her employment.</w:t>
      </w:r>
    </w:p>
    <w:p>
      <w:pPr>
        <w:spacing w:after="0" w:line="215" w:lineRule="exact"/>
        <w:rPr>
          <w:rFonts w:ascii="Times New Roman" w:cs="Times New Roman" w:eastAsia="Times New Roman" w:hAnsi="Times New Roman"/>
          <w:sz w:val="18"/>
          <w:szCs w:val="18"/>
          <w:color w:val="auto"/>
        </w:rPr>
      </w:pPr>
    </w:p>
    <w:p>
      <w:pPr>
        <w:ind w:left="-8" w:right="40" w:firstLine="1304"/>
        <w:spacing w:after="0" w:line="266" w:lineRule="auto"/>
        <w:tabs>
          <w:tab w:leader="none" w:pos="199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this Agreement and the consummation of the transactions contemplated by this Agreement will not result in any breach or other violation of any collective bargaining agreement, employment agreement, consulting agreement or any other labor-related agreement to which any of the Company, its Subsidiaries or the Joint Venture Entities is a party or bound.</w:t>
      </w:r>
    </w:p>
    <w:p>
      <w:pPr>
        <w:spacing w:after="0" w:line="229" w:lineRule="exact"/>
        <w:rPr>
          <w:rFonts w:ascii="Times New Roman" w:cs="Times New Roman" w:eastAsia="Times New Roman" w:hAnsi="Times New Roman"/>
          <w:sz w:val="18"/>
          <w:szCs w:val="18"/>
          <w:color w:val="auto"/>
        </w:rPr>
      </w:pPr>
    </w:p>
    <w:p>
      <w:pPr>
        <w:ind w:left="-8" w:right="20" w:firstLine="1304"/>
        <w:spacing w:after="0" w:line="269" w:lineRule="auto"/>
        <w:tabs>
          <w:tab w:leader="none" w:pos="2034"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its Subsidiaries or the Joint Venture Entities is party to a settlement agreement with a current or former officer, employee or independent contractor of the Company, its Subsidiaries or the Joint Venture Entities that has been entered into since January 1, 2018 and involves allegations relating to sexual harassment by either (i) an officer of the Company, its Subsidiaries or the Joint Venture Entities or (ii) an employee of the Company, its Subsidiaries or the Joint Venture Entities at the level of Vice President or above. To the Knowledge of the Company, since January 1, 2018, no allegations of sexual harassment have been made against (i) any officer of the Company, its Subsidiaries or the Joint Venture Entities or</w:t>
      </w:r>
    </w:p>
    <w:p>
      <w:pPr>
        <w:spacing w:after="0" w:line="2" w:lineRule="exact"/>
        <w:rPr>
          <w:rFonts w:ascii="Times New Roman" w:cs="Times New Roman" w:eastAsia="Times New Roman" w:hAnsi="Times New Roman"/>
          <w:sz w:val="17"/>
          <w:szCs w:val="17"/>
          <w:color w:val="auto"/>
        </w:rPr>
      </w:pPr>
    </w:p>
    <w:p>
      <w:pPr>
        <w:ind w:left="272" w:hanging="272"/>
        <w:spacing w:after="0"/>
        <w:tabs>
          <w:tab w:leader="none" w:pos="27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of the Company, its Subsidiaries or the Joint Venture Entities at a level of Vice President or above.</w:t>
      </w:r>
    </w:p>
    <w:p>
      <w:pPr>
        <w:spacing w:after="0" w:line="225" w:lineRule="exact"/>
        <w:rPr>
          <w:sz w:val="20"/>
          <w:szCs w:val="20"/>
          <w:color w:val="auto"/>
        </w:rPr>
      </w:pPr>
    </w:p>
    <w:p>
      <w:pPr>
        <w:ind w:left="652"/>
        <w:spacing w:after="0"/>
        <w:tabs>
          <w:tab w:leader="none" w:pos="2012" w:val="left"/>
        </w:tabs>
        <w:rPr>
          <w:sz w:val="20"/>
          <w:szCs w:val="20"/>
          <w:color w:val="auto"/>
        </w:rPr>
      </w:pPr>
      <w:r>
        <w:rPr>
          <w:rFonts w:ascii="Times New Roman" w:cs="Times New Roman" w:eastAsia="Times New Roman" w:hAnsi="Times New Roman"/>
          <w:sz w:val="18"/>
          <w:szCs w:val="18"/>
          <w:color w:val="auto"/>
        </w:rPr>
        <w:t>Section 3.12</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20"/>
          <w:szCs w:val="20"/>
          <w:color w:val="auto"/>
        </w:rPr>
        <w:t>.</w:t>
      </w:r>
    </w:p>
    <w:p>
      <w:pPr>
        <w:spacing w:after="0" w:line="292" w:lineRule="exact"/>
        <w:rPr>
          <w:sz w:val="20"/>
          <w:szCs w:val="20"/>
          <w:color w:val="auto"/>
        </w:rPr>
      </w:pPr>
    </w:p>
    <w:p>
      <w:pPr>
        <w:ind w:left="-8" w:right="820" w:firstLine="1304"/>
        <w:spacing w:after="0" w:line="282" w:lineRule="auto"/>
        <w:tabs>
          <w:tab w:leader="none" w:pos="202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3.12(a) of the Company Disclosure Schedule sets forth a list of all material registrations and applications for Intellectual Property owned by the Company, its Subsidiaries or the Joint Venture Entities.</w:t>
      </w:r>
    </w:p>
    <w:p>
      <w:pPr>
        <w:spacing w:after="0" w:line="215" w:lineRule="exact"/>
        <w:rPr>
          <w:rFonts w:ascii="Times New Roman" w:cs="Times New Roman" w:eastAsia="Times New Roman" w:hAnsi="Times New Roman"/>
          <w:sz w:val="18"/>
          <w:szCs w:val="18"/>
          <w:color w:val="auto"/>
        </w:rPr>
      </w:pPr>
    </w:p>
    <w:p>
      <w:pPr>
        <w:ind w:left="-8" w:right="80" w:firstLine="1304"/>
        <w:spacing w:after="0" w:line="258" w:lineRule="auto"/>
        <w:tabs>
          <w:tab w:leader="none" w:pos="203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Material Adverse Effect, (i) the Company, its Subsidiaries and, to the Knowledge of the Company, the Joint Venture Entities have sufficient rights to use all Intellectual Property necessary for the conduct of the business of the Company, its Subsidiaries and the Joint Venture Entities as currently conducted, and (ii) to the Knowledge of the Company, the operation of the business of the Company, its Subsidiaries and the Joint Venture Entities as currently conducted does not violate, misappropriate or infringe the Intellectual Property rights of any other Person.</w:t>
      </w:r>
    </w:p>
    <w:p>
      <w:pPr>
        <w:spacing w:after="0" w:line="237" w:lineRule="exact"/>
        <w:rPr>
          <w:rFonts w:ascii="Times New Roman" w:cs="Times New Roman" w:eastAsia="Times New Roman" w:hAnsi="Times New Roman"/>
          <w:sz w:val="18"/>
          <w:szCs w:val="18"/>
          <w:color w:val="auto"/>
        </w:rPr>
      </w:pPr>
    </w:p>
    <w:p>
      <w:pPr>
        <w:ind w:left="-8" w:firstLine="1304"/>
        <w:spacing w:after="0" w:line="258" w:lineRule="auto"/>
        <w:tabs>
          <w:tab w:leader="none" w:pos="202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Material Adverse Effect, no claims against the Company or any of its Subsidiaries, or any Joint Venture Entity are pending or, to the Knowledge of the Company, threatened (i) challenging the ownership, enforceability, scope, validity or use by any of the Company, its Subsidiaries or the Joint Venture Entities of any Intellectual Property or (ii) alleging that any of the Company, its Subsidiaries or the Joint Venture Entities is violating, misappropriating or infringing the Intellectual Property rights of any Person.</w:t>
      </w:r>
    </w:p>
    <w:p>
      <w:pPr>
        <w:spacing w:after="0" w:line="38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48" w:right="339" w:bottom="1440" w:gutter="0" w:footer="0" w:header="0"/>
        </w:sectPr>
      </w:pPr>
    </w:p>
    <w:bookmarkStart w:id="135" w:name="page136"/>
    <w:bookmarkEnd w:id="135"/>
    <w:p>
      <w:pPr>
        <w:ind w:right="20" w:firstLine="1304"/>
        <w:spacing w:after="0" w:line="256" w:lineRule="auto"/>
        <w:tabs>
          <w:tab w:leader="none" w:pos="20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Material Adverse Effect, (i) to the Knowledge of the Company, no Person is misappropriating, violating or infringing the rights of any of the Company, its Subsidiaries or the Joint Venture Entities with respect to any Intellectual Property owned by the Company, a Subsidiary of the Company or a Joint Venture Entity and (ii) there are no claims pending or threatened by the Company, its Subsidiaries or, to the Knowledge of the Company, the Joint Venture Entities against any other Person with respect to any violation, misappropriation or infringement of the Intellectual Property rights of the Company, any of its Subsidiaries or any Joint Venture Entity.</w:t>
      </w:r>
    </w:p>
    <w:p>
      <w:pPr>
        <w:spacing w:after="0" w:line="241" w:lineRule="exact"/>
        <w:rPr>
          <w:rFonts w:ascii="Times New Roman" w:cs="Times New Roman" w:eastAsia="Times New Roman" w:hAnsi="Times New Roman"/>
          <w:sz w:val="18"/>
          <w:szCs w:val="18"/>
          <w:color w:val="auto"/>
        </w:rPr>
      </w:pPr>
    </w:p>
    <w:p>
      <w:pPr>
        <w:ind w:firstLine="1304"/>
        <w:spacing w:after="0" w:line="256" w:lineRule="auto"/>
        <w:tabs>
          <w:tab w:leader="none" w:pos="20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Material Adverse Effect, (i) the Company, each of its Subsidiaries and each Joint Venture Entity have taken reasonable measures to protect the (A) information technology systems owned or controlled by the Company or such Subsidiary or Joint Venture Entity and used in the course of the operations of its business, and (B) personal information gathered, used or held for use by the Company or such Subsidiary or Joint Venture Entity in the course of the operations of its business, and (ii) to the Knowledge of the Company, there has not been any unauthorized disclosure or use of, or access to, any such personal information or breach of security of such information technology systems.</w:t>
      </w:r>
    </w:p>
    <w:p>
      <w:pPr>
        <w:spacing w:after="0" w:line="20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Anti-Takeover Provisions</w:t>
      </w:r>
      <w:r>
        <w:rPr>
          <w:rFonts w:ascii="Times New Roman" w:cs="Times New Roman" w:eastAsia="Times New Roman" w:hAnsi="Times New Roman"/>
          <w:sz w:val="21"/>
          <w:szCs w:val="21"/>
          <w:color w:val="auto"/>
        </w:rPr>
        <w:t>. No “moratorium”, “control share acquisition” or other similar anti-takeover statute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or similar statute or regulation (each, a “</w:t>
      </w:r>
      <w:r>
        <w:rPr>
          <w:rFonts w:ascii="Times New Roman" w:cs="Times New Roman" w:eastAsia="Times New Roman" w:hAnsi="Times New Roman"/>
          <w:sz w:val="17"/>
          <w:szCs w:val="17"/>
          <w:u w:val="single" w:color="auto"/>
          <w:color w:val="auto"/>
        </w:rPr>
        <w:t>Takeover Law</w:t>
      </w:r>
      <w:r>
        <w:rPr>
          <w:rFonts w:ascii="Times New Roman" w:cs="Times New Roman" w:eastAsia="Times New Roman" w:hAnsi="Times New Roman"/>
          <w:sz w:val="21"/>
          <w:szCs w:val="21"/>
          <w:color w:val="auto"/>
        </w:rPr>
        <w:t>”) applies to the Company with respect to this Agreement or the Merger.</w:t>
      </w:r>
    </w:p>
    <w:p>
      <w:pPr>
        <w:spacing w:after="0" w:line="162"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Title to Properties; Security Interests</w:t>
      </w:r>
      <w:r>
        <w:rPr>
          <w:rFonts w:ascii="Times New Roman" w:cs="Times New Roman" w:eastAsia="Times New Roman" w:hAnsi="Times New Roman"/>
          <w:sz w:val="21"/>
          <w:szCs w:val="21"/>
          <w:color w:val="auto"/>
        </w:rPr>
        <w:t>. Except as would not, individually or in the aggregate, reasonably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expected to have a Material Adverse Effect, the Company, its Subsidiaries and the Joint Venture Entities have good and valid title to, or, if applicable, valid leasehold interests in, or valid license or right to use, all of the Company’s, its Subsidiaries’ and the Joint Venture Entities’ assets, in each case as such property is currently being used, subject to no security interests other than Permitted Encumbrances.</w:t>
      </w:r>
    </w:p>
    <w:p>
      <w:pPr>
        <w:spacing w:after="0" w:line="195" w:lineRule="exact"/>
        <w:rPr>
          <w:sz w:val="20"/>
          <w:szCs w:val="20"/>
          <w:color w:val="auto"/>
        </w:rPr>
      </w:pPr>
    </w:p>
    <w:p>
      <w:pPr>
        <w:ind w:right="180" w:firstLine="648"/>
        <w:spacing w:after="0" w:line="249"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Vessels</w:t>
      </w:r>
      <w:r>
        <w:rPr>
          <w:rFonts w:ascii="Times New Roman" w:cs="Times New Roman" w:eastAsia="Times New Roman" w:hAnsi="Times New Roman"/>
          <w:sz w:val="21"/>
          <w:szCs w:val="21"/>
          <w:color w:val="auto"/>
        </w:rPr>
        <w:t>. Section 3.15 of the Company Disclosure Schedule is a true, complete and accurate list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description of all of the Company’s, its Subsidiaries’ and the Joint Venture Entities’ interest in any vessel (each a “</w:t>
      </w:r>
      <w:r>
        <w:rPr>
          <w:rFonts w:ascii="Times New Roman" w:cs="Times New Roman" w:eastAsia="Times New Roman" w:hAnsi="Times New Roman"/>
          <w:sz w:val="17"/>
          <w:szCs w:val="17"/>
          <w:u w:val="single" w:color="auto"/>
          <w:color w:val="auto"/>
        </w:rPr>
        <w:t>Vessel</w:t>
      </w:r>
      <w:r>
        <w:rPr>
          <w:rFonts w:ascii="Times New Roman" w:cs="Times New Roman" w:eastAsia="Times New Roman" w:hAnsi="Times New Roman"/>
          <w:sz w:val="21"/>
          <w:szCs w:val="21"/>
          <w:color w:val="auto"/>
        </w:rPr>
        <w:t>” and collectively, “</w:t>
      </w:r>
      <w:r>
        <w:rPr>
          <w:rFonts w:ascii="Times New Roman" w:cs="Times New Roman" w:eastAsia="Times New Roman" w:hAnsi="Times New Roman"/>
          <w:sz w:val="17"/>
          <w:szCs w:val="17"/>
          <w:u w:val="single" w:color="auto"/>
          <w:color w:val="auto"/>
        </w:rPr>
        <w:t>Vessels</w:t>
      </w:r>
      <w:r>
        <w:rPr>
          <w:rFonts w:ascii="Times New Roman" w:cs="Times New Roman" w:eastAsia="Times New Roman" w:hAnsi="Times New Roman"/>
          <w:sz w:val="21"/>
          <w:szCs w:val="21"/>
          <w:color w:val="auto"/>
        </w:rPr>
        <w:t>”), including each Vessel’s name, owner, charter attached to it as of the date of this Agreement, its manager, International Maritime Organization (“</w:t>
      </w:r>
      <w:r>
        <w:rPr>
          <w:rFonts w:ascii="Times New Roman" w:cs="Times New Roman" w:eastAsia="Times New Roman" w:hAnsi="Times New Roman"/>
          <w:sz w:val="17"/>
          <w:szCs w:val="17"/>
          <w:u w:val="single" w:color="auto"/>
          <w:color w:val="auto"/>
        </w:rPr>
        <w:t>IMO</w:t>
      </w:r>
      <w:r>
        <w:rPr>
          <w:rFonts w:ascii="Times New Roman" w:cs="Times New Roman" w:eastAsia="Times New Roman" w:hAnsi="Times New Roman"/>
          <w:sz w:val="21"/>
          <w:szCs w:val="21"/>
          <w:color w:val="auto"/>
        </w:rPr>
        <w:t>”) number, flag, official number, date of registry, type, date of keel laid, date of the delivery, shipbuilder, length, breadth, depth, capacity (dwt), gross tonnage, net tonnage, class and notation from the applicable classification society.</w:t>
      </w:r>
    </w:p>
    <w:p>
      <w:pPr>
        <w:spacing w:after="0" w:line="234" w:lineRule="exact"/>
        <w:rPr>
          <w:sz w:val="20"/>
          <w:szCs w:val="20"/>
          <w:color w:val="auto"/>
        </w:rPr>
      </w:pPr>
    </w:p>
    <w:p>
      <w:pPr>
        <w:ind w:right="140" w:firstLine="1304"/>
        <w:spacing w:after="0" w:line="282" w:lineRule="auto"/>
        <w:tabs>
          <w:tab w:leader="none" w:pos="203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Closing, (i) each Vessel will be duly registered in the name of its legal owner under and pursuant to the laws of the Republic of the Marshall Islands and (ii) all fees due and payable in connection with such registration will have been paid.</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8" w:right="359" w:bottom="1440" w:gutter="0" w:footer="0" w:header="0"/>
        </w:sectPr>
      </w:pPr>
    </w:p>
    <w:bookmarkStart w:id="136" w:name="page137"/>
    <w:bookmarkEnd w:id="136"/>
    <w:p>
      <w:pPr>
        <w:ind w:right="420" w:firstLine="1304"/>
        <w:spacing w:after="0" w:line="282" w:lineRule="auto"/>
        <w:tabs>
          <w:tab w:leader="none" w:pos="20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2020, except as disclosed on Section 3.15(b) of the Company Disclosure Schedule, each Vessel has been maintained in the Ordinary Course and has been in good operating order, condition and repair and seaworthy in all material respects.</w:t>
      </w:r>
    </w:p>
    <w:p>
      <w:pPr>
        <w:spacing w:after="0" w:line="21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Closing, each Vessel shall not:</w:t>
      </w:r>
    </w:p>
    <w:p>
      <w:pPr>
        <w:spacing w:after="0" w:line="279"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under arrest or otherwise detained;</w:t>
      </w:r>
    </w:p>
    <w:p>
      <w:pPr>
        <w:spacing w:after="0" w:line="279"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be in possession of any Person (other than such Vessel’s master and crew); or</w:t>
      </w:r>
    </w:p>
    <w:p>
      <w:pPr>
        <w:spacing w:after="0" w:line="279"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Permitted Liens, be subject to any Lien.</w:t>
      </w:r>
    </w:p>
    <w:p>
      <w:pPr>
        <w:spacing w:after="0" w:line="279" w:lineRule="exact"/>
        <w:rPr>
          <w:rFonts w:ascii="Times New Roman" w:cs="Times New Roman" w:eastAsia="Times New Roman" w:hAnsi="Times New Roman"/>
          <w:sz w:val="18"/>
          <w:szCs w:val="18"/>
          <w:color w:val="auto"/>
        </w:rPr>
      </w:pPr>
    </w:p>
    <w:p>
      <w:pPr>
        <w:ind w:right="180" w:firstLine="1304"/>
        <w:spacing w:after="0" w:line="266" w:lineRule="auto"/>
        <w:tabs>
          <w:tab w:leader="none" w:pos="20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each Vessel shall be supplied with valid safety, safety construction, safety equipment, radio, landline, health, tonnage, trading and other certificates or documents as required under any applicable Law and internationally accepted standard, as may be necessary for the operation of such Vessel in the Ordinary Course.</w:t>
      </w:r>
    </w:p>
    <w:p>
      <w:pPr>
        <w:spacing w:after="0" w:line="229"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Closing, no blacklisting or boycotting of any type has been or will have been applied or exists or will exist in respect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Vessel.</w:t>
      </w:r>
    </w:p>
    <w:p>
      <w:pPr>
        <w:spacing w:after="0" w:line="260" w:lineRule="exact"/>
        <w:rPr>
          <w:rFonts w:ascii="Times New Roman" w:cs="Times New Roman" w:eastAsia="Times New Roman" w:hAnsi="Times New Roman"/>
          <w:sz w:val="18"/>
          <w:szCs w:val="18"/>
          <w:color w:val="auto"/>
        </w:rPr>
      </w:pPr>
    </w:p>
    <w:p>
      <w:pPr>
        <w:ind w:right="60" w:firstLine="1304"/>
        <w:spacing w:after="0" w:line="282" w:lineRule="auto"/>
        <w:tabs>
          <w:tab w:leader="none" w:pos="201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on Section 3.15(f) of the Company Disclosure Schedule, there are no outstanding options or other rights to purchase any Vessel, and on the Closing Date, there shall be on outstanding options or other rights to purchase any Vessel.</w:t>
      </w:r>
    </w:p>
    <w:p>
      <w:pPr>
        <w:spacing w:after="0" w:line="179"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3.16</w:t>
      </w:r>
      <w:r>
        <w:rPr>
          <w:sz w:val="20"/>
          <w:szCs w:val="20"/>
          <w:color w:val="auto"/>
        </w:rPr>
        <w:tab/>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21"/>
          <w:szCs w:val="21"/>
          <w:color w:val="auto"/>
        </w:rPr>
        <w:t>.</w:t>
      </w:r>
    </w:p>
    <w:p>
      <w:pPr>
        <w:spacing w:after="0" w:line="281" w:lineRule="exact"/>
        <w:rPr>
          <w:sz w:val="20"/>
          <w:szCs w:val="20"/>
          <w:color w:val="auto"/>
        </w:rPr>
      </w:pPr>
    </w:p>
    <w:p>
      <w:pPr>
        <w:ind w:firstLine="1304"/>
        <w:spacing w:after="0" w:line="258" w:lineRule="auto"/>
        <w:tabs>
          <w:tab w:leader="none" w:pos="20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its Subsidiaries and the Joint Venture Entities are now and have been since the date of formation of the Company in compliance in all material respects with all applicable Environmental Laws; and (ii) the Company, its Subsidiaries and the Joint Venture Entities has obtained, maintained, and been in compliance in all material respects with all Environmental Permits necessary for the operation of the business as presently conducted (or appropriate for current state of development) and the ownership, occupation or use of the real property of the Company, its Subsidiaries and the Joint Venture Entities.</w:t>
      </w:r>
    </w:p>
    <w:p>
      <w:pPr>
        <w:spacing w:after="0" w:line="237" w:lineRule="exact"/>
        <w:rPr>
          <w:rFonts w:ascii="Times New Roman" w:cs="Times New Roman" w:eastAsia="Times New Roman" w:hAnsi="Times New Roman"/>
          <w:sz w:val="18"/>
          <w:szCs w:val="18"/>
          <w:color w:val="auto"/>
        </w:rPr>
      </w:pPr>
    </w:p>
    <w:p>
      <w:pPr>
        <w:ind w:right="40" w:firstLine="1304"/>
        <w:spacing w:after="0" w:line="256" w:lineRule="auto"/>
        <w:tabs>
          <w:tab w:leader="none" w:pos="20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Release has occurred at or from any property currently or, to the Knowledge of the Company, formerly owned, leased or operated by any of the Company, its Subsidiaries or the Joint Venture Entities that remains unresolved, and neither the Company nor any of its Subsidiaries or the Joint Venture Entities has manufactured, distributed, treated, stored, disposed of, handled, Released, transported or (i) arranged for the transport of Hazardous Materials, including to any off-site location, or (ii) exposed any Person to Hazardous Materials, in each case so as to give rise to any liabilities of the Company or any of its Subsidiaries or the Joint Venture Entities under Environmental Laws or Environmental Permits, other than any liability that has not had, or would not reasonably be expected to have, individually or in the aggregate, a Material Adverse Effect.</w:t>
      </w:r>
    </w:p>
    <w:p>
      <w:pPr>
        <w:spacing w:after="0" w:line="241" w:lineRule="exact"/>
        <w:rPr>
          <w:rFonts w:ascii="Times New Roman" w:cs="Times New Roman" w:eastAsia="Times New Roman" w:hAnsi="Times New Roman"/>
          <w:sz w:val="18"/>
          <w:szCs w:val="18"/>
          <w:color w:val="auto"/>
        </w:rPr>
      </w:pPr>
    </w:p>
    <w:p>
      <w:pPr>
        <w:jc w:val="both"/>
        <w:ind w:right="60" w:firstLine="1304"/>
        <w:spacing w:after="0" w:line="289" w:lineRule="auto"/>
        <w:tabs>
          <w:tab w:leader="none" w:pos="2036"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its Subsidiaries or the Joint Venture Entities have entered into or agreed to any consent order, decree or Contract, or are subject to or have received any notice of violation, claim, settlement, or order, in each case relating to liability under any Environmental Law other than any thereof that has not had, or would not reasonably expected to have, individually or in the aggregate, a Material Adverse Effect.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8" w:right="359" w:bottom="1440" w:gutter="0" w:footer="0" w:header="0"/>
        </w:sectPr>
      </w:pPr>
    </w:p>
    <w:bookmarkStart w:id="137" w:name="page138"/>
    <w:bookmarkEnd w:id="137"/>
    <w:p>
      <w:pPr>
        <w:ind w:left="-20" w:firstLine="1304"/>
        <w:spacing w:after="0" w:line="266" w:lineRule="auto"/>
        <w:tabs>
          <w:tab w:leader="none" w:pos="202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limitations and restrictions under the Environmental Permits of the Company, its Subsidiaries and the Joint Venture Entities authorize operation of the Company’s, its Subsidiaries’ and the Joint Venture Entities’ facilities and conducting the business as currently conducted, except where the failure to have such authorization has not had, or would not have, individually or in the aggregate, a Material Adverse Effect.</w:t>
      </w:r>
    </w:p>
    <w:p>
      <w:pPr>
        <w:spacing w:after="0" w:line="229" w:lineRule="exact"/>
        <w:rPr>
          <w:rFonts w:ascii="Times New Roman" w:cs="Times New Roman" w:eastAsia="Times New Roman" w:hAnsi="Times New Roman"/>
          <w:sz w:val="18"/>
          <w:szCs w:val="18"/>
          <w:color w:val="auto"/>
        </w:rPr>
      </w:pPr>
    </w:p>
    <w:p>
      <w:pPr>
        <w:jc w:val="both"/>
        <w:ind w:left="-20" w:right="300" w:firstLine="1304"/>
        <w:spacing w:after="0" w:line="261" w:lineRule="auto"/>
        <w:tabs>
          <w:tab w:leader="none" w:pos="201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relating to, or written notices or Proceedings pending or, to the Knowledge of the Company, threatened regarding, any actual or potential liability under, violation of, or non-compliance with, any Environmental Law or Environmental Permit other than any liability, violation or non-compliance that has not had, and would not reasonably expected to have, individually or in the aggregate, a Material Adverse Effect.</w:t>
      </w:r>
    </w:p>
    <w:p>
      <w:pPr>
        <w:spacing w:after="0" w:line="233" w:lineRule="exact"/>
        <w:rPr>
          <w:rFonts w:ascii="Times New Roman" w:cs="Times New Roman" w:eastAsia="Times New Roman" w:hAnsi="Times New Roman"/>
          <w:sz w:val="18"/>
          <w:szCs w:val="18"/>
          <w:color w:val="auto"/>
        </w:rPr>
      </w:pPr>
    </w:p>
    <w:p>
      <w:pPr>
        <w:ind w:left="-20" w:right="120" w:firstLine="1304"/>
        <w:spacing w:after="0" w:line="261" w:lineRule="auto"/>
        <w:tabs>
          <w:tab w:leader="none" w:pos="199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or otherwise made available for inspection to Parent true, complete and correct copies and results of any reports, data, investigations, audits, assessments (including Phase I environmental site assessments and Phase II environmental site assessments), material correspondence, studies, analyses, tests or monitoring in the possession of or reasonably available to any of the Company, its Subsidiaries or the Joint Venture Entities pertaining to:</w:t>
      </w:r>
    </w:p>
    <w:p>
      <w:pPr>
        <w:spacing w:after="0" w:line="233" w:lineRule="exact"/>
        <w:rPr>
          <w:rFonts w:ascii="Times New Roman" w:cs="Times New Roman" w:eastAsia="Times New Roman" w:hAnsi="Times New Roman"/>
          <w:sz w:val="18"/>
          <w:szCs w:val="18"/>
          <w:color w:val="auto"/>
        </w:rPr>
      </w:pPr>
    </w:p>
    <w:p>
      <w:pPr>
        <w:ind w:left="2640" w:hanging="708"/>
        <w:spacing w:after="0"/>
        <w:tabs>
          <w:tab w:leader="none" w:pos="26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unresolved Environmental Claims;</w:t>
      </w:r>
    </w:p>
    <w:p>
      <w:pPr>
        <w:spacing w:after="0" w:line="279" w:lineRule="exact"/>
        <w:rPr>
          <w:rFonts w:ascii="Times New Roman" w:cs="Times New Roman" w:eastAsia="Times New Roman" w:hAnsi="Times New Roman"/>
          <w:sz w:val="18"/>
          <w:szCs w:val="18"/>
          <w:color w:val="auto"/>
        </w:rPr>
      </w:pPr>
    </w:p>
    <w:p>
      <w:pPr>
        <w:ind w:left="640" w:right="160" w:firstLine="1292"/>
        <w:spacing w:after="0" w:line="282" w:lineRule="auto"/>
        <w:tabs>
          <w:tab w:leader="none" w:pos="2642"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Release of Hazardous Materials by the Company or any of its Subsidiaries or the Joint Venture Entities or at any property currently or formerly owned, operated or leased by the Company or any of its Subsidiaries; or</w:t>
      </w:r>
    </w:p>
    <w:p>
      <w:pPr>
        <w:spacing w:after="0" w:line="215" w:lineRule="exact"/>
        <w:rPr>
          <w:rFonts w:ascii="Times New Roman" w:cs="Times New Roman" w:eastAsia="Times New Roman" w:hAnsi="Times New Roman"/>
          <w:sz w:val="18"/>
          <w:szCs w:val="18"/>
          <w:color w:val="auto"/>
        </w:rPr>
      </w:pPr>
    </w:p>
    <w:p>
      <w:pPr>
        <w:ind w:left="2640" w:hanging="708"/>
        <w:spacing w:after="0"/>
        <w:tabs>
          <w:tab w:leader="none" w:pos="26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or any of its Subsidiaries’ compliance with applicable Environmental Laws.</w:t>
      </w:r>
    </w:p>
    <w:p>
      <w:pPr>
        <w:spacing w:after="0" w:line="243" w:lineRule="exact"/>
        <w:rPr>
          <w:sz w:val="20"/>
          <w:szCs w:val="20"/>
          <w:color w:val="auto"/>
        </w:rPr>
      </w:pPr>
    </w:p>
    <w:p>
      <w:pPr>
        <w:ind w:left="640"/>
        <w:spacing w:after="0"/>
        <w:tabs>
          <w:tab w:leader="none" w:pos="2060" w:val="left"/>
        </w:tabs>
        <w:rPr>
          <w:sz w:val="20"/>
          <w:szCs w:val="20"/>
          <w:color w:val="auto"/>
        </w:rPr>
      </w:pPr>
      <w:r>
        <w:rPr>
          <w:rFonts w:ascii="Times New Roman" w:cs="Times New Roman" w:eastAsia="Times New Roman" w:hAnsi="Times New Roman"/>
          <w:sz w:val="18"/>
          <w:szCs w:val="18"/>
          <w:color w:val="auto"/>
        </w:rPr>
        <w:t>Section 3.17</w:t>
      </w:r>
      <w:r>
        <w:rPr>
          <w:sz w:val="20"/>
          <w:szCs w:val="20"/>
          <w:color w:val="auto"/>
        </w:rPr>
        <w:tab/>
      </w:r>
      <w:r>
        <w:rPr>
          <w:rFonts w:ascii="Times New Roman" w:cs="Times New Roman" w:eastAsia="Times New Roman" w:hAnsi="Times New Roman"/>
          <w:sz w:val="17"/>
          <w:szCs w:val="17"/>
          <w:u w:val="single" w:color="auto"/>
          <w:color w:val="auto"/>
        </w:rPr>
        <w:t>Company Material Contracts</w:t>
      </w:r>
      <w:r>
        <w:rPr>
          <w:rFonts w:ascii="Times New Roman" w:cs="Times New Roman" w:eastAsia="Times New Roman" w:hAnsi="Times New Roman"/>
          <w:sz w:val="20"/>
          <w:szCs w:val="20"/>
          <w:color w:val="auto"/>
        </w:rPr>
        <w:t>.</w:t>
      </w:r>
    </w:p>
    <w:p>
      <w:pPr>
        <w:spacing w:after="0" w:line="292" w:lineRule="exact"/>
        <w:rPr>
          <w:sz w:val="20"/>
          <w:szCs w:val="20"/>
          <w:color w:val="auto"/>
        </w:rPr>
      </w:pPr>
    </w:p>
    <w:p>
      <w:pPr>
        <w:ind w:left="-20" w:right="200" w:firstLine="1304"/>
        <w:spacing w:after="0" w:line="266" w:lineRule="auto"/>
        <w:tabs>
          <w:tab w:leader="none" w:pos="201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3.17 of the Company Disclosure Schedule contains a list of each Contract to which any of the Company or any of its Subsidiaries is party or by which any of them or any of their properties or assets may be bound that is in effect as of the date of this Agreement and that falls in one or more of the following categories (collectively, whether or not scheduled, the “</w:t>
      </w:r>
      <w:r>
        <w:rPr>
          <w:rFonts w:ascii="Times New Roman" w:cs="Times New Roman" w:eastAsia="Times New Roman" w:hAnsi="Times New Roman"/>
          <w:sz w:val="18"/>
          <w:szCs w:val="18"/>
          <w:u w:val="single" w:color="auto"/>
          <w:color w:val="auto"/>
        </w:rPr>
        <w:t>Company Material Contracts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40" w:right="160" w:firstLine="1292"/>
        <w:spacing w:after="0" w:line="282" w:lineRule="auto"/>
        <w:tabs>
          <w:tab w:leader="none" w:pos="2646"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containing covenants binding upon the Company or its Subsidiaries that restrict during any period of time the ability of the Company or any of its Subsidiaries to compete or engage in any business or geographical area;</w:t>
      </w:r>
    </w:p>
    <w:p>
      <w:pPr>
        <w:spacing w:after="0" w:line="215" w:lineRule="exact"/>
        <w:rPr>
          <w:rFonts w:ascii="Times New Roman" w:cs="Times New Roman" w:eastAsia="Times New Roman" w:hAnsi="Times New Roman"/>
          <w:sz w:val="18"/>
          <w:szCs w:val="18"/>
          <w:color w:val="auto"/>
        </w:rPr>
      </w:pPr>
    </w:p>
    <w:p>
      <w:pPr>
        <w:ind w:left="640" w:right="160" w:firstLine="1292"/>
        <w:spacing w:after="0" w:line="266" w:lineRule="auto"/>
        <w:tabs>
          <w:tab w:leader="none" w:pos="264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containing any “most favored nations,” exclusivity or similar right or undertaking in favor of any party other than the Company and its Subsidiaries with respect to any material goods or services purchased or sold by the Company or its Subsidiaries and that would bind Parent or any of its Subsidiaries following the Closing Date;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8" w:right="359" w:bottom="1440" w:gutter="0" w:footer="0" w:header="0"/>
        </w:sectPr>
      </w:pPr>
    </w:p>
    <w:bookmarkStart w:id="138" w:name="page139"/>
    <w:bookmarkEnd w:id="138"/>
    <w:p>
      <w:pPr>
        <w:ind w:left="-460" w:right="160" w:firstLine="1292"/>
        <w:spacing w:after="0" w:line="261" w:lineRule="auto"/>
        <w:tabs>
          <w:tab w:leader="none" w:pos="153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third party which provides for the purchase of energy, capacity or ancillary services from the Company or any of its Subsidiaries and that (1) generated revenues from such third party in excess of $5,000,000 in the aggregate for any of the Company or any of its Subsidiaries during the year ended December 31, 2020 or (2) is expected to generate revenues from such third party in excess of $5,000,000 in the aggregate for the Company or any of its Subsidiaries over the term of such Contract;</w:t>
      </w:r>
    </w:p>
    <w:p>
      <w:pPr>
        <w:spacing w:after="0" w:line="233" w:lineRule="exact"/>
        <w:rPr>
          <w:rFonts w:ascii="Times New Roman" w:cs="Times New Roman" w:eastAsia="Times New Roman" w:hAnsi="Times New Roman"/>
          <w:sz w:val="18"/>
          <w:szCs w:val="18"/>
          <w:color w:val="auto"/>
        </w:rPr>
      </w:pPr>
    </w:p>
    <w:p>
      <w:pPr>
        <w:ind w:left="-460" w:firstLine="1292"/>
        <w:spacing w:after="0" w:line="266" w:lineRule="auto"/>
        <w:tabs>
          <w:tab w:leader="none" w:pos="158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third party which provides operating and maintenance, asset management or other similar project-level services to the Company or any of its Subsidiaries, that involved payments by the Company or any of its Subsidiaries during the year ended December 31, 2019 in excess of $5,000,000 in the aggregate or that is expected to do so during the year ending December 31, 2020;</w:t>
      </w:r>
    </w:p>
    <w:p>
      <w:pPr>
        <w:spacing w:after="0" w:line="229" w:lineRule="exact"/>
        <w:rPr>
          <w:rFonts w:ascii="Times New Roman" w:cs="Times New Roman" w:eastAsia="Times New Roman" w:hAnsi="Times New Roman"/>
          <w:sz w:val="18"/>
          <w:szCs w:val="18"/>
          <w:color w:val="auto"/>
        </w:rPr>
      </w:pPr>
    </w:p>
    <w:p>
      <w:pPr>
        <w:ind w:left="-460" w:right="360" w:firstLine="1292"/>
        <w:spacing w:after="0" w:line="282" w:lineRule="auto"/>
        <w:tabs>
          <w:tab w:leader="none" w:pos="158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engineering, procurement and construction Contracts, (B) material equipment supply Contracts, (C) material warranty agreements and performance guarantee Contracts, (D) operation and maintenance Contracts, and (E) asset management Contracts;</w:t>
      </w:r>
    </w:p>
    <w:p>
      <w:pPr>
        <w:spacing w:after="0" w:line="215" w:lineRule="exact"/>
        <w:rPr>
          <w:rFonts w:ascii="Times New Roman" w:cs="Times New Roman" w:eastAsia="Times New Roman" w:hAnsi="Times New Roman"/>
          <w:sz w:val="18"/>
          <w:szCs w:val="18"/>
          <w:color w:val="auto"/>
        </w:rPr>
      </w:pPr>
    </w:p>
    <w:p>
      <w:pPr>
        <w:ind w:left="-460" w:right="20" w:firstLine="1292"/>
        <w:spacing w:after="0" w:line="282" w:lineRule="auto"/>
        <w:tabs>
          <w:tab w:leader="none" w:pos="152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lease, sublease or similar Contract with any Person under which the Company or any of its Subsidiaries is a lessor or sublessor of, or makes available for use to any Person, any interests in real property;</w:t>
      </w:r>
    </w:p>
    <w:p>
      <w:pPr>
        <w:spacing w:after="0" w:line="215" w:lineRule="exact"/>
        <w:rPr>
          <w:rFonts w:ascii="Times New Roman" w:cs="Times New Roman" w:eastAsia="Times New Roman" w:hAnsi="Times New Roman"/>
          <w:sz w:val="18"/>
          <w:szCs w:val="18"/>
          <w:color w:val="auto"/>
        </w:rPr>
      </w:pPr>
    </w:p>
    <w:p>
      <w:pPr>
        <w:ind w:left="-460" w:right="80" w:firstLine="1292"/>
        <w:spacing w:after="0" w:line="256" w:lineRule="auto"/>
        <w:tabs>
          <w:tab w:leader="none" w:pos="152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lease, sublease or similar Contract with any Person under which (i) the Company or any of its Subsidiaries is lessee of, or holds or uses, any material machinery, equipment, vehicle or other tangible personal property owned by any Person or (ii) the Company or any of its Subsidiaries is a lessor or sublessor of, or makes available for use by any Person, any material tangible personal property owned or leased by the Company or its Subsidiaries, in any such case which has an aggregate future liability or receivable, as the case may be, in excess of $5,000,000 in any calendar year and is not terminable by the Company or such Subsidiary by notice of not more than 60 days for a cost, individually or together with any similar Contract, of less than $2,000,000;</w:t>
      </w:r>
    </w:p>
    <w:p>
      <w:pPr>
        <w:spacing w:after="0" w:line="241" w:lineRule="exact"/>
        <w:rPr>
          <w:rFonts w:ascii="Times New Roman" w:cs="Times New Roman" w:eastAsia="Times New Roman" w:hAnsi="Times New Roman"/>
          <w:sz w:val="18"/>
          <w:szCs w:val="18"/>
          <w:color w:val="auto"/>
        </w:rPr>
      </w:pPr>
    </w:p>
    <w:p>
      <w:pPr>
        <w:jc w:val="both"/>
        <w:ind w:left="-460" w:right="40" w:firstLine="1292"/>
        <w:spacing w:after="0" w:line="266" w:lineRule="auto"/>
        <w:tabs>
          <w:tab w:leader="none" w:pos="15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or sublicense or other Contract under which the Company or any of its Subsidiaries is licensee or licensor, or sub-licensee or sub-licensor of, or otherwise grants or is granted a right to use or register any material Intellectual Property used or held for use in the business currently conducted by the Company;</w:t>
      </w:r>
    </w:p>
    <w:p>
      <w:pPr>
        <w:spacing w:after="0" w:line="229" w:lineRule="exact"/>
        <w:rPr>
          <w:rFonts w:ascii="Times New Roman" w:cs="Times New Roman" w:eastAsia="Times New Roman" w:hAnsi="Times New Roman"/>
          <w:sz w:val="18"/>
          <w:szCs w:val="18"/>
          <w:color w:val="auto"/>
        </w:rPr>
      </w:pPr>
    </w:p>
    <w:p>
      <w:pPr>
        <w:ind w:left="1520" w:hanging="688"/>
        <w:spacing w:after="0"/>
        <w:tabs>
          <w:tab w:leader="none" w:pos="15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for the sale of any asset or collection of assets for consideration in an amount in excess of $2,000,000;</w:t>
      </w:r>
    </w:p>
    <w:p>
      <w:pPr>
        <w:spacing w:after="0" w:line="279" w:lineRule="exact"/>
        <w:rPr>
          <w:rFonts w:ascii="Times New Roman" w:cs="Times New Roman" w:eastAsia="Times New Roman" w:hAnsi="Times New Roman"/>
          <w:sz w:val="18"/>
          <w:szCs w:val="18"/>
          <w:color w:val="auto"/>
        </w:rPr>
      </w:pPr>
    </w:p>
    <w:p>
      <w:pPr>
        <w:ind w:left="-460" w:firstLine="1292"/>
        <w:spacing w:after="0" w:line="261" w:lineRule="auto"/>
        <w:tabs>
          <w:tab w:leader="none" w:pos="153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involving the payment of more than $2,000,000 in 2019 or would reasonably be expected to provide for the purchase of more than $5,000,000 in the aggregate in respect of the Company’s business, in 2020 or any future year that is not terminable at will by the Company or any of its Subsidiaries (or by Parent and the Surviving Company following the Closing Date) on less than 60 days’ notice without penalty;</w:t>
      </w:r>
    </w:p>
    <w:p>
      <w:pPr>
        <w:spacing w:after="0" w:line="37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148" w:right="399" w:bottom="1440" w:gutter="0" w:footer="0" w:header="0"/>
        </w:sectPr>
      </w:pPr>
    </w:p>
    <w:bookmarkStart w:id="139" w:name="page140"/>
    <w:bookmarkEnd w:id="139"/>
    <w:p>
      <w:pPr>
        <w:ind w:left="2680" w:hanging="748"/>
        <w:spacing w:after="0"/>
        <w:tabs>
          <w:tab w:leader="none" w:pos="26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time charter;</w:t>
      </w:r>
    </w:p>
    <w:p>
      <w:pPr>
        <w:spacing w:after="0" w:line="279" w:lineRule="exact"/>
        <w:rPr>
          <w:rFonts w:ascii="Times New Roman" w:cs="Times New Roman" w:eastAsia="Times New Roman" w:hAnsi="Times New Roman"/>
          <w:sz w:val="18"/>
          <w:szCs w:val="18"/>
          <w:color w:val="auto"/>
        </w:rPr>
      </w:pPr>
    </w:p>
    <w:p>
      <w:pPr>
        <w:ind w:left="2620" w:hanging="688"/>
        <w:spacing w:after="0"/>
        <w:tabs>
          <w:tab w:leader="none" w:pos="26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relating to any Indebtedness of the Company or any of its Subsidiaries involving principal in excess of</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$5,000,000;</w:t>
      </w:r>
    </w:p>
    <w:p>
      <w:pPr>
        <w:spacing w:after="0" w:line="261" w:lineRule="exact"/>
        <w:rPr>
          <w:sz w:val="20"/>
          <w:szCs w:val="20"/>
          <w:color w:val="auto"/>
        </w:rPr>
      </w:pPr>
    </w:p>
    <w:p>
      <w:pPr>
        <w:ind w:left="640" w:right="320" w:firstLine="1292"/>
        <w:spacing w:after="0" w:line="266" w:lineRule="auto"/>
        <w:tabs>
          <w:tab w:leader="none" w:pos="26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under which (A) any Person has directly or indirectly guaranteed or assumed Indebtedness, liabilities or obligations of the Company or any of its Subsidiaries or (B) the Company or any of its Subsidiaries has directly or indirectly guaranteed or assumed Indebtedness, liabilities or obligations of another Person in excess of $5,000,000 individually or $10,000,000 in the aggregate;</w:t>
      </w:r>
    </w:p>
    <w:p>
      <w:pPr>
        <w:spacing w:after="0" w:line="229" w:lineRule="exact"/>
        <w:rPr>
          <w:rFonts w:ascii="Times New Roman" w:cs="Times New Roman" w:eastAsia="Times New Roman" w:hAnsi="Times New Roman"/>
          <w:sz w:val="18"/>
          <w:szCs w:val="18"/>
          <w:color w:val="auto"/>
        </w:rPr>
      </w:pPr>
    </w:p>
    <w:p>
      <w:pPr>
        <w:ind w:left="640" w:right="240" w:firstLine="1292"/>
        <w:spacing w:after="0" w:line="266" w:lineRule="auto"/>
        <w:tabs>
          <w:tab w:leader="none" w:pos="261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settlement or compromise of any suit, claim, proceeding or dispute relating to the Company or any of its Subsidiaries that would materially and adversely impact the business currently being conducted by the Company or any of its Subsidiaries at or following the Closing Date;</w:t>
      </w:r>
    </w:p>
    <w:p>
      <w:pPr>
        <w:spacing w:after="0" w:line="229" w:lineRule="exact"/>
        <w:rPr>
          <w:rFonts w:ascii="Times New Roman" w:cs="Times New Roman" w:eastAsia="Times New Roman" w:hAnsi="Times New Roman"/>
          <w:sz w:val="18"/>
          <w:szCs w:val="18"/>
          <w:color w:val="auto"/>
        </w:rPr>
      </w:pPr>
    </w:p>
    <w:p>
      <w:pPr>
        <w:ind w:left="2600" w:hanging="668"/>
        <w:spacing w:after="0"/>
        <w:tabs>
          <w:tab w:leader="none" w:pos="26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establishing or providing for any material partnership, strategic alliance, joint venture or material</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w:t>
      </w:r>
    </w:p>
    <w:p>
      <w:pPr>
        <w:spacing w:after="0" w:line="260" w:lineRule="exact"/>
        <w:rPr>
          <w:rFonts w:ascii="Times New Roman" w:cs="Times New Roman" w:eastAsia="Times New Roman" w:hAnsi="Times New Roman"/>
          <w:sz w:val="18"/>
          <w:szCs w:val="18"/>
          <w:color w:val="auto"/>
        </w:rPr>
      </w:pPr>
    </w:p>
    <w:p>
      <w:pPr>
        <w:ind w:left="2600" w:hanging="668"/>
        <w:spacing w:after="0"/>
        <w:tabs>
          <w:tab w:leader="none" w:pos="26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requiring capital expenditures in excess of $5,000,000 individually or $10,000,000 in the aggregate;</w:t>
      </w:r>
    </w:p>
    <w:p>
      <w:pPr>
        <w:spacing w:after="0" w:line="279" w:lineRule="exact"/>
        <w:rPr>
          <w:rFonts w:ascii="Times New Roman" w:cs="Times New Roman" w:eastAsia="Times New Roman" w:hAnsi="Times New Roman"/>
          <w:sz w:val="18"/>
          <w:szCs w:val="18"/>
          <w:color w:val="auto"/>
        </w:rPr>
      </w:pPr>
    </w:p>
    <w:p>
      <w:pPr>
        <w:ind w:left="640" w:right="220" w:firstLine="1292"/>
        <w:spacing w:after="0" w:line="282" w:lineRule="auto"/>
        <w:tabs>
          <w:tab w:leader="none" w:pos="260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Contract not made in the Ordinary Course that is material to the business currently being conducted by the Company or any of its Subsidiaries in the aggregate; and</w:t>
      </w:r>
    </w:p>
    <w:p>
      <w:pPr>
        <w:spacing w:after="0" w:line="215" w:lineRule="exact"/>
        <w:rPr>
          <w:rFonts w:ascii="Times New Roman" w:cs="Times New Roman" w:eastAsia="Times New Roman" w:hAnsi="Times New Roman"/>
          <w:sz w:val="18"/>
          <w:szCs w:val="18"/>
          <w:color w:val="auto"/>
        </w:rPr>
      </w:pPr>
    </w:p>
    <w:p>
      <w:pPr>
        <w:ind w:left="2600" w:hanging="668"/>
        <w:spacing w:after="0"/>
        <w:tabs>
          <w:tab w:leader="none" w:pos="260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currency, interest rate or other hedge, swap or other derivative Contract.</w:t>
      </w:r>
    </w:p>
    <w:p>
      <w:pPr>
        <w:spacing w:after="0" w:line="279" w:lineRule="exact"/>
        <w:rPr>
          <w:rFonts w:ascii="Times New Roman" w:cs="Times New Roman" w:eastAsia="Times New Roman" w:hAnsi="Times New Roman"/>
          <w:sz w:val="18"/>
          <w:szCs w:val="18"/>
          <w:color w:val="auto"/>
        </w:rPr>
      </w:pPr>
    </w:p>
    <w:p>
      <w:pPr>
        <w:ind w:left="-20" w:firstLine="1304"/>
        <w:spacing w:after="0" w:line="256" w:lineRule="auto"/>
        <w:tabs>
          <w:tab w:leader="none" w:pos="202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Material Contract is valid, binding and in full force and effect and is enforceable by and against the Company or one of its Subsidiaries in accordance with its terms, except as has not been and would not reasonably be expected to be material to the business currently being conducted by the Company and its Subsidiaries. Each of the Company and its Subsidiaries has performed all obligations required to be performed by it to date under the Company Material Contracts to which it is a party and is not in breach of or default thereunder and, to the Knowledge of the Company, no other party to any Company Material Contract is in breach of or default thereunder, in each case in any respect that would reasonably be expected to have, individually or in the aggregate, a Material Adverse Effect.</w:t>
      </w:r>
    </w:p>
    <w:p>
      <w:pPr>
        <w:spacing w:after="0" w:line="241" w:lineRule="exact"/>
        <w:rPr>
          <w:rFonts w:ascii="Times New Roman" w:cs="Times New Roman" w:eastAsia="Times New Roman" w:hAnsi="Times New Roman"/>
          <w:sz w:val="18"/>
          <w:szCs w:val="18"/>
          <w:color w:val="auto"/>
        </w:rPr>
      </w:pPr>
    </w:p>
    <w:p>
      <w:pPr>
        <w:ind w:left="-20" w:right="80" w:firstLine="1304"/>
        <w:spacing w:after="0" w:line="282" w:lineRule="auto"/>
        <w:tabs>
          <w:tab w:leader="none" w:pos="201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a true and correct copy of each Company Material Contract (or, if such Contract is not in written form, a true and correct summary of the material terms thereof).</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8" w:right="359" w:bottom="1440" w:gutter="0" w:footer="0" w:header="0"/>
        </w:sectPr>
      </w:pPr>
    </w:p>
    <w:bookmarkStart w:id="140" w:name="page141"/>
    <w:bookmarkEnd w:id="140"/>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Joint Venture Agreements</w:t>
      </w:r>
      <w:r>
        <w:rPr>
          <w:rFonts w:ascii="Times New Roman" w:cs="Times New Roman" w:eastAsia="Times New Roman" w:hAnsi="Times New Roman"/>
          <w:sz w:val="21"/>
          <w:szCs w:val="21"/>
          <w:color w:val="auto"/>
        </w:rPr>
        <w:t>. As of the date of this Agreement, (a) each agreement pursuant to which any 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Venture Entity or, to the extent relating to such Joint Venture Entity, each of its equityholders that is the Company or a Subsidiary of the Company and is a party and that would otherwise be a Company Material Contract if such Joint Venture Entity were a Subsidiary of the Company (the “</w:t>
      </w:r>
      <w:r>
        <w:rPr>
          <w:rFonts w:ascii="Times New Roman" w:cs="Times New Roman" w:eastAsia="Times New Roman" w:hAnsi="Times New Roman"/>
          <w:sz w:val="17"/>
          <w:szCs w:val="17"/>
          <w:u w:val="single" w:color="auto"/>
          <w:color w:val="auto"/>
        </w:rPr>
        <w:t>Joint Venture Contracts</w:t>
      </w:r>
      <w:r>
        <w:rPr>
          <w:rFonts w:ascii="Times New Roman" w:cs="Times New Roman" w:eastAsia="Times New Roman" w:hAnsi="Times New Roman"/>
          <w:sz w:val="21"/>
          <w:szCs w:val="21"/>
          <w:color w:val="auto"/>
        </w:rPr>
        <w:t>”), is valid, binding and in full force and effect and is enforceable by and against the applicable Joint Venture Entity or equityholder in a Joint Venture Entity in accordance with its terms, except as has not been and would not reasonably be expected to be material to the Company or the Joint Venture Entity, (b) each of the Company and the Joint Venture Entities has performed all obligations required to be performed by it to date under the Joint Venture Contracts to which such Joint Venture Entity is a party and is not in breach of or default thereunder and, to the Knowledge of the Company, no other party to any Joint Venture Contract is in breach of or default thereunder, in each case in any respect that would reasonably be expected to have, individually or in the aggregate, a Material Adverse Effect, (c) none of the Joint Venture Entities has received written notice of the existence of any event or condition which constitutes, or, after notice or lapse of time or both, will constitute, a default on the part of such Joint Venture Entity under any Joint Venture Contract, except where such default would not reasonably be expected to have, individually or in the aggregate, a Material Adverse Effect, (d) to the Knowledge of the Company, there are no events or conditions which constitute, or, after notice or lapse of time or both, will constitute, a default on the part of any counterparty under such Joint Venture Contract, except as would not reasonably be expected to have, individually or in the aggregate, a Material Adverse Effect, (e) to the Knowledge of the Company, no counterparty to a Joint Venture Contract is, insolvent or the subject of a rehabilitation, liquidation, conservatorship, receivership, bankruptcy or similar proceeding and (f) there are no disputes under any Joint Venture Contract, except as would not reasonably be expected to have, individually or in the aggregate, a Material Adverse Effect.</w:t>
      </w:r>
    </w:p>
    <w:p>
      <w:pPr>
        <w:spacing w:after="0" w:line="200" w:lineRule="exact"/>
        <w:rPr>
          <w:sz w:val="20"/>
          <w:szCs w:val="20"/>
          <w:color w:val="auto"/>
        </w:rPr>
      </w:pPr>
    </w:p>
    <w:p>
      <w:pPr>
        <w:spacing w:after="0" w:line="259"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3.19</w:t>
      </w:r>
      <w:r>
        <w:rPr>
          <w:sz w:val="20"/>
          <w:szCs w:val="20"/>
          <w:color w:val="auto"/>
        </w:rPr>
        <w:tab/>
      </w:r>
      <w:r>
        <w:rPr>
          <w:rFonts w:ascii="Times New Roman" w:cs="Times New Roman" w:eastAsia="Times New Roman" w:hAnsi="Times New Roman"/>
          <w:sz w:val="18"/>
          <w:szCs w:val="18"/>
          <w:u w:val="single" w:color="auto"/>
          <w:color w:val="auto"/>
        </w:rPr>
        <w:t>Customers and Suppliers</w:t>
      </w:r>
      <w:r>
        <w:rPr>
          <w:rFonts w:ascii="Times New Roman" w:cs="Times New Roman" w:eastAsia="Times New Roman" w:hAnsi="Times New Roman"/>
          <w:sz w:val="21"/>
          <w:szCs w:val="21"/>
          <w:color w:val="auto"/>
        </w:rPr>
        <w:t>.</w:t>
      </w:r>
    </w:p>
    <w:p>
      <w:pPr>
        <w:spacing w:after="0" w:line="281" w:lineRule="exact"/>
        <w:rPr>
          <w:sz w:val="20"/>
          <w:szCs w:val="20"/>
          <w:color w:val="auto"/>
        </w:rPr>
      </w:pPr>
    </w:p>
    <w:p>
      <w:pPr>
        <w:ind w:firstLine="1304"/>
        <w:spacing w:after="0" w:line="255" w:lineRule="auto"/>
        <w:tabs>
          <w:tab w:leader="none" w:pos="20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3.19(a) of the Company Disclosure Schedule sets forth a list showing each customer of the Company, its Subsidiaries and the Joint Venture Entities to which sales by the Company, its Subsidiaries and the Joint Venture Entities, taken as a whole, were in excess of $10,000,000 during the twelve (12) month period ending on December 31, 2019 (each, a “</w:t>
      </w:r>
      <w:r>
        <w:rPr>
          <w:rFonts w:ascii="Times New Roman" w:cs="Times New Roman" w:eastAsia="Times New Roman" w:hAnsi="Times New Roman"/>
          <w:sz w:val="18"/>
          <w:szCs w:val="18"/>
          <w:u w:val="single" w:color="auto"/>
          <w:color w:val="auto"/>
        </w:rPr>
        <w:t>Significant Company Customer</w:t>
      </w:r>
      <w:r>
        <w:rPr>
          <w:rFonts w:ascii="Times New Roman" w:cs="Times New Roman" w:eastAsia="Times New Roman" w:hAnsi="Times New Roman"/>
          <w:sz w:val="18"/>
          <w:szCs w:val="18"/>
          <w:color w:val="auto"/>
        </w:rPr>
        <w:t>”). Since January 1, 2020 and except as set forth in Section 3.19(a) of the Company Disclosure Schedule, to the Knowledge of the Company, no Significant Company Customer has delivered a written notice to the Company or any of its Subsidiaries or the Joint Venture Entities indicating an intention to (i) terminate its relationship with, or otherwise stop purchasing products from, the Company, its Subsidiaries or the Joint Venture Entities or (ii) change, materially and adversely, the terms and conditions on which it purchases products from the Company, its Subsidiaries or Joint Venture Entities.</w:t>
      </w:r>
    </w:p>
    <w:p>
      <w:pPr>
        <w:spacing w:after="0" w:line="242" w:lineRule="exact"/>
        <w:rPr>
          <w:rFonts w:ascii="Times New Roman" w:cs="Times New Roman" w:eastAsia="Times New Roman" w:hAnsi="Times New Roman"/>
          <w:sz w:val="18"/>
          <w:szCs w:val="18"/>
          <w:color w:val="auto"/>
        </w:rPr>
      </w:pPr>
    </w:p>
    <w:p>
      <w:pPr>
        <w:ind w:right="180" w:firstLine="1304"/>
        <w:spacing w:after="0" w:line="255" w:lineRule="auto"/>
        <w:tabs>
          <w:tab w:leader="none" w:pos="20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3.19(b) of the Company Disclosure Schedule sets forth a list showing each supplier of Company, its Subsidiaries and the Joint Venture Entities that had sales to Company, its Subsidiaries and the Joint Venture Entities, taken as a whole, in excess of $5,000,000 during the twelve (12) month period ending on December 31, 2019 (each, a “</w:t>
      </w:r>
      <w:r>
        <w:rPr>
          <w:rFonts w:ascii="Times New Roman" w:cs="Times New Roman" w:eastAsia="Times New Roman" w:hAnsi="Times New Roman"/>
          <w:sz w:val="18"/>
          <w:szCs w:val="18"/>
          <w:u w:val="single" w:color="auto"/>
          <w:color w:val="auto"/>
        </w:rPr>
        <w:t>Significant Company Supplier</w:t>
      </w:r>
      <w:r>
        <w:rPr>
          <w:rFonts w:ascii="Times New Roman" w:cs="Times New Roman" w:eastAsia="Times New Roman" w:hAnsi="Times New Roman"/>
          <w:sz w:val="18"/>
          <w:szCs w:val="18"/>
          <w:color w:val="auto"/>
        </w:rPr>
        <w:t>”). Since January 1, 2020 and except as set forth in Section 3.19(b) of the Company Disclosure Schedule, to the Knowledge of the Company, no Significant Company Supplier has delivered a written notice to the Company or any of its Subsidiaries or the Joint Venture Entities indicating an intention to (i) terminate its relationship with, or otherwise stop supplying, the Company, its Subsidiaries or the Joint Venture Entities or (ii) change, materially and adversely, the terms and conditions on which it is prepared to supply the Company, its Subsidiaries or the Joint Venture Entities.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1" w:name="page142"/>
    <w:bookmarkEnd w:id="141"/>
    <w:p>
      <w:pPr>
        <w:ind w:left="652"/>
        <w:spacing w:after="0"/>
        <w:tabs>
          <w:tab w:leader="none" w:pos="2012" w:val="left"/>
        </w:tabs>
        <w:rPr>
          <w:sz w:val="20"/>
          <w:szCs w:val="20"/>
          <w:color w:val="auto"/>
        </w:rPr>
      </w:pPr>
      <w:r>
        <w:rPr>
          <w:rFonts w:ascii="Times New Roman" w:cs="Times New Roman" w:eastAsia="Times New Roman" w:hAnsi="Times New Roman"/>
          <w:sz w:val="18"/>
          <w:szCs w:val="18"/>
          <w:color w:val="auto"/>
        </w:rPr>
        <w:t>Section 3.20</w:t>
      </w:r>
      <w:r>
        <w:rPr>
          <w:sz w:val="20"/>
          <w:szCs w:val="20"/>
          <w:color w:val="auto"/>
        </w:rPr>
        <w:tab/>
      </w:r>
      <w:r>
        <w:rPr>
          <w:rFonts w:ascii="Times New Roman" w:cs="Times New Roman" w:eastAsia="Times New Roman" w:hAnsi="Times New Roman"/>
          <w:sz w:val="17"/>
          <w:szCs w:val="17"/>
          <w:u w:val="single" w:color="auto"/>
          <w:color w:val="auto"/>
        </w:rPr>
        <w:t>Insurance Policies</w:t>
      </w:r>
      <w:r>
        <w:rPr>
          <w:rFonts w:ascii="Times New Roman" w:cs="Times New Roman" w:eastAsia="Times New Roman" w:hAnsi="Times New Roman"/>
          <w:sz w:val="20"/>
          <w:szCs w:val="20"/>
          <w:color w:val="auto"/>
        </w:rPr>
        <w:t>.</w:t>
      </w:r>
    </w:p>
    <w:p>
      <w:pPr>
        <w:spacing w:after="0" w:line="293" w:lineRule="exact"/>
        <w:rPr>
          <w:sz w:val="20"/>
          <w:szCs w:val="20"/>
          <w:color w:val="auto"/>
        </w:rPr>
      </w:pPr>
    </w:p>
    <w:p>
      <w:pPr>
        <w:ind w:left="-8" w:firstLine="1304"/>
        <w:spacing w:after="0" w:line="269" w:lineRule="auto"/>
        <w:tabs>
          <w:tab w:leader="none" w:pos="2028"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individually or in the aggregate, a Material Adverse Effect, (a) all insurance policies maintained by or for the benefit of the Company, its Subsidiaries and the Joint Venture Entities, including those insuring or related to any Vessel, are in full force and effect and all premiums due and payable thereon have been paid; (b) neither the Company nor any of its Subsidiaries or, to the Knowledge of the Company, any Joint Venture Entity is in breach or default of any of the insurance policies or has taken any action or failed to take any action which, with notice or lapse of time, would constitute such a breach or default or permit termination or modification of any of the insurance policies;</w:t>
      </w:r>
    </w:p>
    <w:p>
      <w:pPr>
        <w:spacing w:after="0" w:line="2" w:lineRule="exact"/>
        <w:rPr>
          <w:rFonts w:ascii="Times New Roman" w:cs="Times New Roman" w:eastAsia="Times New Roman" w:hAnsi="Times New Roman"/>
          <w:sz w:val="17"/>
          <w:szCs w:val="17"/>
          <w:color w:val="auto"/>
        </w:rPr>
      </w:pPr>
    </w:p>
    <w:p>
      <w:pPr>
        <w:ind w:left="-8" w:right="120" w:firstLine="8"/>
        <w:spacing w:after="0" w:line="255" w:lineRule="auto"/>
        <w:tabs>
          <w:tab w:leader="none" w:pos="23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to the Knowledge of the Company, any Joint Venture Entity has received any notice of cancellation or termination with respect to any such insurance policies; and (d) there are no material claims pending under any such insurance policies that have been disputed or denied by the applicable insurer(s).</w:t>
      </w:r>
    </w:p>
    <w:p>
      <w:pPr>
        <w:spacing w:after="0" w:line="239" w:lineRule="exact"/>
        <w:rPr>
          <w:rFonts w:ascii="Times New Roman" w:cs="Times New Roman" w:eastAsia="Times New Roman" w:hAnsi="Times New Roman"/>
          <w:sz w:val="18"/>
          <w:szCs w:val="18"/>
          <w:color w:val="auto"/>
        </w:rPr>
      </w:pPr>
    </w:p>
    <w:p>
      <w:pPr>
        <w:ind w:left="-8" w:right="480" w:firstLine="1304"/>
        <w:spacing w:after="0" w:line="282" w:lineRule="auto"/>
        <w:tabs>
          <w:tab w:leader="none" w:pos="2038"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3.20(b) of the Company Disclosure Schedule contains a true, complete and accurate list of the insurance policies insuring or related to any Vessel as of the date hereof.</w:t>
      </w:r>
    </w:p>
    <w:p>
      <w:pPr>
        <w:spacing w:after="0" w:line="179" w:lineRule="exact"/>
        <w:rPr>
          <w:sz w:val="20"/>
          <w:szCs w:val="20"/>
          <w:color w:val="auto"/>
        </w:rPr>
      </w:pPr>
    </w:p>
    <w:p>
      <w:pPr>
        <w:ind w:left="652"/>
        <w:spacing w:after="0"/>
        <w:tabs>
          <w:tab w:leader="none" w:pos="2012" w:val="left"/>
        </w:tabs>
        <w:rPr>
          <w:sz w:val="20"/>
          <w:szCs w:val="20"/>
          <w:color w:val="auto"/>
        </w:rPr>
      </w:pPr>
      <w:r>
        <w:rPr>
          <w:rFonts w:ascii="Times New Roman" w:cs="Times New Roman" w:eastAsia="Times New Roman" w:hAnsi="Times New Roman"/>
          <w:sz w:val="18"/>
          <w:szCs w:val="18"/>
          <w:color w:val="auto"/>
        </w:rPr>
        <w:t>Section 3.21</w:t>
      </w:r>
      <w:r>
        <w:rPr>
          <w:sz w:val="20"/>
          <w:szCs w:val="20"/>
          <w:color w:val="auto"/>
        </w:rPr>
        <w:tab/>
      </w:r>
      <w:r>
        <w:rPr>
          <w:rFonts w:ascii="Times New Roman" w:cs="Times New Roman" w:eastAsia="Times New Roman" w:hAnsi="Times New Roman"/>
          <w:sz w:val="17"/>
          <w:szCs w:val="17"/>
          <w:u w:val="single" w:color="auto"/>
          <w:color w:val="auto"/>
        </w:rPr>
        <w:t>Export Controls</w:t>
      </w:r>
      <w:r>
        <w:rPr>
          <w:rFonts w:ascii="Times New Roman" w:cs="Times New Roman" w:eastAsia="Times New Roman" w:hAnsi="Times New Roman"/>
          <w:sz w:val="20"/>
          <w:szCs w:val="20"/>
          <w:color w:val="auto"/>
        </w:rPr>
        <w:t>.</w:t>
      </w:r>
    </w:p>
    <w:p>
      <w:pPr>
        <w:spacing w:after="0" w:line="292" w:lineRule="exact"/>
        <w:rPr>
          <w:sz w:val="20"/>
          <w:szCs w:val="20"/>
          <w:color w:val="auto"/>
        </w:rPr>
      </w:pPr>
    </w:p>
    <w:p>
      <w:pPr>
        <w:ind w:left="-8" w:right="60" w:firstLine="1304"/>
        <w:spacing w:after="0" w:line="255" w:lineRule="auto"/>
        <w:tabs>
          <w:tab w:leader="none" w:pos="202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its Subsidiaries and the Joint Venture Entities and any of their respective Representatives (in each case, acting in their capacities as such) has, to the Knowledge of the Company, conducted all export transactions in all material respects in accordance with any applicable Trade Control Law since the later of its formation and January 1, 2016. There are no Contracts between the Company, any of its Subsidiaries or any Joint Venture Entity and any Person engaged in international trade or export on behalf of the Company, any of its Subsidiaries or any Joint Venture Entity (including any Person identified on the U.S. Department of the Treasury’s Specially Designated Nationals List). No export or import Permits, license exceptions or other consents are required to operate the business of the Company or any of its Subsidiaries as currently conducted. No export or import Permits, license exceptions or other consents are required to operate the business of the Joint Venture Entities as currently conducted.</w:t>
      </w:r>
    </w:p>
    <w:p>
      <w:pPr>
        <w:spacing w:after="0" w:line="242" w:lineRule="exact"/>
        <w:rPr>
          <w:rFonts w:ascii="Times New Roman" w:cs="Times New Roman" w:eastAsia="Times New Roman" w:hAnsi="Times New Roman"/>
          <w:sz w:val="18"/>
          <w:szCs w:val="18"/>
          <w:color w:val="auto"/>
        </w:rPr>
      </w:pPr>
    </w:p>
    <w:p>
      <w:pPr>
        <w:ind w:left="-8" w:right="120" w:firstLine="1304"/>
        <w:spacing w:after="0" w:line="258" w:lineRule="auto"/>
        <w:tabs>
          <w:tab w:leader="none" w:pos="203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Subsidiaries and the Joint Venture Entities are not, to the Knowledge of the Company, engaged in any activities to establish, support or maintain any business relationships with, or contracted to sell, supply, distribute or otherwise provide any goods or services to, any Governmental Authority within, and any Person organized or domiciled in or that is a citizen of, Cuba, Iran, the Republic of North Korea, the Republic of the Sudan, Syria, the Crimea Region of the Ukraine or any other country or territory against which the United States maintains comprehensive trade sanctions and/or economic embargoes.</w:t>
      </w:r>
    </w:p>
    <w:p>
      <w:pPr>
        <w:spacing w:after="0" w:line="38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1" w:right="359" w:bottom="1440" w:gutter="0" w:footer="0" w:header="0"/>
        </w:sectPr>
      </w:pPr>
    </w:p>
    <w:bookmarkStart w:id="142" w:name="page143"/>
    <w:bookmarkEnd w:id="142"/>
    <w:p>
      <w:pPr>
        <w:ind w:left="-20" w:right="100" w:firstLine="1304"/>
        <w:spacing w:after="0" w:line="261" w:lineRule="auto"/>
        <w:tabs>
          <w:tab w:leader="none" w:pos="201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any Joint Venture Entity has been, since the later of its formation and January 1, 2016, and as of the date of this Agreement is, the subject of a charging letter or penalty notice issued, or an investigation conducted, by a Governmental Authority pertaining to any Trade Control Law, nor are there any pending internal investigations by the Company, any of its Subsidiaries or any Joint Venture Entity pertaining to any Trade Control Law as of the date of this Agreement.</w:t>
      </w:r>
    </w:p>
    <w:p>
      <w:pPr>
        <w:spacing w:after="0" w:line="233" w:lineRule="exact"/>
        <w:rPr>
          <w:rFonts w:ascii="Times New Roman" w:cs="Times New Roman" w:eastAsia="Times New Roman" w:hAnsi="Times New Roman"/>
          <w:sz w:val="18"/>
          <w:szCs w:val="18"/>
          <w:color w:val="auto"/>
        </w:rPr>
      </w:pPr>
    </w:p>
    <w:p>
      <w:pPr>
        <w:ind w:left="-20" w:right="20" w:firstLine="1304"/>
        <w:spacing w:after="0" w:line="266" w:lineRule="auto"/>
        <w:tabs>
          <w:tab w:leader="none" w:pos="202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any Joint Venture Entity, or any of their respective directors, officers or employees is located, organized or resident in a country or region that is the subject of comprehensive OFAC sanctions (including Cuba, Iran, North Korea, Syria and the Crimea region of Ukraine).</w:t>
      </w:r>
    </w:p>
    <w:p>
      <w:pPr>
        <w:spacing w:after="0" w:line="229" w:lineRule="exact"/>
        <w:rPr>
          <w:rFonts w:ascii="Times New Roman" w:cs="Times New Roman" w:eastAsia="Times New Roman" w:hAnsi="Times New Roman"/>
          <w:sz w:val="18"/>
          <w:szCs w:val="18"/>
          <w:color w:val="auto"/>
        </w:rPr>
      </w:pPr>
    </w:p>
    <w:p>
      <w:pPr>
        <w:ind w:left="-20" w:right="140" w:firstLine="1304"/>
        <w:spacing w:after="0" w:line="282" w:lineRule="auto"/>
        <w:tabs>
          <w:tab w:leader="none" w:pos="201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any Joint Venture Entity is or has been, at any applicable time, engaged in any business activity that is sanctionable under U.S. “secondary sanctions” administered by OFAC and/or the U.S. Department of State.</w:t>
      </w:r>
    </w:p>
    <w:p>
      <w:pPr>
        <w:spacing w:after="0" w:line="179"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3.22</w:t>
      </w:r>
      <w:r>
        <w:rPr>
          <w:sz w:val="20"/>
          <w:szCs w:val="20"/>
          <w:color w:val="auto"/>
        </w:rPr>
        <w:tab/>
      </w:r>
      <w:r>
        <w:rPr>
          <w:rFonts w:ascii="Times New Roman" w:cs="Times New Roman" w:eastAsia="Times New Roman" w:hAnsi="Times New Roman"/>
          <w:sz w:val="17"/>
          <w:szCs w:val="17"/>
          <w:u w:val="single" w:color="auto"/>
          <w:color w:val="auto"/>
        </w:rPr>
        <w:t>Anti-Corruption</w:t>
      </w:r>
      <w:r>
        <w:rPr>
          <w:rFonts w:ascii="Times New Roman" w:cs="Times New Roman" w:eastAsia="Times New Roman" w:hAnsi="Times New Roman"/>
          <w:sz w:val="20"/>
          <w:szCs w:val="20"/>
          <w:color w:val="auto"/>
        </w:rPr>
        <w:t>.</w:t>
      </w:r>
    </w:p>
    <w:p>
      <w:pPr>
        <w:spacing w:after="0" w:line="292" w:lineRule="exact"/>
        <w:rPr>
          <w:sz w:val="20"/>
          <w:szCs w:val="20"/>
          <w:color w:val="auto"/>
        </w:rPr>
      </w:pPr>
    </w:p>
    <w:p>
      <w:pPr>
        <w:ind w:left="-20" w:right="120" w:firstLine="1304"/>
        <w:spacing w:after="0" w:line="266" w:lineRule="auto"/>
        <w:tabs>
          <w:tab w:leader="none" w:pos="201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its Subsidiaries and the Joint Venture Entities, or any of their respective officers, directors, employees or, to the Knowledge of the Company, agents has, since the later of its formation and January 1, 2016, taken or attempted to take any action in violation of any applicable Anti-Corruption Laws or Trade Control Laws.</w:t>
      </w:r>
    </w:p>
    <w:p>
      <w:pPr>
        <w:spacing w:after="0" w:line="229" w:lineRule="exact"/>
        <w:rPr>
          <w:rFonts w:ascii="Times New Roman" w:cs="Times New Roman" w:eastAsia="Times New Roman" w:hAnsi="Times New Roman"/>
          <w:sz w:val="18"/>
          <w:szCs w:val="18"/>
          <w:color w:val="auto"/>
        </w:rPr>
      </w:pPr>
    </w:p>
    <w:p>
      <w:pPr>
        <w:ind w:left="-20" w:right="20" w:firstLine="1304"/>
        <w:spacing w:after="0" w:line="254" w:lineRule="auto"/>
        <w:tabs>
          <w:tab w:leader="none" w:pos="202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its Subsidiaries and the Joint Venture Entities, or any of their respective officers, directors, employees or, to the Knowledge of the Company, agents has, since the later of its formation and January 1, 2016, directly or indirectly, made or authorized, or attempted to make or authorize, any offer, gift, payment or promise of, any money or anything else of value, or provided any benefit to (A) any Government Official for the purposes of (i) influencing any act or decision of such Government Official in his official capacity; (ii) inducing such Government Official to do or omit to do any act in violation of the lawful duty of such Government Official; (iii) securing any improper advantage; or (iv) inducing such Government Official to use his or her influence with another Government Official, in order to obtain or retain business or direct any business to the Company, its Subsidiaries or the Joint Venture Entities or (B) any other Person to secure an improper advantage or to obtain or retain business unlawfully.</w:t>
      </w:r>
    </w:p>
    <w:p>
      <w:pPr>
        <w:spacing w:after="0" w:line="245" w:lineRule="exact"/>
        <w:rPr>
          <w:rFonts w:ascii="Times New Roman" w:cs="Times New Roman" w:eastAsia="Times New Roman" w:hAnsi="Times New Roman"/>
          <w:sz w:val="18"/>
          <w:szCs w:val="18"/>
          <w:color w:val="auto"/>
        </w:rPr>
      </w:pPr>
    </w:p>
    <w:p>
      <w:pPr>
        <w:ind w:left="-20" w:firstLine="1304"/>
        <w:spacing w:after="0" w:line="256" w:lineRule="auto"/>
        <w:tabs>
          <w:tab w:leader="none" w:pos="201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any Joint Venture Entity has been, since the later of its formation and January 1, 2016, and as of the date of this Agreement are, the subject of a charging letter, indictment, information penalty notice or similar document issued or threatened, or an investigation conducted, by a Governmental Authority pertaining to any alleged violation of any Anti-Corruption Law, nor have there been, since January 1, 2016, except as noted in clause (d) below, any pending internal investigations, or allegations, reports or notices received, by the Company or any of its Subsidiaries or any Joint Venture Entity, or their counsel, pertaining to any alleged violation of Anti-Corruption Law or related Company policy.</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8" w:right="359" w:bottom="1440" w:gutter="0" w:footer="0" w:header="0"/>
        </w:sectPr>
      </w:pPr>
    </w:p>
    <w:bookmarkStart w:id="143" w:name="page144"/>
    <w:bookmarkEnd w:id="143"/>
    <w:p>
      <w:pPr>
        <w:ind w:right="20" w:firstLine="1304"/>
        <w:spacing w:after="0" w:line="258" w:lineRule="auto"/>
        <w:tabs>
          <w:tab w:leader="none" w:pos="204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publicly disclosed by the Company, the Company commissioned an internal review of the allegations concerning its former Chief Executive Officer, who was accused of bribery in connection with conduct while he was an executive of another company. The Company’s review did not identify, and the Company is not aware of, any information, evidence or allegation regarding conduct by the former Chief Executive Officer during his tenure at the Company that, if established to be true, would constitute a breach of Company policy against corruption or bribery, or any Anti-Corruption Law.</w:t>
      </w:r>
    </w:p>
    <w:p>
      <w:pPr>
        <w:spacing w:after="0" w:line="237" w:lineRule="exact"/>
        <w:rPr>
          <w:rFonts w:ascii="Times New Roman" w:cs="Times New Roman" w:eastAsia="Times New Roman" w:hAnsi="Times New Roman"/>
          <w:sz w:val="18"/>
          <w:szCs w:val="18"/>
          <w:color w:val="auto"/>
        </w:rPr>
      </w:pPr>
    </w:p>
    <w:p>
      <w:pPr>
        <w:ind w:right="100" w:firstLine="1304"/>
        <w:spacing w:after="0" w:line="282" w:lineRule="auto"/>
        <w:tabs>
          <w:tab w:leader="none" w:pos="203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Subsidiaries and the Joint Venture Entities have instituted, maintained and enforced policies and procedures to ensure compliance with all applicable Anti-Corruption Laws, including, but not limited to, the FCPA and the Bribery Act.</w:t>
      </w:r>
    </w:p>
    <w:p>
      <w:pPr>
        <w:spacing w:after="0" w:line="179" w:lineRule="exact"/>
        <w:rPr>
          <w:sz w:val="20"/>
          <w:szCs w:val="20"/>
          <w:color w:val="auto"/>
        </w:rPr>
      </w:pPr>
    </w:p>
    <w:p>
      <w:pPr>
        <w:ind w:right="280"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21"/>
          <w:szCs w:val="21"/>
          <w:color w:val="auto"/>
        </w:rPr>
        <w:t>. Except as described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of the Company Disclosure Schedule, neither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Company nor its Subsidiaries or the Joint Venture Entities owns or holds any refined petroleum product, crude oil, natural gas, liquefied natural gas, natural gas liquid and other pipelines, lateral lines, pumps, pump stations, storage facilities, terminals, processing plants and other related operations, assets, machinery or equipment that are subject to rate regulation or comprehensive nondiscriminatory access regulation under the Laws of any state or other local jurisdiction.</w:t>
      </w:r>
    </w:p>
    <w:p>
      <w:pPr>
        <w:spacing w:after="0" w:line="195"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Opinions of Financial Advisors</w:t>
      </w:r>
      <w:r>
        <w:rPr>
          <w:rFonts w:ascii="Times New Roman" w:cs="Times New Roman" w:eastAsia="Times New Roman" w:hAnsi="Times New Roman"/>
          <w:sz w:val="21"/>
          <w:szCs w:val="21"/>
          <w:color w:val="auto"/>
        </w:rPr>
        <w:t>. The Board of Directors of the Company has received the separate opinions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Citigroup Global Markets Inc. and Goldman Sachs International (collectively, the “</w:t>
      </w:r>
      <w:r>
        <w:rPr>
          <w:rFonts w:ascii="Times New Roman" w:cs="Times New Roman" w:eastAsia="Times New Roman" w:hAnsi="Times New Roman"/>
          <w:sz w:val="17"/>
          <w:szCs w:val="17"/>
          <w:u w:val="single" w:color="auto"/>
          <w:color w:val="auto"/>
        </w:rPr>
        <w:t>Company Financial Advisors</w:t>
      </w:r>
      <w:r>
        <w:rPr>
          <w:rFonts w:ascii="Times New Roman" w:cs="Times New Roman" w:eastAsia="Times New Roman" w:hAnsi="Times New Roman"/>
          <w:sz w:val="21"/>
          <w:szCs w:val="21"/>
          <w:color w:val="auto"/>
        </w:rPr>
        <w:t>”), to the effect that, as of the respective dates of such opinions and based on and subject to the various assumptions, qualifications, limitations and other matters set forth therein, the aggregate consideration to be paid for the Company, on a common equity value basis, is fair, from a financial point of view, to the Company. It is agreed and understood that such opinion is for the benefit of the Board of Directors of the Company and may not be relied on by Parent, Merger Sub or any other party for any purpose.</w:t>
      </w:r>
    </w:p>
    <w:p>
      <w:pPr>
        <w:spacing w:after="0" w:line="198"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Brokers and Other Advisors</w:t>
      </w:r>
      <w:r>
        <w:rPr>
          <w:rFonts w:ascii="Times New Roman" w:cs="Times New Roman" w:eastAsia="Times New Roman" w:hAnsi="Times New Roman"/>
          <w:sz w:val="21"/>
          <w:szCs w:val="21"/>
          <w:color w:val="auto"/>
        </w:rPr>
        <w:t>. Except for the Company Financial Advisors, the fees and expenses of which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be paid by the Company,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the Company or any of its Subsidiaries or the Joint Venture Entities or the Company Shareholders. The Company has disclosed to Parent the financial arrangements with each Company Financial Advisor with respect to the Merger.</w:t>
      </w:r>
    </w:p>
    <w:p>
      <w:pPr>
        <w:spacing w:after="0" w:line="19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21"/>
          <w:szCs w:val="21"/>
          <w:color w:val="auto"/>
        </w:rPr>
        <w:t>. Except for the representations and warranties made by the Company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this Article III, neither the Company nor any other Person makes any other express or implied representation or warranty with respect to any of the Company, its Subsidiaries or the Joint Venture Entities or their respective businesses, operations, assets, liabilities, condition (financial or otherwise) or prospects, notwithstanding the delivery or disclosure to Parent, Merger Sub or any of their respective Representatives of any documentation, forecasts or other information with respect to any one or more of the foregoing, and each of Parent and Merger Sub acknowledge the foregoing. In particular, and without limiting the generality of the foregoing, except for the representations and warranties made by the Company in this Article III, neither the Company nor any other Person makes or has made any express or implied representation or warranty to Parent, Merger Sub or any of their respective Representatives with respect to (a) any financial projection, forecast, estimate, budget or prospect information relating to any of the Company, its Subsidiaries or the Joint Venture Entities or their respective businesses, (b) any judgment based on actuarial principles, practices or analyses by any Person or as to the future satisfaction or outcome of any assumption or otherwise concerning reserves for losses, loss adjustment expenses or uncollectible reinsurance or (c) any oral or written information presented to Parent, Merger Sub or any of their respective Representatives in the course of their due diligence investigation of the Company, the negotiation of this Agreement or the course of the Transactions. Each of the Company Shareholders and the Company acknowledges and agrees that except for the representations and warranties of Parent and Merger Sub made in Article IV, neither Company Shareholder nor the Company has relied upon on any representation, warranty or statement, including as to the accuracy or completeness thereof, either express or implied, whether written or oral, concerning Parent, Merger Sub or any of their respective Affiliates or any of their respective businesses, operations, assets, liabilities, results of operations, condition (financial or otherwise) or prospects, the transactions contemplated by this Agreement and the Ancillary Agreement or otherwise with respect to information provided by or on behalf of Parent, Merger Sub or any of their respective Affiliates or Representatives.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8" w:right="359" w:bottom="1440" w:gutter="0" w:footer="0" w:header="0"/>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PARENT AND MERGER SUB</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Parent and Merger Sub jointly and severally represent and warrant to the Company that, except as (A) set forth in the disclosure schedule delivered by Parent to the Company on the date of this Agreement (the “</w:t>
      </w:r>
      <w:r>
        <w:rPr>
          <w:rFonts w:ascii="Times New Roman" w:cs="Times New Roman" w:eastAsia="Times New Roman" w:hAnsi="Times New Roman"/>
          <w:sz w:val="18"/>
          <w:szCs w:val="18"/>
          <w:u w:val="single" w:color="auto"/>
          <w:color w:val="auto"/>
        </w:rPr>
        <w:t>Parent Disclosure Schedule</w:t>
      </w:r>
      <w:r>
        <w:rPr>
          <w:rFonts w:ascii="Times New Roman" w:cs="Times New Roman" w:eastAsia="Times New Roman" w:hAnsi="Times New Roman"/>
          <w:sz w:val="18"/>
          <w:szCs w:val="18"/>
          <w:color w:val="auto"/>
        </w:rPr>
        <w:t>”) (it being understood that any information set forth on one section or subsection of the Parent Disclosure Schedule shall be deemed to apply to and qualify the section or subsection of this Agreement to which it corresponds in number and each other section or subsection of this Agreement to the extent that it is reasonably apparent on the face of such disclosure that such information is relevant to such other section or subsection) or (B) disclosed in any report, schedule, form, statement or other document filed with, or furnished to, the SEC since January 1, 2018 by Parent and publicly available prior to the date of this Agreement (the “</w:t>
      </w:r>
      <w:r>
        <w:rPr>
          <w:rFonts w:ascii="Times New Roman" w:cs="Times New Roman" w:eastAsia="Times New Roman" w:hAnsi="Times New Roman"/>
          <w:sz w:val="18"/>
          <w:szCs w:val="18"/>
          <w:u w:val="single" w:color="auto"/>
          <w:color w:val="auto"/>
        </w:rPr>
        <w:t>Parent Filed SEC Documents</w:t>
      </w:r>
      <w:r>
        <w:rPr>
          <w:rFonts w:ascii="Times New Roman" w:cs="Times New Roman" w:eastAsia="Times New Roman" w:hAnsi="Times New Roman"/>
          <w:sz w:val="18"/>
          <w:szCs w:val="18"/>
          <w:color w:val="auto"/>
        </w:rPr>
        <w:t>”), other than disclosure contained in the “Risk Factors” or “Forward-Looking Statements” sections of such Parent Filed SEC Documents or that otherwise constitute risk factors or forward-looking statements of risks generally faced by participants in the industries in which Parent operates without disclosure of specific facts and circumstances:</w:t>
      </w:r>
    </w:p>
    <w:p>
      <w:pPr>
        <w:spacing w:after="0" w:line="206"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u w:val="single" w:color="auto"/>
          <w:color w:val="auto"/>
        </w:rPr>
        <w:t>Organization; Standing</w:t>
      </w:r>
      <w:r>
        <w:rPr>
          <w:rFonts w:ascii="Times New Roman" w:cs="Times New Roman" w:eastAsia="Times New Roman" w:hAnsi="Times New Roman"/>
          <w:sz w:val="20"/>
          <w:szCs w:val="20"/>
          <w:color w:val="auto"/>
        </w:rPr>
        <w:t>.</w:t>
      </w:r>
    </w:p>
    <w:p>
      <w:pPr>
        <w:spacing w:after="0" w:line="292" w:lineRule="exact"/>
        <w:rPr>
          <w:sz w:val="20"/>
          <w:szCs w:val="20"/>
          <w:color w:val="auto"/>
        </w:rPr>
      </w:pPr>
    </w:p>
    <w:p>
      <w:pPr>
        <w:ind w:right="20" w:firstLine="1304"/>
        <w:spacing w:after="0" w:line="253" w:lineRule="auto"/>
        <w:tabs>
          <w:tab w:leader="none" w:pos="203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a corporation duly organized, validly existing and in good standing under the Laws of Delaware and Merger Sub is an exempted company duly organized, validly existing and in good standing under the Laws of Bermuda. Each of Parent and Merger Sub has all requisite corporate power and authority necessary to carry on its business as it is now being conducted and to own, lease and operate its assets and properties, except (other than with respect to the due organization and valid existence of Parent and Merger Sub) as would not reasonably be expected to have, individually or in the aggregate, a Parent Material Adverse Effect. Each of Parent and Merger Sub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reasonably be expected to have, individually or in the aggregate, a Parent Material Adverse Effect. Parent has made available to the Company true and complete copies of Parent’s and Merger Sub’s certificates or articles of incorporation, code of regulations, bylaws or comparable governing documents, each as amended to the date of this Agreement, and the Parent Organizational Documents are included in the Parent Filed SEC Documents. Parent is not in violation of the Parent Organizational Documents and no Subsidiary of Parent is in violation of any of its organizational documents, except as would not be material to Parent and its Subsidiaries taken as a whole.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5" w:name="page146"/>
    <w:bookmarkEnd w:id="145"/>
    <w:p>
      <w:pPr>
        <w:ind w:left="-20" w:right="80" w:firstLine="1304"/>
        <w:spacing w:after="0" w:line="312" w:lineRule="auto"/>
        <w:tabs>
          <w:tab w:leader="none" w:pos="2026"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Parent’s Subsidiaries is duly organized, validly existing and in good standing (where such concept is recognized under applicable Law) under the Laws of the jurisdiction of its organization, except as would not be material to Parent and its Subsidiaries taken as a whole.</w:t>
      </w:r>
    </w:p>
    <w:p>
      <w:pPr>
        <w:spacing w:after="0" w:line="158"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u w:val="single" w:color="auto"/>
          <w:color w:val="auto"/>
        </w:rPr>
        <w:t>Capitalization</w:t>
      </w:r>
      <w:r>
        <w:rPr>
          <w:rFonts w:ascii="Times New Roman" w:cs="Times New Roman" w:eastAsia="Times New Roman" w:hAnsi="Times New Roman"/>
          <w:sz w:val="20"/>
          <w:szCs w:val="20"/>
          <w:color w:val="auto"/>
        </w:rPr>
        <w:t>.</w:t>
      </w:r>
    </w:p>
    <w:p>
      <w:pPr>
        <w:spacing w:after="0" w:line="292" w:lineRule="exact"/>
        <w:rPr>
          <w:sz w:val="20"/>
          <w:szCs w:val="20"/>
          <w:color w:val="auto"/>
        </w:rPr>
      </w:pPr>
    </w:p>
    <w:p>
      <w:pPr>
        <w:ind w:left="-20" w:right="60" w:firstLine="1304"/>
        <w:spacing w:after="0" w:line="254" w:lineRule="auto"/>
        <w:tabs>
          <w:tab w:leader="none" w:pos="201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Parent consists of 750,000,000 Parent Shares. As of the Capitalization Date, (i) 174,622,862 Parent Shares were outstanding and (ii) 5,006,815 Parent Shares in the aggregate were reserved and available for issuance pursuant to the Parent Omnibus Incentive Plan, of which (A) 1,998,554 are vested restricted share units that have not been delivered to recipients, (B) 875,297 are non-vested restricted share units subject to service conditions and (C) the remainder are non-vested performance share units granted to certain employees and non-employees subject to a performance condition that could result in the delivery of up to 2,132,964 shares if fully vested. Since the Capitalization Date through the date of this Agreement, neither Parent nor any of its Subsidiaries has (I) issued any Parent Securities or incurred any obligation to make any payments based on the price or value of any Parent Securities or dividends paid thereon that were outstanding as of the Capitalization Date or (II) established a record date for, declared, set aside for payment or paid any dividend on, or made any other distribution in respect of, any shares of Parent’s capital stock.</w:t>
      </w:r>
    </w:p>
    <w:p>
      <w:pPr>
        <w:spacing w:after="0" w:line="245" w:lineRule="exact"/>
        <w:rPr>
          <w:rFonts w:ascii="Times New Roman" w:cs="Times New Roman" w:eastAsia="Times New Roman" w:hAnsi="Times New Roman"/>
          <w:sz w:val="18"/>
          <w:szCs w:val="18"/>
          <w:color w:val="auto"/>
        </w:rPr>
      </w:pPr>
    </w:p>
    <w:p>
      <w:pPr>
        <w:ind w:left="-20" w:firstLine="1304"/>
        <w:spacing w:after="0" w:line="252" w:lineRule="auto"/>
        <w:tabs>
          <w:tab w:leader="none" w:pos="202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this Section 4.02, as of the Capitalization Date, there were (i) no outstanding shares of capital stock of, or other equity or voting interests in, Parent, (ii) no outstanding securities of Parent convertible into or exchangeable for shares of capital stock of, or other equity or voting interests in, Parent, (iii) no outstanding options, warrants, rights or other commitments or agreements to acquire from Parent, or that obligate Parent to issue, any capital stock of, or other equity or voting interests in, or any securities convertible into or exchangeable for shares of capital stock of, or other equity or voting interests in, Parent, (iv) no obligations of Parent to grant, extend or enter into any subscription, warrant, right, convertible or exchangeable security or other similar agreement or commitment relating to any capital stock of, or other equity or voting interests in, Parent (the items in clauses (i), (ii), (iii) and (iv) being referred to collectively as “</w:t>
      </w:r>
      <w:r>
        <w:rPr>
          <w:rFonts w:ascii="Times New Roman" w:cs="Times New Roman" w:eastAsia="Times New Roman" w:hAnsi="Times New Roman"/>
          <w:sz w:val="18"/>
          <w:szCs w:val="18"/>
          <w:u w:val="single" w:color="auto"/>
          <w:color w:val="auto"/>
        </w:rPr>
        <w:t>Parent Securities</w:t>
      </w:r>
      <w:r>
        <w:rPr>
          <w:rFonts w:ascii="Times New Roman" w:cs="Times New Roman" w:eastAsia="Times New Roman" w:hAnsi="Times New Roman"/>
          <w:sz w:val="18"/>
          <w:szCs w:val="18"/>
          <w:color w:val="auto"/>
        </w:rPr>
        <w:t>”) and (v) no other obligations by Parent or any of its Subsidiaries to make any payments based on the price or value of any Parent Securities or dividends paid thereon. There are no outstanding agreements or instruments of any kind that obligate Parent or any of its Subsidiaries to repurchase, redeem or otherwise acquire any Parent Securities (or obligate Parent to grant, extend or enter into any such agreements relating to any Parent Securities) or that grant any preemptive rights, subscription rights, anti-dilutive rights, rights of first refusal or similar rights with respect to any Parent Securities. Except as described in this Section 4.02, no direct or indirect Subsidiary of Parent owns any Parent Shares. None of Parent or any Subsidiary of Parent is a party to any shareholders’ agreement, voting trust agreement, registration rights agreement or other similar agreement or understanding relating to any Parent Securities or any other agreement relating to the disposition, voting or dividends with respect to any Parent Securities. All outstanding Parent Shares have been duly authorized and validly issued and are fully paid, nonassessable and free of preemptive rights.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8" w:right="339" w:bottom="1440" w:gutter="0" w:footer="0" w:header="0"/>
        </w:sectPr>
      </w:pPr>
    </w:p>
    <w:bookmarkStart w:id="146" w:name="page147"/>
    <w:bookmarkEnd w:id="146"/>
    <w:p>
      <w:pPr>
        <w:ind w:left="2040" w:hanging="736"/>
        <w:spacing w:after="0"/>
        <w:tabs>
          <w:tab w:leader="none" w:pos="20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Shares constitute the only outstanding classes of securities of Parent or its Subsidiaries registered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w:t>
      </w:r>
    </w:p>
    <w:p>
      <w:pPr>
        <w:spacing w:after="0" w:line="261" w:lineRule="exact"/>
        <w:rPr>
          <w:sz w:val="20"/>
          <w:szCs w:val="20"/>
          <w:color w:val="auto"/>
        </w:rPr>
      </w:pPr>
    </w:p>
    <w:p>
      <w:pPr>
        <w:ind w:right="20" w:firstLine="1304"/>
        <w:spacing w:after="0" w:line="253" w:lineRule="auto"/>
        <w:tabs>
          <w:tab w:leader="none" w:pos="20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shares of capital stock of, or other equity or voting interests in, each Subsidiary of Parent (except for directors’ qualifying shares or similar interests) are owned, directly or indirectly, beneficially and of record, by Parent free and clear of all Liens and material transfer restrictions, except for such Liens and transfer restrictions of general applicability as may be provided under the Securities Act or other applicable securities Laws (including any restriction on the right to vote, sell or otherwise dispose of such shares of capital stock or other equity or voting interests). Each outstanding share of capital stock of each Subsidiary of Parent that is held, directly or indirectly, by Parent, is duly authorized, validly issued, fully paid, nonassessable and free of preemptive rights, and there are no subscriptions, options, warrants, rights, calls, contracts or other commitments, understandings, restrictions or arrangements relating to the issuance, acquisition, redemption, repurchase or sale of any shares of capital stock or other equity or voting interests of any Subsidiary of Parent, including any right of conversion or exchange under any outstanding security, instrument or agreement, any agreements granting any preemptive rights, subscription rights, anti-dilutive rights, rights of first refusal or similar rights with respect to any securities of any Subsidiary of Parent. None of the Subsidiaries of Parent has any outstanding equity compensation plans relating to the capital stock of, or other equity or voting interests in, any Subsidiary of Parent. Neither Parent nor any of its Subsidiaries has any obligation to make any payments based on the price or value of any securities of any Subsidiary of Parent or dividends paid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6575425</wp:posOffset>
            </wp:positionH>
            <wp:positionV relativeFrom="paragraph">
              <wp:posOffset>-1264920</wp:posOffset>
            </wp:positionV>
            <wp:extent cx="285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8"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7"/>
          <w:szCs w:val="17"/>
          <w:u w:val="single" w:color="auto"/>
          <w:color w:val="auto"/>
        </w:rPr>
        <w:t>Authority; Noncontravention</w:t>
      </w:r>
      <w:r>
        <w:rPr>
          <w:rFonts w:ascii="Times New Roman" w:cs="Times New Roman" w:eastAsia="Times New Roman" w:hAnsi="Times New Roman"/>
          <w:sz w:val="20"/>
          <w:szCs w:val="20"/>
          <w:color w:val="auto"/>
        </w:rPr>
        <w:t>.</w:t>
      </w:r>
    </w:p>
    <w:p>
      <w:pPr>
        <w:spacing w:after="0" w:line="292" w:lineRule="exact"/>
        <w:rPr>
          <w:sz w:val="20"/>
          <w:szCs w:val="20"/>
          <w:color w:val="auto"/>
        </w:rPr>
      </w:pPr>
    </w:p>
    <w:p>
      <w:pPr>
        <w:ind w:firstLine="1304"/>
        <w:spacing w:after="0" w:line="252" w:lineRule="auto"/>
        <w:tabs>
          <w:tab w:leader="none" w:pos="20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has all necessary power and authority to execute and deliver this Agreement, the Statutory Merger Agreement and to perform its obligations hereunder and to consummate the Transactions. The execution, delivery and performance by Parent and Merger Sub of this Agreement and the Statutory Merger Agreement and the consummation by Parent and Merger Sub of the Transactions, have been duly and unanimously authorized and approved by the Boards of Directors of Parent and Merger Sub and no other corporate action on the part of Parent or Merger Sub is necessary to authorize the execution, delivery and performance by Parent and Merger Sub of this Agreement and the Statutory Merger Agreement and the consummation by Parent and Merger Sub of the Transactions, other than executing and delivering the Statutory Merger Agreement, the filing of the Merger Application with the Registrar pursuant to the Bermuda Companies Act and the approval of this Agreement by Parent in its capacity as sole shareholder of Merger Sub (which approval shall be provided by the written consent of Parent immediately following execution of this Agreement). This Agreement has been duly executed and delivered by Parent and Merger Sub and, assuming due authorization, execution and delivery hereof by the Company, constitutes a legal, valid and binding obligation of each of Parent and Merger Sub, enforceable against each of them in accordance with its terms, subject to the Bankruptcy and Equity Exception. The Board of Directors of each of Parent and Merger Sub has unanimously (i) determined that the Merger Consideration constitutes fair value for each Company Share in accordance with the Bermuda Companies Act and that the Preferred Share Consideration constitutes fair value for each Company Preferred Share in accordance with the Bermuda Companies Act, (ii) determined that the Merger, on the terms and subject to the conditions set forth herein, is fair to, and in the best interests of, Parent and Merger Sub and their respective shareholders and (iii) adopted resolutions that have approved this Agreement, the Statutory Merger Agreement and the Merger, and such resolutions have not been subsequently rescinded, modified or withdrawn in any way.</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47" w:name="page148"/>
    <w:bookmarkEnd w:id="147"/>
    <w:p>
      <w:pPr>
        <w:ind w:right="160" w:firstLine="1304"/>
        <w:spacing w:after="0" w:line="269" w:lineRule="auto"/>
        <w:tabs>
          <w:tab w:leader="none" w:pos="2046"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execution and delivery of this Agreement or the Statutory Merger Agreement by Parent and Merger Sub, (ii) the consummation by Parent of Merger Sub of the Transactions, and (iii) the performance or compliance by Parent or Merger Sub with any of the terms or provisions hereof, will not (A) contravene, conflict with or violate any provision (1) of the Parent Organizational Documents or (2) of the similar organizational documents of any of Parent’s Subsidiaries or (B) assuming (1) compliance with the matters set forth in Section 3.03(f) (other than Section 3.03(f)(iii)(A)) (and assuming the accuracy of the representations and warranties made in such Section 3.03(f)), (2) that the actions described in Section</w:t>
      </w:r>
    </w:p>
    <w:p>
      <w:pPr>
        <w:spacing w:after="0" w:line="2" w:lineRule="exact"/>
        <w:rPr>
          <w:rFonts w:ascii="Times New Roman" w:cs="Times New Roman" w:eastAsia="Times New Roman" w:hAnsi="Times New Roman"/>
          <w:sz w:val="17"/>
          <w:szCs w:val="17"/>
          <w:color w:val="auto"/>
        </w:rPr>
      </w:pPr>
    </w:p>
    <w:p>
      <w:pPr>
        <w:ind w:right="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3.03(a) and 3.03(b) have been completed, (3) that the authorizations, consents and approvals referred to in Section 4.04 and, in the case of Merger Sub, the approval of this Agreement, the Statutory Merger Agreement and the Merger by Parent in its capacity as sole shareholder of Merger Sub are obtained and</w:t>
      </w:r>
    </w:p>
    <w:p>
      <w:pPr>
        <w:ind w:firstLine="8"/>
        <w:spacing w:after="0" w:line="269" w:lineRule="auto"/>
        <w:tabs>
          <w:tab w:leader="none" w:pos="255"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filings referred to in Section 3.04 are made and any waiting periods thereunder have terminated or expired, in the case of each of the foregoing clauses (1) through (4), prior to the Effective Time, (x) violate any Law applicable to Parent, Merger Sub or any of Parent’s Subsidiaries, (y) violate or constitute a breach of or default (with or without notice or lapse of time or both) under any of the terms, conditions or provisions of any Contract to which Parent, Merger Sub or any of Parent’s Subsidiaries is a party or by which any of the assets or properties of Parent, Merger Sub or any of Parent’s Subsidiaries, as applicable, are bound, or give rise to any right to terminate, cancel, amend, modify or accelerate Parent’s or, if applicable, any of its Subsidiaries’ rights or obligations under any such Contract or (z) result in the creation of any Lien on any properties or assets of Parent, Merger Sub or any of Parent’s Subsidiaries, except, in the case of clause (A)(2) and clause (B), as would not reasonably be expected to have a Parent Material Adverse Effect.</w:t>
      </w:r>
    </w:p>
    <w:p>
      <w:pPr>
        <w:spacing w:after="0" w:line="229" w:lineRule="exact"/>
        <w:rPr>
          <w:rFonts w:ascii="Times New Roman" w:cs="Times New Roman" w:eastAsia="Times New Roman" w:hAnsi="Times New Roman"/>
          <w:sz w:val="17"/>
          <w:szCs w:val="17"/>
          <w:color w:val="auto"/>
        </w:rPr>
      </w:pPr>
    </w:p>
    <w:p>
      <w:pPr>
        <w:jc w:val="both"/>
        <w:ind w:right="40" w:firstLine="1304"/>
        <w:spacing w:after="0" w:line="266" w:lineRule="auto"/>
        <w:tabs>
          <w:tab w:leader="none" w:pos="203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this Agreement, the Merger and the Statutory Merger Agreement by Parent in its capacity as sole shareholder of Merger Sub is the only vote or approval of the holders of any class or series of capital stock of Merger Sub that is necessary to approve this Agreement, the Statutory Merger Agreement and the Merger.</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8" w:right="419" w:bottom="1440" w:gutter="0" w:footer="0" w:header="0"/>
        </w:sectPr>
      </w:pPr>
    </w:p>
    <w:bookmarkStart w:id="148" w:name="page149"/>
    <w:bookmarkEnd w:id="148"/>
    <w:p>
      <w:pPr>
        <w:ind w:right="140" w:firstLine="1304"/>
        <w:spacing w:after="0" w:line="261" w:lineRule="auto"/>
        <w:tabs>
          <w:tab w:leader="none" w:pos="204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Parent has unanimously (i) determined that the Merger and the Parent Share Issuance, on the terms and subject to the conditions set forth herein, is fair to, and in the best interests of, the Company Shareholders, and (ii) approved this Agreement, the Statutory Merger Agreement, the Transactions and the Parent Share Issuance. No vote or approval of the holders of any class or series of capital stock of Parent is necessary to approve this Agreement, the Statutory Merger Agreement or the Merger.</w:t>
      </w:r>
    </w:p>
    <w:p>
      <w:pPr>
        <w:spacing w:after="0" w:line="198"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21"/>
          <w:szCs w:val="21"/>
          <w:color w:val="auto"/>
        </w:rPr>
        <w:t>. Except for (a) compliance with the applicable requirements of the Exchange Act,</w:t>
      </w:r>
    </w:p>
    <w:p>
      <w:pPr>
        <w:spacing w:after="0" w:line="26" w:lineRule="exact"/>
        <w:rPr>
          <w:sz w:val="20"/>
          <w:szCs w:val="20"/>
          <w:color w:val="auto"/>
        </w:rPr>
      </w:pPr>
    </w:p>
    <w:p>
      <w:pPr>
        <w:ind w:right="40" w:firstLine="8"/>
        <w:spacing w:after="0" w:line="231" w:lineRule="auto"/>
        <w:tabs>
          <w:tab w:leader="none" w:pos="30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the rules and regulations of the Nasdaq (including the approval of the listing of Parent Shares to be issued in the Merger), (c) the filing of (i) the Merger Application with the Registrar pursuant to the Bermuda Companies Act and (ii) appropriate documents with the relevant authorities of other jurisdictions in which the Company or any of its Subsidiaries is qualified to do business, (d) filings required under, and compliance with other applicable requirements of, the HSR Act, and such other consents, approvals, filings, authorizations, declarations or registrations as are required to be made or obtained under any non-U.S. Antitrust Laws, (e) compliance with any applicable state securities or blue sky laws, and (iv) permission of the Bermuda Monetary Authority in respect of the Merger for the purposes of the Exchange Control Act 1972 of Bermuda and the related regulations made thereunder, no consent or approval of, or filing, license, permit or authorization, declaration or registration with, or notification to, or waiver from, any Governmental Authority is necessary for the execution and delivery of this Agreement by Parent and Merger Sub, the performance by Parent and Merger Sub of their obligations hereunder and the consummation by Parent and Merger Sub of the Transactions, other than such other consents, approvals, filings, licenses, permits or authorizations, declarations, registrations, notifications or waivers that, if not obtained, made or given, would not reasonably be expected to have, individually or in the aggregate, a Parent Material Adverse Effect.</w:t>
      </w:r>
    </w:p>
    <w:p>
      <w:pPr>
        <w:spacing w:after="0" w:line="213"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8"/>
          <w:szCs w:val="18"/>
          <w:u w:val="single" w:color="auto"/>
          <w:color w:val="auto"/>
        </w:rPr>
        <w:t>Ownership and Operations of Merger Sub</w:t>
      </w:r>
      <w:r>
        <w:rPr>
          <w:rFonts w:ascii="Times New Roman" w:cs="Times New Roman" w:eastAsia="Times New Roman" w:hAnsi="Times New Roman"/>
          <w:sz w:val="21"/>
          <w:szCs w:val="21"/>
          <w:color w:val="auto"/>
        </w:rPr>
        <w:t>. Parent owns, indirectly, beneficially and of record all of the</w:t>
      </w:r>
    </w:p>
    <w:p>
      <w:pPr>
        <w:spacing w:after="0" w:line="26"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22"/>
          <w:szCs w:val="22"/>
          <w:color w:val="auto"/>
        </w:rPr>
        <w:t>outstanding shares of capital stock of Merger Sub, free and clear of all Liens. Merger Sub was formed solely for the purpose of engaging in the Transactions, has no assets, liabilities or obligations of any nature other than those incident to its formation and pursuant to the Transactions, and prior to the Effective Time, will not have engaged in any business activities other than those relating to the Transactions.</w:t>
      </w:r>
    </w:p>
    <w:p>
      <w:pPr>
        <w:spacing w:after="0" w:line="204"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4.06</w:t>
      </w:r>
      <w:r>
        <w:rPr>
          <w:sz w:val="20"/>
          <w:szCs w:val="20"/>
          <w:color w:val="auto"/>
        </w:rPr>
        <w:tab/>
      </w:r>
      <w:r>
        <w:rPr>
          <w:rFonts w:ascii="Times New Roman" w:cs="Times New Roman" w:eastAsia="Times New Roman" w:hAnsi="Times New Roman"/>
          <w:sz w:val="18"/>
          <w:szCs w:val="18"/>
          <w:u w:val="single" w:color="auto"/>
          <w:color w:val="auto"/>
        </w:rPr>
        <w:t>Parent SEC Documents; Undisclosed Liabilities; Internal Controls</w:t>
      </w:r>
      <w:r>
        <w:rPr>
          <w:rFonts w:ascii="Times New Roman" w:cs="Times New Roman" w:eastAsia="Times New Roman" w:hAnsi="Times New Roman"/>
          <w:sz w:val="21"/>
          <w:szCs w:val="21"/>
          <w:color w:val="auto"/>
        </w:rPr>
        <w:t>.</w:t>
      </w:r>
    </w:p>
    <w:p>
      <w:pPr>
        <w:spacing w:after="0" w:line="281" w:lineRule="exact"/>
        <w:rPr>
          <w:sz w:val="20"/>
          <w:szCs w:val="20"/>
          <w:color w:val="auto"/>
        </w:rPr>
      </w:pPr>
    </w:p>
    <w:p>
      <w:pPr>
        <w:ind w:firstLine="1304"/>
        <w:spacing w:after="0" w:line="253" w:lineRule="auto"/>
        <w:tabs>
          <w:tab w:leader="none" w:pos="203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timely filed with the SEC (including following any extensions of time for filing provided by Rule 12b-25 promulgated under the Exchange Act) all reports, schedules, forms, statements and other documents required to be filed by Parent with the SEC pursuant to the Securities Act or the Exchange Act since January 1, 2019 (collectively, the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As of their respective effective dates (in the case of Parent SEC Documents that are registration statements filed pursuant to the requirements of the Securities Act) or their respective SEC filing dates (in the case of all other Parent SEC Documents), the Parent SEC Documents complied as to form in all material respects with the requirements of the Securities Act or the Exchange Act, as the case may be, applicable to such Parent SEC Documents, and none of the Parent SEC Documents as of such respective dates (or, if amended prior to the date of this Agreement, the date of the filing of such amendment, with respect to the disclosures that are amended) contained any untrue statement of a material fact or omitted to state a material fact necessary in order to make the statements therein, in light of the circumstances under which they were made, not misleading. As of the date of this Agreement, there are no outstanding written comments from the SEC with respect to the Parent SEC Documents. As of the date of this Agreement, Parent is (i) eligible to register the resale of the Parent Shares issuable in the Transactions for resale by the Company Shareholders under Form S-3 promulgated under the Securities Act and (ii) a “well-known seasoned issuer” as defined in Rule 405 promulgated under the Securities Act.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8" w:right="359" w:bottom="1440" w:gutter="0" w:footer="0" w:header="0"/>
        </w:sectPr>
      </w:pPr>
    </w:p>
    <w:bookmarkStart w:id="149" w:name="page150"/>
    <w:bookmarkEnd w:id="149"/>
    <w:p>
      <w:pPr>
        <w:ind w:right="60" w:firstLine="1304"/>
        <w:spacing w:after="0" w:line="255" w:lineRule="auto"/>
        <w:tabs>
          <w:tab w:leader="none" w:pos="204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Parent (including all related notes or schedules) included or incorporated by reference in the Parent SEC Documents complied as to form, as of their respective dates of filing with the SEC, in all material respects with the published rules and regulations of the SEC with respect thereto, have been prepared in accordance with GAAP (except, in the case of unaudited quarterly statements, as permitted by Form 10-Q of the SEC or other rules and regulations of the SEC) applied on a consistent basis during the periods involved (except (i) as may be indicated in the notes thereto or (ii) as permitted by Regulation S-X) and fairly present in all material respects the consolidated financial position of Parent and its consolidated Subsidiaries as of the dates thereof and the consolidated results of their operations and cash flows for the periods shown (subject, in the case of unaudited quarterly financial statements, to normal year-end adjustments).</w:t>
      </w:r>
    </w:p>
    <w:p>
      <w:pPr>
        <w:spacing w:after="0" w:line="242" w:lineRule="exact"/>
        <w:rPr>
          <w:rFonts w:ascii="Times New Roman" w:cs="Times New Roman" w:eastAsia="Times New Roman" w:hAnsi="Times New Roman"/>
          <w:sz w:val="18"/>
          <w:szCs w:val="18"/>
          <w:color w:val="auto"/>
        </w:rPr>
      </w:pPr>
    </w:p>
    <w:p>
      <w:pPr>
        <w:ind w:right="200" w:firstLine="1304"/>
        <w:spacing w:after="0" w:line="270" w:lineRule="auto"/>
        <w:tabs>
          <w:tab w:leader="none" w:pos="2036"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maintains books and records that fairly reflect, in all material respects, the assets and liabilities of Parent and Parent maintains a proper and effective system of accounting controls sufficient to provide reasonable assurances that (i) transactions are executed with management’s authorization and (ii) transactions are recorded as necessary to permit preparation of the consolidated financial statements of Parent and to maintain accountability for Parent’s consolidated assets, (iii) access to assets of Parent is permitted only in accordance with management’s authorization,</w:t>
      </w:r>
    </w:p>
    <w:p>
      <w:pPr>
        <w:spacing w:after="0" w:line="2" w:lineRule="exact"/>
        <w:rPr>
          <w:rFonts w:ascii="Times New Roman" w:cs="Times New Roman" w:eastAsia="Times New Roman" w:hAnsi="Times New Roman"/>
          <w:sz w:val="17"/>
          <w:szCs w:val="17"/>
          <w:color w:val="auto"/>
        </w:rPr>
      </w:pPr>
    </w:p>
    <w:p>
      <w:pPr>
        <w:ind w:right="100" w:firstLine="8"/>
        <w:spacing w:after="0" w:line="260" w:lineRule="auto"/>
        <w:tabs>
          <w:tab w:leader="none" w:pos="30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of assets of Parent is compared with existing assets at regular intervals and (v) proper and adequate procedures are implemented to effect the collection of accounts, notes and other receivables on a current and timely basis.</w:t>
      </w:r>
    </w:p>
    <w:p>
      <w:pPr>
        <w:spacing w:after="0" w:line="235" w:lineRule="exact"/>
        <w:rPr>
          <w:rFonts w:ascii="Times New Roman" w:cs="Times New Roman" w:eastAsia="Times New Roman" w:hAnsi="Times New Roman"/>
          <w:sz w:val="18"/>
          <w:szCs w:val="18"/>
          <w:color w:val="auto"/>
        </w:rPr>
      </w:pPr>
    </w:p>
    <w:p>
      <w:pPr>
        <w:ind w:right="60" w:firstLine="1304"/>
        <w:spacing w:after="0" w:line="258" w:lineRule="auto"/>
        <w:tabs>
          <w:tab w:leader="none" w:pos="204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2017, neither Parent, nor any director, officer, or, to Parent’s Knowledge, employee or accountant thereof, has received any material complaint, allegation, assertion or claim, whether written or oral, that Parent has engaged in illegal or fraudulent accounting practices. There are no significant deficiencies or material weaknesses in the design or operation of the internal controls of Parent which have materially and adversely affected the ability of Parent to record, process, summarize and report financial data. There is no fraud, whether or not material, involving management or other employees that was reported to the board or management of Parent.</w:t>
      </w:r>
    </w:p>
    <w:p>
      <w:pPr>
        <w:spacing w:after="0" w:line="237" w:lineRule="exact"/>
        <w:rPr>
          <w:rFonts w:ascii="Times New Roman" w:cs="Times New Roman" w:eastAsia="Times New Roman" w:hAnsi="Times New Roman"/>
          <w:sz w:val="18"/>
          <w:szCs w:val="18"/>
          <w:color w:val="auto"/>
        </w:rPr>
      </w:pPr>
    </w:p>
    <w:p>
      <w:pPr>
        <w:ind w:firstLine="1304"/>
        <w:spacing w:after="0" w:line="256" w:lineRule="auto"/>
        <w:tabs>
          <w:tab w:leader="none" w:pos="203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any liabilities of any nature (whether accrued, absolute, contingent or otherwise) that would be required under GAAP, as in effect on the date of this Agreement, to be reflected on a consolidated balance sheet of Parent (including the notes thereto) except liabilities (i) reflected or reserved against in the balance sheet (or the notes thereto) of Parent and its Subsidiaries as of September 30, 2020, included in the Parent Filed SEC Documents, (ii) incurred after September 30, 2020, in the Ordinary Course, (iii) as provided by this Agreement or otherwise incurred in connection with the Transactions in compliance with the terms of this Agreement or (iv) as would not reasonably be expected to have, individually or in the aggregate, a Parent Material Adverse Effect.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50" w:name="page151"/>
    <w:bookmarkEnd w:id="150"/>
    <w:p>
      <w:pPr>
        <w:ind w:left="2020" w:hanging="716"/>
        <w:spacing w:after="0"/>
        <w:tabs>
          <w:tab w:leader="none" w:pos="20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in compliance in all material respects with (i) the provisions of the Sarbanes-Oxley Act of 2002, as amended (the</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that are applicable to Parent and (ii) the rules and regulations of the Nasdaq. With respect to each Parent SEC Document on Form 10-K or 10-Q, each of the principal executive officer and the principal financial officer of Parent has made all certifications required by Rule 13a-14 or 15(d) under the Exchange Act and Sections 302 and 906 of the Sarbanes-Oxley Act with respect to such Parent SEC Documents.</w:t>
      </w:r>
    </w:p>
    <w:p>
      <w:pPr>
        <w:spacing w:after="0" w:line="240" w:lineRule="exact"/>
        <w:rPr>
          <w:sz w:val="20"/>
          <w:szCs w:val="20"/>
          <w:color w:val="auto"/>
        </w:rPr>
      </w:pPr>
    </w:p>
    <w:p>
      <w:pPr>
        <w:ind w:firstLine="1304"/>
        <w:spacing w:after="0" w:line="252" w:lineRule="auto"/>
        <w:tabs>
          <w:tab w:leader="none" w:pos="204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weaknesses exist with respect to the internal control over financial reporting of Parent that would be required to be disclosed by Parent pursuant to Item 308(a)(3) of Regulation S-K promulgated by the SEC that have not been disclosed in the Parent SEC Documents as filed with or furnished to the SEC prior to the date of this Agreement. Parent has established and maintains disclosure controls and procedures and internal control over financial reporting (as such terms are defined in paragraphs (e) and (f), respectively, of Rule 13a-15 under the Exchange Act) as required by Rule 13a-15 under the Exchange Act, designed to ensure that information required to be disclosed by Parent in the reports that it files and submits under the Exchange Act is recorded, processed, summarized and reported within the time periods specified in the SEC’s rules and forms, including that information required to be disclosed by Parent in the reports that it files and submits under the Exchange Act is accumulated and communicated to management of Parent, as appropriate, to allow timely decisions regarding required disclosure. Parent has disclosed, based on its most recent evaluation, to Parent’s outside auditors and the audit committee of the Board of Directors of Parent, (A) all significant deficiencies and material weaknesses in the design and operation of internal control over financial reporting which are reasonably likely to adversely affect in any material respect Parent’s ability to record, process, summarize and report financial data and (B) any fraud, whether or not material, that involves management or other employees who have a significant role in Parent’s internal control over financial reporting. Parent has provided or made available to the Company correct and complete copies of any such disclosure contemplated by clauses (A) and (B) of the immediately preceding sentence made by management to Parent’s independent auditors and the audit committee of the Board of Directors of Parent since December 31, 2018.</w:t>
      </w:r>
    </w:p>
    <w:p>
      <w:pPr>
        <w:spacing w:after="0" w:line="215" w:lineRule="exact"/>
        <w:rPr>
          <w:sz w:val="20"/>
          <w:szCs w:val="20"/>
          <w:color w:val="auto"/>
        </w:rPr>
      </w:pPr>
    </w:p>
    <w:p>
      <w:pPr>
        <w:jc w:val="both"/>
        <w:ind w:right="120" w:firstLine="648"/>
        <w:spacing w:after="0" w:line="248"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21"/>
          <w:szCs w:val="21"/>
          <w:color w:val="auto"/>
        </w:rPr>
        <w:t>. From September 30, 2020 through the date of this Agreement, (a)(i) except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the execution, delivery and performance of this Agreement and the discussions, negotiations and transactions related thereto, the business of Parent and its Subsidiaries has been carried on and conducted in all material respects in the Ordinary Course and (ii) neither Parent nor any of its Subsidiaries has taken any action or failed to take any action that would have resulted in a breach of clause (i) or (ii) of Section 5.02(b), had the restrictions thereunder been in effect since September 30, 2020 and (b) there has not been any event, circumstance, development, change or effect that, individually or in the aggregate, has had or would reasonably be expected to have, individually or in the aggregate, a Parent Material Adverse Effect.</w:t>
      </w:r>
    </w:p>
    <w:p>
      <w:pPr>
        <w:spacing w:after="0" w:line="197" w:lineRule="exact"/>
        <w:rPr>
          <w:sz w:val="20"/>
          <w:szCs w:val="20"/>
          <w:color w:val="auto"/>
        </w:rPr>
      </w:pPr>
    </w:p>
    <w:p>
      <w:pPr>
        <w:ind w:right="120" w:firstLine="648"/>
        <w:spacing w:after="0" w:line="248"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21"/>
          <w:szCs w:val="21"/>
          <w:color w:val="auto"/>
        </w:rPr>
        <w:t>. Except as would not reasonably be expected to have, individually or in the aggregate,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Parent Material Adverse Effect, there is no (a) pending or, to the Knowledge of Parent and Merger Sub, threatened legal or administrative proceeding, suit, arbitration, action, claim, dispute, hearing, charge, complaint, indictment, litigation or, to the Knowledge of Parent and Merger Sub, investigation against Parent or any of its Subsidiaries or (b) outstanding injunction, order, judgment, ruling, decree or writ imposed upon Parent or any of its Subsidiaries or any director or officer of Parent or any of its Subsidiaries for whom Parent or any of its Subsidiaries may be liable as an indemnifying party or otherwise, in each case, by or before any Governmental Authority.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51" w:name="page152"/>
    <w:bookmarkEnd w:id="151"/>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Compliance with Laws; Permits</w:t>
      </w:r>
      <w:r>
        <w:rPr>
          <w:rFonts w:ascii="Times New Roman" w:cs="Times New Roman" w:eastAsia="Times New Roman" w:hAnsi="Times New Roman"/>
          <w:sz w:val="21"/>
          <w:szCs w:val="21"/>
          <w:color w:val="auto"/>
        </w:rPr>
        <w:t>. Parent and each of its Subsidiaries are, and since January 1, 2018 have been,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in compliance with all Laws applicable to Parent or any of its Subsidiaries, except as would not reasonably be expected to have, individually or in the aggregate, a Parent Material Adverse Effect. Parent and each of its Subsidiaries hold, and since January 1, 2018, have held, all Permits necessary for Parent and each such Subsidiary, as applicable, to own, lease and operate its properties and assets and necessary for the lawful conduct of their respective businesses as each such business is now being, or at such time was, conducted, and all such Permits are in full force and effect, except where the failure to hold the same or the failure of the same to be in full force and effect would not reasonably be expected to have, individually or in the aggregate, a Parent Material Adverse Effect.</w:t>
      </w:r>
    </w:p>
    <w:p>
      <w:pPr>
        <w:spacing w:after="0" w:line="199"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4.10</w:t>
      </w:r>
      <w:r>
        <w:rPr>
          <w:sz w:val="20"/>
          <w:szCs w:val="20"/>
          <w:color w:val="auto"/>
        </w:rPr>
        <w:tab/>
      </w:r>
      <w:r>
        <w:rPr>
          <w:rFonts w:ascii="Times New Roman" w:cs="Times New Roman" w:eastAsia="Times New Roman" w:hAnsi="Times New Roman"/>
          <w:sz w:val="17"/>
          <w:szCs w:val="17"/>
          <w:u w:val="single" w:color="auto"/>
          <w:color w:val="auto"/>
        </w:rPr>
        <w:t>Export Controls</w:t>
      </w:r>
      <w:r>
        <w:rPr>
          <w:rFonts w:ascii="Times New Roman" w:cs="Times New Roman" w:eastAsia="Times New Roman" w:hAnsi="Times New Roman"/>
          <w:sz w:val="20"/>
          <w:szCs w:val="20"/>
          <w:color w:val="auto"/>
        </w:rPr>
        <w:t>.</w:t>
      </w:r>
    </w:p>
    <w:p>
      <w:pPr>
        <w:spacing w:after="0" w:line="292" w:lineRule="exact"/>
        <w:rPr>
          <w:sz w:val="20"/>
          <w:szCs w:val="20"/>
          <w:color w:val="auto"/>
        </w:rPr>
      </w:pPr>
    </w:p>
    <w:p>
      <w:pPr>
        <w:ind w:right="40" w:firstLine="1304"/>
        <w:spacing w:after="0" w:line="256" w:lineRule="auto"/>
        <w:tabs>
          <w:tab w:leader="none" w:pos="20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its Subsidiaries and any of their respective Representatives (in each case, acting in their capacities as such) has, to the Knowledge of Parent, conducted all export transactions in all material respects in accordance with any applicable Trade Control Law since the later of its formation and January 1, 2016. There are no Contracts between Parent or any of its Subsidiaries and any Person engaged in international trade or export on behalf of Parent or any of its Subsidiaries (including any Person identified on the U.S. Department of the Treasury’s Specially Designated Nationals List). No export or import Permits, license exceptions or other consents are required to operate the business of Parent or any of its Subsidiaries as currently conducted.</w:t>
      </w:r>
    </w:p>
    <w:p>
      <w:pPr>
        <w:spacing w:after="0" w:line="241" w:lineRule="exact"/>
        <w:rPr>
          <w:rFonts w:ascii="Times New Roman" w:cs="Times New Roman" w:eastAsia="Times New Roman" w:hAnsi="Times New Roman"/>
          <w:sz w:val="18"/>
          <w:szCs w:val="18"/>
          <w:color w:val="auto"/>
        </w:rPr>
      </w:pPr>
    </w:p>
    <w:p>
      <w:pPr>
        <w:jc w:val="both"/>
        <w:ind w:right="60" w:firstLine="1304"/>
        <w:spacing w:after="0" w:line="281" w:lineRule="auto"/>
        <w:tabs>
          <w:tab w:leader="none" w:pos="2046"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and its Subsidiaries are not, to the Knowledge of Parent, engaged in any activities to establish, support or maintain any business relationships with, or contracted to sell, supply, distribute or otherwise provide any goods or services to, any Governmental Authority within, and any Person organized or domiciled in or that is a citizen of, Cuba, Iran, the Republic of North Korea, the Republic of the Sudan, Syria, the Crimea Region of the Ukraine or any other country or territory against which the United States maintains comprehensive trade sanctions and/or economic embargoes.</w:t>
      </w:r>
    </w:p>
    <w:p>
      <w:pPr>
        <w:spacing w:after="0" w:line="218" w:lineRule="exact"/>
        <w:rPr>
          <w:rFonts w:ascii="Times New Roman" w:cs="Times New Roman" w:eastAsia="Times New Roman" w:hAnsi="Times New Roman"/>
          <w:sz w:val="17"/>
          <w:szCs w:val="17"/>
          <w:color w:val="auto"/>
        </w:rPr>
      </w:pPr>
    </w:p>
    <w:p>
      <w:pPr>
        <w:jc w:val="both"/>
        <w:ind w:firstLine="1304"/>
        <w:spacing w:after="0" w:line="261" w:lineRule="auto"/>
        <w:tabs>
          <w:tab w:leader="none" w:pos="20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been, since the later of its formation and January 1, 2016, and as of the date of this Agreement is, the subject of a charging letter or penalty notice issued, or an investigation conducted, by a Governmental Authority pertaining to any Trade Control Law, nor are there any pending internal investigations by Parent or any of its Subsidiaries pertaining to any Trade Control Law as of the date of this Agreement.</w:t>
      </w:r>
    </w:p>
    <w:p>
      <w:pPr>
        <w:spacing w:after="0" w:line="233" w:lineRule="exact"/>
        <w:rPr>
          <w:rFonts w:ascii="Times New Roman" w:cs="Times New Roman" w:eastAsia="Times New Roman" w:hAnsi="Times New Roman"/>
          <w:sz w:val="18"/>
          <w:szCs w:val="18"/>
          <w:color w:val="auto"/>
        </w:rPr>
      </w:pPr>
    </w:p>
    <w:p>
      <w:pPr>
        <w:jc w:val="both"/>
        <w:ind w:right="240" w:firstLine="1304"/>
        <w:spacing w:after="0" w:line="266" w:lineRule="auto"/>
        <w:tabs>
          <w:tab w:leader="none" w:pos="204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or any of its Subsidiaries, or any of their respective directors, officers or employees is located, organized or resident in a country or region that is the subject of comprehensive OFAC sanctions (including Cuba, Iran, North Korea, Syria and the Crimea region of Ukraine).</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152" w:name="page153"/>
    <w:bookmarkEnd w:id="152"/>
    <w:p>
      <w:pPr>
        <w:ind w:right="620" w:firstLine="1304"/>
        <w:spacing w:after="0" w:line="282" w:lineRule="auto"/>
        <w:tabs>
          <w:tab w:leader="none" w:pos="203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is or has been, at any applicable time, engaged in any business activity that is sanctionable under U.S. “secondary sanctions” administered by OFAC and/or the U.S. Department of State.</w:t>
      </w:r>
    </w:p>
    <w:p>
      <w:pPr>
        <w:spacing w:after="0" w:line="179"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4.11</w:t>
      </w:r>
      <w:r>
        <w:rPr>
          <w:sz w:val="20"/>
          <w:szCs w:val="20"/>
          <w:color w:val="auto"/>
        </w:rPr>
        <w:tab/>
      </w:r>
      <w:r>
        <w:rPr>
          <w:rFonts w:ascii="Times New Roman" w:cs="Times New Roman" w:eastAsia="Times New Roman" w:hAnsi="Times New Roman"/>
          <w:sz w:val="17"/>
          <w:szCs w:val="17"/>
          <w:u w:val="single" w:color="auto"/>
          <w:color w:val="auto"/>
        </w:rPr>
        <w:t>Anti-Corruption</w:t>
      </w:r>
      <w:r>
        <w:rPr>
          <w:rFonts w:ascii="Times New Roman" w:cs="Times New Roman" w:eastAsia="Times New Roman" w:hAnsi="Times New Roman"/>
          <w:sz w:val="20"/>
          <w:szCs w:val="20"/>
          <w:color w:val="auto"/>
        </w:rPr>
        <w:t>.</w:t>
      </w:r>
    </w:p>
    <w:p>
      <w:pPr>
        <w:spacing w:after="0" w:line="292" w:lineRule="exact"/>
        <w:rPr>
          <w:sz w:val="20"/>
          <w:szCs w:val="20"/>
          <w:color w:val="auto"/>
        </w:rPr>
      </w:pPr>
    </w:p>
    <w:p>
      <w:pPr>
        <w:ind w:right="40" w:firstLine="1304"/>
        <w:spacing w:after="0" w:line="266" w:lineRule="auto"/>
        <w:tabs>
          <w:tab w:leader="none" w:pos="203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and its Subsidiaries, or any of their respective officers, directors, employees or, to the Knowledge of Parent, agents has since the later of its formation and January 1, 2016, taken or attempted to take any action in violation of any applicable Anti-Corruption Laws or Trade Control Laws.</w:t>
      </w:r>
    </w:p>
    <w:p>
      <w:pPr>
        <w:spacing w:after="0" w:line="229" w:lineRule="exact"/>
        <w:rPr>
          <w:rFonts w:ascii="Times New Roman" w:cs="Times New Roman" w:eastAsia="Times New Roman" w:hAnsi="Times New Roman"/>
          <w:sz w:val="18"/>
          <w:szCs w:val="18"/>
          <w:color w:val="auto"/>
        </w:rPr>
      </w:pPr>
    </w:p>
    <w:p>
      <w:pPr>
        <w:ind w:firstLine="1304"/>
        <w:spacing w:after="0" w:line="255" w:lineRule="auto"/>
        <w:tabs>
          <w:tab w:leader="none" w:pos="204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and its Subsidiaries, or any of their respective officers, directors, employees or, to the Knowledge of Parent, agents has since the later of its formation and January 1, 2016, directly or indirectly, made or authorized, or attempted to make or authorize, any offer, gift, payment or promise of, any money or anything else of value, or provided any benefit to (A) any Government Official for the purposes of (i) influencing any act or decision of such Government Official in his official capacity; (ii) inducing such Government Official to do or omit to do any act in violation of the lawful duty of such Government Official; (iii) securing any improper advantage; or (iv) inducing such Government Official to use his or her influence with another Government Official, in order to obtain or retain business or direct any business to Parent or its Subsidiaries or (B) any other Person to secure an improper advantage or to obtain or retain business unlawfully.</w:t>
      </w:r>
    </w:p>
    <w:p>
      <w:pPr>
        <w:spacing w:after="0" w:line="242" w:lineRule="exact"/>
        <w:rPr>
          <w:rFonts w:ascii="Times New Roman" w:cs="Times New Roman" w:eastAsia="Times New Roman" w:hAnsi="Times New Roman"/>
          <w:sz w:val="18"/>
          <w:szCs w:val="18"/>
          <w:color w:val="auto"/>
        </w:rPr>
      </w:pPr>
    </w:p>
    <w:p>
      <w:pPr>
        <w:ind w:right="260" w:firstLine="1304"/>
        <w:spacing w:after="0" w:line="266" w:lineRule="auto"/>
        <w:tabs>
          <w:tab w:leader="none" w:pos="203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been, since the later of its formation and January 1, 2016, and as of the date of this Agreement are, the subject of a charging letter, indictment, information penalty notice or similar document issued or threatened, or an investigation conducted, by a Governmental Authority pertaining to any alleged violation of any Anti-Corruption Law.</w:t>
      </w:r>
    </w:p>
    <w:p>
      <w:pPr>
        <w:spacing w:after="0" w:line="229" w:lineRule="exact"/>
        <w:rPr>
          <w:rFonts w:ascii="Times New Roman" w:cs="Times New Roman" w:eastAsia="Times New Roman" w:hAnsi="Times New Roman"/>
          <w:sz w:val="18"/>
          <w:szCs w:val="18"/>
          <w:color w:val="auto"/>
        </w:rPr>
      </w:pPr>
    </w:p>
    <w:p>
      <w:pPr>
        <w:ind w:right="400" w:firstLine="1304"/>
        <w:spacing w:after="0" w:line="282" w:lineRule="auto"/>
        <w:tabs>
          <w:tab w:leader="none" w:pos="204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have instituted, maintained and enforced policies and procedures to ensure compliance with all applicable Anti-Corruption Laws, including, but not limited to, the FCPA and the Bribery Act.</w:t>
      </w:r>
    </w:p>
    <w:p>
      <w:pPr>
        <w:spacing w:after="0" w:line="17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21"/>
          <w:szCs w:val="21"/>
          <w:color w:val="auto"/>
        </w:rPr>
        <w:t>. Except as would not reasonably be expected to have, individually or in the aggregate, a 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Material Adverse Effect:</w:t>
      </w:r>
    </w:p>
    <w:p>
      <w:pPr>
        <w:spacing w:after="0" w:line="198" w:lineRule="exact"/>
        <w:rPr>
          <w:sz w:val="20"/>
          <w:szCs w:val="20"/>
          <w:color w:val="auto"/>
        </w:rPr>
      </w:pPr>
    </w:p>
    <w:p>
      <w:pPr>
        <w:ind w:right="160" w:firstLine="1304"/>
        <w:spacing w:after="0" w:line="266" w:lineRule="auto"/>
        <w:tabs>
          <w:tab w:leader="none" w:pos="203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each of its Subsidiaries has prepared (or caused to be prepared) and timely filed (taking into account valid extensions of time within which to file) all Tax Returns required to be filed by it, and all such filed Tax Returns (taking into account all amendments thereto) are true, complete and accurate.</w:t>
      </w:r>
    </w:p>
    <w:p>
      <w:pPr>
        <w:spacing w:after="0" w:line="229" w:lineRule="exact"/>
        <w:rPr>
          <w:rFonts w:ascii="Times New Roman" w:cs="Times New Roman" w:eastAsia="Times New Roman" w:hAnsi="Times New Roman"/>
          <w:sz w:val="18"/>
          <w:szCs w:val="18"/>
          <w:color w:val="auto"/>
        </w:rPr>
      </w:pPr>
    </w:p>
    <w:p>
      <w:pPr>
        <w:ind w:right="200" w:firstLine="1304"/>
        <w:spacing w:after="0" w:line="282" w:lineRule="auto"/>
        <w:tabs>
          <w:tab w:leader="none" w:pos="204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owed by Parent and each of its Subsidiaries that are due (whether or not shown on any Tax Return) have been duly and timely paid or have been adequately reserved against in accordance with GAAP.</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53" w:name="page154"/>
    <w:bookmarkEnd w:id="153"/>
    <w:p>
      <w:pPr>
        <w:ind w:right="360" w:firstLine="1304"/>
        <w:spacing w:after="0" w:line="282" w:lineRule="auto"/>
        <w:tabs>
          <w:tab w:leader="none" w:pos="203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received written notice of any audits, examinations, investigations, claims or other Proceedings in respect of any Taxes or Tax Returns of Parent or any of its Subsidiaries.</w:t>
      </w:r>
    </w:p>
    <w:p>
      <w:pPr>
        <w:spacing w:after="0" w:line="21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on any of the assets of Parent or any of its Subsidiaries other than Permitted Liens.</w:t>
      </w:r>
    </w:p>
    <w:p>
      <w:pPr>
        <w:spacing w:after="0" w:line="279" w:lineRule="exact"/>
        <w:rPr>
          <w:rFonts w:ascii="Times New Roman" w:cs="Times New Roman" w:eastAsia="Times New Roman" w:hAnsi="Times New Roman"/>
          <w:sz w:val="18"/>
          <w:szCs w:val="18"/>
          <w:color w:val="auto"/>
        </w:rPr>
      </w:pPr>
    </w:p>
    <w:p>
      <w:pPr>
        <w:ind w:right="100" w:firstLine="1304"/>
        <w:spacing w:after="0" w:line="266" w:lineRule="auto"/>
        <w:tabs>
          <w:tab w:leader="none" w:pos="203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been either a “controlled corporation” or a “distributing corporation” (within the meaning of Section 355(a)(1)(A) of the Code) in any distribution of stock occurring during the two-year period ending on the date of this Agreement that was purported or intended to be governed by Section 355 of the Code.</w:t>
      </w:r>
    </w:p>
    <w:p>
      <w:pPr>
        <w:spacing w:after="0" w:line="229" w:lineRule="exact"/>
        <w:rPr>
          <w:rFonts w:ascii="Times New Roman" w:cs="Times New Roman" w:eastAsia="Times New Roman" w:hAnsi="Times New Roman"/>
          <w:sz w:val="18"/>
          <w:szCs w:val="18"/>
          <w:color w:val="auto"/>
        </w:rPr>
      </w:pPr>
    </w:p>
    <w:p>
      <w:pPr>
        <w:ind w:right="100" w:firstLine="1304"/>
        <w:spacing w:after="0" w:line="282" w:lineRule="auto"/>
        <w:tabs>
          <w:tab w:leader="none" w:pos="201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deficiency for any Tax has been asserted or assessed by any Governmental Authority in writing against Parent or any of its Subsidiaries, except for deficiencies that have been satisfied by payment in full, settled or withdrawn or that have been adequately reserved.</w:t>
      </w:r>
    </w:p>
    <w:p>
      <w:pPr>
        <w:spacing w:after="0" w:line="215" w:lineRule="exact"/>
        <w:rPr>
          <w:rFonts w:ascii="Times New Roman" w:cs="Times New Roman" w:eastAsia="Times New Roman" w:hAnsi="Times New Roman"/>
          <w:sz w:val="18"/>
          <w:szCs w:val="18"/>
          <w:color w:val="auto"/>
        </w:rPr>
      </w:pPr>
    </w:p>
    <w:p>
      <w:pPr>
        <w:ind w:right="80" w:firstLine="1304"/>
        <w:spacing w:after="0" w:line="282" w:lineRule="auto"/>
        <w:tabs>
          <w:tab w:leader="none" w:pos="204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agreed to any currently effective extension of time with respect to an assessment or deficiency for Taxes, and no request for such extension is pending.</w:t>
      </w:r>
    </w:p>
    <w:p>
      <w:pPr>
        <w:spacing w:after="0" w:line="215" w:lineRule="exact"/>
        <w:rPr>
          <w:rFonts w:ascii="Times New Roman" w:cs="Times New Roman" w:eastAsia="Times New Roman" w:hAnsi="Times New Roman"/>
          <w:sz w:val="18"/>
          <w:szCs w:val="18"/>
          <w:color w:val="auto"/>
        </w:rPr>
      </w:pPr>
    </w:p>
    <w:p>
      <w:pPr>
        <w:ind w:right="800" w:firstLine="1304"/>
        <w:spacing w:after="0" w:line="282" w:lineRule="auto"/>
        <w:tabs>
          <w:tab w:leader="none" w:pos="204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participated in any “listed transaction” within the meaning of Treasury Regulation Section 1.6011-4(b)(2).</w:t>
      </w:r>
    </w:p>
    <w:p>
      <w:pPr>
        <w:spacing w:after="0" w:line="215" w:lineRule="exact"/>
        <w:rPr>
          <w:rFonts w:ascii="Times New Roman" w:cs="Times New Roman" w:eastAsia="Times New Roman" w:hAnsi="Times New Roman"/>
          <w:sz w:val="18"/>
          <w:szCs w:val="18"/>
          <w:color w:val="auto"/>
        </w:rPr>
      </w:pPr>
    </w:p>
    <w:p>
      <w:pPr>
        <w:ind w:right="40" w:firstLine="1304"/>
        <w:spacing w:after="0" w:line="266" w:lineRule="auto"/>
        <w:tabs>
          <w:tab w:leader="none" w:pos="200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have withheld all Taxes required to have been withheld by them in connection with amounts paid or owed to (or any benefits or property provided to) any employee, independent contractor, creditor, shareholder or any other third party and have complied with all related Tax reporting and deposit requirements.</w:t>
      </w:r>
    </w:p>
    <w:p>
      <w:pPr>
        <w:spacing w:after="0" w:line="194"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Acceleration of Compensation and Benefits Payments</w:t>
      </w:r>
      <w:r>
        <w:rPr>
          <w:rFonts w:ascii="Times New Roman" w:cs="Times New Roman" w:eastAsia="Times New Roman" w:hAnsi="Times New Roman"/>
          <w:sz w:val="21"/>
          <w:szCs w:val="21"/>
          <w:color w:val="auto"/>
        </w:rPr>
        <w:t>. Neither the execution or delivery of this Agreement nor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consummation of the Transactions will, either alone or in conjunction with any other event, (i) entitle any current or former director, officer, employee or individual service provider of Parent or any of its Subsidiaries to any material payment or benefit (or result in the funding of any such material payment or benefit), (ii) materially increase the amount or value of any benefit or compensation otherwise payable or required to be provided to any director, officer, employee or individual service provider of Parent or any of its Subsidiaries or (iii) accelerate the time of payment, funding or vesting of amounts due any such director, officer, employee or individual service provider of Parent or any of its Subsidiaries.</w:t>
      </w:r>
    </w:p>
    <w:p>
      <w:pPr>
        <w:spacing w:after="0" w:line="197" w:lineRule="exact"/>
        <w:rPr>
          <w:sz w:val="20"/>
          <w:szCs w:val="20"/>
          <w:color w:val="auto"/>
        </w:rPr>
      </w:pPr>
    </w:p>
    <w:p>
      <w:pPr>
        <w:ind w:right="180"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21"/>
          <w:szCs w:val="21"/>
          <w:color w:val="auto"/>
        </w:rPr>
        <w:t>. Parent will have available to it at the Effective Time, sufficient funds for the satisfaction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of all of Parent’s obligations under this Agreement, including the payment of the aggregate Merger Consideration and Preferred Share Consideration and all related fees and expenses required to be paid by Parent or Merger Sub pursuant to the terms of this Agreement. Parent expressly acknowledges that its ability to obtain financing is not a condition to its obligations under this Agreement.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8" w:right="359" w:bottom="1440" w:gutter="0" w:footer="0" w:header="0"/>
        </w:sectPr>
      </w:pPr>
    </w:p>
    <w:bookmarkStart w:id="154" w:name="page155"/>
    <w:bookmarkEnd w:id="154"/>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4.15</w:t>
      </w:r>
      <w:r>
        <w:rPr>
          <w:sz w:val="20"/>
          <w:szCs w:val="20"/>
          <w:color w:val="auto"/>
        </w:rPr>
        <w:tab/>
      </w:r>
      <w:r>
        <w:rPr>
          <w:rFonts w:ascii="Times New Roman" w:cs="Times New Roman" w:eastAsia="Times New Roman" w:hAnsi="Times New Roman"/>
          <w:sz w:val="18"/>
          <w:szCs w:val="18"/>
          <w:u w:val="single" w:color="auto"/>
          <w:color w:val="auto"/>
        </w:rPr>
        <w:t>Anti-Takeover Provisions</w:t>
      </w:r>
      <w:r>
        <w:rPr>
          <w:rFonts w:ascii="Times New Roman" w:cs="Times New Roman" w:eastAsia="Times New Roman" w:hAnsi="Times New Roman"/>
          <w:sz w:val="21"/>
          <w:szCs w:val="21"/>
          <w:color w:val="auto"/>
        </w:rPr>
        <w:t>. No Takeover Law applies to Parent with respect to this Agreement or the Merger.</w:t>
      </w:r>
    </w:p>
    <w:p>
      <w:pPr>
        <w:spacing w:after="0" w:line="24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Brokers and Other Advisors</w:t>
      </w:r>
      <w:r>
        <w:rPr>
          <w:rFonts w:ascii="Times New Roman" w:cs="Times New Roman" w:eastAsia="Times New Roman" w:hAnsi="Times New Roman"/>
          <w:sz w:val="21"/>
          <w:szCs w:val="21"/>
          <w:color w:val="auto"/>
        </w:rPr>
        <w:t>. No broker, investment banker, financial advisor or other Person is entitled to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broker’s, finder’s, financial advisor’s or other similar fee or commission, or the reimbursement of expenses in connection therewith, in connection with the Transactions based upon arrangements made by or on behalf of Parent or any of its Subsidiaries, except for Persons, if any, whose fees and expenses will be paid by Parent.</w:t>
      </w:r>
    </w:p>
    <w:p>
      <w:pPr>
        <w:spacing w:after="0" w:line="189"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21"/>
          <w:szCs w:val="21"/>
          <w:color w:val="auto"/>
        </w:rPr>
        <w:t>. Except for the representations and warranties made by Parent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Merger Sub in this Article IV, neither Parent nor Merger Sub nor any other Person makes any other express or implied representation or warranty with respect to Parent or any of its Subsidiaries or their respective businesses, operations, assets, liabilities, condition (financial or otherwise) or prospects, notwithstanding the delivery or disclosure to the Company or any of its Representatives of any documentation, forecasts or other information with respect to any one or more of the foregoing, and the Company acknowledges the foregoing. In particular, and without limiting the generality of the foregoing, except for the representations and warranties made by Parent and Merger Sub in this Article IV, neither Parent nor Merger Sub nor any other Person makes or has made any express or implied representation or warranty to the Company or any of its Representatives with respect to (a) any financial projection, forecast, estimate, budget or prospect information relating to Parent or any of its Subsidiaries or their respective businesses, (b) any judgment based on actuarial principles, practices or analyses by any Person or as to the future satisfaction or outcome of any assumption or otherwise concerning reserves for losses, loss adjustment expenses or uncollectible reinsurance or (c) any oral or written information presented to the Company or any of its Representatives in the course of their due diligence investigation of Parent, the negotiation of this Agreement or the course of the Transactions. Each of Parent and Merger Sub acknowledges and agrees that except for the representations and warranties of the Company and the Company Shareholders made in Article III, neither Parent nor Merger Sub has relied upon on any representation, warranty or statement, including as to the accuracy or completeness thereof, either express or implied, whether written or oral, concerning the Company Shareholders, the Company or any of their respective Affiliates or any of their respective businesses, operations, assets, liabilities, results of operations, condition (financial or otherwise) or prospects, the transactions contemplated by this Agreement and the Ancillary Agreements or otherwise with respect to information provided by or on behalf of any Company Shareholder, the Company or any of their respective Affiliates or Representatives.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COVENANTS AND AGREEMENTS</w:t>
      </w:r>
    </w:p>
    <w:p>
      <w:pPr>
        <w:spacing w:after="0" w:line="247"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7"/>
          <w:szCs w:val="17"/>
          <w:u w:val="single" w:color="auto"/>
          <w:color w:val="auto"/>
        </w:rPr>
        <w:t>Conduct of Business of the Company, its Subsidiaries and the Joint Venture Entities</w:t>
      </w:r>
      <w:r>
        <w:rPr>
          <w:rFonts w:ascii="Times New Roman" w:cs="Times New Roman" w:eastAsia="Times New Roman" w:hAnsi="Times New Roman"/>
          <w:sz w:val="20"/>
          <w:szCs w:val="20"/>
          <w:color w:val="auto"/>
        </w:rPr>
        <w:t>.</w:t>
      </w:r>
    </w:p>
    <w:p>
      <w:pPr>
        <w:spacing w:after="0" w:line="292" w:lineRule="exact"/>
        <w:rPr>
          <w:sz w:val="20"/>
          <w:szCs w:val="20"/>
          <w:color w:val="auto"/>
        </w:rPr>
      </w:pPr>
    </w:p>
    <w:p>
      <w:pPr>
        <w:ind w:firstLine="1304"/>
        <w:spacing w:after="0" w:line="253" w:lineRule="auto"/>
        <w:tabs>
          <w:tab w:leader="none" w:pos="203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Law, as expressly provided by this Agreement, as set forth in Section 5.01(a) of the Company Disclosure Schedule or as expressly consented to in writing by Parent (such consent not to be unreasonably withheld, conditioned or delayed), from the date of this Agreement until the Closing (the “</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the Company and the Company Shareholders shall use commercially reasonable efforts to, and, the Company shall cause its Subsidiaries and the Joint Venture Entities to, (i) conduct each of the Company’s, its Subsidiaries’ and the Joint Venture Entities’ respective business in the Ordinary Course in all material respects, (ii) substantially preserve the Company’s, its Subsidiaries’ and the Joint Venture Entities’ assets, and (iii) maintain the goodwill and reputation of the Company’s, its Subsidiaries’ and the Joint Venture Entities’ respective businesses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Section 5.01(a) shall not prohibit any of the Company, its Subsidiaries or the Joint Venture Entities from taking commercially reasonable actions outside of the Ordinary Course in response to changes or developments resulting from the COVID-19 pandemic;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taking any such action outside of the Ordinary Course, the Company shall consult with Parent and consider in good faith the views of Parent regarding any such proposed action.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55" w:name="page156"/>
    <w:bookmarkEnd w:id="155"/>
    <w:p>
      <w:pPr>
        <w:jc w:val="both"/>
        <w:ind w:left="-40" w:right="60" w:firstLine="1304"/>
        <w:spacing w:after="0" w:line="261" w:lineRule="auto"/>
        <w:tabs>
          <w:tab w:leader="none" w:pos="200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5.01(a), and except as otherwise required by Law, as expressly provided in this Agreement, as set forth in Section 5.01 of the Company Disclosure Schedule or as expressly consented to in writing by Parent (such consent not to be unreasonably withheld, conditioned or delayed), during the Pre-Closing Period, the Company will not, nor will the Company permit any of its Subsidiaries or any Joint Venture Entity to:</w:t>
      </w:r>
    </w:p>
    <w:p>
      <w:pPr>
        <w:spacing w:after="0" w:line="233" w:lineRule="exact"/>
        <w:rPr>
          <w:rFonts w:ascii="Times New Roman" w:cs="Times New Roman" w:eastAsia="Times New Roman" w:hAnsi="Times New Roman"/>
          <w:sz w:val="18"/>
          <w:szCs w:val="18"/>
          <w:color w:val="auto"/>
        </w:rPr>
      </w:pPr>
    </w:p>
    <w:p>
      <w:pPr>
        <w:jc w:val="both"/>
        <w:ind w:left="620" w:right="100" w:firstLine="1292"/>
        <w:spacing w:after="0" w:line="261" w:lineRule="auto"/>
        <w:tabs>
          <w:tab w:leader="none" w:pos="262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pledge, dispose of, transfer, lease, license, guarantee or encumber (other than with a Permitted Encumbrance), or authorize the sale, pledge, disposition, transfer, lease, license, guarantee or encumbrance of (other than a Permitted Encumbrance), (x) any Vessel (other than entering into a charter for a term of 12 months or less in the Ordinary Course) or (y) any other asset (other than in the Ordinary Course);</w:t>
      </w:r>
    </w:p>
    <w:p>
      <w:pPr>
        <w:spacing w:after="0" w:line="233" w:lineRule="exact"/>
        <w:rPr>
          <w:rFonts w:ascii="Times New Roman" w:cs="Times New Roman" w:eastAsia="Times New Roman" w:hAnsi="Times New Roman"/>
          <w:sz w:val="18"/>
          <w:szCs w:val="18"/>
          <w:color w:val="auto"/>
        </w:rPr>
      </w:pPr>
    </w:p>
    <w:p>
      <w:pPr>
        <w:ind w:left="620" w:right="100" w:firstLine="1292"/>
        <w:spacing w:after="0" w:line="256" w:lineRule="auto"/>
        <w:tabs>
          <w:tab w:leader="none" w:pos="267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issue, sell, transfer, pledge or dispose of any class of shares of the Company, (B) split, combine, reclassify, redeem, repurchase, acquire (directly or indirectly) or encumber any Company Shares, or (C) declare, set aside or pay any dividends on, or make any other distribution in respect of any outstanding capital stock of, or other equity interests in, or other securities or obligations convertible (whether currently convertible or convertible only after the passage of time or the occurrence of specific events) into or exchangeable for any shares of capital stock of, the Company or any of its Subsidiaries or the Joint Venture Entities, other than distributions or dividends from direct or indirect wholly-owned Subsidiaries of the Company to the Company or other wholly-owned Subsidiaries of the Company;</w:t>
      </w:r>
    </w:p>
    <w:p>
      <w:pPr>
        <w:spacing w:after="0" w:line="241" w:lineRule="exact"/>
        <w:rPr>
          <w:rFonts w:ascii="Times New Roman" w:cs="Times New Roman" w:eastAsia="Times New Roman" w:hAnsi="Times New Roman"/>
          <w:sz w:val="18"/>
          <w:szCs w:val="18"/>
          <w:color w:val="auto"/>
        </w:rPr>
      </w:pPr>
    </w:p>
    <w:p>
      <w:pPr>
        <w:ind w:left="2620" w:hanging="708"/>
        <w:spacing w:after="0"/>
        <w:tabs>
          <w:tab w:leader="none" w:pos="262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authorize capital expenditures outside the Ordinary Course exceeding $5,000,000 in the aggregate;</w:t>
      </w:r>
    </w:p>
    <w:p>
      <w:pPr>
        <w:spacing w:after="0" w:line="279" w:lineRule="exact"/>
        <w:rPr>
          <w:rFonts w:ascii="Times New Roman" w:cs="Times New Roman" w:eastAsia="Times New Roman" w:hAnsi="Times New Roman"/>
          <w:sz w:val="18"/>
          <w:szCs w:val="18"/>
          <w:color w:val="auto"/>
        </w:rPr>
      </w:pPr>
    </w:p>
    <w:p>
      <w:pPr>
        <w:ind w:left="620" w:firstLine="1292"/>
        <w:spacing w:after="0" w:line="254" w:lineRule="auto"/>
        <w:tabs>
          <w:tab w:leader="none" w:pos="2608"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transactions solely between the Company, its Subsidiaries and the Joint Venture Entities or solely between its Subsidiaries and/or Joint Venture Entities, (A) make any acquisition (including by merger or amalgamation) of the capital stock or assets of any other Person for consideration in excess of $2,000,000 for any such acquisition or $5,000,000 in the aggregate for all such acquisitions or (B) sell or lease to any Person, in a single transaction or series of related transactions, any of its properties or assets whose value or purchase price exceeds $5,000,000, except (x) transfers among the Company, its Subsidiaries and the Joint Venture Entities, (y) leases and subleases of real property owned by the Company, its Subsidiaries or the Joint Venture Entities and leases of real property under which the Company or any of its Subsidiaries or the Joint Venture Entities is a tenant or a subtenant and voluntary terminations or surrenders of such leases or (z) other transactions in the Ordinary Course;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48" w:right="359" w:bottom="1440" w:gutter="0" w:footer="0" w:header="0"/>
        </w:sectPr>
      </w:pPr>
    </w:p>
    <w:bookmarkStart w:id="156" w:name="page157"/>
    <w:bookmarkEnd w:id="156"/>
    <w:p>
      <w:pPr>
        <w:jc w:val="both"/>
        <w:ind w:left="-460" w:right="20" w:firstLine="1292"/>
        <w:spacing w:after="0" w:line="266" w:lineRule="auto"/>
        <w:tabs>
          <w:tab w:leader="none" w:pos="158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its accounting policies or procedures, except insofar as may be required (A) by GAAP (or any interpretation thereof), including pursuant to standards, guidelines and interpretations of the Financial Accounting Standards Board or any similar organization, or (B) by Law, including Regulation S-X under the Securities Act;</w:t>
      </w:r>
    </w:p>
    <w:p>
      <w:pPr>
        <w:spacing w:after="0" w:line="229"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52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amend the Company Organizational Documents or (B) amend the comparable organizational documents of any Subsidiary or Joint Venture Entity in a manner that would reasonably be expected to prevent or to impede, interfere with, hinder or delay in any material respect the consummation of the Transactions (with respect to both clauses (A) and (B), whether by merger, amalgamation, consolidation or otherwise);</w:t>
      </w:r>
    </w:p>
    <w:p>
      <w:pPr>
        <w:spacing w:after="0" w:line="233" w:lineRule="exact"/>
        <w:rPr>
          <w:rFonts w:ascii="Times New Roman" w:cs="Times New Roman" w:eastAsia="Times New Roman" w:hAnsi="Times New Roman"/>
          <w:sz w:val="18"/>
          <w:szCs w:val="18"/>
          <w:color w:val="auto"/>
        </w:rPr>
      </w:pPr>
    </w:p>
    <w:p>
      <w:pPr>
        <w:ind w:left="-460" w:right="520" w:firstLine="1292"/>
        <w:spacing w:after="0" w:line="282" w:lineRule="auto"/>
        <w:tabs>
          <w:tab w:leader="none" w:pos="152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complete or partial liquidation or dissolution, merger, consolidation, restructuring, recapitalization or other reorganization of any of the Company, its Subsidiaries or the Joint Venture Entities;</w:t>
      </w:r>
    </w:p>
    <w:p>
      <w:pPr>
        <w:spacing w:after="0" w:line="215" w:lineRule="exact"/>
        <w:rPr>
          <w:rFonts w:ascii="Times New Roman" w:cs="Times New Roman" w:eastAsia="Times New Roman" w:hAnsi="Times New Roman"/>
          <w:sz w:val="18"/>
          <w:szCs w:val="18"/>
          <w:color w:val="auto"/>
        </w:rPr>
      </w:pPr>
    </w:p>
    <w:p>
      <w:pPr>
        <w:ind w:left="-460" w:right="40" w:firstLine="1292"/>
        <w:spacing w:after="0" w:line="254" w:lineRule="auto"/>
        <w:tabs>
          <w:tab w:leader="none" w:pos="15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or materially modify any Company Material Contract, other than in the Ordinary Course, (B) enter into any Contract that would limit or otherwise restrict the Company, any of its Subsidiaries or the Joint Venture Entities or any of their successors, or any of their respective properties or assets, or that would, after the Effective Time, limit or otherwise restrict Parent or any of its Subsidiaries (including the Surviving Company) or any of their successors, or any of their respective properties or assets, from engaging or competing in any line of business, in any geographic area or with any Person in any material respect, (C) terminate, cancel or request any material change in any Company Material Contract other than in the Ordinary Course or (D) other than in the Ordinary Course, enter into or assume any Contract that if in effect on the date hereof would be such a Company Material Contract, including, in each of clauses (A)-(D), any Contract for any modification of any Vessel;</w:t>
      </w:r>
    </w:p>
    <w:p>
      <w:pPr>
        <w:spacing w:after="0" w:line="245" w:lineRule="exact"/>
        <w:rPr>
          <w:rFonts w:ascii="Times New Roman" w:cs="Times New Roman" w:eastAsia="Times New Roman" w:hAnsi="Times New Roman"/>
          <w:sz w:val="18"/>
          <w:szCs w:val="18"/>
          <w:color w:val="auto"/>
        </w:rPr>
      </w:pPr>
    </w:p>
    <w:p>
      <w:pPr>
        <w:ind w:left="-460" w:right="60" w:firstLine="1292"/>
        <w:spacing w:after="0" w:line="255" w:lineRule="auto"/>
        <w:tabs>
          <w:tab w:leader="none" w:pos="152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repurchase, prepay, incur or assume any Indebtedness for borrowed money, guarantee any Indebtedness for borrowed money or enter into any similar agreement in respect of Indebtedness for borrowed money (including the issuance of any debt securities, warrants or other rights to acquire any debt security), except for (A) Indebtedness for borrowed money incurred in the Ordinary Course not to exceed $2,000,000 individually or $5,000,000 in the aggregate, (B) drawdowns or prepayments under any existing Indebtedness or other facilities or agreements made available to Parent prior to the execution of this Agreement or borrowings in the Ordinary Course or (C) refinancings or replacements of any such Indebtedness for borrowed money or agreements in respect of Indebtedness for borrowed money in the Ordinary Course;</w:t>
      </w:r>
    </w:p>
    <w:p>
      <w:pPr>
        <w:spacing w:after="0" w:line="38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148" w:right="399" w:bottom="1440" w:gutter="0" w:footer="0" w:header="0"/>
        </w:sectPr>
      </w:pPr>
    </w:p>
    <w:bookmarkStart w:id="157" w:name="page158"/>
    <w:bookmarkEnd w:id="157"/>
    <w:p>
      <w:pPr>
        <w:ind w:left="-460" w:right="140" w:firstLine="1292"/>
        <w:spacing w:after="0" w:line="282" w:lineRule="auto"/>
        <w:tabs>
          <w:tab w:leader="none" w:pos="158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Contract with respect to the terminaling, transport, throughput, storage, heating, blending, mixing or sale of petroleum products, other hydrocarbons or other substances other than in the Ordinary Course;</w:t>
      </w:r>
    </w:p>
    <w:p>
      <w:pPr>
        <w:spacing w:after="0" w:line="215" w:lineRule="exact"/>
        <w:rPr>
          <w:rFonts w:ascii="Times New Roman" w:cs="Times New Roman" w:eastAsia="Times New Roman" w:hAnsi="Times New Roman"/>
          <w:sz w:val="18"/>
          <w:szCs w:val="18"/>
          <w:color w:val="auto"/>
        </w:rPr>
      </w:pPr>
    </w:p>
    <w:p>
      <w:pPr>
        <w:ind w:left="-460" w:right="500" w:firstLine="1292"/>
        <w:spacing w:after="0" w:line="282" w:lineRule="auto"/>
        <w:tabs>
          <w:tab w:leader="none" w:pos="152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Company and any Subsidiary or Joint Venture Entity incorporated in Bermuda, discontinue to a jurisdiction outside of Bermuda;</w:t>
      </w:r>
    </w:p>
    <w:p>
      <w:pPr>
        <w:spacing w:after="0" w:line="215" w:lineRule="exact"/>
        <w:rPr>
          <w:rFonts w:ascii="Times New Roman" w:cs="Times New Roman" w:eastAsia="Times New Roman" w:hAnsi="Times New Roman"/>
          <w:sz w:val="18"/>
          <w:szCs w:val="18"/>
          <w:color w:val="auto"/>
        </w:rPr>
      </w:pPr>
    </w:p>
    <w:p>
      <w:pPr>
        <w:ind w:left="1520" w:hanging="688"/>
        <w:spacing w:after="0"/>
        <w:tabs>
          <w:tab w:leader="none" w:pos="15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Lien (other than Permitted Liens) on any of its material assets other than to secure Indebtedness;</w:t>
      </w:r>
    </w:p>
    <w:p>
      <w:pPr>
        <w:spacing w:after="0" w:line="279" w:lineRule="exact"/>
        <w:rPr>
          <w:rFonts w:ascii="Times New Roman" w:cs="Times New Roman" w:eastAsia="Times New Roman" w:hAnsi="Times New Roman"/>
          <w:sz w:val="18"/>
          <w:szCs w:val="18"/>
          <w:color w:val="auto"/>
        </w:rPr>
      </w:pPr>
    </w:p>
    <w:p>
      <w:pPr>
        <w:ind w:left="-460" w:right="60" w:firstLine="1292"/>
        <w:spacing w:after="0" w:line="256" w:lineRule="auto"/>
        <w:tabs>
          <w:tab w:leader="none" w:pos="15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Action, in each case made or pending against any of the Company, its Subsidiaries or the Joint Venture Entities, or any of their officers and directors in their capacities as such, other than the settlement of Actions which, in any event (A) is solely for monetary damages for an amount not to exceed $2,000,000 for any such settlement individually or $5,000,000 in the aggregate (B) does not compromise or waive any material claims or rights of the Company, its Subsidiaries or the Joint Venture Entities, or (C) would not be reasonably expected to prohibit or restrict the Company, its Subsidiaries and the Joint Venture Entities from operating their business in the same manner in all material respects as operated on the date of this Agreement;</w:t>
      </w:r>
    </w:p>
    <w:p>
      <w:pPr>
        <w:spacing w:after="0" w:line="241" w:lineRule="exact"/>
        <w:rPr>
          <w:rFonts w:ascii="Times New Roman" w:cs="Times New Roman" w:eastAsia="Times New Roman" w:hAnsi="Times New Roman"/>
          <w:sz w:val="18"/>
          <w:szCs w:val="18"/>
          <w:color w:val="auto"/>
        </w:rPr>
      </w:pPr>
    </w:p>
    <w:p>
      <w:pPr>
        <w:ind w:left="-460" w:right="40" w:firstLine="1292"/>
        <w:spacing w:after="0" w:line="255" w:lineRule="auto"/>
        <w:tabs>
          <w:tab w:leader="none" w:pos="151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rescind any material election in respect of Taxes, (B) file any material amended Tax Return, (C) extend or waive, or agree to extend or waive, any statute of limitation with respect to the assessment, determination or collection of material Taxes (other than pursuant to extensions of time to file Tax Returns obtained in the Ordinary Course), (D) enter into a “closing agreement” within the meaning of Section 7121 of the Code (or any corresponding or similar provision of applicable Law in respect of Taxes) with any Governmental Authority regarding any material Tax liability or assessment, (E) settle, resolve or otherwise dispose of any material claim or Proceeding relating to material Taxes or surrender a right to a material Tax refund, or (F) change any material method of accounting for U.S. federal or foreign income tax purposes;</w:t>
      </w:r>
    </w:p>
    <w:p>
      <w:pPr>
        <w:spacing w:after="0" w:line="242" w:lineRule="exact"/>
        <w:rPr>
          <w:rFonts w:ascii="Times New Roman" w:cs="Times New Roman" w:eastAsia="Times New Roman" w:hAnsi="Times New Roman"/>
          <w:sz w:val="18"/>
          <w:szCs w:val="18"/>
          <w:color w:val="auto"/>
        </w:rPr>
      </w:pPr>
    </w:p>
    <w:p>
      <w:pPr>
        <w:ind w:left="-460" w:right="20" w:firstLine="1292"/>
        <w:spacing w:after="0" w:line="289" w:lineRule="auto"/>
        <w:tabs>
          <w:tab w:leader="none" w:pos="1514"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abandon, dispose of, or permit to lapse any material Intellectual Property owned by the Company, its Subsidiaries or the Joint Venture Entities, or disclose any material trade secret or other material confidential information of the Company or any of its Subsidiaries or the Joint Venture Entities in a manner that would result in the loss of confidentiality thereof, in each case other than in the Ordinary Course;</w:t>
      </w:r>
    </w:p>
    <w:p>
      <w:pPr>
        <w:spacing w:after="0" w:line="211" w:lineRule="exact"/>
        <w:rPr>
          <w:rFonts w:ascii="Times New Roman" w:cs="Times New Roman" w:eastAsia="Times New Roman" w:hAnsi="Times New Roman"/>
          <w:sz w:val="17"/>
          <w:szCs w:val="17"/>
          <w:color w:val="auto"/>
        </w:rPr>
      </w:pPr>
    </w:p>
    <w:p>
      <w:pPr>
        <w:ind w:left="-460" w:firstLine="1292"/>
        <w:spacing w:after="0" w:line="252" w:lineRule="auto"/>
        <w:tabs>
          <w:tab w:leader="none" w:pos="151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required pursuant to any Company Plan as in effect on the date of this Agreement, or as required by applicable Law, (i) establish, adopt, enter into, amend, terminate, or take any action to accelerate rights under, any Company Plan or plan, program, policy, practice, agreement or arrangement that would be a Company Plan if it had been in effect on the date of this Agreement; (ii) grant or pay, or commit to grant or pay, any material bonus, incentive or profit-sharing award or payment to any current or former director, officer, employee or individual service provider of the Company or any of its Subsidiaries or the Joint Venture Entities; (iii) materially increase, or commit to materially increase, the amount of the wages, salary, bonuses, commissions, fringe benefits, severance or other compensation (including equity or equity-based compensation, whether payable in stock, cash or other property), benefits or remuneration payable to any current or former director, officer, employee or individual service provider of the Company or any of its Subsidiaries or the Joint Venture Entities; (iv) take any action to accelerate any payment or benefit, the vesting of any equity or equity-based award or the funding of any payment or benefit, payable or to become payable to any current or former director, officer, employee or individual service provider of the Company or any of its Subsidiaries or the Joint Venture Entities; (v) enter into any employment, severance, change in control, retention, individual consulting or similar agreement with any current or former director, officer, employee or individual service provider of the Company or any of its Subsidiaries or the Joint Venture Entities, except for any employment or individual consulting agreement with a non-officer employee or service provider in connection with each individual’s hiring, engagement or promotion to the extent permitted pursuant to clause (viii) below or less than $250,000 in the aggregate; (vi) communicate with employees or officers of the Company or any of its Subsidiaries or the Joint Venture Entities regarding the compensation, benefits or other treatment that such employees or officers will receive following the Effective Time, unless such communications are consistent with the terms provided herein; (vii) except as may be required by GAAP, materially change any actuarial or other assumptions used to calculate funding obligations with respect to any Company Plan, make any voluntary contributions to a Company Plan that are outside the Ordinary Course or materially change the manner in which contributions to such Company Plans are made or the basis on which such contributions are determined; or (viii) hire, engage or promote (unless necessary to replace a non-officer employee or service provider whose employment or engagement has ended), or terminate (other than for cause) any employee, officer or other individual service provider; or</w:t>
      </w:r>
    </w:p>
    <w:p>
      <w:pPr>
        <w:spacing w:after="0" w:line="38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48" w:right="339" w:bottom="1440" w:gutter="0" w:footer="0" w:header="0"/>
        </w:sectPr>
      </w:pPr>
    </w:p>
    <w:bookmarkStart w:id="158" w:name="page159"/>
    <w:bookmarkEnd w:id="158"/>
    <w:p>
      <w:pPr>
        <w:ind w:left="2440" w:hanging="668"/>
        <w:spacing w:after="0"/>
        <w:tabs>
          <w:tab w:leader="none" w:pos="244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or agree, in writing or otherwise, to take any of, the foregoing actions.</w:t>
      </w:r>
    </w:p>
    <w:p>
      <w:pPr>
        <w:spacing w:after="0" w:line="279" w:lineRule="exact"/>
        <w:rPr>
          <w:rFonts w:ascii="Times New Roman" w:cs="Times New Roman" w:eastAsia="Times New Roman" w:hAnsi="Times New Roman"/>
          <w:sz w:val="18"/>
          <w:szCs w:val="18"/>
          <w:color w:val="auto"/>
        </w:rPr>
      </w:pPr>
    </w:p>
    <w:p>
      <w:pPr>
        <w:ind w:left="-180" w:right="580" w:firstLine="1304"/>
        <w:spacing w:after="0" w:line="282" w:lineRule="auto"/>
        <w:tabs>
          <w:tab w:leader="none" w:pos="185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is intended to give Parent, directly or indirectly, the right to control or direct the Company’s, its Subsidiaries’ or the Joint Venture Entities’ operations prior to the Effective Time.</w:t>
      </w:r>
    </w:p>
    <w:p>
      <w:pPr>
        <w:spacing w:after="0" w:line="215" w:lineRule="exact"/>
        <w:rPr>
          <w:rFonts w:ascii="Times New Roman" w:cs="Times New Roman" w:eastAsia="Times New Roman" w:hAnsi="Times New Roman"/>
          <w:sz w:val="18"/>
          <w:szCs w:val="18"/>
          <w:color w:val="auto"/>
        </w:rPr>
      </w:pPr>
    </w:p>
    <w:p>
      <w:pPr>
        <w:ind w:left="-180" w:firstLine="1304"/>
        <w:spacing w:after="0" w:line="256" w:lineRule="auto"/>
        <w:tabs>
          <w:tab w:leader="none" w:pos="186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 enter into or materially modify any Joint Venture Contract, (ii) redeem, purchase, sell, transfer or otherwise acquire or dispose of, or offer to purchase, redeem, sell, transfer or otherwise acquire or dispose of, directly or indirectly, any shares or any securities convertible or exchangeable into or exercisable for any shares or any bonds, debentures, notes or other indebtedness of any Joint Venture Entity held by the Company or its Subsidiaries, (iii) grant any Person any right or option to acquire any securities or equity interest of any Joint Venture Entity held by the Company or its Subsidiaries or (iv) enter into any Contract, understanding or arrangement with respect to the sale, voting, registration or repurchase of the securities or equity interests of any Joint Venture Entity held by the Company or its Subsidiaries.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500" w:top="148" w:right="499" w:bottom="1440" w:gutter="0" w:footer="0" w:header="0"/>
        </w:sectPr>
      </w:pPr>
    </w:p>
    <w:bookmarkStart w:id="159" w:name="page160"/>
    <w:bookmarkEnd w:id="159"/>
    <w:p>
      <w:pPr>
        <w:ind w:left="64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u w:val="single" w:color="auto"/>
          <w:color w:val="auto"/>
        </w:rPr>
        <w:t>Conduct of Business of Parent</w:t>
      </w:r>
      <w:r>
        <w:rPr>
          <w:rFonts w:ascii="Times New Roman" w:cs="Times New Roman" w:eastAsia="Times New Roman" w:hAnsi="Times New Roman"/>
          <w:sz w:val="20"/>
          <w:szCs w:val="20"/>
          <w:color w:val="auto"/>
        </w:rPr>
        <w:t>.</w:t>
      </w:r>
    </w:p>
    <w:p>
      <w:pPr>
        <w:spacing w:after="0" w:line="293" w:lineRule="exact"/>
        <w:rPr>
          <w:sz w:val="20"/>
          <w:szCs w:val="20"/>
          <w:color w:val="auto"/>
        </w:rPr>
      </w:pPr>
    </w:p>
    <w:p>
      <w:pPr>
        <w:ind w:left="-20" w:right="80" w:firstLine="1304"/>
        <w:spacing w:after="0" w:line="255" w:lineRule="auto"/>
        <w:tabs>
          <w:tab w:leader="none" w:pos="201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by Law, as expressly contemplated or required by this Agreement or as described in Section 5.02 of the Parent Disclosure Schedule, during the period from the date of this Agreement until the Effective Time (or such earlier date on which this Agreement may be terminated pursuant to Section 7.01), unless the Company otherwise consents in writing (such consent not to be unreasonably withheld, conditioned or delayed), Parent shall, and shall cause each of its Subsidiaries to, conduct its operations in all material respects in the Ordinary Course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Section 5.02(a) shall not prohibit Parent or any of its Subsidiaries from taking commercially reasonable actions outside of the Ordinary Course in response to changes or developments resulting from the COVID-19 pandemic;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taking any such action outside of the Ordinary Course, Parent shall consult with the Company and consider in good faith the views of the Company regarding any such proposed action.</w:t>
      </w:r>
    </w:p>
    <w:p>
      <w:pPr>
        <w:spacing w:after="0" w:line="242" w:lineRule="exact"/>
        <w:rPr>
          <w:rFonts w:ascii="Times New Roman" w:cs="Times New Roman" w:eastAsia="Times New Roman" w:hAnsi="Times New Roman"/>
          <w:sz w:val="18"/>
          <w:szCs w:val="18"/>
          <w:color w:val="auto"/>
        </w:rPr>
      </w:pPr>
    </w:p>
    <w:p>
      <w:pPr>
        <w:ind w:left="-20" w:right="100" w:firstLine="1304"/>
        <w:spacing w:after="0" w:line="261" w:lineRule="auto"/>
        <w:tabs>
          <w:tab w:leader="none" w:pos="202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and except as required by Law, as expressly contemplated or required by this Agreement or as described in Section 5.02 of the Parent Disclosure Schedule, during such period, Parent shall not, and shall not permit any of its Subsidiaries to, take any of the following actions without the prior written consent of the Company (such consent not to be unreasonably withheld, conditioned or delayed):</w:t>
      </w:r>
    </w:p>
    <w:p>
      <w:pPr>
        <w:spacing w:after="0" w:line="233" w:lineRule="exact"/>
        <w:rPr>
          <w:rFonts w:ascii="Times New Roman" w:cs="Times New Roman" w:eastAsia="Times New Roman" w:hAnsi="Times New Roman"/>
          <w:sz w:val="18"/>
          <w:szCs w:val="18"/>
          <w:color w:val="auto"/>
        </w:rPr>
      </w:pPr>
    </w:p>
    <w:p>
      <w:pPr>
        <w:ind w:left="640" w:right="40" w:firstLine="1292"/>
        <w:spacing w:after="0" w:line="282" w:lineRule="auto"/>
        <w:tabs>
          <w:tab w:leader="none" w:pos="264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nor shall it permit any of its Subsidiaries to, change its methods of accounting principles used by it as of the date of this Agreement unless required by GAAP as concurred to by Parent’s independent auditors;</w:t>
      </w:r>
    </w:p>
    <w:p>
      <w:pPr>
        <w:spacing w:after="0" w:line="215" w:lineRule="exact"/>
        <w:rPr>
          <w:rFonts w:ascii="Times New Roman" w:cs="Times New Roman" w:eastAsia="Times New Roman" w:hAnsi="Times New Roman"/>
          <w:sz w:val="18"/>
          <w:szCs w:val="18"/>
          <w:color w:val="auto"/>
        </w:rPr>
      </w:pPr>
    </w:p>
    <w:p>
      <w:pPr>
        <w:ind w:left="640" w:right="20" w:firstLine="1292"/>
        <w:spacing w:after="0" w:line="261" w:lineRule="auto"/>
        <w:tabs>
          <w:tab w:leader="none" w:pos="2642"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nor shall it permit any of its Subsidiaries to, take (or omit to take) any action that would, or would reasonably be expected to, result in any of its representations and warranties set forth in this Agreement becoming untrue in a manner that would give rise to the failure of the closing conditions set forth in Article VI, or that would in any material respect impede, interfere with, hinder or delay the consummation of the Merger or the other transactions contemplated hereby;</w:t>
      </w:r>
    </w:p>
    <w:p>
      <w:pPr>
        <w:spacing w:after="0" w:line="233" w:lineRule="exact"/>
        <w:rPr>
          <w:rFonts w:ascii="Times New Roman" w:cs="Times New Roman" w:eastAsia="Times New Roman" w:hAnsi="Times New Roman"/>
          <w:sz w:val="18"/>
          <w:szCs w:val="18"/>
          <w:color w:val="auto"/>
        </w:rPr>
      </w:pPr>
    </w:p>
    <w:p>
      <w:pPr>
        <w:jc w:val="both"/>
        <w:ind w:left="640" w:firstLine="1292"/>
        <w:spacing w:after="0" w:line="266" w:lineRule="auto"/>
        <w:tabs>
          <w:tab w:leader="none" w:pos="2638"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Section 5.02(b)(iii) of the Parent Disclosure Schedule, Parent shall not, and shall not permit any of its Subsidiaries to, make any acquisition (including by merger or amalgamation) of the capital stock or other asset of any Person, the occurrence or pendency of which would reasonably be expected to prevent, materially delay or materially impede the Merger;</w:t>
      </w:r>
    </w:p>
    <w:p>
      <w:pPr>
        <w:spacing w:after="0" w:line="229" w:lineRule="exact"/>
        <w:rPr>
          <w:rFonts w:ascii="Times New Roman" w:cs="Times New Roman" w:eastAsia="Times New Roman" w:hAnsi="Times New Roman"/>
          <w:sz w:val="18"/>
          <w:szCs w:val="18"/>
          <w:color w:val="auto"/>
        </w:rPr>
      </w:pPr>
    </w:p>
    <w:p>
      <w:pPr>
        <w:ind w:left="640" w:firstLine="1292"/>
        <w:spacing w:after="0" w:line="273" w:lineRule="auto"/>
        <w:tabs>
          <w:tab w:leader="none" w:pos="2628" w:val="left"/>
        </w:tabs>
        <w:numPr>
          <w:ilvl w:val="1"/>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not, nor shall it permit any of its Subsidiaries to, declare, set aside or pay any dividends on, or make any other distribution in respect of any outstanding capital stock of, or other equity interests in, or other securities or obligations convertible (whether currently convertible or convertible only after the passage of time or the occurrence of specific events) into or exchangeable for any shares of capital stock of, Parent or any of its Subsidiaries, other than (A) dividends to holders of Parent Shares in the Ordinary Course consistent with past practice in timing and in an amount up to the amount as set forth on Section 5.02(b)(iv) of the Parent Disclosure Schedule, (B) distributions or dividends from direct or indirect wholly-owned Subsidiaries of the Company to the Company or other wholly-owned Subsidiaries of the Company or (C) settlement (including any net share settlement) in respect to any equity based awards granted pursuant to Parent’s omnibus incentive plan;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2" w:right="359" w:bottom="1440" w:gutter="0" w:footer="0" w:header="0"/>
        </w:sectPr>
      </w:pPr>
    </w:p>
    <w:bookmarkStart w:id="160" w:name="page161"/>
    <w:bookmarkEnd w:id="160"/>
    <w:p>
      <w:pPr>
        <w:ind w:left="2700" w:hanging="748"/>
        <w:spacing w:after="0"/>
        <w:tabs>
          <w:tab w:leader="none" w:pos="2700"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not amend Parent Organizational Documents in a manner that adversely affects in any material respect the</w:t>
      </w:r>
    </w:p>
    <w:p>
      <w:pPr>
        <w:spacing w:after="0" w:line="38"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terms of the Parent Shares;</w:t>
      </w:r>
    </w:p>
    <w:p>
      <w:pPr>
        <w:spacing w:after="0" w:line="260" w:lineRule="exact"/>
        <w:rPr>
          <w:rFonts w:ascii="Times New Roman" w:cs="Times New Roman" w:eastAsia="Times New Roman" w:hAnsi="Times New Roman"/>
          <w:sz w:val="17"/>
          <w:szCs w:val="17"/>
          <w:color w:val="auto"/>
        </w:rPr>
      </w:pPr>
    </w:p>
    <w:p>
      <w:pPr>
        <w:ind w:left="2640" w:hanging="688"/>
        <w:spacing w:after="0"/>
        <w:tabs>
          <w:tab w:leader="none" w:pos="264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Parent, Parent shall not adopt or enter into a plan of complete or partial liquidation or dissolution;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60" w:lineRule="exact"/>
        <w:rPr>
          <w:rFonts w:ascii="Times New Roman" w:cs="Times New Roman" w:eastAsia="Times New Roman" w:hAnsi="Times New Roman"/>
          <w:sz w:val="18"/>
          <w:szCs w:val="18"/>
          <w:color w:val="auto"/>
        </w:rPr>
      </w:pPr>
    </w:p>
    <w:p>
      <w:pPr>
        <w:ind w:left="660" w:right="640" w:firstLine="1292"/>
        <w:spacing w:after="0" w:line="282" w:lineRule="auto"/>
        <w:tabs>
          <w:tab w:leader="none" w:pos="264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nor shall it permit any of its Subsidiaries to, enter into an agreement, contract, commitment or arrangement to do any of the foregoing.</w:t>
      </w:r>
    </w:p>
    <w:p>
      <w:pPr>
        <w:spacing w:after="0" w:line="215" w:lineRule="exact"/>
        <w:rPr>
          <w:rFonts w:ascii="Times New Roman" w:cs="Times New Roman" w:eastAsia="Times New Roman" w:hAnsi="Times New Roman"/>
          <w:sz w:val="18"/>
          <w:szCs w:val="18"/>
          <w:color w:val="auto"/>
        </w:rPr>
      </w:pPr>
    </w:p>
    <w:p>
      <w:pPr>
        <w:ind w:right="520" w:firstLine="1304"/>
        <w:spacing w:after="0" w:line="282" w:lineRule="auto"/>
        <w:tabs>
          <w:tab w:leader="none" w:pos="203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is intended to give the Company, directly or indirectly, the right to control or direct Parent’s or its Subsidiaries operations prior to the Effective Time.</w:t>
      </w:r>
    </w:p>
    <w:p>
      <w:pPr>
        <w:spacing w:after="0" w:line="215" w:lineRule="exact"/>
        <w:rPr>
          <w:rFonts w:ascii="Times New Roman" w:cs="Times New Roman" w:eastAsia="Times New Roman" w:hAnsi="Times New Roman"/>
          <w:sz w:val="18"/>
          <w:szCs w:val="18"/>
          <w:color w:val="auto"/>
        </w:rPr>
      </w:pPr>
    </w:p>
    <w:p>
      <w:pPr>
        <w:ind w:right="20" w:firstLine="1304"/>
        <w:spacing w:after="0" w:line="258" w:lineRule="auto"/>
        <w:tabs>
          <w:tab w:leader="none" w:pos="204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Section 5.02, neither Parent nor Merger Sub shall knowingly take, or permit any of its respective Subsidiaries or its or their respective directors, officers or employees to take, and each shall instruct its respective advisors (acting on behalf of Parent or any of its Subsidiaries) not to take, any action that would reasonably be expected to prevent or materially impede or materially delay the consummation of the Transactions, or result in any transaction that (if consummated) would reasonably be expected to prevent or materially impede or materially delay the consummation of the Transactions.</w:t>
      </w:r>
    </w:p>
    <w:p>
      <w:pPr>
        <w:spacing w:after="0" w:line="20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21"/>
          <w:szCs w:val="21"/>
          <w:color w:val="auto"/>
        </w:rPr>
        <w:t>. The Company and the Company Shareholders shall, and shall use reasonable best efforts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cause each of the Company’s Subsidiaries and other Representatives and the Joint Venture Entities to, immediately cease any solicitation, intentional encouragement, discussions or negotiations with respect to a Takeover Proposal that are ongoing on or prior to the date of this Agreement and shall promptly request from each Person that has executed a confidentiality agreement with the Company within the one-year period prior to and ending on the date of this Agreement in connection with its consideration of making a Takeover Proposal (an “</w:t>
      </w:r>
      <w:r>
        <w:rPr>
          <w:rFonts w:ascii="Times New Roman" w:cs="Times New Roman" w:eastAsia="Times New Roman" w:hAnsi="Times New Roman"/>
          <w:sz w:val="17"/>
          <w:szCs w:val="17"/>
          <w:u w:val="single" w:color="auto"/>
          <w:color w:val="auto"/>
        </w:rPr>
        <w:t>Existing Confidentiality Agreement</w:t>
      </w:r>
      <w:r>
        <w:rPr>
          <w:rFonts w:ascii="Times New Roman" w:cs="Times New Roman" w:eastAsia="Times New Roman" w:hAnsi="Times New Roman"/>
          <w:sz w:val="21"/>
          <w:szCs w:val="21"/>
          <w:color w:val="auto"/>
        </w:rPr>
        <w:t>”) that it promptly return or destroy (as provided in the terms of the applicable Existing Confidentiality Agreement) any non-public information concerning the Company or any of its Subsidiaries or the Joint Venture Entities previously furnished or made available to such Person or any of its Representatives by or on behalf of the Company or its Representatives to the extent such a request has not been made prior to the date of this Agreement. The Company and the Company Shareholders shall promptly inform each of their respective Representatives of the Company’s obligations under this Section 5.03 and shall cause each Representative that is an officer or director of such Person and shall use reasonable best efforts to cause each other Representative of the Company or the Company Shareholders to not take any action that, if taken by the Company or a Company Shareholder, would constitute a breach of this Section 5.03. Upon becoming aware of any action by any Representative of the Company or the Company Shareholders that would constitute a breach of this Section 5.03 if taken by the Company or the Company Shareholders, the Company or the Company Shareholders, as applicable, shall stop any such Representative that is an officer or director of such Person and shall use reasonable best efforts to cause each other Representative from continuing to take such action, directly or indirectly.</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61" w:name="page162"/>
    <w:bookmarkEnd w:id="161"/>
    <w:p>
      <w:pPr>
        <w:ind w:left="64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5.04</w:t>
      </w:r>
      <w:r>
        <w:rPr>
          <w:sz w:val="20"/>
          <w:szCs w:val="20"/>
          <w:color w:val="auto"/>
        </w:rPr>
        <w:tab/>
      </w:r>
      <w:r>
        <w:rPr>
          <w:rFonts w:ascii="Times New Roman" w:cs="Times New Roman" w:eastAsia="Times New Roman" w:hAnsi="Times New Roman"/>
          <w:sz w:val="18"/>
          <w:szCs w:val="18"/>
          <w:u w:val="single" w:color="auto"/>
          <w:color w:val="auto"/>
        </w:rPr>
        <w:t>Reasonable Best Efforts</w:t>
      </w:r>
      <w:r>
        <w:rPr>
          <w:rFonts w:ascii="Times New Roman" w:cs="Times New Roman" w:eastAsia="Times New Roman" w:hAnsi="Times New Roman"/>
          <w:sz w:val="21"/>
          <w:szCs w:val="21"/>
          <w:color w:val="auto"/>
        </w:rPr>
        <w:t>.</w:t>
      </w:r>
    </w:p>
    <w:p>
      <w:pPr>
        <w:spacing w:after="0" w:line="281" w:lineRule="exact"/>
        <w:rPr>
          <w:sz w:val="20"/>
          <w:szCs w:val="20"/>
          <w:color w:val="auto"/>
        </w:rPr>
      </w:pPr>
    </w:p>
    <w:p>
      <w:pPr>
        <w:ind w:left="-20" w:firstLine="1304"/>
        <w:spacing w:after="0" w:line="251" w:lineRule="auto"/>
        <w:tabs>
          <w:tab w:leader="none" w:pos="201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each of the parties hereto shall cooperate with the other parties and use (and shall cause their respective Subsidiaries and, solely with respect to the Company, the Joint Venture Entities to use) their respective reasonable best efforts (unless, with respect to any action, another standard of performance is expressly provided for herein) to promptly (i) take, or cause to be taken, all actions, and do, or cause to be done, and assist and cooperate with the other parties hereto in doing, all things necessary, proper or advisable to cause the conditions to Closing to be satisfied as promptly as reasonably practicable and to consummate and make effective, in the most expeditious manner reasonably practicable and in any event prior to the Termination Date, the Transactions, including (A) taking all such actions contemplated by the terms of the Statutory Merger Agreement, (B) otherwise preparing and filing promptly all documentation to effect all necessary filings, notices, petitions, statements, registrations, submissions of information, applications and other documents and (C) executing and delivering any additional instruments necessary to consummate the Transactions on the terms contemplated herein, (ii) obtain all approvals, consents, registrations, waivers, permits, authorizations, orders and other confirmations from any Governmental Authority or third party necessary, proper or advisable to consummate the Transactions, including any such approvals, consents, registrations, waivers, permits, authorizations, orders and other confirmations required under applicable Antitrust Laws, (iii) take all steps that are necessary, proper or advisable to avoid any Actions by any Governmental Authorities with respect to this Agreement or the Transactions and (iv) defend or contest in good faith any Action by any third party (excluding any Governmental Authority), whether judicial or administrative, challenging this Agreement or that would otherwise prevent or materially delay the consummation of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5.04 or otherwise in this Agreement or the Statutory Merger Agreement shall require (and reasonable best efforts or commercially reasonable efforts shall in no event require) Parent or any of its Affiliates to (x) litigate any Action by or on behalf of any Governmental Authority seeking to delay, restrain, prevent, enjoin or otherwise prohibit consummation of the Transactions or (y) take or refrain from or to agree to the taking or refraining from any action (including any amendment, waiver or termination of any agreement, including this Agreement) or to permit or suffer to exist any restriction, condition, limitation or requirement that would or would reasonably be expected to result, individually or in the aggregate, in a Burdensome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without the prior written consent of Parent, the Company and its Affiliates shall not, in connection with its obligations to use reasonable best efforts to obtain all approvals, consents, registrations, waivers, permits, authorizations, orders and other confirmations from any Governmental Authority or third party necessary, proper or advisable to consummate the Transactions, take or refrain from or agree to the taking or refraining from any action (including any amendment, waiver or termination of any agreement, including this Agreement) or to permit or suffer to exist any restriction, condition, limitation or requirement that would or would reasonably be expected to result, individually or in the aggregate, in a Burdensome Condition.</w:t>
      </w:r>
    </w:p>
    <w:p>
      <w:pPr>
        <w:spacing w:after="0" w:line="258" w:lineRule="exact"/>
        <w:rPr>
          <w:rFonts w:ascii="Times New Roman" w:cs="Times New Roman" w:eastAsia="Times New Roman" w:hAnsi="Times New Roman"/>
          <w:sz w:val="18"/>
          <w:szCs w:val="18"/>
          <w:color w:val="auto"/>
        </w:rPr>
      </w:pPr>
    </w:p>
    <w:p>
      <w:pPr>
        <w:ind w:left="-20" w:right="20" w:firstLine="1304"/>
        <w:spacing w:after="0" w:line="258" w:lineRule="auto"/>
        <w:tabs>
          <w:tab w:leader="none" w:pos="202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the Company and Parent shall each use its reasonable best efforts to (i) take all action necessary to ensure that no Takeover Law is or becomes applicable to any of the Transactions and refrain from taking any actions that would cause the applicability of such Laws and (ii) if the restrictions of any Takeover Law become applicable to any of the Transactions, take all action necessary to ensure that the Transactions may be consummated as promptly as practicable on the terms contemplated by this Agreement and otherwise lawfully minimize the effect of such Takeover Law on the Transactions.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2" w:right="359" w:bottom="1440" w:gutter="0" w:footer="0" w:header="0"/>
        </w:sectPr>
      </w:pPr>
    </w:p>
    <w:bookmarkStart w:id="162" w:name="page163"/>
    <w:bookmarkEnd w:id="162"/>
    <w:p>
      <w:pPr>
        <w:ind w:left="-20" w:firstLine="1304"/>
        <w:spacing w:after="0" w:line="251" w:lineRule="auto"/>
        <w:tabs>
          <w:tab w:leader="none" w:pos="201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 applicability of Section 5.04(a), each of the Company and Parent shall, in consultation and cooperation with the other and as promptly as practicable following the date of this Agreement, file (i) with the United States Federal Trade Commission and the Antitrust Division of the United States Department of Justice the notification and report form, if any, required under the HSR Act with respect to the Transactions, and (ii) all appropriate documents, forms, filings or submissions required under any non-U.S. Antitrust Laws. Any such filings shall be in material compliance with the requirements of applicable Law. Each of the parties shall, in connection with the efforts referenced in Section 5.04(a), (i) furnish to the other party such necessary information and reasonable assistance as the other party may request in connection with its preparation of any documents, forms, filings or submissions contemplated by the first sentence of this Section 5.04(c), (ii) give the other party reasonable prior notice of any such filings or submissions and, to the extent reasonably practicable, of any communication with, and any inquiries or requests for additional information from, any Governmental Authority regarding the Transactions, and permit the other party to review and discuss in advance, and consider in good faith the views of, and secure the participation of, the other party in connection with, any such filings, submissions, communications, inquiries or requests, (iii) unless prohibited by applicable Law or by the applicable Governmental Authority, and to the extent reasonably practicable, (A) not participate in or attend any meeting, or engage in any substantive conversation, with any Governmental Authority in respect of the Transactions without the other party, (B) give the other party reasonable prior notice of any such meeting or substantive conversation, (C) in the event one party is prohibited by applicable Law or by the applicable Governmental Authority from participating in or attending any such meeting or engaging in any such substantive conversation, to the extent permitted by applicable Law or such Governmental Authority, keep such party apprised with respect thereto, (D) cooperate in the filing of any substantive memoranda, white papers, filings, correspondence or other written communications explaining or defending this Agreement or any of the Transactions, articulating any regulatory or competitive argument or responding to requests or objections made by any Governmental Authority and (E) furnish the other party with copies of all substantive filings, submissions, correspondence and communications (and memoranda setting forth the substance thereof) between it and its Affiliates and their respective Representatives, on the one hand, and any Governmental Authority or members of any Governmental Authority’s staff, on the other hand, with respect to this Agreement and the Transactions (excluding any personally sensitive information) and (iv) comply with any inquiry or request from any Governmental Authority as promptly as reasonably practicable, with respect to this Agreement and the Transactions. The parties agree not to extend, directly or indirectly, any waiting period under any applicable Antitrust Law or enter into any agreement with a Governmental Authority to delay in any material respect or not to consummate the Merger or any of the other Transactions, except with the prior written consent of the other parties hereto, which shall not be unreasonably withheld, conditioned or delayed in the context of seeking such a delay.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8" w:right="359" w:bottom="1440" w:gutter="0" w:footer="0" w:header="0"/>
        </w:sectPr>
      </w:pPr>
    </w:p>
    <w:bookmarkStart w:id="163" w:name="page164"/>
    <w:bookmarkEnd w:id="163"/>
    <w:p>
      <w:pPr>
        <w:ind w:right="40"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21"/>
          <w:szCs w:val="21"/>
          <w:color w:val="auto"/>
        </w:rPr>
        <w:t>. All transfer, real estate transfer, documentary, stamp, recording, sales, use and other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Taxes (including interest, penalties and additions to any such Taxes) (“</w:t>
      </w: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21"/>
          <w:szCs w:val="21"/>
          <w:color w:val="auto"/>
        </w:rPr>
        <w:t>”) incurred in connection with the Transactions shall be equally paid by the Company Shareholders, on the one hand, and the Parent, on the other hand, and, to the extent applicable, prior to the Effective Time, the Company shall cooperate with Parent in preparing, executing and filing any applicable Tax Returns with respect to such Transfer Taxes.</w:t>
      </w:r>
    </w:p>
    <w:p>
      <w:pPr>
        <w:spacing w:after="0" w:line="19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Public Announcements; Other Communications</w:t>
      </w:r>
      <w:r>
        <w:rPr>
          <w:rFonts w:ascii="Times New Roman" w:cs="Times New Roman" w:eastAsia="Times New Roman" w:hAnsi="Times New Roman"/>
          <w:sz w:val="21"/>
          <w:szCs w:val="21"/>
          <w:color w:val="auto"/>
        </w:rPr>
        <w:t>. Parent and the Company shall consult with each other before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issuing, and give each other the reasonable opportunity to review and comment upon, any press release or other public statements with respect to the Transactions, and shall not issue any such press release or make any such public statement prior to such consultation, except as may be required by applicable Law, court process or the rules and regulations of any national securities exchange or national securities quotation system. The parties hereto agree that the initial press release to be issued with respect to the Transactions following execution of this Agreement shall be in the form heretofore agreed to by the parties hereto. Notwithstanding the foregoing, the parties shall have no consultation or other obligation pursuant to this Section 5.06 with respect to any press release or other public statements related to any actual or contemplated litigation between or among the parties to this Agreement. The Company will consult with Parent prior to making any substantive internal announcements or other substantive communications to its employees or other constituents with respect to this Agreement or the Transactions and will give good faith consideration to reasonable comments proposed by Parent.</w:t>
      </w:r>
    </w:p>
    <w:p>
      <w:pPr>
        <w:spacing w:after="0" w:line="204"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5.07</w:t>
      </w:r>
      <w:r>
        <w:rPr>
          <w:sz w:val="20"/>
          <w:szCs w:val="20"/>
          <w:color w:val="auto"/>
        </w:rPr>
        <w:tab/>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21"/>
          <w:szCs w:val="21"/>
          <w:color w:val="auto"/>
        </w:rPr>
        <w:t>.</w:t>
      </w:r>
    </w:p>
    <w:p>
      <w:pPr>
        <w:spacing w:after="0" w:line="281" w:lineRule="exact"/>
        <w:rPr>
          <w:sz w:val="20"/>
          <w:szCs w:val="20"/>
          <w:color w:val="auto"/>
        </w:rPr>
      </w:pPr>
    </w:p>
    <w:p>
      <w:pPr>
        <w:ind w:firstLine="1304"/>
        <w:spacing w:after="0" w:line="252" w:lineRule="auto"/>
        <w:tabs>
          <w:tab w:leader="none" w:pos="203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upon reasonable notice, the Company shall afford to Parent and Parent’s Representatives reasonable access during normal business hours to the Company’s officers, employees, agents, properties, books, Contracts and records and the Company shall furnish promptly to Parent and Parent’s Representatives such information concerning its business, personnel, assets, liabilities and properties as Parent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and its Representatives shall (x) conduct any such activities in such a manner as not to interfere unreasonably with the business or operations of the Company and (y) not be permitted to conduct any invasive sampling or environmental testing;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provide such access or information if the Company determines, in its reasonable judgment, that doing so would be reasonably likely to (i) violate applicable Law or a Contract or obligation of confidentiality owing to a third party, (ii) waive the protection of an attorney-client privilege or other legal privilege or (iii) expose the Company to risk of liability for disclosure of sensitive or personal information. Without limiting the foregoing, in the event that the Company does not provide access or information in reliance on the immediately preceding sentence, it shall provide notice to Parent that it is withholding such access or information and shall use its reasonable best efforts to communicate, to the extent feasible, the applicable information in a way that would not be reasonably likely to violate the applicable Law, Contract or obligation or risk waiver of such privilege. All requests for information made pursuant to this Section 5.07 shall be directed to the Person designated by the Company. Until the Effective Time, the information provided will be subject to the terms of the confidentiality agreement dated as of November 5, 2020 by and between GLNG and NFE Atlantic Holdings LLC (as may in the future be amended from time to time,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For the avoidance of doubt, with respect to this Section 5.07, Stonepeak shall be subject to the terms of the Confidentiality Agreement.</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64" w:name="page165"/>
    <w:bookmarkEnd w:id="164"/>
    <w:p>
      <w:pPr>
        <w:ind w:left="-20" w:right="40" w:firstLine="1304"/>
        <w:spacing w:after="0" w:line="282" w:lineRule="auto"/>
        <w:tabs>
          <w:tab w:leader="none" w:pos="202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violate any of its obligations under the Confidentiality Agreement as a result of performing any of its express obligations under this Agreement.</w:t>
      </w:r>
    </w:p>
    <w:p>
      <w:pPr>
        <w:spacing w:after="0" w:line="179"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5.08</w:t>
      </w:r>
      <w:r>
        <w:rPr>
          <w:sz w:val="20"/>
          <w:szCs w:val="20"/>
          <w:color w:val="auto"/>
        </w:rPr>
        <w:tab/>
      </w:r>
      <w:r>
        <w:rPr>
          <w:rFonts w:ascii="Times New Roman" w:cs="Times New Roman" w:eastAsia="Times New Roman" w:hAnsi="Times New Roman"/>
          <w:sz w:val="18"/>
          <w:szCs w:val="18"/>
          <w:u w:val="single" w:color="auto"/>
          <w:color w:val="auto"/>
        </w:rPr>
        <w:t>Indemnification and Insurance</w:t>
      </w:r>
      <w:r>
        <w:rPr>
          <w:rFonts w:ascii="Times New Roman" w:cs="Times New Roman" w:eastAsia="Times New Roman" w:hAnsi="Times New Roman"/>
          <w:sz w:val="21"/>
          <w:szCs w:val="21"/>
          <w:color w:val="auto"/>
        </w:rPr>
        <w:t>.</w:t>
      </w:r>
    </w:p>
    <w:p>
      <w:pPr>
        <w:spacing w:after="0" w:line="281" w:lineRule="exact"/>
        <w:rPr>
          <w:sz w:val="20"/>
          <w:szCs w:val="20"/>
          <w:color w:val="auto"/>
        </w:rPr>
      </w:pPr>
    </w:p>
    <w:p>
      <w:pPr>
        <w:ind w:left="-20" w:firstLine="1304"/>
        <w:spacing w:after="0" w:line="252" w:lineRule="auto"/>
        <w:tabs>
          <w:tab w:leader="none" w:pos="201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until the sixth anniversary of the Effective Time, Parent shall cause the Surviving Company to and the Surviving Company shall (i) indemnify and hold harmless each individual who at the Effective Time is, or at any time prior to the Effective Time was, a director or officer of the Company or of a Subsidiary of the Company, or any Person who is or was serving at the request of the Company or any of its Subsidiaries as a director, officer, manager, employee, fiduciary, agent or trustee (or equivalent position) of another Person (including any Joint Venture Entity or employee benefit plan), in each case to the extent acting in such capacity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with respect to all claims, liabilities, losses, damages, judgments, fines, penalties, costs (including amounts paid in settlement or compromise) and expenses (including fees and expenses of legal counsel) in connection with any threatened or actual Action (whether civil, criminal, administrative or investigative), whenever asserted, based on or arising out of, in whole or in part, (A) the fact that an Indemnitee was a director or officer of the Company or such Subsidiary or (B) acts or omissions by an Indemnitee in the Indemnitee’s capacity as a director, officer, employee or agent of the Company or such Subsidiary or taken at the request of the Company or such Subsidiary (including in connection with serving at the request of the Company or such Subsidiary as a director, officer, employee, agent, trustee or fiduciary of another Person (including any Joint Venture Entity or employee benefit plan)), in each case under clause (A) or (B), at, or at any time prior to, the Effective Time (including any threatened or actual Action relating in whole or in part to the Transactions or relating to the enforcement of this provision or any other indemnification or advancement right of any Indemnitee), to the fullest extent permitted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Indemnitee shall be indemnified against any liability which by virtue of any rule of law attaches to such Indemnitee in respect of any fraud or other intentional dishonesty of which such Indemnitee is determined, in a final non-appealable determination by a Governmental Authority of competent jurisdiction, to be guilty in relation to the Company. Without limiting the foregoing, Parent, from and after the Effective Time until the sixth anniversary of the Effective Time, shall cause, unless otherwise required by Law, the memorandum of association and bye-laws of the Surviving Company to contain provisions no less favorable to the Indemnitees with respect to limitation of liabilities of directors and officers and indemnification than are set forth as of the date of this Agreement in the Company Organizational Documents, which provisions shall not be amended, repealed or otherwise modified in a manner that would adversely affect the rights thereunder of the Indemnitees.</w:t>
      </w:r>
    </w:p>
    <w:p>
      <w:pPr>
        <w:spacing w:after="0" w:line="243" w:lineRule="exact"/>
        <w:rPr>
          <w:rFonts w:ascii="Times New Roman" w:cs="Times New Roman" w:eastAsia="Times New Roman" w:hAnsi="Times New Roman"/>
          <w:sz w:val="18"/>
          <w:szCs w:val="18"/>
          <w:color w:val="auto"/>
        </w:rPr>
      </w:pPr>
    </w:p>
    <w:p>
      <w:pPr>
        <w:ind w:left="-20" w:right="100" w:firstLine="1304"/>
        <w:spacing w:after="0" w:line="254" w:lineRule="auto"/>
        <w:tabs>
          <w:tab w:leader="none" w:pos="202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cause the Surviving Company to put in place, and Parent shall prepay in full no later than the Effective Time directors’ and officers’ liability “tail” insurance with a claims period of not less than six years from the Effective Time selected by Parent providing terms and conditions as to retentions, limits and other material terms no less favorable than the current policies of directors’ and officers’ liability insurance maintained by the Company, its Subsidiaries and the Joint Venture Entities with respect to matters existing or occurring prior to the Effective Time, including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aggregate annual premium for such insurance shall exceed 300% of the current annual premium as of the date of this Agreement (such 300% threshold, the “</w:t>
      </w:r>
      <w:r>
        <w:rPr>
          <w:rFonts w:ascii="Times New Roman" w:cs="Times New Roman" w:eastAsia="Times New Roman" w:hAnsi="Times New Roman"/>
          <w:sz w:val="18"/>
          <w:szCs w:val="18"/>
          <w:u w:val="single" w:color="auto"/>
          <w:color w:val="auto"/>
        </w:rPr>
        <w:t>Maximum Premium</w:t>
      </w:r>
      <w:r>
        <w:rPr>
          <w:rFonts w:ascii="Times New Roman" w:cs="Times New Roman" w:eastAsia="Times New Roman" w:hAnsi="Times New Roman"/>
          <w:sz w:val="18"/>
          <w:szCs w:val="18"/>
          <w:color w:val="auto"/>
        </w:rPr>
        <w:t>”), then Parent shall only be obligated to cause the Surviving Company to purchase a policy for the applicable individuals with the best coverage as shall then be available at an aggregate annual premium not in excess of the Maximum Premium. The Surviving Company shall use its reasonable best efforts to cause such “tail” insurance to be maintained in full force and effect, for its full term, and to honor all of its obligations thereunder.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8" w:right="339" w:bottom="1440" w:gutter="0" w:footer="0" w:header="0"/>
        </w:sectPr>
      </w:pPr>
    </w:p>
    <w:bookmarkStart w:id="165" w:name="page166"/>
    <w:bookmarkEnd w:id="165"/>
    <w:p>
      <w:pPr>
        <w:ind w:left="-20" w:firstLine="1304"/>
        <w:spacing w:after="0" w:line="255" w:lineRule="auto"/>
        <w:tabs>
          <w:tab w:leader="none" w:pos="201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5.08 are (i) intended to be for the benefit of, and shall be enforceable by, each Indemnitee, his or her heirs and his or her representatives and (ii) in addition to, and not in substitution for, any other rights to indemnification or contribution that any such individual may have under the Company Organizational Documents, by contract or otherwise. The obligations of Parent and the Surviving Company under this Section 5.08 shall not be terminated or modified in such a manner as to adversely affect the rights of any Indemnitee to whom this Section 5.08 applies unless (A) such termination or modification is required by applicable Law or (B) the affected Indemnitee shall have consented in writing to such termination or modification (it being expressly agreed that the Indemnitees to whom this Section 5.08 applies shall be third-party beneficiaries of this Section 5.08).</w:t>
      </w:r>
    </w:p>
    <w:p>
      <w:pPr>
        <w:spacing w:after="0" w:line="242" w:lineRule="exact"/>
        <w:rPr>
          <w:rFonts w:ascii="Times New Roman" w:cs="Times New Roman" w:eastAsia="Times New Roman" w:hAnsi="Times New Roman"/>
          <w:sz w:val="18"/>
          <w:szCs w:val="18"/>
          <w:color w:val="auto"/>
        </w:rPr>
      </w:pPr>
    </w:p>
    <w:p>
      <w:pPr>
        <w:ind w:left="-20" w:right="280" w:firstLine="1304"/>
        <w:spacing w:after="0" w:line="261" w:lineRule="auto"/>
        <w:tabs>
          <w:tab w:leader="none" w:pos="202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Parent, the Surviving Company or any of their respective successors or assigns (i) consolidates or amalgamates with or merges into any other Person and is not the continuing or Surviving Company or entity of such consolidation, amalgamation or merger or (ii) transfers or conveys all or substantially all of its properties and assets to any Person, then, and in each such case, proper provision shall be made so that the successors and assigns of Parent or the Surviving Company shall assume all of the obligations thereof set forth in this Section 5.08.</w:t>
      </w:r>
    </w:p>
    <w:p>
      <w:pPr>
        <w:spacing w:after="0" w:line="233" w:lineRule="exact"/>
        <w:rPr>
          <w:rFonts w:ascii="Times New Roman" w:cs="Times New Roman" w:eastAsia="Times New Roman" w:hAnsi="Times New Roman"/>
          <w:sz w:val="18"/>
          <w:szCs w:val="18"/>
          <w:color w:val="auto"/>
        </w:rPr>
      </w:pPr>
    </w:p>
    <w:p>
      <w:pPr>
        <w:ind w:left="-20" w:right="40" w:firstLine="1304"/>
        <w:spacing w:after="0" w:line="251" w:lineRule="auto"/>
        <w:tabs>
          <w:tab w:leader="none" w:pos="201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claim, action, suit, proceeding or investigation in which any claims are made in respect of which such Indemnitee would be entitled to indemnification pursuant to this Section 5.08(e), any Indemnitee wishing to claim such indemnification shall promptly notify Parent thereof in writing, but the failure to so notify shall not relieve Parent or the Surviving Company of any liability it may have to such Indemnitee except to the extent such failure materially prejudices Parent or the Surviving Company. In the event of any such claim, action, suit, proceeding or investigation: (i) Parent or the Surviving Company shall have the right to assume the defense thereof (it being understood that by electing to assume the defense thereof, neither Parent nor the Surviving Company will be deemed to have waived any right to object to the Indemnitee’s entitlement to indemnification hereunder with respect thereto or assumed any liability with respect thereto), except that if Parent or the Surviving Company elects not to assume such defense or legal counsel for the Indemnitee advises that there are issues which raise conflicts of interest between Parent or the Surviving Company and the Indemnitee, the Indemnitee may retain legal counsel satisfactory to Parent and to the provider of any insurance obtained in accordance with Section 5.08(a), and Parent or the Surviving Company shall pay all reasonable and documented fees, costs and expenses of such legal counsel for the Indemnitee as statements therefor are received;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(1) Parent and the Surviving Company shall be obligated pursuant to this Section 5.08(e) to pay for only one firm of legal counsel for all Indemnitees in any jurisdiction unless the use of one legal counsel for such Indemnitees would present such legal counsel with a conflict of interest (in which case the fewest number of legal counsels necessary to avoid conflicts of interest shall be used) and (2) the Indemnitee shall have made an undertaking to repay all such fees, costs or expenses paid by Parent or the Surviving Company if and to the extent that it is ultimately determined by a court of competent jurisdiction in a final judgment that the Indemnitee is not entitled to be indemnified by Parent or the Surviving Company; (ii) the Indemnitees shall cooperate in the defense of any such matter if Parent or the Surviving Company elects to assume such defense; (iii) Parent and the Surviving Company shall not be liable for any settlement effected without their prior written consent and the prior written consent of the provider of any insurance obtained in accordance with Section 5.08(a), in each case if Parent or the Surviving Company elects not to assume such defense; and (iv) Parent and the Surviving Company shall not have any obligation hereunder to any Indemnitee if and when a court of competent jurisdiction shall ultimately determine, and such determination shall have become final, that the indemnified action of such Indemnitee in the manner contemplated hereby is prohibited by applicable Law. Notwithstanding anything herein to the contrary, neither Parent nor the Surviving Company shall settle, compromise or consent to the entry of any judgment in any claim, action, suit or other Proceeding (and in which indemnification could be sought by Indemnitees hereunder), unless such settlement, compromise or consent includes an unconditional release of such Indemnitee from all liability arising out of such claim, action, suit or other Proceeding or such Indemnitee otherwise consents in writing.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8" w:right="339" w:bottom="1440" w:gutter="0" w:footer="0" w:header="0"/>
        </w:sectPr>
      </w:pPr>
    </w:p>
    <w:bookmarkStart w:id="166" w:name="page167"/>
    <w:bookmarkEnd w:id="166"/>
    <w:p>
      <w:pPr>
        <w:ind w:right="320" w:firstLine="1304"/>
        <w:spacing w:after="0" w:line="261" w:lineRule="auto"/>
        <w:tabs>
          <w:tab w:leader="none" w:pos="201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is intended to, shall be construed to or shall release, waive or impair any rights to directors’ and officers’ insurance claims under any policy that is or has been in existence with respect to the Company or any of its Subsidiaries or the Joint Venture Entities for any of their respective directors, officers or other employees, it being understood and agreed that the indemnification provided for in this Section 5.08 is not prior to or in substitution for any such claims under such policies.</w:t>
      </w:r>
    </w:p>
    <w:p>
      <w:pPr>
        <w:spacing w:after="0" w:line="19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21"/>
          <w:szCs w:val="21"/>
          <w:color w:val="auto"/>
        </w:rPr>
        <w:t>. From and after the Closing, (a) each Company Shareholder hereby agrees on behalf of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Company Shareholder and such Company Shareholder’s predecessors, successors, assigns, heirs, executors, legatees, administrators, beneficiaries, Affiliates, representatives and agents, hereby fully, finally and irrevocably releases, acquits and forever discharges Parent, the Company, and their respective officers, directors, Affiliates, predecessors, successors and assigns, and the beneficiaries, heirs, executors, attorneys and representatives of any of them, and (b) each of Parent and the Company hereby agrees, on behalf of itself and its Subsidiaries, predecessors, successors, assigns, heirs, executors, legatees, administrators, beneficiaries, representatives and agents hereby fully, finally and irrevocably releases, acquits and forever discharges each Company Shareholder, and their respective officers, directors, Affiliates, predecessors, successors and assigns, and the beneficiaries, heirs, executors, attorneys and representatives of any of them (the Persons granting such release and the Persons with respect to whom such releases are granted on their behalf, in (a) or (b), as applicable, the “</w:t>
      </w:r>
      <w:r>
        <w:rPr>
          <w:rFonts w:ascii="Times New Roman" w:cs="Times New Roman" w:eastAsia="Times New Roman" w:hAnsi="Times New Roman"/>
          <w:sz w:val="17"/>
          <w:szCs w:val="17"/>
          <w:u w:val="single" w:color="auto"/>
          <w:color w:val="auto"/>
        </w:rPr>
        <w:t>Releasing Parties</w:t>
      </w:r>
      <w:r>
        <w:rPr>
          <w:rFonts w:ascii="Times New Roman" w:cs="Times New Roman" w:eastAsia="Times New Roman" w:hAnsi="Times New Roman"/>
          <w:sz w:val="21"/>
          <w:szCs w:val="21"/>
          <w:color w:val="auto"/>
        </w:rPr>
        <w:t>” and the Persons being released in (a) or (b), as applicable, collectively, the “</w:t>
      </w:r>
      <w:r>
        <w:rPr>
          <w:rFonts w:ascii="Times New Roman" w:cs="Times New Roman" w:eastAsia="Times New Roman" w:hAnsi="Times New Roman"/>
          <w:sz w:val="17"/>
          <w:szCs w:val="17"/>
          <w:u w:val="single" w:color="auto"/>
          <w:color w:val="auto"/>
        </w:rPr>
        <w:t>Released Parties</w:t>
      </w:r>
      <w:r>
        <w:rPr>
          <w:rFonts w:ascii="Times New Roman" w:cs="Times New Roman" w:eastAsia="Times New Roman" w:hAnsi="Times New Roman"/>
          <w:sz w:val="21"/>
          <w:szCs w:val="21"/>
          <w:color w:val="auto"/>
        </w:rPr>
        <w:t>”), from any and all commitments, actions, charges, complaints, agreements, controversies, claims, suits, causes of action, damages, demands, liabilities, and obligations of every kind and nature whatsoever, whether arising from any express, implied, oral or written contract or otherwise, known or unknown, past, present or future, at Law or in equity, contingent or otherwise (collectively, a “</w:t>
      </w:r>
      <w:r>
        <w:rPr>
          <w:rFonts w:ascii="Times New Roman" w:cs="Times New Roman" w:eastAsia="Times New Roman" w:hAnsi="Times New Roman"/>
          <w:sz w:val="17"/>
          <w:szCs w:val="17"/>
          <w:u w:val="single" w:color="auto"/>
          <w:color w:val="auto"/>
        </w:rPr>
        <w:t>Potential Claim</w:t>
      </w:r>
      <w:r>
        <w:rPr>
          <w:rFonts w:ascii="Times New Roman" w:cs="Times New Roman" w:eastAsia="Times New Roman" w:hAnsi="Times New Roman"/>
          <w:sz w:val="21"/>
          <w:szCs w:val="21"/>
          <w:color w:val="auto"/>
        </w:rPr>
        <w:t>”), that the Releasing Parties, or any of them, had, has or may have had against any of the Released Parties for any matter, cause or thing relating to the Company, any of its Subsidiaries, officers and directors, and the Joint Venture Entities occurring at any time at or prior to the Effective Time (the “</w:t>
      </w:r>
      <w:r>
        <w:rPr>
          <w:rFonts w:ascii="Times New Roman" w:cs="Times New Roman" w:eastAsia="Times New Roman" w:hAnsi="Times New Roman"/>
          <w:sz w:val="17"/>
          <w:szCs w:val="17"/>
          <w:u w:val="single" w:color="auto"/>
          <w:color w:val="auto"/>
        </w:rPr>
        <w:t>Released Matters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21"/>
          <w:szCs w:val="21"/>
          <w:color w:val="auto"/>
        </w:rPr>
        <w:t>, that the Released Matters do not include, and the Releasing Parties expressly do not release or discharge (i) any Potential Claim arising from or relating to or based upon the terms of this Agreement, the other Transaction Documents and the Transactions (including, if applicable, the right to such Company Shareholder’s portion of the Merger Consideration and Preferred Share Consideration subject to the terms and conditions set forth herein) or any agreement (that is identified in the Disclosure Schedule) entered into by the Releasing Parties in connection with the Transactions that by their terms expressly survive the Closing, (ii) any Potential Claim that cannot be waived as a matter of applicable Law, (iii) any Potential Claim unrelated in any way to the Company or any of its businesses, (iv) any rights to continuing indemnification under</w:t>
      </w:r>
    </w:p>
    <w:p>
      <w:pPr>
        <w:spacing w:after="0" w:line="13" w:lineRule="exact"/>
        <w:rPr>
          <w:sz w:val="20"/>
          <w:szCs w:val="20"/>
          <w:color w:val="auto"/>
        </w:rPr>
      </w:pPr>
    </w:p>
    <w:p>
      <w:pPr>
        <w:ind w:firstLine="8"/>
        <w:spacing w:after="0" w:line="231" w:lineRule="auto"/>
        <w:tabs>
          <w:tab w:leader="none" w:pos="354"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its Subsidiary’s or the Joint Venture Entities’ organizational documents, (B) any indemnification agreement to which the Releasing Party and the Company are parties and that is identified in the Disclosure Schedule or (C) any applicable policy of directors’ and officers’ insurance maintained by the Company, (v) any Potential Claim arising from or relating to salary, reimbursement for expenses, bonuses (including retention bonuses), change of control or severance payments, or other compensation or employment benefits earned or accrued by or for the benefit of such Releasing Parties prior to the Effective Time in respect of services performed by such Company Shareholder as an employee, consultant, officer, advisor or director of the Company prior to the Closing (except that the exception in this clause will not include any Potential Claim relating to the right to acquire any capital stock, other equity interest of the Company not already held or owned as of the Closing), (vi) any defenses that are necessary to enable the Releasing Parties to defend any claim asserted by a Released Party, (vii) any rights such Releasing Party may have arising in respect of a commercial relationship with a Released Party unrelated to the Transactions, or (viii) any Potential Claim based on Fraud.</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8" w:right="379" w:bottom="1440" w:gutter="0" w:footer="0" w:header="0"/>
        </w:sectPr>
      </w:pPr>
    </w:p>
    <w:bookmarkStart w:id="167" w:name="page168"/>
    <w:bookmarkEnd w:id="167"/>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Merger Sub Consent</w:t>
      </w:r>
      <w:r>
        <w:rPr>
          <w:rFonts w:ascii="Times New Roman" w:cs="Times New Roman" w:eastAsia="Times New Roman" w:hAnsi="Times New Roman"/>
          <w:sz w:val="21"/>
          <w:szCs w:val="21"/>
          <w:color w:val="auto"/>
        </w:rPr>
        <w:t>. Concurrently with the execution of this Agreement, Parent, or its applicable direct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indirect wholly owned Subsidiary, shall deliver, in accordance with Section 106 of the Bermuda Companies Act and in its capacity as the sole shareholder of Merger Sub, an executed written consent approving this Agreement, the Statutory Merger Agreement and the Transactions.</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21"/>
          <w:szCs w:val="21"/>
          <w:color w:val="auto"/>
        </w:rPr>
        <w:t>. Parent shall use reasonable best efforts to cause the Parent Shares to be issued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Merger to be approved for listing on Nasdaq, subject to official notice of issuance, prior to the Effective Time.</w:t>
      </w:r>
    </w:p>
    <w:p>
      <w:pPr>
        <w:spacing w:after="0" w:line="16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Treatment of Certain Existing Indebtedness</w:t>
      </w:r>
      <w:r>
        <w:rPr>
          <w:rFonts w:ascii="Times New Roman" w:cs="Times New Roman" w:eastAsia="Times New Roman" w:hAnsi="Times New Roman"/>
          <w:sz w:val="21"/>
          <w:szCs w:val="21"/>
          <w:color w:val="auto"/>
        </w:rPr>
        <w:t>. Through the earlier of the Closing and the date on which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Agreement is terminated in accordance with Article VII, if reasonably requested by Parent, the Company shall provide commercially reasonable cooperation to Parent and Merger Sub in taking such actions as are necessary, proper or advisable under any existing indebtedness listed on Section 5.12 of the Company Disclosure Schedule (collectively, “</w:t>
      </w:r>
      <w:r>
        <w:rPr>
          <w:rFonts w:ascii="Times New Roman" w:cs="Times New Roman" w:eastAsia="Times New Roman" w:hAnsi="Times New Roman"/>
          <w:sz w:val="17"/>
          <w:szCs w:val="17"/>
          <w:u w:val="single" w:color="auto"/>
          <w:color w:val="auto"/>
        </w:rPr>
        <w:t>Existing Debt Documents</w:t>
      </w:r>
      <w:r>
        <w:rPr>
          <w:rFonts w:ascii="Times New Roman" w:cs="Times New Roman" w:eastAsia="Times New Roman" w:hAnsi="Times New Roman"/>
          <w:sz w:val="21"/>
          <w:szCs w:val="21"/>
          <w:color w:val="auto"/>
        </w:rPr>
        <w:t xml:space="preserve">”) in respect of the Transactions, including delivering or causing a Subsidiary or a Joint Venture Entity to deliver any such notices, agreements, consents documents or instruments necessary, proper or advisable to comply with the terms thereof. If and to the extent reasonably requested by Parent in writing, the Company shall provide commercially reasonable cooperation to Parent and Merger Sub in either (A) arranging for the termination of Existing Debt Documents (and the related repayment or redemption thereof, including the making of a tender offer, with respect to outstanding letters of credit, the cash collateralization thereof or the providing of “backstop” letters of credit with respect thereto) at the Closing (or such other date thereafter as agreed to by Parent and the Company), which repayment, redemption, cash collateralization or providing of “backstop” letters of credit shall be the sole responsibility of Parent, and the procurement of customary payoff letters and other customary release documentation in connection therewith or (B) obtaining any consents required under any Existing Debt Documents to permit the consummation of the Transactions thereunder and obtaining any amendments to or other consents under the Existing Debt Documents as may be reasonably requested by Parent, and in each case, if reasonably requested by Parent, the Company shall, and shall cause its Subsidiaries and the Joint Venture Entities to, execute and deliver such customary notices, agreements, consents documents or instruments necessary in connection therewith;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21"/>
          <w:szCs w:val="21"/>
          <w:color w:val="auto"/>
        </w:rPr>
        <w:t xml:space="preserve"> that, (a) such requested cooperation does not unreasonably interfere with the ongoing operations of the Company, its Subsidiaries and the Joint Venture Entities prior to the Closing Date and (b) the Company shall not be required to incur any liability under any such amendments to such Existing Debt Documents prior to the Closing Date unless contingent upon the occurrence of the Closing;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21"/>
          <w:szCs w:val="21"/>
          <w:color w:val="auto"/>
        </w:rPr>
        <w:t>, that Parent shall consult with the Company and the Company Shareholders and consider in good faith the views of the Company and the Company Shareholders prior to taking any action in connection with the repayment, refinancing or modification of any indebtedness under the Existing Debt Documents and shall keep the Company and the Company Shareholders reasonably informed. Notwithstanding anything to the contrary in this Agreement, the Company and the Company Shareholders shall, as promptly as practicable following the date hereof and in consultation with and with the commercially reasonable cooperation of Parent and Merger Sub, take the lead in or cause the applicable Subsidiary or Joint Venture Entity to take the lead in coordinating communications and negotiating with the various lenders and agents in connection with obtaining the lender consents listed on Section 5.12 of the Company Disclosure Schedule (the “</w:t>
      </w:r>
      <w:r>
        <w:rPr>
          <w:rFonts w:ascii="Times New Roman" w:cs="Times New Roman" w:eastAsia="Times New Roman" w:hAnsi="Times New Roman"/>
          <w:sz w:val="17"/>
          <w:szCs w:val="17"/>
          <w:u w:val="single" w:color="auto"/>
          <w:color w:val="auto"/>
        </w:rPr>
        <w:t>Sergipe Debt Consents</w:t>
      </w:r>
      <w:r>
        <w:rPr>
          <w:rFonts w:ascii="Times New Roman" w:cs="Times New Roman" w:eastAsia="Times New Roman" w:hAnsi="Times New Roman"/>
          <w:sz w:val="21"/>
          <w:szCs w:val="21"/>
          <w:color w:val="auto"/>
        </w:rPr>
        <w:t xml:space="preserve">”), including entering into amendments or modifications to the loan documents in connection therewith;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21"/>
          <w:szCs w:val="21"/>
          <w:color w:val="auto"/>
        </w:rPr>
        <w:t>, that the effectiveness of any such amendments or modifications relating to any Sergipe Debt Consents shall be conditioned upon the consummation of the Transactions. The Company and the Company Shareholders shall keep Parent and Merger Sub reasonably informed of such negotiations, including sharing draft copies of all such consents, loan amendments or modifications for review by Parent and Merger Sub. Parent and Merger Sub shall use commercially reasonable efforts to cooperate with all reasonable requests of the Company and the Company Shareholders in obtaining the Sergipe Debt Consents (including providing replacement guarantors and indemnitors and executing amendments or modifications to the loan documents). All such actions shall be at the expense of the Parent, conditioned on the consummation of the Transactions, and the Company shall have the opportunity to comment on any such discussions.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68" w:name="page169"/>
    <w:bookmarkEnd w:id="168"/>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5.13</w:t>
      </w:r>
      <w:r>
        <w:rPr>
          <w:sz w:val="20"/>
          <w:szCs w:val="20"/>
          <w:color w:val="auto"/>
        </w:rPr>
        <w:tab/>
      </w:r>
      <w:r>
        <w:rPr>
          <w:rFonts w:ascii="Times New Roman" w:cs="Times New Roman" w:eastAsia="Times New Roman" w:hAnsi="Times New Roman"/>
          <w:sz w:val="17"/>
          <w:szCs w:val="17"/>
          <w:u w:val="single" w:color="auto"/>
          <w:color w:val="auto"/>
        </w:rPr>
        <w:t>Financing Cooperation</w:t>
      </w:r>
      <w:r>
        <w:rPr>
          <w:rFonts w:ascii="Times New Roman" w:cs="Times New Roman" w:eastAsia="Times New Roman" w:hAnsi="Times New Roman"/>
          <w:sz w:val="20"/>
          <w:szCs w:val="20"/>
          <w:color w:val="auto"/>
        </w:rPr>
        <w:t>.</w:t>
      </w:r>
    </w:p>
    <w:p>
      <w:pPr>
        <w:spacing w:after="0" w:line="293" w:lineRule="exact"/>
        <w:rPr>
          <w:sz w:val="20"/>
          <w:szCs w:val="20"/>
          <w:color w:val="auto"/>
        </w:rPr>
      </w:pPr>
    </w:p>
    <w:p>
      <w:pPr>
        <w:ind w:firstLine="1304"/>
        <w:spacing w:after="0" w:line="254" w:lineRule="auto"/>
        <w:tabs>
          <w:tab w:leader="none" w:pos="203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Closing, the Company shall, shall cause its Subsidiaries and the Joint Venture Entities to, and shall use its commercially reasonable efforts to cause its and their respective Representatives to, use commercially reasonable efforts to provide, on a timely basis, at Parent’s and Merger Sub’s sole cost and expense, all customary cooperation reasonably requested by Parent or Merger Sub or any Financing Source to assist Parent, Merger Sub and their Affiliates in causing the conditions to any bank debt financing or any capital markets debt or equity financing deemed necessary or appropriate by the Parent or Merger Sub including for the purposes of financing the payment of the Merger Consideration, Preferred Share Consideration, refinancing any existing indebtedness of the Company, its Subsidiaries and the Joint Venture Entities, and any other amounts required to be paid in connection with the consummation of the Transactions (collectively, the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to be satisfied, which requested cooperation may include using commercially reasonable efforts in connection with:</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9" w:name="page170"/>
    <w:bookmarkEnd w:id="169"/>
    <w:p>
      <w:pPr>
        <w:ind w:left="-460" w:right="40" w:firstLine="1292"/>
        <w:spacing w:after="0" w:line="261" w:lineRule="auto"/>
        <w:tabs>
          <w:tab w:leader="none" w:pos="154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reasonable cooperation with customary syndication or other marketing efforts, or a customary offering, of Parent and Merger Sub for all or any portion of the Financing, including reasonable access to documents and other information in connection with customary due diligence investigations and causing its management team, with appropriate seniority and expertise, to assist in a reasonable number of meetings, presentations, road shows, marketing materials, due diligence sessions, drafting sessions and sessions with rating agencies;</w:t>
      </w:r>
    </w:p>
    <w:p>
      <w:pPr>
        <w:spacing w:after="0" w:line="233" w:lineRule="exact"/>
        <w:rPr>
          <w:rFonts w:ascii="Times New Roman" w:cs="Times New Roman" w:eastAsia="Times New Roman" w:hAnsi="Times New Roman"/>
          <w:sz w:val="18"/>
          <w:szCs w:val="18"/>
          <w:color w:val="auto"/>
        </w:rPr>
      </w:pPr>
    </w:p>
    <w:p>
      <w:pPr>
        <w:ind w:left="-460" w:firstLine="1292"/>
        <w:spacing w:after="0" w:line="253" w:lineRule="auto"/>
        <w:tabs>
          <w:tab w:leader="none" w:pos="154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advance notice and during normal business hours, (A) providing Parent, Merger Sub and/or the Financing Sources with the (x) audited combined balance sheets and related statements of income and cash flows of the Company and its consolidated subsidiaries for the two most recently completed fiscal years ended at least 90 days prior to the Closing Date and (y) unaudited combined balance sheets and related statements of income and cash flows of the Company and its consolidated subsidiaries for each fiscal quarter ended after the most recent audited financial statements delivered pursuant to clause (x) and furnishing to Parent, Merger Sub and/or the Financing Sources, upon their reasonable request therefor, such other information regarding the Company, including other financial information reasonably necessary for the preparation of pro forma financial statements and information regarding the Company’s current assets, cash management and accounting systems, policies and procedures relating thereto for purposes of establishing collateral arrangements as of the Closing and to assist with other collateral audits and due diligence examinations, and (B) providing reasonable assistance to Parent’s preparation of pro forma financial information and projections required to consummate the Financing;</w:t>
      </w:r>
    </w:p>
    <w:p>
      <w:pPr>
        <w:spacing w:after="0" w:line="248" w:lineRule="exact"/>
        <w:rPr>
          <w:rFonts w:ascii="Times New Roman" w:cs="Times New Roman" w:eastAsia="Times New Roman" w:hAnsi="Times New Roman"/>
          <w:sz w:val="18"/>
          <w:szCs w:val="18"/>
          <w:color w:val="auto"/>
        </w:rPr>
      </w:pPr>
    </w:p>
    <w:p>
      <w:pPr>
        <w:ind w:left="-460" w:right="60" w:firstLine="1292"/>
        <w:spacing w:after="0" w:line="282" w:lineRule="auto"/>
        <w:tabs>
          <w:tab w:leader="none" w:pos="153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March 16, 2021, providing the Company’s audited consolidated financial statements, including a balance sheet, statements of operations, stockholders’ equity and cash flows as of and for the fiscal year ended December 31, 2020;</w:t>
      </w:r>
    </w:p>
    <w:p>
      <w:pPr>
        <w:spacing w:after="0" w:line="215" w:lineRule="exact"/>
        <w:rPr>
          <w:rFonts w:ascii="Times New Roman" w:cs="Times New Roman" w:eastAsia="Times New Roman" w:hAnsi="Times New Roman"/>
          <w:sz w:val="18"/>
          <w:szCs w:val="18"/>
          <w:color w:val="auto"/>
        </w:rPr>
      </w:pPr>
    </w:p>
    <w:p>
      <w:pPr>
        <w:ind w:left="-460" w:firstLine="1292"/>
        <w:spacing w:after="0" w:line="274" w:lineRule="auto"/>
        <w:tabs>
          <w:tab w:leader="none" w:pos="1582"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reasonable advance notice and during normal business hours, providing reasonable assistance to Parent and Merger Sub (including by causing its management team, with appropriate seniority and expertise, to participate in a reasonable number of meetings, presentations, drafting sessions and sessions with the Financing Sources and rating agencies) in the preparation of rating agency presentations, road show materials, lender information memoranda and other presentations, prospectuses and bank syndication materials, offering documents, private placement memoranda and similar documents required (which may incorporate, by reference, periodic and current reports filed by the Company with the SEC) in connection with the marketing of any syndication, or a customary offering, of all or a portion of the Financing;</w:t>
      </w:r>
    </w:p>
    <w:p>
      <w:pPr>
        <w:spacing w:after="0" w:line="37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48" w:right="359" w:bottom="1440" w:gutter="0" w:footer="0" w:header="0"/>
        </w:sectPr>
      </w:pPr>
    </w:p>
    <w:bookmarkStart w:id="170" w:name="page171"/>
    <w:bookmarkEnd w:id="170"/>
    <w:p>
      <w:pPr>
        <w:ind w:right="80" w:firstLine="1292"/>
        <w:spacing w:after="0" w:line="261" w:lineRule="auto"/>
        <w:tabs>
          <w:tab w:leader="none" w:pos="204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 Parent and/or Merger Sub at least four (4) Business Days prior to the Closing Date with all documentation and other information required and reasonably requested in writing by the parties acting as lead arrangers for, or lenders under, the Financing at least ten (10) Business Days prior to the Closing under applicable “know your customer” and anti-money laundering rules and regulations and the USA Patriot Act of 2001;</w:t>
      </w:r>
    </w:p>
    <w:p>
      <w:pPr>
        <w:spacing w:after="0" w:line="233" w:lineRule="exact"/>
        <w:rPr>
          <w:rFonts w:ascii="Times New Roman" w:cs="Times New Roman" w:eastAsia="Times New Roman" w:hAnsi="Times New Roman"/>
          <w:sz w:val="18"/>
          <w:szCs w:val="18"/>
          <w:color w:val="auto"/>
        </w:rPr>
      </w:pPr>
    </w:p>
    <w:p>
      <w:pPr>
        <w:jc w:val="both"/>
        <w:ind w:right="60" w:firstLine="1292"/>
        <w:spacing w:after="0" w:line="281" w:lineRule="auto"/>
        <w:tabs>
          <w:tab w:leader="none" w:pos="1988"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requesting that the Company’s independent accountants participate in accounting due diligence sessions and cooperate with the Financing consistent with their customary practice, including requesting that the Company’s independent accountants provide customary comfort letters (including “negative assurance” comfort, if permitted) and consents for use of their reports to the extent required in connection with the marketing and syndication of the Financing or as are customarily required in an offering of debt, equity or equity-linked securities;</w:t>
      </w:r>
    </w:p>
    <w:p>
      <w:pPr>
        <w:spacing w:after="0" w:line="218" w:lineRule="exact"/>
        <w:rPr>
          <w:rFonts w:ascii="Times New Roman" w:cs="Times New Roman" w:eastAsia="Times New Roman" w:hAnsi="Times New Roman"/>
          <w:sz w:val="17"/>
          <w:szCs w:val="17"/>
          <w:color w:val="auto"/>
        </w:rPr>
      </w:pPr>
    </w:p>
    <w:p>
      <w:pPr>
        <w:ind w:left="1980" w:hanging="688"/>
        <w:spacing w:after="0"/>
        <w:tabs>
          <w:tab w:leader="none" w:pos="19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with Parent and Merger Sub and their respective efforts to obtain customary corporate, facilities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ratings;</w:t>
      </w:r>
    </w:p>
    <w:p>
      <w:pPr>
        <w:spacing w:after="0" w:line="260" w:lineRule="exact"/>
        <w:rPr>
          <w:rFonts w:ascii="Times New Roman" w:cs="Times New Roman" w:eastAsia="Times New Roman" w:hAnsi="Times New Roman"/>
          <w:sz w:val="18"/>
          <w:szCs w:val="18"/>
          <w:color w:val="auto"/>
        </w:rPr>
      </w:pPr>
    </w:p>
    <w:p>
      <w:pPr>
        <w:ind w:right="300" w:firstLine="1292"/>
        <w:spacing w:after="0" w:line="282" w:lineRule="auto"/>
        <w:tabs>
          <w:tab w:leader="none" w:pos="19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customary authorization letters to the arrangers in respect of the Financing authorizing the distribution of information to prospective lenders;</w:t>
      </w:r>
    </w:p>
    <w:p>
      <w:pPr>
        <w:spacing w:after="0" w:line="215" w:lineRule="exact"/>
        <w:rPr>
          <w:rFonts w:ascii="Times New Roman" w:cs="Times New Roman" w:eastAsia="Times New Roman" w:hAnsi="Times New Roman"/>
          <w:sz w:val="18"/>
          <w:szCs w:val="18"/>
          <w:color w:val="auto"/>
        </w:rPr>
      </w:pPr>
    </w:p>
    <w:p>
      <w:pPr>
        <w:ind w:right="140" w:firstLine="1292"/>
        <w:spacing w:after="0" w:line="266" w:lineRule="auto"/>
        <w:tabs>
          <w:tab w:leader="none" w:pos="198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5.13(b) taking all reasonable and customary corporate action, limited liability company action or other organizational action, as applicable, subject to the occurrence of the Closing, necessary to permit and/or authorize the consummation of the Financing;</w:t>
      </w:r>
    </w:p>
    <w:p>
      <w:pPr>
        <w:spacing w:after="0" w:line="229" w:lineRule="exact"/>
        <w:rPr>
          <w:rFonts w:ascii="Times New Roman" w:cs="Times New Roman" w:eastAsia="Times New Roman" w:hAnsi="Times New Roman"/>
          <w:sz w:val="18"/>
          <w:szCs w:val="18"/>
          <w:color w:val="auto"/>
        </w:rPr>
      </w:pPr>
    </w:p>
    <w:p>
      <w:pPr>
        <w:ind w:right="300" w:firstLine="1292"/>
        <w:spacing w:after="0" w:line="266" w:lineRule="auto"/>
        <w:tabs>
          <w:tab w:leader="none" w:pos="204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facilitation (through providing and executing customary agreements, documents or certificates) of the pledge and perfection of liens and security interests in connection with the Financing, as may be reasonably requested by Parent and/or Merger Sub (provided that no obligation under any such document or agreement will take effect until the Closing);</w:t>
      </w:r>
    </w:p>
    <w:p>
      <w:pPr>
        <w:spacing w:after="0" w:line="229" w:lineRule="exact"/>
        <w:rPr>
          <w:rFonts w:ascii="Times New Roman" w:cs="Times New Roman" w:eastAsia="Times New Roman" w:hAnsi="Times New Roman"/>
          <w:sz w:val="18"/>
          <w:szCs w:val="18"/>
          <w:color w:val="auto"/>
        </w:rPr>
      </w:pPr>
    </w:p>
    <w:p>
      <w:pPr>
        <w:ind w:firstLine="1292"/>
        <w:spacing w:after="0" w:line="258" w:lineRule="auto"/>
        <w:tabs>
          <w:tab w:leader="none" w:pos="198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all cooperation that is reasonably necessary to satisfy the conditions precedent to any documents relating to the Financing, but solely to the extent the satisfaction of such conditions requires the cooperation of, or is within the control of the Company, its Subsidiaries or its Representatives, including ensuring that any financial information is compliant with applicable SEC rules and requirements, and compliant with customary required terms of a debt commitment letter or similar document and updated as necessary to avoid staleness in accordance with applicable SEC rules and requirements, and free of any material misstatement or omission;</w:t>
      </w:r>
    </w:p>
    <w:p>
      <w:pPr>
        <w:spacing w:after="0" w:line="38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48" w:right="339" w:bottom="1440" w:gutter="0" w:footer="0" w:header="0"/>
        </w:sectPr>
      </w:pPr>
    </w:p>
    <w:bookmarkStart w:id="171" w:name="page172"/>
    <w:bookmarkEnd w:id="171"/>
    <w:p>
      <w:pPr>
        <w:ind w:left="4" w:right="160" w:firstLine="1292"/>
        <w:spacing w:after="0" w:line="282" w:lineRule="auto"/>
        <w:tabs>
          <w:tab w:leader="none" w:pos="1988"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providing cooperation that is customary and reasonable in connection with the marketing efforts of Parent, Merger Sub and the Financing Sources; and</w:t>
      </w:r>
    </w:p>
    <w:p>
      <w:pPr>
        <w:spacing w:after="0" w:line="215" w:lineRule="exact"/>
        <w:rPr>
          <w:rFonts w:ascii="Times New Roman" w:cs="Times New Roman" w:eastAsia="Times New Roman" w:hAnsi="Times New Roman"/>
          <w:sz w:val="18"/>
          <w:szCs w:val="18"/>
          <w:color w:val="auto"/>
        </w:rPr>
      </w:pPr>
    </w:p>
    <w:p>
      <w:pPr>
        <w:jc w:val="both"/>
        <w:ind w:left="4" w:right="160" w:firstLine="1292"/>
        <w:spacing w:after="0" w:line="266" w:lineRule="auto"/>
        <w:tabs>
          <w:tab w:leader="none" w:pos="1984"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use of its trademarks and logos in connection with the Financing; provided, that such trademarks and logos are used solely in a manner that is not intended to or reasonably likely to harm or disparage the Company or any of its Affiliates or the reputation or goodwill of the Company or any of its Affiliates.</w:t>
      </w:r>
    </w:p>
    <w:p>
      <w:pPr>
        <w:spacing w:after="0" w:line="229" w:lineRule="exact"/>
        <w:rPr>
          <w:rFonts w:ascii="Times New Roman" w:cs="Times New Roman" w:eastAsia="Times New Roman" w:hAnsi="Times New Roman"/>
          <w:sz w:val="18"/>
          <w:szCs w:val="18"/>
          <w:color w:val="auto"/>
        </w:rPr>
      </w:pPr>
    </w:p>
    <w:p>
      <w:pPr>
        <w:ind w:left="1404" w:hanging="756"/>
        <w:spacing w:after="0"/>
        <w:tabs>
          <w:tab w:leader="none" w:pos="140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w:t>
      </w:r>
    </w:p>
    <w:p>
      <w:pPr>
        <w:spacing w:after="0" w:line="279" w:lineRule="exact"/>
        <w:rPr>
          <w:rFonts w:ascii="Times New Roman" w:cs="Times New Roman" w:eastAsia="Times New Roman" w:hAnsi="Times New Roman"/>
          <w:sz w:val="18"/>
          <w:szCs w:val="18"/>
          <w:color w:val="auto"/>
        </w:rPr>
      </w:pPr>
    </w:p>
    <w:p>
      <w:pPr>
        <w:ind w:left="4" w:right="300" w:firstLine="1292"/>
        <w:spacing w:after="0" w:line="261" w:lineRule="auto"/>
        <w:tabs>
          <w:tab w:leader="none" w:pos="2010"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its Affiliates or their respective Representatives (at any time) shall be required to pay any commitment or other similar fee, incur or reimburse any costs or expenses or incur any other liability or obligation of any kind that is effective prior to the occurrence of the Closing or give any indemnities prior to the Closing in connection with the Financing (except reasonable and documented out-of-pocket costs to the extent Parent or Merger Sub promptly reimburses the Company therefor);</w:t>
      </w:r>
    </w:p>
    <w:p>
      <w:pPr>
        <w:spacing w:after="0" w:line="233" w:lineRule="exact"/>
        <w:rPr>
          <w:rFonts w:ascii="Times New Roman" w:cs="Times New Roman" w:eastAsia="Times New Roman" w:hAnsi="Times New Roman"/>
          <w:sz w:val="18"/>
          <w:szCs w:val="18"/>
          <w:color w:val="auto"/>
        </w:rPr>
      </w:pPr>
    </w:p>
    <w:p>
      <w:pPr>
        <w:ind w:left="4" w:right="40" w:firstLine="1292"/>
        <w:spacing w:after="0" w:line="258" w:lineRule="auto"/>
        <w:tabs>
          <w:tab w:leader="none" w:pos="2006"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the Affiliates shall be required to (A) execute, enter into, approve or perform any binding agreement or commitment, agree to any change or modification of any existing binding agreement or commitment or incur any other actual or potential liability or obligation in connection with the Financing that is not subject to the occurrence of the Closing or (B) adopt any resolution or otherwise take any corporate or similar action or deliver any certificate, approving or authorizing the Financing that is effective prior to the Closing;</w:t>
      </w:r>
    </w:p>
    <w:p>
      <w:pPr>
        <w:spacing w:after="0" w:line="237" w:lineRule="exact"/>
        <w:rPr>
          <w:rFonts w:ascii="Times New Roman" w:cs="Times New Roman" w:eastAsia="Times New Roman" w:hAnsi="Times New Roman"/>
          <w:sz w:val="18"/>
          <w:szCs w:val="18"/>
          <w:color w:val="auto"/>
        </w:rPr>
      </w:pPr>
    </w:p>
    <w:p>
      <w:pPr>
        <w:ind w:left="4" w:right="160" w:firstLine="1292"/>
        <w:spacing w:after="0" w:line="276" w:lineRule="auto"/>
        <w:tabs>
          <w:tab w:leader="none" w:pos="2002" w:val="left"/>
        </w:tabs>
        <w:numPr>
          <w:ilvl w:val="2"/>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shall obligate the Company or any Affiliate to provide, or cause to be provided, any legal opinion or to provide, or cause to be provided, any information or take, or cause to be taken, any action to the extent doing so could reasonably be expected to</w:t>
      </w:r>
    </w:p>
    <w:p>
      <w:pPr>
        <w:ind w:left="4" w:hanging="4"/>
        <w:spacing w:after="0" w:line="252" w:lineRule="auto"/>
        <w:tabs>
          <w:tab w:leader="none" w:pos="29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conflict with or a violation of applicable Law, Company’s or any Affiliate’s organizational documents or any agreement binding on the Company or any of its Affiliates or any confidentiality obligations binding on the Company or any of its Affiliates, (B) subject the Company to actual or potential liability, to bear any cost or expense or to pay any commitment or other similar fee or make any other payment (other than documented and reasonable out-of-pocket costs that are reimbursed by Parent or Merger Sub) or incur any other liability of any kind or provide or agree to provide any indemnity, (C) subject any director, manager, officer or employee of the Company or any of its Affiliates to any actual personal liability or (D) jeopardize any attorney-client privilege; and</w:t>
      </w:r>
    </w:p>
    <w:p>
      <w:pPr>
        <w:spacing w:after="0" w:line="243" w:lineRule="exact"/>
        <w:rPr>
          <w:rFonts w:ascii="Times New Roman" w:cs="Times New Roman" w:eastAsia="Times New Roman" w:hAnsi="Times New Roman"/>
          <w:sz w:val="18"/>
          <w:szCs w:val="18"/>
          <w:color w:val="auto"/>
        </w:rPr>
      </w:pPr>
    </w:p>
    <w:p>
      <w:pPr>
        <w:ind w:left="4" w:right="480" w:firstLine="1292"/>
        <w:spacing w:after="0" w:line="266" w:lineRule="auto"/>
        <w:tabs>
          <w:tab w:leader="none" w:pos="1992"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liability or obligation (including any obligation to pay any commitment or other fees or reimburse any expenses) of the Company and its Representatives under any certificate, agreement, arrangement, document or instrument relating to the Financing shall be effective until the Closing.</w:t>
      </w:r>
    </w:p>
    <w:p>
      <w:pPr>
        <w:spacing w:after="0" w:line="374"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48" w:right="359" w:bottom="1440" w:gutter="0" w:footer="0" w:header="0"/>
        </w:sectPr>
      </w:pPr>
    </w:p>
    <w:bookmarkStart w:id="172" w:name="page173"/>
    <w:bookmarkEnd w:id="172"/>
    <w:p>
      <w:pPr>
        <w:ind w:left="-40" w:right="60" w:firstLine="1304"/>
        <w:spacing w:after="0" w:line="252" w:lineRule="auto"/>
        <w:tabs>
          <w:tab w:leader="none" w:pos="199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Representatives shall not be obligated in connection with performing their obligations under this Section 5.13 to take or refrain from taking any action that would unreasonably interfere with ongoing business or operations of the Company or any of its Affiliates. Parent and/or Merger Sub shall promptly, upon request by the Company, reimburse the Company for all reasonable and documented out-of-pocket costs and expenses incurred by the Company or any of the Affiliates in connection with the cooperation of the Company, the Affiliates and their respective Representatives contemplated by this Section 5.13 and shall indemnify and hold harmless the Company, the Affiliates and their respective Representatives from and against any and all losses, damages, claims, costs or expenses suffered or incurred by any of them in connection with (1) such cooperation, (2) the Financing, (3) any information used in connection with the Financing (except with respect to written information provided by the Company or any of the Affiliates specifically for inclusion in offering materials relating to the Financing) and (4) any action taken by any of them at the request of Parent, Merger Sub or the Financing Sources pursuant to this Section 5.13, except to the extent such losses, damages, claims, costs or expenses arose from the gross negligence, bad faith, material breach or willful misconduct of the Company, its Affiliates or their Representatives. Notwithstanding anything in this Agreement to the contrary, the condition set forth in Section 6.02(b), as it applies to obligations of the Company under this Section 5.13, shall be deemed satisfied if (1) any breach by the Company of its obligations under this Section 5.13 did not cause the failure of the Financing to be obtained or (2) Parent and/or Merger Sub do not have the right to terminate this Agreement pursuant to Section 7.01 as a result of any breaches of this Section 5.13 by the Company. The obligations of Parent and Merger Sub under this Section 5.13(c) shall survive the termination of this Agreement.</w:t>
      </w:r>
    </w:p>
    <w:p>
      <w:pPr>
        <w:spacing w:after="0" w:line="251" w:lineRule="exact"/>
        <w:rPr>
          <w:rFonts w:ascii="Times New Roman" w:cs="Times New Roman" w:eastAsia="Times New Roman" w:hAnsi="Times New Roman"/>
          <w:sz w:val="18"/>
          <w:szCs w:val="18"/>
          <w:color w:val="auto"/>
        </w:rPr>
      </w:pPr>
    </w:p>
    <w:p>
      <w:pPr>
        <w:ind w:left="-40" w:firstLine="1304"/>
        <w:spacing w:after="0" w:line="254" w:lineRule="auto"/>
        <w:tabs>
          <w:tab w:leader="none" w:pos="200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acknowledges and agrees that the Company, its Affiliates and their respective Representatives have no responsibility for any financing that Parent or Merger Sub may raise in connection with the Transactions. Any offering materials and other documents prepared by or on behalf of or utilized by Parent, Merger Sub or their Affiliates, or any Person providing the Financing to Parent or Merger Sub, in connection with Merger Sub’s financing activities in connection with the Transactions, which include any information provided by the Company or any of its Affiliates or Representatives, including any offering memorandum, banker’s book, prospectus or similar document used, or any other written offering materials used, in connection with any Financing, shall include a conspicuous disclaimer to the effect that neither the Company, nor any of its Affiliates or Representatives nor any employees thereof has any responsibility for the content of such document and disclaim all responsibility therefor and shall further include a disclaimer with respect to the Company and its Affiliates and Representatives in any oral disclosure with respect to such Financing.</w:t>
      </w:r>
    </w:p>
    <w:p>
      <w:pPr>
        <w:spacing w:after="0" w:line="245" w:lineRule="exact"/>
        <w:rPr>
          <w:rFonts w:ascii="Times New Roman" w:cs="Times New Roman" w:eastAsia="Times New Roman" w:hAnsi="Times New Roman"/>
          <w:sz w:val="18"/>
          <w:szCs w:val="18"/>
          <w:color w:val="auto"/>
        </w:rPr>
      </w:pPr>
    </w:p>
    <w:p>
      <w:pPr>
        <w:ind w:left="-40" w:right="120" w:firstLine="1304"/>
        <w:spacing w:after="0" w:line="255" w:lineRule="auto"/>
        <w:tabs>
          <w:tab w:leader="none" w:pos="199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non-public or other confidential information obtained by Parent or Merger Sub, its Representatives or any Person in connection with the Financing and pursuant to this Section 5.13 shall be kept confidential in accordance with the Confidentiality Agreement, except that Parent and Merger Sub shall be permitted to disclose such information to any Person providing the Financing, rating agencies and prospective lenders and investors during syndication or other marketing efforts relating to the Financing, subject to the rating agencies and prospective lenders and investors entering into customary confidentiality undertakings with respect to such information (including through a notice and undertaking in a form customarily used in confidential information memoranda for senior credit facilities), and to potential investors in a customary offering memorandum and related materials used in connection with an offering of debt or equity securities used to finance the consummation of the Transactions.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48" w:right="359" w:bottom="1440" w:gutter="0" w:footer="0" w:header="0"/>
        </w:sectPr>
      </w:pPr>
    </w:p>
    <w:bookmarkStart w:id="173" w:name="page174"/>
    <w:bookmarkEnd w:id="173"/>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5.14</w:t>
      </w:r>
      <w:r>
        <w:rPr>
          <w:sz w:val="20"/>
          <w:szCs w:val="20"/>
          <w:color w:val="auto"/>
        </w:rPr>
        <w:tab/>
      </w:r>
      <w:r>
        <w:rPr>
          <w:rFonts w:ascii="Times New Roman" w:cs="Times New Roman" w:eastAsia="Times New Roman" w:hAnsi="Times New Roman"/>
          <w:sz w:val="17"/>
          <w:szCs w:val="17"/>
          <w:u w:val="single" w:color="auto"/>
          <w:color w:val="auto"/>
        </w:rPr>
        <w:t>Ancillary Agreements</w:t>
      </w:r>
      <w:r>
        <w:rPr>
          <w:rFonts w:ascii="Times New Roman" w:cs="Times New Roman" w:eastAsia="Times New Roman" w:hAnsi="Times New Roman"/>
          <w:sz w:val="20"/>
          <w:szCs w:val="20"/>
          <w:color w:val="auto"/>
        </w:rPr>
        <w:t>.</w:t>
      </w:r>
    </w:p>
    <w:p>
      <w:pPr>
        <w:spacing w:after="0" w:line="293" w:lineRule="exact"/>
        <w:rPr>
          <w:sz w:val="20"/>
          <w:szCs w:val="20"/>
          <w:color w:val="auto"/>
        </w:rPr>
      </w:pPr>
    </w:p>
    <w:p>
      <w:pPr>
        <w:ind w:left="2040" w:hanging="736"/>
        <w:spacing w:after="0"/>
        <w:tabs>
          <w:tab w:leader="none" w:pos="20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Parent and each Company Shareholder shall execute and deliver the Shareholders’ Agreement.</w:t>
      </w:r>
    </w:p>
    <w:p>
      <w:pPr>
        <w:spacing w:after="0" w:line="279" w:lineRule="exact"/>
        <w:rPr>
          <w:rFonts w:ascii="Times New Roman" w:cs="Times New Roman" w:eastAsia="Times New Roman" w:hAnsi="Times New Roman"/>
          <w:sz w:val="18"/>
          <w:szCs w:val="18"/>
          <w:color w:val="auto"/>
        </w:rPr>
      </w:pPr>
    </w:p>
    <w:p>
      <w:pPr>
        <w:ind w:right="80" w:firstLine="1304"/>
        <w:spacing w:after="0" w:line="282" w:lineRule="auto"/>
        <w:tabs>
          <w:tab w:leader="none" w:pos="204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Parent, GLNG and the Company shall execute and deliver or cause to be executed and delivered the Transition Services Agreement substantially in the form attached as Exhibit A hereto (the “</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ind w:right="60" w:firstLine="1304"/>
        <w:spacing w:after="0" w:line="282" w:lineRule="auto"/>
        <w:tabs>
          <w:tab w:leader="none" w:pos="203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Parent, Merger Sub, the Company and the Company Shareholders shall execute and deliver or cause to be executed and delivered the agreements listed on Annex A hereto (each an “</w:t>
      </w:r>
      <w:r>
        <w:rPr>
          <w:rFonts w:ascii="Times New Roman" w:cs="Times New Roman" w:eastAsia="Times New Roman" w:hAnsi="Times New Roman"/>
          <w:sz w:val="18"/>
          <w:szCs w:val="18"/>
          <w:u w:val="single" w:color="auto"/>
          <w:color w:val="auto"/>
        </w:rPr>
        <w:t>Ancillary Agreement”).</w:t>
      </w:r>
    </w:p>
    <w:p>
      <w:pPr>
        <w:spacing w:after="0" w:line="179"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Affiliate Agreements</w:t>
      </w:r>
      <w:r>
        <w:rPr>
          <w:rFonts w:ascii="Times New Roman" w:cs="Times New Roman" w:eastAsia="Times New Roman" w:hAnsi="Times New Roman"/>
          <w:sz w:val="21"/>
          <w:szCs w:val="21"/>
          <w:color w:val="auto"/>
        </w:rPr>
        <w:t>. All agreements set forth on Part I of Section 5.15 of the Company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Schedule (each an “</w:t>
      </w:r>
      <w:r>
        <w:rPr>
          <w:rFonts w:ascii="Times New Roman" w:cs="Times New Roman" w:eastAsia="Times New Roman" w:hAnsi="Times New Roman"/>
          <w:sz w:val="17"/>
          <w:szCs w:val="17"/>
          <w:u w:val="single" w:color="auto"/>
          <w:color w:val="auto"/>
        </w:rPr>
        <w:t>Affiliate Agreement</w:t>
      </w:r>
      <w:r>
        <w:rPr>
          <w:rFonts w:ascii="Times New Roman" w:cs="Times New Roman" w:eastAsia="Times New Roman" w:hAnsi="Times New Roman"/>
          <w:sz w:val="21"/>
          <w:szCs w:val="21"/>
          <w:color w:val="auto"/>
        </w:rPr>
        <w:t xml:space="preserve">”) shall be terminated or settled at or prior to the Closing, without further liability to Parent, Merger Sub or any of Parent’s Subsidiaries, in each case, on the terms set forth on Part II of Section 5.15 of the Company Disclosure Schedule; </w:t>
      </w:r>
      <w:r>
        <w:rPr>
          <w:rFonts w:ascii="Times New Roman" w:cs="Times New Roman" w:eastAsia="Times New Roman" w:hAnsi="Times New Roman"/>
          <w:sz w:val="17"/>
          <w:szCs w:val="17"/>
          <w:u w:val="single" w:color="auto"/>
          <w:color w:val="auto"/>
        </w:rPr>
        <w:t>provided however</w:t>
      </w:r>
      <w:r>
        <w:rPr>
          <w:rFonts w:ascii="Times New Roman" w:cs="Times New Roman" w:eastAsia="Times New Roman" w:hAnsi="Times New Roman"/>
          <w:sz w:val="21"/>
          <w:szCs w:val="21"/>
          <w:color w:val="auto"/>
        </w:rPr>
        <w:t xml:space="preserve"> that any such obligations of the Company Shareholders or their Affiliates that expressly survive termination under the terms of any such Affiliate Agreement shall survive in accordance with its terms thereunder.</w:t>
      </w:r>
    </w:p>
    <w:p>
      <w:pPr>
        <w:spacing w:after="0" w:line="195"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Section 280G Consent</w:t>
      </w:r>
      <w:r>
        <w:rPr>
          <w:rFonts w:ascii="Times New Roman" w:cs="Times New Roman" w:eastAsia="Times New Roman" w:hAnsi="Times New Roman"/>
          <w:sz w:val="21"/>
          <w:szCs w:val="21"/>
          <w:color w:val="auto"/>
        </w:rPr>
        <w:t>. Prior to the Closing Date, to the extent necessary, the Company shall seek to obtain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written waiver from each “disqualified individual” (within the meaning of Section 280G(c) of the Code) of his or her right to the portion of any payments or other benefits that could reasonably be likely to be deemed “parachute payments” under Section 280G(b) of the Code (determined without regard to Sections 280G(b)(4) and 280G(b)(5) of the Code) that would cause an excise tax if such payments are not approved by the appropriate entity’s stockholders in a manner that satisfies the requirements of Section 280G(b)(5)(B) and any regulations thereunder, which payments shall include any Parent Arrangements (as defined below) to the extent provided to the Company in a timely manner in accordance with the requirements of this Section. After obtaining such written waivers (if any) and prior to the Closing Date, the Company shall solicit stockholder approval of such payments or benefits in a manner that satisfies the requirements for the exemption under Section 280G(b)(5)(A)(ii) of the Code and any regulations issued thereunder. Prior to the Closing Date, the Company shall deliver to Parent evidence that a vote of the applicable stockholders was solicited in accordance with the foregoing provisions and that either (i) the requisite number of stockholder votes was obtained or (ii) the requisite number of stockholder votes was not obtained and no waived amounts shall be paid (to the extent such waivers were executed). Notwithstanding the foregoing, to the extent that any contract, agreement or arrangement is entered into by and between Parent, the Surviving Company or any of their respective Affiliates and a disqualified individual before the Closing Date in connection with the Transactions that, together with any other payments or benefits which may be paid or granted to such disqualified individual in connection with the Transactions, could constitute a parachute payment as reasonably determined by Parent (the “</w:t>
      </w:r>
      <w:r>
        <w:rPr>
          <w:rFonts w:ascii="Times New Roman" w:cs="Times New Roman" w:eastAsia="Times New Roman" w:hAnsi="Times New Roman"/>
          <w:sz w:val="17"/>
          <w:szCs w:val="17"/>
          <w:u w:val="single" w:color="auto"/>
          <w:color w:val="auto"/>
        </w:rPr>
        <w:t>Parent Arrangements</w:t>
      </w:r>
      <w:r>
        <w:rPr>
          <w:rFonts w:ascii="Times New Roman" w:cs="Times New Roman" w:eastAsia="Times New Roman" w:hAnsi="Times New Roman"/>
          <w:sz w:val="21"/>
          <w:szCs w:val="21"/>
          <w:color w:val="auto"/>
        </w:rPr>
        <w:t>”), then Parent shall provide a copy of such contract, agreement or arrangement to the Company at least fourteen (14) days before the Closing Date and shall cooperate with the Company in good faith in order to calculate or determine the value (for the purposes of Section 280G of the Code) of any payments or benefits granted or contemplated therein which may be paid or granted in connection with the Transactions that could constitute a parachute payment.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4" w:name="page175"/>
    <w:bookmarkEnd w:id="174"/>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5.17</w:t>
      </w:r>
      <w:r>
        <w:rPr>
          <w:sz w:val="20"/>
          <w:szCs w:val="20"/>
          <w:color w:val="auto"/>
        </w:rPr>
        <w:tab/>
      </w:r>
      <w:r>
        <w:rPr>
          <w:rFonts w:ascii="Times New Roman" w:cs="Times New Roman" w:eastAsia="Times New Roman" w:hAnsi="Times New Roman"/>
          <w:sz w:val="18"/>
          <w:szCs w:val="18"/>
          <w:u w:val="single" w:color="auto"/>
          <w:color w:val="auto"/>
        </w:rPr>
        <w:t>Pre-Closing Reorganization</w:t>
      </w:r>
      <w:r>
        <w:rPr>
          <w:rFonts w:ascii="Times New Roman" w:cs="Times New Roman" w:eastAsia="Times New Roman" w:hAnsi="Times New Roman"/>
          <w:sz w:val="21"/>
          <w:szCs w:val="21"/>
          <w:color w:val="auto"/>
        </w:rPr>
        <w:t>.</w:t>
      </w:r>
    </w:p>
    <w:p>
      <w:pPr>
        <w:spacing w:after="0" w:line="281" w:lineRule="exact"/>
        <w:rPr>
          <w:sz w:val="20"/>
          <w:szCs w:val="20"/>
          <w:color w:val="auto"/>
        </w:rPr>
      </w:pPr>
    </w:p>
    <w:p>
      <w:pPr>
        <w:ind w:right="380" w:firstLine="1304"/>
        <w:spacing w:after="0" w:line="282" w:lineRule="auto"/>
        <w:tabs>
          <w:tab w:leader="none" w:pos="203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Shareholders agree that, upon the reasonable request of Parent and upon reasonable prior notice from Parent, the Company and the Company Shareholders shall use commercially reasonable efforts to:</w:t>
      </w:r>
    </w:p>
    <w:p>
      <w:pPr>
        <w:spacing w:after="0" w:line="215" w:lineRule="exact"/>
        <w:rPr>
          <w:rFonts w:ascii="Times New Roman" w:cs="Times New Roman" w:eastAsia="Times New Roman" w:hAnsi="Times New Roman"/>
          <w:sz w:val="18"/>
          <w:szCs w:val="18"/>
          <w:color w:val="auto"/>
        </w:rPr>
      </w:pPr>
    </w:p>
    <w:p>
      <w:pPr>
        <w:ind w:left="660" w:right="160" w:firstLine="1292"/>
        <w:spacing w:after="0" w:line="312" w:lineRule="auto"/>
        <w:tabs>
          <w:tab w:leader="none" w:pos="2666"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Parent may reasonably request, perform such reorganizations of the Company’s or any of its controlled Affiliates’ corporate structure or such other transactions, including filing or consenting to any Tax elections (each, a “</w:t>
      </w:r>
      <w:r>
        <w:rPr>
          <w:rFonts w:ascii="Times New Roman" w:cs="Times New Roman" w:eastAsia="Times New Roman" w:hAnsi="Times New Roman"/>
          <w:sz w:val="17"/>
          <w:szCs w:val="17"/>
          <w:u w:val="single" w:color="auto"/>
          <w:color w:val="auto"/>
        </w:rPr>
        <w:t>Pre-Closing Reorganization</w:t>
      </w:r>
      <w:r>
        <w:rPr>
          <w:rFonts w:ascii="Times New Roman" w:cs="Times New Roman" w:eastAsia="Times New Roman" w:hAnsi="Times New Roman"/>
          <w:sz w:val="17"/>
          <w:szCs w:val="17"/>
          <w:color w:val="auto"/>
        </w:rPr>
        <w:t>”);</w:t>
      </w:r>
    </w:p>
    <w:p>
      <w:pPr>
        <w:spacing w:after="0" w:line="193" w:lineRule="exact"/>
        <w:rPr>
          <w:rFonts w:ascii="Times New Roman" w:cs="Times New Roman" w:eastAsia="Times New Roman" w:hAnsi="Times New Roman"/>
          <w:sz w:val="17"/>
          <w:szCs w:val="17"/>
          <w:color w:val="auto"/>
        </w:rPr>
      </w:pPr>
    </w:p>
    <w:p>
      <w:pPr>
        <w:jc w:val="both"/>
        <w:ind w:left="660" w:right="120" w:firstLine="1292"/>
        <w:spacing w:after="0" w:line="266" w:lineRule="auto"/>
        <w:tabs>
          <w:tab w:leader="none" w:pos="271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Parent and its advisors to determine the nature of the Pre-Closing Reorganizations, if any, that might be undertaken and the manner in which they would most effectively be undertaken, including providing any necessary information in connection therewith;</w:t>
      </w:r>
    </w:p>
    <w:p>
      <w:pPr>
        <w:spacing w:after="0" w:line="229" w:lineRule="exact"/>
        <w:rPr>
          <w:rFonts w:ascii="Times New Roman" w:cs="Times New Roman" w:eastAsia="Times New Roman" w:hAnsi="Times New Roman"/>
          <w:sz w:val="18"/>
          <w:szCs w:val="18"/>
          <w:color w:val="auto"/>
        </w:rPr>
      </w:pPr>
    </w:p>
    <w:p>
      <w:pPr>
        <w:ind w:left="660" w:right="220" w:firstLine="1292"/>
        <w:spacing w:after="0" w:line="282" w:lineRule="auto"/>
        <w:tabs>
          <w:tab w:leader="none" w:pos="2658"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Parent and its advisors to seek to obtain consents or waivers which might be required from any third party in connection with the Pre-Closing Reorganizations, if any; and</w:t>
      </w:r>
    </w:p>
    <w:p>
      <w:pPr>
        <w:spacing w:after="0" w:line="215" w:lineRule="exact"/>
        <w:rPr>
          <w:rFonts w:ascii="Times New Roman" w:cs="Times New Roman" w:eastAsia="Times New Roman" w:hAnsi="Times New Roman"/>
          <w:sz w:val="18"/>
          <w:szCs w:val="18"/>
          <w:color w:val="auto"/>
        </w:rPr>
      </w:pPr>
    </w:p>
    <w:p>
      <w:pPr>
        <w:ind w:left="660" w:right="100" w:firstLine="1292"/>
        <w:spacing w:after="0" w:line="289" w:lineRule="auto"/>
        <w:tabs>
          <w:tab w:leader="none" w:pos="2648"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or cooperate with Parent to prepare, prior to the Effective Time (or, with respect to any Pre-Closing Reorganization intended to be consummated after the Closing, as soon as reasonably practicable), all documentation necessary and do such other acts and things as are necessary to give effect to such Pre-Closing Reorganization, including any amendment to the Statutory Merger Agreement;</w:t>
      </w:r>
    </w:p>
    <w:p>
      <w:pPr>
        <w:spacing w:after="0" w:line="18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5.17(a) shall require the Company or any Shareholder to agree to take or cooperate with any action that would reasonably be expected to impede, hinder or delay the Closing or the satisfaction of any condition to the Closing set forth in Article VI.</w:t>
      </w:r>
    </w:p>
    <w:p>
      <w:pPr>
        <w:spacing w:after="0" w:line="216" w:lineRule="exact"/>
        <w:rPr>
          <w:sz w:val="20"/>
          <w:szCs w:val="20"/>
          <w:color w:val="auto"/>
        </w:rPr>
      </w:pPr>
    </w:p>
    <w:p>
      <w:pPr>
        <w:ind w:firstLine="1304"/>
        <w:spacing w:after="0" w:line="254" w:lineRule="auto"/>
        <w:tabs>
          <w:tab w:leader="none" w:pos="204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Parent agrees that it will be responsible for all reasonable costs and expenses incurred by the Company, its Affiliates, the Joint Venture Entities and the Company Shareholders associated with any Pre-Closing Reorganization, including reasonable professional fees and expenses and Taxes, where such Pre-Closing Reorganization is to be carried out at Parent’s request, and shall indemnify and save harmless the Company, its Affiliates, the Joint Venture Entities and the Company Shareholders and their respective Representatives from and against any and all losses, damages, claims, Taxes, costs or expenses suffered or incurred by any of them in connection with or as a result of any such Pre-Closing Reorganization, except to the extent such losses, damages, claims, Taxes, costs or expenses arose from the bad faith or willful misconduct of the Company or its Representatives. Parent hereby agrees that any actions taken at the request of Parent pursuant to this Section 5.17 shall not constitute a breach of, or non-compliance with, a representation, warranty or covenant in this Agreement by the Company, its Affiliates, the Joint Venture Entities or the Company Shareholders.</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75" w:name="page176"/>
    <w:bookmarkEnd w:id="175"/>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Treatment of Joint Venture Entities</w:t>
      </w:r>
      <w:r>
        <w:rPr>
          <w:rFonts w:ascii="Times New Roman" w:cs="Times New Roman" w:eastAsia="Times New Roman" w:hAnsi="Times New Roman"/>
          <w:sz w:val="21"/>
          <w:szCs w:val="21"/>
          <w:color w:val="auto"/>
        </w:rPr>
        <w:t>. Notwithstanding anything to the contrary, with respect to each of the 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 xml:space="preserve">Venture Entities, the Company’s or any Company Shareholder’s obligations under any section in this Agreement to cause such Joint Venture Entity to take an action or not to take an action shall be deemed satisfied so long as the Company or such Company Shareholder, as applicable, takes all lawful actions available to it and within its power under the organizational documents of the Joint Venture Entity in order to cause the Joint Venture Entity to take or not take such 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21"/>
          <w:szCs w:val="21"/>
          <w:color w:val="auto"/>
        </w:rPr>
        <w:t>, that in connection with the foregoing, the Company or any Company Shareholder, as applicable, shall not be obligated to take any action that would violate the applicable organizational documents or other binding governance arrangements of such Joint Venture Entity or in contravention of the rights of the other parties to such Joint Venture Entity.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PRECEDENT</w:t>
      </w:r>
    </w:p>
    <w:p>
      <w:pPr>
        <w:spacing w:after="0" w:line="24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Conditions to Each Party’s Obligation to Effect the Merger</w:t>
      </w:r>
      <w:r>
        <w:rPr>
          <w:rFonts w:ascii="Times New Roman" w:cs="Times New Roman" w:eastAsia="Times New Roman" w:hAnsi="Times New Roman"/>
          <w:sz w:val="21"/>
          <w:szCs w:val="21"/>
          <w:color w:val="auto"/>
        </w:rPr>
        <w:t>. The respective obligations of the Company,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Company Shareholders, Parent and Merger Sub to effect the Merger shall be subject to the satisfaction (or waiver, if permissible under applicable Law) at or prior to the Closing of the following conditions:</w:t>
      </w:r>
    </w:p>
    <w:p>
      <w:pPr>
        <w:spacing w:after="0" w:line="220" w:lineRule="exact"/>
        <w:rPr>
          <w:sz w:val="20"/>
          <w:szCs w:val="20"/>
          <w:color w:val="auto"/>
        </w:rPr>
      </w:pPr>
    </w:p>
    <w:p>
      <w:pPr>
        <w:ind w:right="180" w:firstLine="1304"/>
        <w:spacing w:after="0" w:line="258" w:lineRule="auto"/>
        <w:tabs>
          <w:tab w:leader="none" w:pos="203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Regulatory Approvals</w:t>
      </w:r>
      <w:r>
        <w:rPr>
          <w:rFonts w:ascii="Times New Roman" w:cs="Times New Roman" w:eastAsia="Times New Roman" w:hAnsi="Times New Roman"/>
          <w:sz w:val="18"/>
          <w:szCs w:val="18"/>
          <w:color w:val="auto"/>
        </w:rPr>
        <w:t>. The authorizations, consents, orders or approvals of, or declarations or filings with, and the expirations or terminations of waiting periods required from, any Governmental Authorities set forth in Section 6.01(a) of the Company Disclosure Schedule shall have been filed, have occurred or been obtained (all such permits, approvals, filings and consents and the expiration or termination of all such waiting periods being referred to as the “</w:t>
      </w:r>
      <w:r>
        <w:rPr>
          <w:rFonts w:ascii="Times New Roman" w:cs="Times New Roman" w:eastAsia="Times New Roman" w:hAnsi="Times New Roman"/>
          <w:sz w:val="18"/>
          <w:szCs w:val="18"/>
          <w:u w:val="single" w:color="auto"/>
          <w:color w:val="auto"/>
        </w:rPr>
        <w:t>Required Regulatory Approvals</w:t>
      </w:r>
      <w:r>
        <w:rPr>
          <w:rFonts w:ascii="Times New Roman" w:cs="Times New Roman" w:eastAsia="Times New Roman" w:hAnsi="Times New Roman"/>
          <w:sz w:val="18"/>
          <w:szCs w:val="18"/>
          <w:color w:val="auto"/>
        </w:rPr>
        <w:t>”), and all such Required Regulatory Approvals shall be in full force and effect.</w:t>
      </w:r>
    </w:p>
    <w:p>
      <w:pPr>
        <w:spacing w:after="0" w:line="237" w:lineRule="exact"/>
        <w:rPr>
          <w:rFonts w:ascii="Times New Roman" w:cs="Times New Roman" w:eastAsia="Times New Roman" w:hAnsi="Times New Roman"/>
          <w:sz w:val="18"/>
          <w:szCs w:val="18"/>
          <w:color w:val="auto"/>
        </w:rPr>
      </w:pPr>
    </w:p>
    <w:p>
      <w:pPr>
        <w:ind w:right="200" w:firstLine="1304"/>
        <w:spacing w:after="0" w:line="266" w:lineRule="auto"/>
        <w:tabs>
          <w:tab w:leader="none" w:pos="204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No injunction, judgment or ruling enacted, promulgated, issued, entered, amended or enforced by any Governmental Authority of competent jurisdiction (collectively, “</w:t>
      </w:r>
      <w:r>
        <w:rPr>
          <w:rFonts w:ascii="Times New Roman" w:cs="Times New Roman" w:eastAsia="Times New Roman" w:hAnsi="Times New Roman"/>
          <w:sz w:val="18"/>
          <w:szCs w:val="18"/>
          <w:u w:val="single" w:color="auto"/>
          <w:color w:val="auto"/>
        </w:rPr>
        <w:t>Restraints</w:t>
      </w:r>
      <w:r>
        <w:rPr>
          <w:rFonts w:ascii="Times New Roman" w:cs="Times New Roman" w:eastAsia="Times New Roman" w:hAnsi="Times New Roman"/>
          <w:sz w:val="18"/>
          <w:szCs w:val="18"/>
          <w:color w:val="auto"/>
        </w:rPr>
        <w:t>”) shall be in effect enjoining, restraining or otherwise prohibiting consummation of the Merger.</w:t>
      </w:r>
    </w:p>
    <w:p>
      <w:pPr>
        <w:spacing w:after="0" w:line="229" w:lineRule="exact"/>
        <w:rPr>
          <w:rFonts w:ascii="Times New Roman" w:cs="Times New Roman" w:eastAsia="Times New Roman" w:hAnsi="Times New Roman"/>
          <w:sz w:val="18"/>
          <w:szCs w:val="18"/>
          <w:color w:val="auto"/>
        </w:rPr>
      </w:pPr>
    </w:p>
    <w:p>
      <w:pPr>
        <w:ind w:right="360" w:firstLine="1304"/>
        <w:spacing w:after="0" w:line="282" w:lineRule="auto"/>
        <w:tabs>
          <w:tab w:leader="none" w:pos="203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Parent Shares to be issued in the Merger shall have been approved for listing on the Nasdaq, subject to official notice of issuance.</w:t>
      </w:r>
    </w:p>
    <w:p>
      <w:pPr>
        <w:spacing w:after="0" w:line="179"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Conditions to Obligations of Parent and Merger Sub</w:t>
      </w:r>
      <w:r>
        <w:rPr>
          <w:rFonts w:ascii="Times New Roman" w:cs="Times New Roman" w:eastAsia="Times New Roman" w:hAnsi="Times New Roman"/>
          <w:sz w:val="21"/>
          <w:szCs w:val="21"/>
          <w:color w:val="auto"/>
        </w:rPr>
        <w:t>. The obligations of Parent and Merger Sub to effect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Merger are further subject to the satisfaction (or waiver, if permissible under applicable Law) at or prior to the Closing of the following conditions:</w:t>
      </w:r>
    </w:p>
    <w:p>
      <w:pPr>
        <w:spacing w:after="0" w:line="220" w:lineRule="exact"/>
        <w:rPr>
          <w:sz w:val="20"/>
          <w:szCs w:val="20"/>
          <w:color w:val="auto"/>
        </w:rPr>
      </w:pPr>
    </w:p>
    <w:p>
      <w:pPr>
        <w:ind w:firstLine="1304"/>
        <w:spacing w:after="0" w:line="253" w:lineRule="auto"/>
        <w:tabs>
          <w:tab w:leader="none" w:pos="203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 Shareholders and the Company</w:t>
      </w:r>
      <w:r>
        <w:rPr>
          <w:rFonts w:ascii="Times New Roman" w:cs="Times New Roman" w:eastAsia="Times New Roman" w:hAnsi="Times New Roman"/>
          <w:sz w:val="18"/>
          <w:szCs w:val="18"/>
          <w:color w:val="auto"/>
        </w:rPr>
        <w:t>. The representations and warranties of the Company Shareholders and the Company (i) set forth in Section 3.06(b) shall be true and correct as of the date of this Agreement and as of the Closing Date with the same effect as though made as the Closing Date (except to the extent expressly made as of an earlier date, in which case as of such date), (ii) set forth in the first sentence of Section 3.01(a), Section 3.02(a), Section 3.02(b), Section 3.02(c), Section 3.02(d), Section 3.02(e), Section 3.03(a), Section 3.03(b), Section 3.03(e), Section 3.13 and Section 3.25 shall be true and correct in all material respects as of the date of this Agreement and as of the Closing Date with the same effect as though made as of the Closing Date (except to the extent expressly made as of an earlier date, in which case as of such date) and (iii) set forth in this Agreement, other than those Sections specifically identified in clause (i) or (ii) of this Section 6.02(a), shall be true and correct (disregarding all qualifications or limitations as to “materiality”, “Material Adverse Effect” and words of similar import set forth therein) as of the date of this Agreement and as of the Closing Date with the same effect as though made as of the Closing Date (except to the extent expressly made as of an earlier date, in which case as of such date), except, in the case of this clause (iii), where the failure to be true and correct (disregarding all qualifications or limitations as to “materiality”, “Material Adverse Effect” and words of similar import set forth therein) would not, individually or in the aggregate, reasonably be expected to have a Material Adverse Effect.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76" w:name="page177"/>
    <w:bookmarkEnd w:id="176"/>
    <w:p>
      <w:pPr>
        <w:jc w:val="both"/>
        <w:ind w:right="220" w:firstLine="1304"/>
        <w:spacing w:after="0" w:line="266" w:lineRule="auto"/>
        <w:tabs>
          <w:tab w:leader="none" w:pos="204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Company Shareholders and the Company</w:t>
      </w:r>
      <w:r>
        <w:rPr>
          <w:rFonts w:ascii="Times New Roman" w:cs="Times New Roman" w:eastAsia="Times New Roman" w:hAnsi="Times New Roman"/>
          <w:sz w:val="18"/>
          <w:szCs w:val="18"/>
          <w:color w:val="auto"/>
        </w:rPr>
        <w:t>. The Company Shareholders and the Company shall have performed or complied in all material respects with their respective obligations required to be performed or complied with by them under this Agreement at or prior to the Effective Time.</w:t>
      </w:r>
    </w:p>
    <w:p>
      <w:pPr>
        <w:spacing w:after="0" w:line="229" w:lineRule="exact"/>
        <w:rPr>
          <w:rFonts w:ascii="Times New Roman" w:cs="Times New Roman" w:eastAsia="Times New Roman" w:hAnsi="Times New Roman"/>
          <w:sz w:val="18"/>
          <w:szCs w:val="18"/>
          <w:color w:val="auto"/>
        </w:rPr>
      </w:pPr>
    </w:p>
    <w:p>
      <w:pPr>
        <w:ind w:right="440" w:firstLine="1304"/>
        <w:spacing w:after="0" w:line="312" w:lineRule="auto"/>
        <w:tabs>
          <w:tab w:leader="none" w:pos="2036"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Material Adverse Effect</w:t>
      </w:r>
      <w:r>
        <w:rPr>
          <w:rFonts w:ascii="Times New Roman" w:cs="Times New Roman" w:eastAsia="Times New Roman" w:hAnsi="Times New Roman"/>
          <w:sz w:val="17"/>
          <w:szCs w:val="17"/>
          <w:color w:val="auto"/>
        </w:rPr>
        <w:t>. Since the date of this Agreement, there shall not have been any effect, change, circumstance, development event or occurrence that has had, or would reasonably be expected to have, individually or in the aggregate, a Material Adverse Effect.</w:t>
      </w:r>
    </w:p>
    <w:p>
      <w:pPr>
        <w:spacing w:after="0" w:line="157" w:lineRule="exact"/>
        <w:rPr>
          <w:rFonts w:ascii="Times New Roman" w:cs="Times New Roman" w:eastAsia="Times New Roman" w:hAnsi="Times New Roman"/>
          <w:sz w:val="17"/>
          <w:szCs w:val="17"/>
          <w:color w:val="auto"/>
        </w:rPr>
      </w:pPr>
    </w:p>
    <w:p>
      <w:pPr>
        <w:ind w:left="2060" w:hanging="756"/>
        <w:spacing w:after="0"/>
        <w:tabs>
          <w:tab w:leader="none" w:pos="20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21"/>
          <w:szCs w:val="21"/>
          <w:color w:val="auto"/>
        </w:rPr>
        <w:t>. Parent shall have received at the Closing (i) a certificate signed on behalf of the</w:t>
      </w:r>
    </w:p>
    <w:p>
      <w:pPr>
        <w:spacing w:after="0" w:line="2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Company by a senior executive officer of the Company to the effect that the conditions set forth in Sections 6.02(a), 6.02(b) and 6.02(c), have been satisfied and (ii) a certificate signed on behalf of the Company Shareholders by an authorized representative of each of the Company Shareholders to the effect that the conditions set forth in Sections 6.02(a), 6.02(b) and 6.02(c), to the extent applicable to the Company Shareholders, have been satisfied.</w:t>
      </w:r>
    </w:p>
    <w:p>
      <w:pPr>
        <w:spacing w:after="0" w:line="241" w:lineRule="exact"/>
        <w:rPr>
          <w:sz w:val="20"/>
          <w:szCs w:val="20"/>
          <w:color w:val="auto"/>
        </w:rPr>
      </w:pPr>
    </w:p>
    <w:p>
      <w:pPr>
        <w:ind w:right="240" w:firstLine="1304"/>
        <w:spacing w:after="0" w:line="282" w:lineRule="auto"/>
        <w:tabs>
          <w:tab w:leader="none" w:pos="203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Burdensome Condition</w:t>
      </w:r>
      <w:r>
        <w:rPr>
          <w:rFonts w:ascii="Times New Roman" w:cs="Times New Roman" w:eastAsia="Times New Roman" w:hAnsi="Times New Roman"/>
          <w:sz w:val="18"/>
          <w:szCs w:val="18"/>
          <w:color w:val="auto"/>
        </w:rPr>
        <w:t>. The Required Regulatory Approvals shall have been filed or obtained or shall have occurred, as applicable, in each case, without the imposition of a Burdensome Condition.</w:t>
      </w:r>
    </w:p>
    <w:p>
      <w:pPr>
        <w:spacing w:after="0" w:line="179"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21"/>
          <w:szCs w:val="21"/>
          <w:color w:val="auto"/>
        </w:rPr>
        <w:t>. The Company shall have executed and delivered to Parent and Merger Sub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Transition Services Agreement and all of the Ancillary Agreements to be executed and delivered by the Company at Closing.</w:t>
      </w:r>
    </w:p>
    <w:p>
      <w:pPr>
        <w:spacing w:after="0" w:line="209" w:lineRule="exact"/>
        <w:rPr>
          <w:sz w:val="20"/>
          <w:szCs w:val="20"/>
          <w:color w:val="auto"/>
        </w:rPr>
      </w:pPr>
    </w:p>
    <w:p>
      <w:pPr>
        <w:ind w:right="120" w:firstLine="1304"/>
        <w:spacing w:after="0" w:line="261" w:lineRule="auto"/>
        <w:tabs>
          <w:tab w:leader="none" w:pos="204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Third-Party Consents</w:t>
      </w:r>
      <w:r>
        <w:rPr>
          <w:rFonts w:ascii="Times New Roman" w:cs="Times New Roman" w:eastAsia="Times New Roman" w:hAnsi="Times New Roman"/>
          <w:sz w:val="21"/>
          <w:szCs w:val="21"/>
          <w:color w:val="auto"/>
        </w:rPr>
        <w:t>. The Company shall have received and delivered to Parent the third-party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consents and approvals listed on Section 6.02(g) of the Company Disclosure Schedule, and all such consents and approvals shall remain in full force and effect.</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77" w:name="page178"/>
    <w:bookmarkEnd w:id="177"/>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21"/>
          <w:szCs w:val="21"/>
          <w:color w:val="auto"/>
        </w:rPr>
        <w:t>. The obligations of the Company to effect the Merger are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subject to the satisfaction (or waiver, if permissible under applicable Law) at or prior to the Closing of the following conditions:</w:t>
      </w:r>
    </w:p>
    <w:p>
      <w:pPr>
        <w:spacing w:after="0" w:line="198" w:lineRule="exact"/>
        <w:rPr>
          <w:sz w:val="20"/>
          <w:szCs w:val="20"/>
          <w:color w:val="auto"/>
        </w:rPr>
      </w:pPr>
    </w:p>
    <w:p>
      <w:pPr>
        <w:ind w:firstLine="1304"/>
        <w:spacing w:after="0" w:line="253" w:lineRule="auto"/>
        <w:tabs>
          <w:tab w:leader="none" w:pos="203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Parent and Merger Sub (i) set forth in Section 4.07(b) shall be true and correct as of the date of this Agreement and as of the Closing Date with the same effect as though made as the Closing Date (except to the extent expressly made as of an earlier date, in which case as of such date), (ii) set forth in the first sentence of Section 4.01(a), Section 4.02(a), the first and last sentences of Section 4.02(b), Section 4.02(c), Section 4.02(d), Section 4.03(a), Section 4.03(c), Section 4.03(d), Section 4.15 and Section 4.16 shall be true and correct in all material respects as of the date of this Agreement and as of the Closing Date with the same effect as though made as of the Closing Date (except to the extent expressly made as of an earlier date, in which case as of such date) and (iii) set forth in this Agreement, other than those Sections specifically identified in clause (i) or (ii) of this Section 6.03(a), shall be true and correct (disregarding all qualifications or limitations as to “materiality” and “Parent Material Adverse Effect”) as of the date of this Agreement and as of the Closing Date with the same effect as though made as of the Closing Date (except to the extent expressly made as of an earlier date, in which case as of such date), except, in the case of this clause (iii), where the failure to be so true and correct (disregarding all qualifications or limitations as to “materiality”, “Parent Material Adverse Effect” and words of similar import set forth therein) would not, individually or in the aggregate, reasonably be expected to have a Parent Material Adverse Effect.</w:t>
      </w:r>
    </w:p>
    <w:p>
      <w:pPr>
        <w:spacing w:after="0" w:line="245" w:lineRule="exact"/>
        <w:rPr>
          <w:rFonts w:ascii="Times New Roman" w:cs="Times New Roman" w:eastAsia="Times New Roman" w:hAnsi="Times New Roman"/>
          <w:sz w:val="18"/>
          <w:szCs w:val="18"/>
          <w:color w:val="auto"/>
        </w:rPr>
      </w:pPr>
    </w:p>
    <w:p>
      <w:pPr>
        <w:ind w:right="360" w:firstLine="1304"/>
        <w:spacing w:after="0" w:line="266" w:lineRule="auto"/>
        <w:tabs>
          <w:tab w:leader="none" w:pos="204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Parent and Merger Sub</w:t>
      </w:r>
      <w:r>
        <w:rPr>
          <w:rFonts w:ascii="Times New Roman" w:cs="Times New Roman" w:eastAsia="Times New Roman" w:hAnsi="Times New Roman"/>
          <w:sz w:val="18"/>
          <w:szCs w:val="18"/>
          <w:color w:val="auto"/>
        </w:rPr>
        <w:t>. Parent and Merger Sub shall have performed or complied in all material respects with their respective obligations required to be performed or complied with by them under this Agreement at or prior to the Effective Time.</w:t>
      </w:r>
    </w:p>
    <w:p>
      <w:pPr>
        <w:spacing w:after="0" w:line="229" w:lineRule="exact"/>
        <w:rPr>
          <w:rFonts w:ascii="Times New Roman" w:cs="Times New Roman" w:eastAsia="Times New Roman" w:hAnsi="Times New Roman"/>
          <w:sz w:val="18"/>
          <w:szCs w:val="18"/>
          <w:color w:val="auto"/>
        </w:rPr>
      </w:pPr>
    </w:p>
    <w:p>
      <w:pPr>
        <w:ind w:right="160" w:firstLine="1304"/>
        <w:spacing w:after="0" w:line="266" w:lineRule="auto"/>
        <w:tabs>
          <w:tab w:leader="none" w:pos="203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Parent Material Adverse Effect</w:t>
      </w:r>
      <w:r>
        <w:rPr>
          <w:rFonts w:ascii="Times New Roman" w:cs="Times New Roman" w:eastAsia="Times New Roman" w:hAnsi="Times New Roman"/>
          <w:sz w:val="18"/>
          <w:szCs w:val="18"/>
          <w:color w:val="auto"/>
        </w:rPr>
        <w:t>. Since the date of this Agreement, there shall not have been any effect, change, circumstance, development event or occurrence that has had, or would reasonably be expected to have, individually or in the aggregate, a Parent Material Adverse Effect.</w:t>
      </w:r>
    </w:p>
    <w:p>
      <w:pPr>
        <w:spacing w:after="0" w:line="229" w:lineRule="exact"/>
        <w:rPr>
          <w:rFonts w:ascii="Times New Roman" w:cs="Times New Roman" w:eastAsia="Times New Roman" w:hAnsi="Times New Roman"/>
          <w:sz w:val="18"/>
          <w:szCs w:val="18"/>
          <w:color w:val="auto"/>
        </w:rPr>
      </w:pPr>
    </w:p>
    <w:p>
      <w:pPr>
        <w:ind w:right="640" w:firstLine="1304"/>
        <w:spacing w:after="0" w:line="282" w:lineRule="auto"/>
        <w:tabs>
          <w:tab w:leader="none" w:pos="204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The Company has received at the Closing a certificate signed on behalf of the Parent by a senior executive officer of the Parent to the effect that the conditions set forth in Sections 6.03(a), 6.02(b) and 6.03(c), have been satisfied.</w:t>
      </w:r>
    </w:p>
    <w:p>
      <w:pPr>
        <w:spacing w:after="0" w:line="179"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21"/>
          <w:szCs w:val="21"/>
          <w:color w:val="auto"/>
        </w:rPr>
        <w:t>. Parent and Merger Sub shall have executed and delivered to the Company the</w:t>
      </w:r>
    </w:p>
    <w:p>
      <w:pPr>
        <w:spacing w:after="0" w:line="26"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22"/>
          <w:szCs w:val="22"/>
          <w:color w:val="auto"/>
        </w:rPr>
        <w:t>Transition Services Agreement and all of the Ancillary Agreements to be executed and delivered by Parent and Merger Sub at Closing.</w:t>
      </w:r>
    </w:p>
    <w:p>
      <w:pPr>
        <w:spacing w:after="0" w:line="20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Conditions to Obligations of the Company Shareholders</w:t>
      </w:r>
      <w:r>
        <w:rPr>
          <w:rFonts w:ascii="Times New Roman" w:cs="Times New Roman" w:eastAsia="Times New Roman" w:hAnsi="Times New Roman"/>
          <w:sz w:val="21"/>
          <w:szCs w:val="21"/>
          <w:color w:val="auto"/>
        </w:rPr>
        <w:t>. The obligations of each Company Shareholder to effect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the Merger are further subject to the satisfaction (or waiver, if permissible under applicable Law) at or prior to the Closing of the following condition: Parent shall have executed and delivered to the Company Shareholders the Shareholders’ Agreement and Ancillary Agreements to be executed and delivered by Parent at Closing.</w:t>
      </w: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78" w:name="page179"/>
    <w:bookmarkEnd w:id="178"/>
    <w:p>
      <w:pPr>
        <w:ind w:firstLine="648"/>
        <w:spacing w:after="0" w:line="24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21"/>
          <w:szCs w:val="21"/>
          <w:color w:val="auto"/>
        </w:rPr>
        <w:t>. The Company may not rely on the failure of any condition set forth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Section 6.01 or Section 6.03 to be satisfied if such failure was primarily caused by the failure of the Company to perform in all material respects any of its obligations under this Agreement, including to use its reasonable best efforts to consummate the Transactions as required by and subject to the terms and conditions of this Agreement. Neither Parent nor Merger Sub may rely on the failure of any condition set forth in Section 6.01 or Section 6.02 to be satisfied if such failure was primarily caused by the failure of Parent or Merger Sub to perform in all material respects any of its obligations under this Agreement, including to use its reasonable best efforts to consummate the Transactions as required by and subject to the terms and conditions of this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47"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21"/>
          <w:szCs w:val="21"/>
          <w:color w:val="auto"/>
        </w:rPr>
        <w:t>. This Agreement may be terminated and the Transactions abandoned at any time prior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Time (except as otherwise expressly noted):</w:t>
      </w:r>
    </w:p>
    <w:p>
      <w:pPr>
        <w:spacing w:after="0" w:line="245" w:lineRule="exact"/>
        <w:rPr>
          <w:sz w:val="20"/>
          <w:szCs w:val="20"/>
          <w:color w:val="auto"/>
        </w:rPr>
      </w:pPr>
    </w:p>
    <w:p>
      <w:pPr>
        <w:ind w:left="2040" w:hanging="736"/>
        <w:spacing w:after="0"/>
        <w:tabs>
          <w:tab w:leader="none" w:pos="20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Company and Parent duly authorized by each of their respective Boards of Directors;</w:t>
      </w:r>
    </w:p>
    <w:p>
      <w:pPr>
        <w:spacing w:after="0" w:line="279"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of the Company or Parent:</w:t>
      </w:r>
    </w:p>
    <w:p>
      <w:pPr>
        <w:spacing w:after="0" w:line="279" w:lineRule="exact"/>
        <w:rPr>
          <w:rFonts w:ascii="Times New Roman" w:cs="Times New Roman" w:eastAsia="Times New Roman" w:hAnsi="Times New Roman"/>
          <w:sz w:val="18"/>
          <w:szCs w:val="18"/>
          <w:color w:val="auto"/>
        </w:rPr>
      </w:pPr>
    </w:p>
    <w:p>
      <w:pPr>
        <w:ind w:left="660" w:right="200" w:firstLine="1292"/>
        <w:spacing w:after="0" w:line="258" w:lineRule="auto"/>
        <w:tabs>
          <w:tab w:leader="none" w:pos="266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shall not have been consummated on or before July 12, 2021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right to terminate this Agreement under this Section 7.01(b)(i) shall not be available to any party if the failure in any material respect of such party to perform any of its obligations under this Agreement, including to use its reasonable best efforts to consummate the Transactions as required by and subject to the terms and conditions of this Agreement, has been the primary cause of or resulted in the failure of the Merger to be consummated on or before such date;</w:t>
      </w:r>
    </w:p>
    <w:p>
      <w:pPr>
        <w:spacing w:after="0" w:line="237" w:lineRule="exact"/>
        <w:rPr>
          <w:rFonts w:ascii="Times New Roman" w:cs="Times New Roman" w:eastAsia="Times New Roman" w:hAnsi="Times New Roman"/>
          <w:sz w:val="18"/>
          <w:szCs w:val="18"/>
          <w:color w:val="auto"/>
        </w:rPr>
      </w:pPr>
    </w:p>
    <w:p>
      <w:pPr>
        <w:jc w:val="both"/>
        <w:ind w:left="660" w:right="40" w:firstLine="1292"/>
        <w:spacing w:after="0" w:line="261" w:lineRule="auto"/>
        <w:tabs>
          <w:tab w:leader="none" w:pos="271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court of competent jurisdiction or other Governmental Authority of competent jurisdiction shall have issued a final and nonappealable order, or shall have taken any other action, having the effect of permanently restraining, enjoining or otherwise prohibiting the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right to terminate this Agreement under this Section 7.01(b)(ii) shall not be available to any party whose failure to perform any of its obligations pursuant to Section 5.04 resulted in the entry of the order or the taking of such other action;</w:t>
      </w:r>
    </w:p>
    <w:p>
      <w:pPr>
        <w:spacing w:after="0" w:line="233"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w:t>
      </w:r>
    </w:p>
    <w:p>
      <w:pPr>
        <w:spacing w:after="0" w:line="279" w:lineRule="exact"/>
        <w:rPr>
          <w:rFonts w:ascii="Times New Roman" w:cs="Times New Roman" w:eastAsia="Times New Roman" w:hAnsi="Times New Roman"/>
          <w:sz w:val="18"/>
          <w:szCs w:val="18"/>
          <w:color w:val="auto"/>
        </w:rPr>
      </w:pPr>
    </w:p>
    <w:p>
      <w:pPr>
        <w:ind w:left="660" w:firstLine="1292"/>
        <w:spacing w:after="0" w:line="254" w:lineRule="auto"/>
        <w:tabs>
          <w:tab w:leader="none" w:pos="266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and the Company Shareholders shall have breached any of their respective representations or warranties or failed to perform any of their respective covenants or agreements set forth in this Agreement, which breach or failure to perform (A) would give rise to the failure of a condition set forth in Section 6.02(a) or 6.02(b) and (B) is incapable of being cured prior to the Termination Date, or if capable of being cured, has not been cured by the Company within thirty (30) days after the Company’s receipt of written notice of such breach or failure to perform from Parent stating Parent’s intention to terminate this Agreement pursuant to this Section 7.01(c)(i) and the basis for such termination (or in any event has not been cured by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have the right to terminate this Agreement pursuant to this Section 7.01(c)(i) if Parent or Merger Sub is then in breach of any of its representations, warranties, covenants or agreements hereunder in a manner that would give rise to the failure of a condition set forth in Section 6.03(a), Section 6.03(b) or Section 6.03(c); or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9" w:name="page180"/>
    <w:bookmarkEnd w:id="179"/>
    <w:p>
      <w:pPr>
        <w:ind w:left="2060" w:hanging="756"/>
        <w:spacing w:after="0"/>
        <w:tabs>
          <w:tab w:leader="none" w:pos="20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w:t>
      </w:r>
    </w:p>
    <w:p>
      <w:pPr>
        <w:spacing w:after="0" w:line="279" w:lineRule="exact"/>
        <w:rPr>
          <w:rFonts w:ascii="Times New Roman" w:cs="Times New Roman" w:eastAsia="Times New Roman" w:hAnsi="Times New Roman"/>
          <w:sz w:val="18"/>
          <w:szCs w:val="18"/>
          <w:color w:val="auto"/>
        </w:rPr>
      </w:pPr>
    </w:p>
    <w:p>
      <w:pPr>
        <w:ind w:left="660" w:right="60" w:firstLine="1292"/>
        <w:spacing w:after="0" w:line="268" w:lineRule="auto"/>
        <w:tabs>
          <w:tab w:leader="none" w:pos="2666"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Parent or Merger Sub shall have breached any of its representations or warranties or failed to perform any of its covenants or agreements set forth in this Agreement, which breach or failure to perform (A) would give rise to the failure of a condition set forth in Section 6.03(a) or 6.03(b) and (B) is incapable of being cured prior to the Termination Date, or if capable of being cured, has not been cured by Parent or Merger Sub within thirty (30) days after Parent’s receipt of written notice of such breach or failure to perform from the Company stating the Company’s intention to terminate this Agreement pursuant to this Section 7.01(d)(i) and the basis for such termination (or in any event has not been cured by the Termination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not have the right to terminate this Agreement pursuant to this Section</w:t>
      </w:r>
    </w:p>
    <w:p>
      <w:pPr>
        <w:spacing w:after="0" w:line="4" w:lineRule="exact"/>
        <w:rPr>
          <w:rFonts w:ascii="Times New Roman" w:cs="Times New Roman" w:eastAsia="Times New Roman" w:hAnsi="Times New Roman"/>
          <w:sz w:val="17"/>
          <w:szCs w:val="17"/>
          <w:color w:val="auto"/>
        </w:rPr>
      </w:pPr>
    </w:p>
    <w:p>
      <w:pPr>
        <w:ind w:left="660" w:right="2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7.01(d)(i) if the Company is then in breach of any of its representations, warranties, covenants or agreements in a manner that would give rise to the failure of a condition set forth in Section 6.02(a), Section 6.02(b) or Section 6.02(c).</w:t>
      </w:r>
    </w:p>
    <w:p>
      <w:pPr>
        <w:spacing w:after="0" w:line="199"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21"/>
          <w:szCs w:val="21"/>
          <w:color w:val="auto"/>
        </w:rPr>
        <w:t>. In the event of the termination of this Agreement as provided in Section 7.01, 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notice thereof shall be given to the other party or parties hereto, specifying the provision hereof pursuant to which such termination is made, and this Agreement shall forthwith become null and void (other than the indemnification and reimbursement obligations of Parent in Section 5.12, Section 5.13 and Section 5.17 with respect to actions taken by the Company prior to termination, this Section 7.02, Article VIII and the Confidentiality Agreement, all of which shall survive termination of this Agreement), and there shall be no liability on the part of Parent, Merger Sub, the Company or their respective directors, officers and Affiliates, except (a) as liability may exist pursuant to the provisions specified in the immediately preceding parenthetical that survive such termination and (b) that no such termination shall relieve any party from liability for any Willful Breach by such party of any, covenant or agreement set forth in this Agreement or Fraud, in which case any non-breaching party shall be entitled to all rights and remedies available at law or in equity.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47"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No Survival of Representations and Warranties</w:t>
      </w:r>
      <w:r>
        <w:rPr>
          <w:rFonts w:ascii="Times New Roman" w:cs="Times New Roman" w:eastAsia="Times New Roman" w:hAnsi="Times New Roman"/>
          <w:sz w:val="21"/>
          <w:szCs w:val="21"/>
          <w:color w:val="auto"/>
        </w:rPr>
        <w:t>. This Article VIII and the agreements of the Company,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 xml:space="preserve">Company Shareholders, Parent and Merger Sub contained in Article II, Section 5.08 and Section 5.17 shall survive the Effective Time. No other representations, warranties, covenants or agreements in this Agreement shall survive the Effective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21"/>
          <w:szCs w:val="21"/>
          <w:color w:val="auto"/>
        </w:rPr>
        <w:t>, nothing herein shall relieve any party from liability for any Willful Breach by such party of any provision of this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1"/>
          <w:szCs w:val="21"/>
          <w:color w:val="auto"/>
        </w:rPr>
        <w:t>Agreement or Fraud.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80" w:name="page181"/>
    <w:bookmarkEnd w:id="180"/>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Amendment or Supplement</w:t>
      </w:r>
      <w:r>
        <w:rPr>
          <w:rFonts w:ascii="Times New Roman" w:cs="Times New Roman" w:eastAsia="Times New Roman" w:hAnsi="Times New Roman"/>
          <w:sz w:val="21"/>
          <w:szCs w:val="21"/>
          <w:color w:val="auto"/>
        </w:rPr>
        <w:t>. At any time prior to the Effective Time, this Agreement may be amended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 xml:space="preserve">supplemented in any and all respects by written agreement of the parties hereto, by action taken by their respective Boards of Directors;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21"/>
          <w:szCs w:val="21"/>
          <w:color w:val="auto"/>
        </w:rPr>
        <w:t>, that no amendment to this Agreement shall be made that would adversely affect the rights of the Financing Sources as set forth in this Section 8.02 or Section 8.06, Section 8.07, Section 8.09 or Section 8.17.</w:t>
      </w:r>
    </w:p>
    <w:p>
      <w:pPr>
        <w:spacing w:after="0" w:line="189"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Extension of Time, Waiver, Etc</w:t>
      </w:r>
      <w:r>
        <w:rPr>
          <w:rFonts w:ascii="Times New Roman" w:cs="Times New Roman" w:eastAsia="Times New Roman" w:hAnsi="Times New Roman"/>
          <w:sz w:val="21"/>
          <w:szCs w:val="21"/>
          <w:color w:val="auto"/>
        </w:rPr>
        <w:t>. At any time prior to the Effective Time, Parent and the Company may, 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to applicable Law, (a) waive any inaccuracies in the representations and warranties of the other party, (b) extend the time for the performance of any of the obligations or acts of the other party or (c) subject to the requirements of applicable Law, waive compliance by the other party with any of the agreements contained herein or, except as otherwise provided herein, waive any of such party’s conditions (it being understood that Parent and Merger Sub shall be deemed a single party for purposes of the foregoing). Notwithstanding the foregoing, no failure or delay by the Company, Parent or Merger Sub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202" w:lineRule="exact"/>
        <w:rPr>
          <w:sz w:val="20"/>
          <w:szCs w:val="20"/>
          <w:color w:val="auto"/>
        </w:rPr>
      </w:pPr>
    </w:p>
    <w:p>
      <w:pPr>
        <w:ind w:right="180" w:firstLine="648"/>
        <w:spacing w:after="0" w:line="249"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21"/>
          <w:szCs w:val="21"/>
          <w:color w:val="auto"/>
        </w:rPr>
        <w:t>. Neither this Agreement nor any of the rights, interests or obligations hereunder shall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assigned, in whole or in part, by operation of Law or otherwise, by any of the parties hereto without the prior written consent of the other parties hereto. No assignment by any party shall relieve such party of any of its obligations hereunder. Subject to the immediately preceding two (2) sentences, this Agreement shall be binding upon, inure to the benefit of, and be enforceable by, the parties hereto and their respective successors and permitted assigns. Any purported assignment not permitted under this Section 8.04 shall be null and void.</w:t>
      </w:r>
    </w:p>
    <w:p>
      <w:pPr>
        <w:spacing w:after="0" w:line="19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21"/>
          <w:szCs w:val="21"/>
          <w:color w:val="auto"/>
        </w:rPr>
        <w:t>. This Agreement may be executed in one or more counterparts (including by facsimile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electronic mail),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89"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21"/>
          <w:szCs w:val="21"/>
          <w:color w:val="auto"/>
        </w:rPr>
        <w:t>. This Agreement, together with the exhibits and schedules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attached hereto, the Company Disclosure Schedule, the Parent Disclosure Schedule and the Confidentiality Agreement, (a) constitute the entire agreement, and supersede all other prior agreements and understandings, both written and oral, among the parties hereto and their Affiliates, or any of them, with respect to the subject matter hereof and thereof and (b) are not intended to and shall not confer upon any Person other than the parties hereto any rights or remedies hereunder, except for if the Effective Time occurs, the right of the holders of Company Shares and Company Preferred Shares to receive the Merger Consideration and Preferred Share Consideration, respectively, payable in accordance with Article II of this Agreement. The representations and warranties in this Agreement are the product of negotiations among the parties hereto. Any inaccuracies in such representations and warranties are subject to waiver by the parties hereto in accordance with Section 8.03 without notice or liability to any other Person. Persons other than the parties hereto may not rely upon the representations and warranties in this Agreement as characterizations of actual facts or circumstances as of the date of this Agreement or as of any other date. Notwithstanding the foregoing, the Financing Sources shall be third-party beneficiaries with respect to this Section 8.06 and Section 8.02, Section 8.07, Section 8.09 and Section 8.17.</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81" w:name="page182"/>
    <w:bookmarkEnd w:id="181"/>
    <w:p>
      <w:pPr>
        <w:ind w:left="60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8.07</w:t>
      </w:r>
      <w:r>
        <w:rPr>
          <w:sz w:val="20"/>
          <w:szCs w:val="20"/>
          <w:color w:val="auto"/>
        </w:rPr>
        <w:tab/>
      </w:r>
      <w:r>
        <w:rPr>
          <w:rFonts w:ascii="Times New Roman" w:cs="Times New Roman" w:eastAsia="Times New Roman" w:hAnsi="Times New Roman"/>
          <w:sz w:val="17"/>
          <w:szCs w:val="17"/>
          <w:u w:val="single" w:color="auto"/>
          <w:color w:val="auto"/>
        </w:rPr>
        <w:t>Governing Law; Jurisdiction</w:t>
      </w:r>
      <w:r>
        <w:rPr>
          <w:rFonts w:ascii="Times New Roman" w:cs="Times New Roman" w:eastAsia="Times New Roman" w:hAnsi="Times New Roman"/>
          <w:sz w:val="20"/>
          <w:szCs w:val="20"/>
          <w:color w:val="auto"/>
        </w:rPr>
        <w:t>.</w:t>
      </w:r>
    </w:p>
    <w:p>
      <w:pPr>
        <w:spacing w:after="0" w:line="293" w:lineRule="exact"/>
        <w:rPr>
          <w:sz w:val="20"/>
          <w:szCs w:val="20"/>
          <w:color w:val="auto"/>
        </w:rPr>
      </w:pPr>
    </w:p>
    <w:p>
      <w:pPr>
        <w:ind w:left="-60" w:right="280" w:firstLine="1304"/>
        <w:spacing w:after="0" w:line="261" w:lineRule="auto"/>
        <w:tabs>
          <w:tab w:leader="none" w:pos="197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applicable to contracts executed in and to be performed entirely in that state, regardless of the laws that might otherwise govern under any applicable conflict of laws principles, except to the extent any provisions of this Agreement which relate to statutory duties, obligations and/or statutory provisions, or which arise under, the Laws of Bermuda (including those applicable to the Merger) shall be governed by and in accordance with the Laws of Bermuda.</w:t>
      </w:r>
    </w:p>
    <w:p>
      <w:pPr>
        <w:spacing w:after="0" w:line="233" w:lineRule="exact"/>
        <w:rPr>
          <w:rFonts w:ascii="Times New Roman" w:cs="Times New Roman" w:eastAsia="Times New Roman" w:hAnsi="Times New Roman"/>
          <w:sz w:val="18"/>
          <w:szCs w:val="18"/>
          <w:color w:val="auto"/>
        </w:rPr>
      </w:pPr>
    </w:p>
    <w:p>
      <w:pPr>
        <w:ind w:left="-60" w:right="40" w:firstLine="1304"/>
        <w:spacing w:after="0" w:line="253" w:lineRule="auto"/>
        <w:tabs>
          <w:tab w:leader="none" w:pos="198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and proceedings arising out of or relating to the interpretation and enforcement of the provisions of this Agreement and in respect of the transactions contemplated by this Agreement (except to the extent any such proceeding mandatorily must be brought in Bermuda) shall be heard and determined in the courts of the State of Delaware or the federal courts of the United States of America located in the State of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and the parties hereto hereby irrevocably submit to the exclusive jurisdiction and venue of such courts in any such action or proceeding and irrevocably waive the defense of an inconvenient forum or lack of jurisdiction to the maintenance of any such action or proceeding. The consents to jurisdiction and venue set forth in this Section 8.07(b) shall not constitute general consents to service of process in the State of Delaware and shall have no effect for any purpose except as provided in this paragraph and shall not be deemed to confer rights on any Person other than the parties hereto. Each party hereto agrees that service of process upon such party in any action or proceeding arising out of or relating to this Agreement shall be effective if notice is given by overnight courier at the address set forth in Section 8.11 of this Agreement. The parties hereto agree that a final judgment in any such action or proceeding shall be conclusive and may be enforced in other jurisdictions by suit on the judgment or in any other manner provided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the foregoing shall restrict any party’s rights to seek any post-judgment relief regarding, or any appeal from, a final trial court judgment.</w:t>
      </w:r>
    </w:p>
    <w:p>
      <w:pPr>
        <w:spacing w:after="0" w:line="243" w:lineRule="exact"/>
        <w:rPr>
          <w:rFonts w:ascii="Times New Roman" w:cs="Times New Roman" w:eastAsia="Times New Roman" w:hAnsi="Times New Roman"/>
          <w:sz w:val="18"/>
          <w:szCs w:val="18"/>
          <w:color w:val="auto"/>
        </w:rPr>
      </w:pPr>
    </w:p>
    <w:p>
      <w:pPr>
        <w:ind w:left="-60" w:firstLine="1304"/>
        <w:spacing w:after="0" w:line="256" w:lineRule="auto"/>
        <w:tabs>
          <w:tab w:leader="none" w:pos="197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clauses (a) and (b) above, each of the parties agrees that it will not bring or support any suit, action or proceeding of any kind or description, whether in law or in equity, whether in contract or in tort or otherwise, against any of the Financing Sources in any way relating to this Agreement or any of the transactions contemplated hereby, including any dispute arising out of or relating in any way to the Financing or the performance of the transactions related thereto, in any forum other than any New York State or, to the fullest extent permitted under applicable law, federal court sitting in the Borough of Manhattan in The City of New York (and appellate courts thereof), and makes the agreements, waivers and consents set forth in clauses (a) and (b) mutatis mutandis but with respect to the courts specified in this clause (c).</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40640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112" w:right="379" w:bottom="1440" w:gutter="0" w:footer="0" w:header="0"/>
        </w:sectPr>
      </w:pPr>
    </w:p>
    <w:bookmarkStart w:id="182" w:name="page183"/>
    <w:bookmarkEnd w:id="182"/>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Specific Enforcement</w:t>
      </w:r>
      <w:r>
        <w:rPr>
          <w:rFonts w:ascii="Times New Roman" w:cs="Times New Roman" w:eastAsia="Times New Roman" w:hAnsi="Times New Roman"/>
          <w:sz w:val="21"/>
          <w:szCs w:val="21"/>
          <w:color w:val="auto"/>
        </w:rPr>
        <w:t>. The parties hereto agree that irreparable damage for which monetary relief, even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this Agreement, subject to the terms and conditions of this Agreement. The parties acknowledge and agree that (a) the parties shall be entitled to an injunction or injunctions, specific performance or other equitable relief to prevent breaches of this Agreement and to enforce specifically the terms and provisions hereof (including, for the avoidance of doubt, the right of the Company or Parent to cause the Merger to be consummated on the terms and subject to the conditions set forth in this Agreement) in the Chosen Courts, this being in addition to any other remedy to which they are entitled under this Agreement and</w:t>
      </w:r>
    </w:p>
    <w:p>
      <w:pPr>
        <w:spacing w:after="0" w:line="5" w:lineRule="exact"/>
        <w:rPr>
          <w:sz w:val="20"/>
          <w:szCs w:val="20"/>
          <w:color w:val="auto"/>
        </w:rPr>
      </w:pPr>
    </w:p>
    <w:p>
      <w:pPr>
        <w:ind w:firstLine="8"/>
        <w:spacing w:after="0" w:line="232" w:lineRule="auto"/>
        <w:tabs>
          <w:tab w:leader="none" w:pos="30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of specific enforcement is an integral part of the Transactions and without that right, neither the Company nor Parent would have entered into this Agreement. The parties hereto agree not to assert that a remedy of specific enforcement is unenforceable, invalid, contrary to Law or inequitable for any reason, and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Section 8.08 shall not be required to provide any bond or other security in connection with any such order or injunction.</w:t>
      </w:r>
    </w:p>
    <w:p>
      <w:pPr>
        <w:spacing w:after="0" w:line="208"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21"/>
          <w:szCs w:val="21"/>
          <w:color w:val="auto"/>
        </w:rPr>
        <w:t>. EACH PARTY ACKNOWLEDGES AND AGREES THAT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INCLUDING WITH RESPECT TO ANY PROCEEDING OR COUNTERCLAIM THAT INVOLVES THE FINANCING SOURCES.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SECTION 8.09.</w:t>
      </w:r>
    </w:p>
    <w:p>
      <w:pPr>
        <w:spacing w:after="0" w:line="200" w:lineRule="exact"/>
        <w:rPr>
          <w:sz w:val="20"/>
          <w:szCs w:val="20"/>
          <w:color w:val="auto"/>
        </w:rPr>
      </w:pPr>
    </w:p>
    <w:p>
      <w:pPr>
        <w:spacing w:after="0" w:line="25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21"/>
          <w:szCs w:val="21"/>
          <w:color w:val="auto"/>
        </w:rPr>
        <w:t>. Except as otherwise provided in this Agreement, any and all remedies expressly conferred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 party to this Agreement shall be cumulative with, and not exclusive of, any other remedy contained in this Agreement, at law or in equity. The exercise by a party to this Agreement of any one remedy shall not preclude the exercise by it of any other remedy.</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83" w:name="page184"/>
    <w:bookmarkEnd w:id="183"/>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21"/>
          <w:szCs w:val="21"/>
          <w:color w:val="auto"/>
        </w:rPr>
        <w:t>. All notices, requests and other communications to any party hereunder shall be in writing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shall be deemed given if delivered personally, facsimiled (which is confirmed by email), emailed (which is confirmed by facsimile) or sent by overnight courier (providing proof of delivery) to the parties at the following addresses:</w:t>
      </w:r>
    </w:p>
    <w:p>
      <w:pPr>
        <w:spacing w:after="0" w:line="19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Parent or Merger Sub, to it at:</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Fortress Energy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111 W. 19th Street, 8th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10011</w:t>
      </w:r>
    </w:p>
    <w:p>
      <w:pPr>
        <w:spacing w:after="0" w:line="26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Cameron D. MacDougall</w:t>
      </w:r>
    </w:p>
    <w:p>
      <w:pPr>
        <w:spacing w:after="0" w:line="3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cmacdougall@fortress.com</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6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Joseph A. Coco</w:t>
      </w:r>
    </w:p>
    <w:p>
      <w:pPr>
        <w:spacing w:after="0" w:line="3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212-735-2000</w:t>
      </w:r>
    </w:p>
    <w:p>
      <w:pPr>
        <w:spacing w:after="0" w:line="3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joseph.coco@skadden.com</w:t>
      </w:r>
    </w:p>
    <w:p>
      <w:pPr>
        <w:spacing w:after="0" w:line="27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Thomas W. Greenberg</w:t>
      </w:r>
    </w:p>
    <w:p>
      <w:pPr>
        <w:spacing w:after="0" w:line="3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212-735-2000</w:t>
      </w:r>
    </w:p>
    <w:p>
      <w:pPr>
        <w:spacing w:after="0" w:line="3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thomas.greenberg@skadden.com</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1000 Louisiana St, Suite 6800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6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Eric C. Otness</w:t>
      </w:r>
    </w:p>
    <w:p>
      <w:pPr>
        <w:spacing w:after="0" w:line="3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713-483-9135</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eric.ottness@skadden.com</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Hygo Energy Transition Ltd.</w:t>
      </w:r>
    </w:p>
    <w:p>
      <w:pPr>
        <w:ind w:left="1960"/>
        <w:spacing w:after="0" w:line="182" w:lineRule="auto"/>
        <w:rPr>
          <w:sz w:val="20"/>
          <w:szCs w:val="20"/>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Floor, S.E. Pearman Building</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9 Par-la-Ville Road</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Hamilton HM 11, Bermuda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Eduardo da Cunha Andrade Maranhão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eduardo.maranhao@golar.com</w:t>
      </w: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12" w:right="739" w:bottom="1440" w:gutter="0" w:footer="0" w:header="0"/>
        </w:sectPr>
      </w:pPr>
    </w:p>
    <w:bookmarkStart w:id="184" w:name="page185"/>
    <w:bookmarkEnd w:id="184"/>
    <w:p>
      <w:pPr>
        <w:ind w:left="18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1001 Fannin Street, Suite 2500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3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David P. Oelman</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Facsimile: 713-615-5861</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doelman@velaw.com</w:t>
      </w:r>
    </w:p>
    <w:p>
      <w:pPr>
        <w:spacing w:after="0" w:line="23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Lande A. Spottswood</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Facsimile: 713-615-5171</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lspottswood@velaw.com</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If to GLNG, to:</w:t>
      </w:r>
    </w:p>
    <w:p>
      <w:pPr>
        <w:spacing w:after="0" w:line="2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Golar LNG Limited</w:t>
      </w:r>
    </w:p>
    <w:p>
      <w:pPr>
        <w:ind w:left="840"/>
        <w:spacing w:after="0" w:line="182" w:lineRule="auto"/>
        <w:rPr>
          <w:sz w:val="20"/>
          <w:szCs w:val="20"/>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Floor, S.E. Pearman Building</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9 Par-la-Ville Road</w:t>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Hamilton HM 11, Bermuda</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Karl Staubo</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Facsimile: +44 (0)207 063 7901</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karl.staubo@golar.com</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GMLLegal@golar.com</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Baker Botts L.L.P.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30 Rockefeller Plaza</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New York, New York 10112</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Michael Swidler</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Facsimile: 212-259-2511</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michael.swidler@bakerbotts.com</w:t>
      </w:r>
    </w:p>
    <w:p>
      <w:pPr>
        <w:spacing w:after="0" w:line="23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1001 Fannin Street, Suite 2500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3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David P. Oelman</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Facsimile: 713-615-5861</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doelman@velaw.com</w:t>
      </w:r>
    </w:p>
    <w:p>
      <w:pPr>
        <w:spacing w:after="0" w:line="23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Lande A. Spottswood</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Facsimile: 713-615-5171</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lspottswood@velaw.com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5" w:name="page186"/>
    <w:bookmarkEnd w:id="185"/>
    <w:p>
      <w:pPr>
        <w:ind w:left="1300"/>
        <w:spacing w:after="0"/>
        <w:rPr>
          <w:sz w:val="20"/>
          <w:szCs w:val="20"/>
          <w:color w:val="auto"/>
        </w:rPr>
      </w:pPr>
      <w:r>
        <w:rPr>
          <w:rFonts w:ascii="Times New Roman" w:cs="Times New Roman" w:eastAsia="Times New Roman" w:hAnsi="Times New Roman"/>
          <w:sz w:val="18"/>
          <w:szCs w:val="18"/>
          <w:color w:val="auto"/>
        </w:rPr>
        <w:t>If to Stonepeak, to:</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Stonepeak Infrastructure Fund II Cayman (G) Ltd.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550 W 34th Street, 48th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Adrienne Saunders</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212-907-5101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saunders@stonepeakpartners.com</w:t>
      </w:r>
    </w:p>
    <w:p>
      <w:pPr>
        <w:spacing w:after="0" w:line="2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James Wyper</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212-907-5101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wyper@stonepeakpartners.com</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600 Travis Street, Suite 5400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David Lieberman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713-821-5602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dlieberman@stblaw.com</w:t>
      </w:r>
    </w:p>
    <w:p>
      <w:pPr>
        <w:spacing w:after="0" w:line="2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1001 Fannin Street, Suite 2500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David P. Oelman</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713-615-5861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doelman@velaw.com</w:t>
      </w:r>
    </w:p>
    <w:p>
      <w:pPr>
        <w:spacing w:after="0" w:line="2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Lande A. Spottswood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713-615-5171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lspottswood@velaw.com</w:t>
      </w:r>
    </w:p>
    <w:p>
      <w:pPr>
        <w:spacing w:after="0" w:line="2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or such other address, email address or facsimile number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98"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21"/>
          <w:szCs w:val="21"/>
          <w:color w:val="auto"/>
        </w:rPr>
        <w:t>. If any term, condition or other provision of this Agreement is determined by a court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to attempt to modify this Agreement so as to effect the original intent of the parties as closely as possible to the fullest extent permitted by applicable Law in an acceptable manner to the end that the Transactions are fulfilled to the extent possible.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6" w:name="page187"/>
    <w:bookmarkEnd w:id="186"/>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8.13</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20"/>
          <w:szCs w:val="20"/>
          <w:color w:val="auto"/>
        </w:rPr>
        <w:t>.</w:t>
      </w:r>
    </w:p>
    <w:p>
      <w:pPr>
        <w:spacing w:after="0" w:line="293" w:lineRule="exact"/>
        <w:rPr>
          <w:sz w:val="20"/>
          <w:szCs w:val="20"/>
          <w:color w:val="auto"/>
        </w:rPr>
      </w:pPr>
    </w:p>
    <w:p>
      <w:pPr>
        <w:ind w:left="2040" w:hanging="736"/>
        <w:spacing w:after="0"/>
        <w:tabs>
          <w:tab w:leader="none" w:pos="20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following terms have the meanings ascribed thereto below:</w:t>
      </w:r>
    </w:p>
    <w:p>
      <w:pPr>
        <w:spacing w:after="0" w:line="252"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legal actions, causes of action, claims, disputes, arbitrations, hearings, charges, complaints, grievances, investigations, indictments, litigations, suits or other civil, criminal, administrative or investigative proceedings.</w:t>
      </w:r>
    </w:p>
    <w:p>
      <w:pPr>
        <w:spacing w:after="0" w:line="18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xml:space="preserve">”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 With respect to Stonepeak, unless expressly provided otherwise, “Affiliates” of a Person shall not include the portfolio companies of investment funds advised or managed by such Person or any of their respective controlled Affiliates;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portfolio companies or controlled Affiliates did not have access to any confidential information regarding the Company or Parent;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a portfolio company or controlled Affiliate will not be deemed to have access to any confidential information solely due to the dual role of any Representative of Stonepeak serving as a director, officer or consultant of such portfolio company or controlled Affiliate so long as such dual role person does not actually furnish or provide access to any confidential information to such portfolio company or controlled Affiliate.</w:t>
      </w:r>
    </w:p>
    <w:p>
      <w:pPr>
        <w:spacing w:after="0" w:line="20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FCPA; the Bribery Act; the Organization for Economic Co-operation and Development Convention on Combating Bribery of Foreign Public Officials in International Business Transactions and related implementing legislation; the Brazilian Anti-Bribery Law (Law No. 12,846/2013), the Brazilian Public Improbity Act (Law No. 8,429/1992) and any anti-bribery or anti-corruption related provisions in civil, criminal and anti-competition laws and/or anti-bribery, anti-corruption and/or anti-money laundering laws of any jurisdiction in which the Company or any of its Subsidiaries or the Joint Venture Entities operates.</w:t>
      </w:r>
    </w:p>
    <w:p>
      <w:pPr>
        <w:spacing w:after="0" w:line="210"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the Sherman Act, as amended, the Clayton Act, as amended, the HSR Act, the Federal Trade Commission Act, as amended, all applicable non-U.S. antitrust Laws and all other applicable Laws issued by a Governmental Authority that are designed or intended to prohibit, restrict or regulate actions having the purpose or effect of monopolization or restraint of trade or lessening of competition through merger or acquisition.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Bribery Act</w:t>
      </w:r>
      <w:r>
        <w:rPr>
          <w:rFonts w:ascii="Times New Roman" w:cs="Times New Roman" w:eastAsia="Times New Roman" w:hAnsi="Times New Roman"/>
          <w:sz w:val="18"/>
          <w:szCs w:val="18"/>
          <w:color w:val="auto"/>
        </w:rPr>
        <w:t>” means the United Kingdom Bribery Act 2010.</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87" w:name="page188"/>
    <w:bookmarkEnd w:id="187"/>
    <w:p>
      <w:pPr>
        <w:ind w:right="60" w:firstLine="648"/>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Burdensome Condition</w:t>
      </w:r>
      <w:r>
        <w:rPr>
          <w:rFonts w:ascii="Times New Roman" w:cs="Times New Roman" w:eastAsia="Times New Roman" w:hAnsi="Times New Roman"/>
          <w:sz w:val="17"/>
          <w:szCs w:val="17"/>
          <w:color w:val="auto"/>
        </w:rPr>
        <w:t>” means, unless specifically waived in writing by Parent at its discretion, anything that shall require Parent or any Subsidiary of Parent or permit the Company or any Subsidiary of the Company or any Joint Venture Entity to undertake any efforts or to take any action (including accepting or agreeing to any terms, conditions, liabilities, obligations, commitments or sanctions relating to the operation of the business of Parent or any of its Subsidiaries, the Company or any of its Subsidiaries or the Joint Venture Entities or otherwise or proposing, negotiating, committing to and effecting, by consent decree, hold separate order or otherwise, the sale, divestiture, licensing or disposition of assets or businesses of Parent or the Company or their respective Subsidiaries or the Joint Venture Entities) if the taking of such efforts or action, individually or in the aggregate, has resulted or would reasonably be expected to result in a material adverse effect on (i) the Company, its Subsidiaries and the Joint Venture Entities, taken as a whole,</w:t>
      </w:r>
    </w:p>
    <w:p>
      <w:pPr>
        <w:spacing w:after="0" w:line="2" w:lineRule="exact"/>
        <w:rPr>
          <w:sz w:val="20"/>
          <w:szCs w:val="20"/>
          <w:color w:val="auto"/>
        </w:rPr>
      </w:pPr>
    </w:p>
    <w:p>
      <w:pPr>
        <w:ind w:firstLine="8"/>
        <w:spacing w:after="0" w:line="255" w:lineRule="auto"/>
        <w:tabs>
          <w:tab w:leader="none" w:pos="26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or (iii) Parent, after giving effect to the Transaction (taking into account the expected benefits of the Transaction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clauses (ii) and (iii), the materiality of any adverse effect shall be measured against the size of the assets and business of the Company, its Subsidiaries and the Joint Venture Entities, taken as a whole.</w:t>
      </w:r>
    </w:p>
    <w:p>
      <w:pPr>
        <w:spacing w:after="0" w:line="213"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except a Saturday, a Sunday or other day on which the SEC or banks in the City of New York or Bermuda are authorized or required by Law to be closed.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Bye-Laws</w:t>
      </w:r>
      <w:r>
        <w:rPr>
          <w:rFonts w:ascii="Times New Roman" w:cs="Times New Roman" w:eastAsia="Times New Roman" w:hAnsi="Times New Roman"/>
          <w:sz w:val="18"/>
          <w:szCs w:val="18"/>
          <w:color w:val="auto"/>
        </w:rPr>
        <w:t>” means the Company’s Bye-Laws, as amended to the date of this Agreement.</w:t>
      </w:r>
    </w:p>
    <w:p>
      <w:pPr>
        <w:spacing w:after="0" w:line="252"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means the Company’s Certificate of Incorporation and Memorandum of Association, as amended to the date of this Agreement.</w:t>
      </w:r>
    </w:p>
    <w:p>
      <w:pPr>
        <w:spacing w:after="0" w:line="18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Organizational Documents</w:t>
      </w:r>
      <w:r>
        <w:rPr>
          <w:rFonts w:ascii="Times New Roman" w:cs="Times New Roman" w:eastAsia="Times New Roman" w:hAnsi="Times New Roman"/>
          <w:sz w:val="18"/>
          <w:szCs w:val="18"/>
          <w:color w:val="auto"/>
        </w:rPr>
        <w:t>” means the Company Charter and the Company Bye-Laws and the bye-laws and memorandum of association (or similar organizational documents) of each Subsidiary of the Company and each Joint Venture Entity.</w:t>
      </w:r>
    </w:p>
    <w:p>
      <w:pPr>
        <w:spacing w:after="0" w:line="18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xml:space="preserve">” means each “employee benefit plan” (as such term is defined in Section 3(3) of ERISA) and each other material employment or employee benefit plan, program, practice, policy, arrangement or agreement, including any compensation, equity or equity-based compensation, bonus, incentive compensation, management incentive scheme, employment, change in control, retention, retirement, pension, post-employment benefits, supplemental retirement, deferred compensation, profit-sharing, unemployment, severance, termination pay, health or medical benefits, employee assistance program, welfare, hospitalization, life, accidental death and dismemberment, long-term disability or short-term disability, sick-leave, fringe benefit or other similar compensation or employee benefit plan, program, practice, policy, arrangement or agreement, in each case, whether written or unwritten and whether or not subject to ERISA, for any current or former employee, director, officer or individual service provider of the Company or any of its Subsidiaries or any of the Joint Venture Entities, which is maintained, administered, sponsored, participated in, contributed to or required to be contributed to by the Company or any of its Subsidiaries or any of the Joint Venture Entities;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 Company Plan include any plan, program, arrangement or practice that is implemented, administered or operated by a Governmental Authority.</w:t>
      </w:r>
    </w:p>
    <w:p>
      <w:pPr>
        <w:spacing w:after="0" w:line="22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mortgage, deed of trust, lease, license, condition, covenant, restriction, hypothecation, option to purchase or lease or otherwise acquire any interest, right of first refusal or offer, conditional sales or other title retention agreement, adverse claim of ownership or use, easement, encroachment, right of way or other title defect, third-party right or encumbrance of any kind or nature.</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8" w:name="page189"/>
    <w:bookmarkEnd w:id="188"/>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w:t>
      </w:r>
      <w:r>
        <w:rPr>
          <w:rFonts w:ascii="Times New Roman" w:cs="Times New Roman" w:eastAsia="Times New Roman" w:hAnsi="Times New Roman"/>
          <w:sz w:val="18"/>
          <w:szCs w:val="18"/>
          <w:color w:val="auto"/>
        </w:rPr>
        <w:t>” means soil, water (including navigable waters, oceans, streams, ponds, natural reservoirs, wetlands, surface waters, ground waters, drinking waters), land, stream sediments, surface or subsurface strata, natural resources, ambient air, indoor air, plant life, and animal life.</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Claims</w:t>
      </w:r>
      <w:r>
        <w:rPr>
          <w:rFonts w:ascii="Times New Roman" w:cs="Times New Roman" w:eastAsia="Times New Roman" w:hAnsi="Times New Roman"/>
          <w:sz w:val="18"/>
          <w:szCs w:val="18"/>
          <w:color w:val="auto"/>
        </w:rPr>
        <w:t>” means with respect to any Person, any claim, cause of action, suit, proceeding, investigation, notice, demand letter or subpoena by any other Person alleging potential liability (including potential liability for investigatory costs, cleanup or remediation costs, governmental or third party response costs, natural resource damages, property damage, personal injuries, fines or penalties) based on or resulting from (A) the presence or Release of any Hazardous Materials at any location, whether or not owned or operated by such Person or any of its Subsidiaries or (B) any violation of any Environmental Law.</w:t>
      </w:r>
    </w:p>
    <w:p>
      <w:pPr>
        <w:spacing w:after="0" w:line="210"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Laws, Permits, or orders which regulate, impose liability or responsibility for or otherwise relate to (a) pollution, the protection, preservation, clean up or restoration of the Environment, (b) the registration, generation, labeling, manufacture, handling, use, treatment, placing on the market, storage, transportation, transboundary movement, presence, collection, disposal, Release or threatened Release of any Hazardous Materials, or (c) public (to the extent related to exposure to Hazardous Materials) or worker health or safety.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any Permits required under any Environmental Law.</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U.S. Foreign Corrupt Practices Act, as amended (15 U.S.C. § 78 dd-1 et seq.).</w:t>
      </w:r>
    </w:p>
    <w:p>
      <w:pPr>
        <w:spacing w:after="0" w:line="25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Sources</w:t>
      </w:r>
      <w:r>
        <w:rPr>
          <w:rFonts w:ascii="Times New Roman" w:cs="Times New Roman" w:eastAsia="Times New Roman" w:hAnsi="Times New Roman"/>
          <w:sz w:val="18"/>
          <w:szCs w:val="18"/>
          <w:color w:val="auto"/>
        </w:rPr>
        <w:t>” means the Persons that have committed to provide or have otherwise entered into agreements including any engagement letters or commitment letters, in each case, in connection with any debt or equity financing in connection with the transactions contemplated hereby, and any joinder agreements, indentures or credit agreements entered into pursuant thereto, including the lenders and investors thereunder, together with their Affiliates, officers, directors, employees, agents and representatives involved in such financing and their successors and assigns; it being understood that Parent and Merger Sub shall not be Financing Sources for any purposes hereunder.</w:t>
      </w:r>
    </w:p>
    <w:p>
      <w:pPr>
        <w:spacing w:after="0" w:line="21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actual fraud by a party hereto involving a knowing and intentional misrepresentation in any of the representations and warranties set forth in Article III or Article IV, or in any certificate required to be delivered at Closing pursuant to Section 6.02(d) or Section 6.03(d), that renders such representation, warranty or certificate materially false.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consistently applied.</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9" w:name="page190"/>
    <w:bookmarkEnd w:id="189"/>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 any official, officer, employee, or representative of, or any Person acting in an official capacity for or on behalf of, any Governmental Authority, (b) any political party or party official or candidate for political office or (c) any company, business, enterprise, public international organization, or other entity owned, in whole or in part, or controlled by any Person described in the foregoing clause (a) or (b) of this definition.</w:t>
      </w:r>
    </w:p>
    <w:p>
      <w:pPr>
        <w:spacing w:after="0" w:line="20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government, court, regulatory or administrative agency, public international organization, arbitral body or self-regulated entity, tribunal, commission or authority or other legislative, executive or judicial governmental entity, whether federal, national, provincial, state, local, foreign or multinational.</w:t>
      </w:r>
    </w:p>
    <w:p>
      <w:pPr>
        <w:spacing w:after="0" w:line="20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petroleum, petroleum products and by-products, asbestos and asbestos-containing materials, urea formaldehyde foam insulation, electronic, medical or infectious wastes, polychlorinated biphenyls, radon gas, mold, greenhouse gasses, radioactive substances, chlorofluorocarbons and all other ozone-depleting substances and (b) any other chemical, material, substance or waste that is regulated by or for which liability or standards of conduct may be imposed pursuant to Environmental Laws.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HSR Act</w:t>
      </w:r>
      <w:r>
        <w:rPr>
          <w:rFonts w:ascii="Times New Roman" w:cs="Times New Roman" w:eastAsia="Times New Roman" w:hAnsi="Times New Roman"/>
          <w:sz w:val="17"/>
          <w:szCs w:val="17"/>
          <w:color w:val="auto"/>
        </w:rPr>
        <w:t>” means the Hart-Scott-Rodino Antitrust Improvements Act of 1976, as amended, and the rules and regulations promulgated thereunder.</w:t>
      </w:r>
    </w:p>
    <w:p>
      <w:pPr>
        <w:spacing w:after="0" w:line="26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indebtedness created, issued or incurred by such Person for borrowed money (whether by loan or the issuance and sale of debt securities or the sale of property of such Person to another Person subject to an understanding or agreement, contingent or otherwise, to repurchase such property) or payment obligations issued or incurred by such Person in substitution or exchange for payment obligations for borrowed money; (b) obligations of such Person to pay the deferred purchase or acquisition price for any property of such Person;</w:t>
      </w:r>
    </w:p>
    <w:p>
      <w:pPr>
        <w:spacing w:after="0" w:line="3" w:lineRule="exact"/>
        <w:rPr>
          <w:sz w:val="20"/>
          <w:szCs w:val="20"/>
          <w:color w:val="auto"/>
        </w:rPr>
      </w:pPr>
    </w:p>
    <w:p>
      <w:pPr>
        <w:ind w:right="140" w:firstLine="8"/>
        <w:spacing w:after="0" w:line="251" w:lineRule="auto"/>
        <w:tabs>
          <w:tab w:leader="none" w:pos="24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obligations of such Person in respect of drawn letters of credit or similar instruments issued or accepted by banks and other financial institutions for the account of such Person; (d) obligations of such Person under a lease to the extent such obligations are required to be classified and accounted for as a capital lease on a balance sheet of such Person under GAAP; (e) arising out of swaps, options, forward sales contracts, derivatives and other hedging, cap, collar or futures Contracts, financial instruments or arrangements; (f) payment obligations secured by (or for which the holder of such payment obligations has an existing right, contingent or otherwise, to be secured by) any Encumbrance other than a Permitted Encumbrance, on assets or properties of such Person, whether or not the obligations secured thereby have been assumed; and (g) indebtedness of others as described in clauses (a) through (f) above guaranteed by such Person; but Indebtedness does not include accounts payable to trade creditors, or accrued expenses arising in the Ordinary Course consistent with past practice, in each case, that are not yet due and payable, or are being disputed in good faith, and the endorsement of negotiable instruments for collection in the Ordinary Course.</w:t>
      </w:r>
    </w:p>
    <w:p>
      <w:pPr>
        <w:spacing w:after="0" w:line="22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and other similar proprietary rights in any jurisdiction, whether registered or unregistered, including such rights in and to: any patent (including all reissues, divisions, continuations, continuations-in-part and extensions thereof), patent application and patent right; any trademark, service mark, trade name, business name and brand name, including any and all goodwill associated therewith; any copyright and database rights; any internet domain name; and any trade secret, know-how and other information of a proprietary nature.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0" w:name="page191"/>
    <w:bookmarkEnd w:id="190"/>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International Plan</w:t>
      </w:r>
      <w:r>
        <w:rPr>
          <w:rFonts w:ascii="Times New Roman" w:cs="Times New Roman" w:eastAsia="Times New Roman" w:hAnsi="Times New Roman"/>
          <w:sz w:val="18"/>
          <w:szCs w:val="18"/>
          <w:color w:val="auto"/>
        </w:rPr>
        <w:t>” means each Company Plan that primarily covers current or former employees, directors or individual service providers of the Company or any of its Subsidiaries or the Joint Venture Entities based outside of the United States or that is subject to any Law other than U.S., federal, state or local law (other than any plan or program that is required by statute or maintained by a Governmental Authority to which the Company or any of its Affiliates contributes pursuant to applicable Law).</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(i) with respect to the Company or the Company Shareholders, the actual knowledge of the individuals listed on Section 8.13 of the Company Disclosure Schedule, after due inquiry of their direct reports, and (ii) with respect to Parent or Merger Sub, the actual knowledge of the individuals listed on Section 8.13 of the Parent Disclosure Schedule.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any pledges, liens, claims, options, charges, mortgages, Encumbrances or security interests of any kind or nature.</w:t>
      </w:r>
    </w:p>
    <w:p>
      <w:pPr>
        <w:spacing w:after="0" w:line="25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with respect to the Company, its Subsidiaries and the Joint Venture Entities, (a) a material adverse effect on the ability of the Company, its Subsidiaries or the Joint Venture Entities to perform or comply with any material obligation under this Agreement or to consummate the transactions contemplated hereby in accordance with the terms hereof, or (b) any change, effect, event or occurrence that, individually or in the aggregate, has had or would reasonably be expected to have a material adverse effect on the business, assets, liabilities, condition (financial or otherwise) or results of operations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clause (b), any adverse changes, effects, events or occurrences to the extent resulting from or due to any of the following shall be disregarded in determining whether there has been a Material Adverse Effect: (i) changes, effects, events or occurrences generally affecting the United States or global economy, the financial, credit, debt, securities or other capital markets or political, legislative or regulatory conditions or changes in the industries in which the Company, its Subsidiaries or the Joint Venture Entities operate; (ii) the announcement or pendency of this Agreement or the transactions contemplated hereby or the performance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shall not apply to the representations and warranties set forth in Section 3.03; (iii) any change in the market price or trading volume of the Company Shares (it being understood and agreed that the foregoing shall not preclude any other Party to this Agreement from asserting that any facts or occurrences giving rise to or contributing to such change that are not otherwise excluded from the definition of Material Adverse Effect should be deemed to constitute, or be taken into account in determining whether there has been, or would reasonably be expected to be, a Material Adverse Effect); (iv) pandemics, epidemics, acts of war (whether or not declared), armed hostility (by recognized governmental forces or otherwise), sabotage, cyber-attack or terrorism (or the escalation of the foregoing) or natural disasters or other force majeure events; (v) changes in any applicable Laws or regulations applicable to the Company, its Subsidiaries or the Joint Venture Entities or applicable accounting regulations or principles or the interpretation thereof; (vi) any Proceedings commenced by or involving any current or former member, partner or stockholder of the Company, its Subsidiaries or the Joint Venture Entities (on their own or on behalf of such Person) arising out of or related to this Agreement or the transactions contemplated hereby; (vii) any failure, in and of itself, by the Company, its Subsidiaries and the Joint Venture Entities taken as a whole to meet any internal or published projections or forecasts in respect of revenues, earnings or other financial or operating metrics (it being understood that the facts or occurrences giving rise to or contributing to such failure may be deemed to constitute, and may be taken into account in determining whether there has been or would reasonably be expected to be, a Material Adverse Effect); and (viii) changes, effects, events or occurrences generally affecting the prices of oil, gas, natural gas, natural gas liquids or other commodities;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changes, effects, events or occurrences referred to in clauses (i), (iv), (v) and (viii) above shall be considered for purposes of determining whether there has been or would reasonably be expected to be a Material Adverse Effect if and to the extent such state of affairs, changes, effects, events or occurrences has had or would reasonably be expected to have a disproportionate adverse effect on the Company and its Subsidiaries, taken as a whole, as compared to other companies operating in the industries and in the countries and regions in the world in which the Company, its Subsidiaries and the Joint Venture Entities operate.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MIS Participants</w:t>
      </w:r>
      <w:r>
        <w:rPr>
          <w:rFonts w:ascii="Times New Roman" w:cs="Times New Roman" w:eastAsia="Times New Roman" w:hAnsi="Times New Roman"/>
          <w:sz w:val="18"/>
          <w:szCs w:val="18"/>
          <w:color w:val="auto"/>
        </w:rPr>
        <w:t>” means the individuals or entities that participate in the Company’s management incentive system.</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w:t>
      </w:r>
      <w:r>
        <w:rPr>
          <w:rFonts w:ascii="Times New Roman" w:cs="Times New Roman" w:eastAsia="Times New Roman" w:hAnsi="Times New Roman"/>
          <w:sz w:val="18"/>
          <w:szCs w:val="18"/>
          <w:color w:val="auto"/>
        </w:rPr>
        <w:t>” means, with respect to any Person, the conduct by a Person of the relevant business in the ordinary course.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Bylaws</w:t>
      </w:r>
      <w:r>
        <w:rPr>
          <w:rFonts w:ascii="Times New Roman" w:cs="Times New Roman" w:eastAsia="Times New Roman" w:hAnsi="Times New Roman"/>
          <w:sz w:val="18"/>
          <w:szCs w:val="18"/>
          <w:color w:val="auto"/>
        </w:rPr>
        <w:t>” means the Bylaws of Parent, as amended to the date of this Agreement.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Charter</w:t>
      </w:r>
      <w:r>
        <w:rPr>
          <w:rFonts w:ascii="Times New Roman" w:cs="Times New Roman" w:eastAsia="Times New Roman" w:hAnsi="Times New Roman"/>
          <w:sz w:val="18"/>
          <w:szCs w:val="18"/>
          <w:color w:val="auto"/>
        </w:rPr>
        <w:t>” means the Certificate of Incorporation of Parent, as from time to time amended.</w:t>
      </w:r>
    </w:p>
    <w:p>
      <w:pPr>
        <w:spacing w:after="0" w:line="25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means, with respect to Parent and its Subsidiaries, (a) a material adverse effect on the ability of Parent or its Subsidiaries to perform or comply with any material obligation under this Agreement or to consummate the transactions contemplated hereby in accordance with the terms hereof, or (b) any change, effect, event or occurrence that, individually or in the aggregate, has had or would reasonably be expected to have a material adverse effect on the business, assets, liabilities, condition (financial or otherwise) or results of operations of Parent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clause (b), any adverse changes, effects, events or occurrences to the extent resulting from or due to any of the following shall be disregarded in determining whether there has been a Parent Material Adverse Effect: (i) changes, effects, events or occurrences generally affecting the United States or global economy, the financial, credit, debt, securities or other capital markets or political, legislative or regulatory conditions or changes in the industries in which Parent or any of its Subsidiaries operates; (ii) the announcement or pendency of this Agreement or the transactions contemplated hereby or the performance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shall not apply to the representations and warranties set forth in Section 4.03; (iii) any change in the market price or trading volume of the Parent Shares (it being understood and agreed that the foregoing shall not preclude any other Party to this Agreement from asserting that any facts or occurrences giving rise to or contributing to such change that are not otherwise excluded from the definition of Parent Material Adverse Effect should be deemed to constitute, or be taken into account in determining whether there has been, or would reasonably be expected to be, a Parent Material Adverse Effect); (iv) pandemics, epidemics, acts of war (whether or not declared), armed hostility (by recognized governmental forces or otherwise), sabotage, cyber-attack or terrorism (or the escalation of the foregoing) or natural disasters or other force majeure events; (v) changes in any applicable Laws or regulations applicable to Parent or its Subsidiaries or applicable accounting regulations or principles or the interpretation thereof; (vi) any Proceedings commenced by or involving any current or former member, partner or stockholder of Parent or its Subsidiaries (on their own or on behalf of such Person) arising out of or related to this Agreement or the transactions contemplated hereby; (vii) any failure, in and of itself, by Parent and its Subsidiaries taken as a whole to meet any internal or published projections or forecasts in respect of revenues, earnings or other financial or operating metrics (it being understood that the facts or occurrences giving rise to or contributing to such failure may be deemed to constitute, and may be taken into account in determining whether there has been or would reasonably be expected to be a Parent Material Adverse Effect); and (viii) changes, effects, events or occurrences generally affecting the prices of oil, gas, natural gas, natural gas liquids or other commodities;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changes, effects, events or occurrences referred to in clauses (i), (iv), (v) and (viii) above shall be considered for purposes of determining whether there has been or would reasonably be expected to be a Parent Material Adverse Effect if and to the extent such state of affairs, changes, effects, events or occurrences has had or would reasonably be expected to have a disproportionate adverse effect on Parent and its Subsidiaries, as compared to other companies operating in the industries and in the countries and regions in the world in which Parent and its Subsidiaries operate.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Organizational Documents</w:t>
      </w:r>
      <w:r>
        <w:rPr>
          <w:rFonts w:ascii="Times New Roman" w:cs="Times New Roman" w:eastAsia="Times New Roman" w:hAnsi="Times New Roman"/>
          <w:sz w:val="18"/>
          <w:szCs w:val="18"/>
          <w:color w:val="auto"/>
        </w:rPr>
        <w:t>” means the Parent Charter and the Parent Bylaws.</w:t>
      </w:r>
    </w:p>
    <w:p>
      <w:pPr>
        <w:spacing w:after="0" w:line="25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 (i) easements, rights-of-way, encroachments, restrictions, conditions and other similar Encumbrances incurred or suffered in the Ordinary Course and which, individually or in the aggregate, do not and would not reasonably be expected to materially impair the use (or contemplated use), utility or value of the applicable real property or otherwise materially impair the present or contemplated business operations at such location, (ii) zoning, entitlement, building and other land-use regulations imposed by Governmental Authorities having jurisdiction over such real property and (iii) Permitted Liens.</w:t>
      </w:r>
    </w:p>
    <w:p>
      <w:pPr>
        <w:spacing w:after="0" w:line="21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with respect to any Person, (a) statutory Encumbrances for Taxes not yet due and payable or Taxes the amount or validity of which is being contested in good faith by appropriate Proceedings and which are adequately reserved for in accordance with GAAP; (b) mechanics’, carriers’, workers’, repairers’ and similar statutory Encumbrances arising or incurred in the Ordinary Course for amounts which are not delinquent or which are being contested by appropriate Proceedings; (c) zoning, entitlement, building and other land use regulations imposed by Governmental Authorities having jurisdiction over such Person’s owned or leased real property, which are not violated by the current or anticipated use and operation of such real property; (d) any right of way or easement related to public roads and highways; (e) Encumbrances arising under workers’ compensation, unemployment insurance, social security, retirement and similar legislation; (f) Encumbrances arising from the terms of the leases and other instruments creating such title or interest; and (g) to the extent such Encumbrances contemplated in this clause (g) do not impair the value or operation of the business of the Company, Encumbrances (i) for any unpaid wages of the master or crew, (ii) arising by operation of applicable Law or otherwise in the Ordinary Course in connection with operating, chartering, maintaining, and/or repairing the Vessels that are not yet due and payable or that are being contested in good faith by appropriate proceedings, and (iii) for salvage.</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3" w:name="page194"/>
    <w:bookmarkEnd w:id="193"/>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company, partnership, joint venture, association, trust, unincorporated organization or any other entity, including a Governmental Authority.</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 action, claim, suit, investigation, charge, complaint, review, litigation, audit, inquiry or other hearing or proceeding by or before any Governmental Authority, whether civil, criminal, administrative, investigative or otherwise and whether or not such proceeding results in a formal civil or criminal litigation or regulatory action, (b) arbitration or (c) mediation.</w:t>
      </w:r>
    </w:p>
    <w:p>
      <w:pPr>
        <w:spacing w:after="0" w:line="20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releasing, spilling, leaking, pumping, pouring, emitting, emptying, discharging, injecting, escaping, leaching, dumping or disposing into the Environment.</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its officers, directors, employees, consultants, agents, financial advisors, investment bankers, attorneys, accountants, other advisors, Subsidiaries, controlled Affiliates and other representatives.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5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 Agreement</w:t>
      </w:r>
      <w:r>
        <w:rPr>
          <w:rFonts w:ascii="Times New Roman" w:cs="Times New Roman" w:eastAsia="Times New Roman" w:hAnsi="Times New Roman"/>
          <w:sz w:val="18"/>
          <w:szCs w:val="18"/>
          <w:color w:val="auto"/>
        </w:rPr>
        <w:t>” means the Shareholders’ Agreement to be entered into by and among Parent, GLNG and Stonepeak at the Closing, substantially in the form attached hereto as Exhibit B.</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Merger Agreement</w:t>
      </w:r>
      <w:r>
        <w:rPr>
          <w:rFonts w:ascii="Times New Roman" w:cs="Times New Roman" w:eastAsia="Times New Roman" w:hAnsi="Times New Roman"/>
          <w:sz w:val="18"/>
          <w:szCs w:val="18"/>
          <w:color w:val="auto"/>
        </w:rPr>
        <w:t>” means the Statutory Merger Agreement in the form attached hereto as Annex A to be executed and delivered by the Company and Merger Sub as provided by the terms hereof.</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Stonepeak Funds</w:t>
      </w:r>
      <w:r>
        <w:rPr>
          <w:rFonts w:ascii="Times New Roman" w:cs="Times New Roman" w:eastAsia="Times New Roman" w:hAnsi="Times New Roman"/>
          <w:sz w:val="18"/>
          <w:szCs w:val="18"/>
          <w:color w:val="auto"/>
        </w:rPr>
        <w:t>” means Stonepeak Associates II LLC and certain funds and other entities managed, advised or controlled by or affiliated with Stonepeak Associates II LLC.</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when used with respect to any party, means any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party or one or more Subsidiaries of such party or by such party and one or more Subsidiaries of such party. Notwithstanding anything to the contrary in this Agreement, with respect to the Company, the term “Subsidiary” shall not include the Joint Venture Entities.</w:t>
      </w:r>
    </w:p>
    <w:p>
      <w:pPr>
        <w:spacing w:after="0" w:line="21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Proposal</w:t>
      </w:r>
      <w:r>
        <w:rPr>
          <w:rFonts w:ascii="Times New Roman" w:cs="Times New Roman" w:eastAsia="Times New Roman" w:hAnsi="Times New Roman"/>
          <w:sz w:val="18"/>
          <w:szCs w:val="18"/>
          <w:color w:val="auto"/>
        </w:rPr>
        <w:t>” means any inquiry, proposal or offer from any Person (other than Parent and its Subsidiaries) relating to, in a single transaction or series of related transactions, any direct or indirect (i) sale, lease, exchange, transfer or other disposition of 15% or more of the fair market value of the assets of the Company and its Subsidiaries, taken as a whole, (ii) sale of shares or other securities representing 15% or more of the share capital of the Company, including by way of a tender offer or exchange offer or (iii) merger, amalgamation, consolidation, share exchange, business combination, reorganization, recapitalization, liquidation, dissolution or similar transaction involving the Company or any of its Subsidiaries pursuant to which such Person (or the shareholders of any Person) would acquire, directly or indirectly, 15% or more of the aggregate voting power of the Company or the surviving entity in a transaction involving the Company or the resulting direct or indirect parent of the Company or such surviving entity in any such transaction, in each case, other than the Transactions.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Control Laws</w:t>
      </w:r>
      <w:r>
        <w:rPr>
          <w:rFonts w:ascii="Times New Roman" w:cs="Times New Roman" w:eastAsia="Times New Roman" w:hAnsi="Times New Roman"/>
          <w:sz w:val="18"/>
          <w:szCs w:val="18"/>
          <w:color w:val="auto"/>
        </w:rPr>
        <w:t>” means any applicable statutes, rules, regulations, orders, ordinances, codes, directives or other laws administered by an agency of the U.S. government, or by a non-U.S. government (except to the extent inconsistent with U.S. law), related to export or import controls and economic sanctions, including the Arms Export Control Act (22 U.S.C. § 2278), the Export Administration Act of 1979 (50 U.S.C. App. §§ 2401-2420), the Export Control Reform Act of 2018 (50 U.S.C. §§ 4801-4852), the International Traffic in Arms Regulations (22 C.F.R. Parts 120-130), the Export Administration Regulations (15 C.F.R. 730 et seq., “</w:t>
      </w:r>
      <w:r>
        <w:rPr>
          <w:rFonts w:ascii="Times New Roman" w:cs="Times New Roman" w:eastAsia="Times New Roman" w:hAnsi="Times New Roman"/>
          <w:sz w:val="18"/>
          <w:szCs w:val="18"/>
          <w:u w:val="single" w:color="auto"/>
          <w:color w:val="auto"/>
        </w:rPr>
        <w:t>EAR</w:t>
      </w:r>
      <w:r>
        <w:rPr>
          <w:rFonts w:ascii="Times New Roman" w:cs="Times New Roman" w:eastAsia="Times New Roman" w:hAnsi="Times New Roman"/>
          <w:sz w:val="18"/>
          <w:szCs w:val="18"/>
          <w:color w:val="auto"/>
        </w:rPr>
        <w:t>”), statutes, executive orders and regulations administered by the U.S. Department of the Treasury’s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including the Foreign Assets Control Regulations (31 C.F.R. Chapter V), import control statutes and regulations administered by the Department of Homeland Security, U.S. Customs and Border Protection, including the Customs Laws of the United States (19 U.S.C. § 1 et seq.), the International Emergency Economic Powers Act (50 U.S.C. § 1701-1706), the U.S. Commerce Department antiboycott regulations (15 C.F.R. 760), the U.S. Treasury Department antiboycott requirements (26 U.S.C. § 999), any other export control regulations issued by the agencies listed in Part 730 of the EAR, or any applicable non-U.S. Laws of a similar nature.</w:t>
      </w:r>
    </w:p>
    <w:p>
      <w:pPr>
        <w:spacing w:after="0" w:line="2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this Agreement, the Shareholders’ Agreement, the Transition Services Agreement and the Ancillary Agreements.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the transactions contemplated by this Agreement, including the Merger.</w:t>
      </w:r>
    </w:p>
    <w:p>
      <w:pPr>
        <w:spacing w:after="0" w:line="252"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material breach of this Agreement that is a consequence of a deliberate act or omission undertaken by the breaching party with the Knowledge that the taking of or the omission of taking such act would, or would reasonably be expected to, cause or constitute a material breach of this Agreement.</w:t>
      </w:r>
    </w:p>
    <w:p>
      <w:pPr>
        <w:spacing w:after="0" w:line="230" w:lineRule="exact"/>
        <w:rPr>
          <w:sz w:val="20"/>
          <w:szCs w:val="20"/>
          <w:color w:val="auto"/>
        </w:rPr>
      </w:pPr>
    </w:p>
    <w:p>
      <w:pPr>
        <w:ind w:left="2060" w:hanging="756"/>
        <w:spacing w:after="0"/>
        <w:tabs>
          <w:tab w:leader="none" w:pos="20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are defined in the section of this Agreement set forth after such term below:</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07"/>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Terms Not Defined in Section 8.13(a)</w:t>
            </w:r>
          </w:p>
        </w:tc>
        <w:tc>
          <w:tcPr>
            <w:tcW w:w="8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72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Affiliate Agreement</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Ancillary Agreement</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5.14(c)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Bankruptcy and Equity Exception</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Bermuda Companies Act</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Book-Entry Share</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2.01(c)(iii)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Date</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3.02(a)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Certificate</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2.01(c)(iii)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Chosen Courts</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8.07(b)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Company Disclosure Schedule</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III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Financial Advisor</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Company Material Contracts</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Non-Recourse Party</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8.15(b)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Company Preferred Shares</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Article III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Company Securities</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3.02(b)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Shareholder Consent</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Company Shareholders</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Shares</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5.07(a)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3.03(f)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Confidentiality Agreement</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Existing Debt Documents</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3.05(b)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IMO</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Indemnitee</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5.08(a)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Indemnitees</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5.08(a)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Contracts</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 Entities</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3.02(d)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Entity</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3.02(d)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 Interests</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3.02(d)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Latest Balance Sheet</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3.05(b)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Laws</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Maximum Premium</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5.08(b)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Merger Application</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2.01(c)(ii)(C)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Sub Shares</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Arrangements</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Parent Disclosure Schedule</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IV</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Filed SEC Documents</w:t>
            </w:r>
          </w:p>
        </w:tc>
        <w:tc>
          <w:tcPr>
            <w:tcW w:w="8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Article IV</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4"/>
        </w:trPr>
        <w:tc>
          <w:tcPr>
            <w:tcW w:w="2720" w:type="dxa"/>
            <w:vAlign w:val="bottom"/>
          </w:tcPr>
          <w:p>
            <w:pPr>
              <w:spacing w:after="0"/>
              <w:rPr>
                <w:sz w:val="24"/>
                <w:szCs w:val="24"/>
                <w:color w:val="auto"/>
              </w:rPr>
            </w:pPr>
          </w:p>
        </w:tc>
        <w:tc>
          <w:tcPr>
            <w:tcW w:w="8520" w:type="dxa"/>
            <w:vAlign w:val="bottom"/>
          </w:tcPr>
          <w:p>
            <w:pPr>
              <w:jc w:val="right"/>
              <w:ind w:right="5450"/>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720" w:type="dxa"/>
            <w:vAlign w:val="bottom"/>
            <w:tcBorders>
              <w:bottom w:val="single" w:sz="8" w:color="auto"/>
            </w:tcBorders>
          </w:tcPr>
          <w:p>
            <w:pPr>
              <w:spacing w:after="0"/>
              <w:rPr>
                <w:sz w:val="3"/>
                <w:szCs w:val="3"/>
                <w:color w:val="auto"/>
              </w:rPr>
            </w:pPr>
          </w:p>
        </w:tc>
        <w:tc>
          <w:tcPr>
            <w:tcW w:w="85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96" w:name="page197"/>
    <w:bookmarkEnd w:id="1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Non-Recourse Party</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8.15(a)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Parent SEC Documents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4.06(a)</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Securities</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4.02(b)</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Parent Share Issuance</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Shares</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2.01(c)(i)</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Permits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3.08(b)</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Claim</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5.09</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Pre-Closing Period</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5.01(a)</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Pre-Closing Reorganization</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5.17(a)(i)</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 Consideration</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2.01(d)</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Registrar</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1.02</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Released Matters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5.09</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 Parties</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5.09</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Releasing Parties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5.09</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Required Regulatory Approvals</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6.01(a)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Restraints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6.01(b)</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3.02(d)</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Shareholder A</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A Merger Consideration</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2.01(c)(i)(C)</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Shareholder B</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B Merger Consideration</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2.01(c)(ii)(C)</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Company Supplier</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3.19(b)</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Significant Customer</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3.19(a)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Surviving Company</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Surviving Company Shares</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2.01</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Takeover Law</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3.13</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3.09(n)</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Tax Returns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3.09(n)</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Date</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7.01(b)(i)</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Transfer Taxes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5.05</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5.14(a)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Vessel</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3.15</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Vessels</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3.15</w:t>
            </w:r>
          </w:p>
        </w:tc>
      </w:tr>
    </w:tbl>
    <w:p>
      <w:pPr>
        <w:spacing w:after="0" w:line="216" w:lineRule="exact"/>
        <w:rPr>
          <w:sz w:val="20"/>
          <w:szCs w:val="20"/>
          <w:color w:val="auto"/>
        </w:rPr>
      </w:pPr>
    </w:p>
    <w:p>
      <w:pPr>
        <w:ind w:right="4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21"/>
          <w:szCs w:val="21"/>
          <w:color w:val="auto"/>
        </w:rPr>
        <w:t>. Except as otherwise set forth in this Agreement, whether or not the Merger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consummated, (i) all fees and expenses incurred by Parent in connection with the Merger, this Agreement and the other Transactions shall be paid by Parent and (ii) all fees and expenses incurred by the Company or the Company Shareholders in connection with the Merger, this Agreement and the other Transactions shall be paid by the Company Shareholders.</w:t>
      </w:r>
    </w:p>
    <w:p>
      <w:pPr>
        <w:spacing w:after="0" w:line="189"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8.15</w:t>
      </w:r>
      <w:r>
        <w:rPr>
          <w:sz w:val="20"/>
          <w:szCs w:val="20"/>
          <w:color w:val="auto"/>
        </w:rPr>
        <w:tab/>
      </w:r>
      <w:r>
        <w:rPr>
          <w:rFonts w:ascii="Times New Roman" w:cs="Times New Roman" w:eastAsia="Times New Roman" w:hAnsi="Times New Roman"/>
          <w:sz w:val="17"/>
          <w:szCs w:val="17"/>
          <w:u w:val="single" w:color="auto"/>
          <w:color w:val="auto"/>
        </w:rPr>
        <w:t>Non-Recourse</w:t>
      </w:r>
      <w:r>
        <w:rPr>
          <w:rFonts w:ascii="Times New Roman" w:cs="Times New Roman" w:eastAsia="Times New Roman" w:hAnsi="Times New Roman"/>
          <w:sz w:val="20"/>
          <w:szCs w:val="20"/>
          <w:color w:val="auto"/>
        </w:rPr>
        <w:t>.</w:t>
      </w:r>
    </w:p>
    <w:p>
      <w:pPr>
        <w:spacing w:after="0" w:line="292" w:lineRule="exact"/>
        <w:rPr>
          <w:sz w:val="20"/>
          <w:szCs w:val="20"/>
          <w:color w:val="auto"/>
        </w:rPr>
      </w:pPr>
    </w:p>
    <w:p>
      <w:pPr>
        <w:ind w:right="20" w:firstLine="1304"/>
        <w:spacing w:after="0" w:line="253" w:lineRule="auto"/>
        <w:tabs>
          <w:tab w:leader="none" w:pos="203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is herein referred to as a “</w:t>
      </w:r>
      <w:r>
        <w:rPr>
          <w:rFonts w:ascii="Times New Roman" w:cs="Times New Roman" w:eastAsia="Times New Roman" w:hAnsi="Times New Roman"/>
          <w:sz w:val="18"/>
          <w:szCs w:val="18"/>
          <w:u w:val="single" w:color="auto"/>
          <w:color w:val="auto"/>
        </w:rPr>
        <w:t>Parent Non-Recourse Party</w:t>
      </w:r>
      <w:r>
        <w:rPr>
          <w:rFonts w:ascii="Times New Roman" w:cs="Times New Roman" w:eastAsia="Times New Roman" w:hAnsi="Times New Roman"/>
          <w:sz w:val="18"/>
          <w:szCs w:val="18"/>
          <w:color w:val="auto"/>
        </w:rPr>
        <w:t xml:space="preserve">”: Each of the Affiliates of each Company Shareholder, the Stonepeak Funds, each of their respective present, former and future partners, members, equityholders and Representatives, and each of the Affiliates and present, former and future partners, members, equityholders and Representatives of any of the foregoing, and each of their respective heirs, executors, administrators, successors and assigns (with respect to Stonepeak, “Affiliates” for purposes of the definition of “Parent Non-Recourse Party” to include the portfolio companies of investment funds advised or managed by an equity investor or any of its respective controlled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“Parent Non-Recourse Party” expressly excludes the Company Shareholders. No Parent Non-Recourse Party shall have any liability or obligation to Parent, Merger Sub or their Affiliates of any nature whatsoever in connection with or under this Agreement, or the transactions contemplated hereby, and Parent and Merger Sub hereby waive and release all claims of any such liability and obligation. This Agreement may only be enforced against, and any dispute, controversy, matter or claim based on, related to or arising out of this Agreement, or the negotiation, performance or consummation of this Agreement, may only be brought against, the entities that are expressly named as parties, and then only with respect to the specific obligations set forth herein with respect to such party.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7" w:name="page198"/>
    <w:bookmarkEnd w:id="197"/>
    <w:p>
      <w:pPr>
        <w:ind w:left="-40" w:right="40" w:firstLine="1304"/>
        <w:spacing w:after="0" w:line="254" w:lineRule="auto"/>
        <w:tabs>
          <w:tab w:leader="none" w:pos="200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is herein referred to as a “Company Non-Recourse Party”: Each of the Affiliates of Parent, each of their respective present, former and future partners, members, equityholders and Representatives, and each of the Affiliates and present, former and future partners, members, equityholders and Representatives of any of the foregoing, and each of their respective heirs, executors, administrators, successors and assigns. No Company Non-Recourse Party shall have any liability or obligation to the Company or the Company Shareholders of any nature whatsoever in connection with or under this Agreement, or the transactions contemplated hereby, and the Company and each Company Shareholder hereby waive and release all claims of any such liability and obligation. This Agreement may only be enforced against, and any dispute, controversy, matter or claim based on, related to or arising out of this Agreement, or the negotiation, performance or consummation of this Agreement, may only be brought against, the entities that are expressly named as parties, and then only with respect to the specific obligations set forth herein with respect to such party.</w:t>
      </w:r>
    </w:p>
    <w:p>
      <w:pPr>
        <w:spacing w:after="0" w:line="209" w:lineRule="exact"/>
        <w:rPr>
          <w:sz w:val="20"/>
          <w:szCs w:val="20"/>
          <w:color w:val="auto"/>
        </w:rPr>
      </w:pPr>
    </w:p>
    <w:p>
      <w:pPr>
        <w:ind w:left="6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8.16</w:t>
      </w:r>
      <w:r>
        <w:rPr>
          <w:sz w:val="20"/>
          <w:szCs w:val="20"/>
          <w:color w:val="auto"/>
        </w:rPr>
        <w:tab/>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21"/>
          <w:szCs w:val="21"/>
          <w:color w:val="auto"/>
        </w:rPr>
        <w:t>.</w:t>
      </w:r>
    </w:p>
    <w:p>
      <w:pPr>
        <w:spacing w:after="0" w:line="281" w:lineRule="exact"/>
        <w:rPr>
          <w:sz w:val="20"/>
          <w:szCs w:val="20"/>
          <w:color w:val="auto"/>
        </w:rPr>
      </w:pPr>
    </w:p>
    <w:p>
      <w:pPr>
        <w:ind w:left="-40" w:firstLine="1304"/>
        <w:spacing w:after="0" w:line="252" w:lineRule="auto"/>
        <w:tabs>
          <w:tab w:leader="none" w:pos="199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 reference is made in this Agreement to an Article, a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phrase “provided or made available” with respect to the Company or any of its Subsidiaries or the Joint Venture Entities shall be construed to mean posted and accessible to Parent in the “Project Lobos VDR” data site operated by Intralinks, Inc., and which has been posted to such data site prior to the execution and delivery of this Agreement.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agreements and instruments, any such amendment, modification or supplement made after the date of this Agreement shall be made in accordance with Section 5.01(a) and Section 5.02(a). Unless otherwise specifically indicated, all references to “dollars” or “$” shall refer to the lawful money of the United States. References to a Person are also to its permitted assigns and successors. Whenever the last day for the exercise of any right or the discharge of any duty under this Agreement falls on a day other than a Business Day, the party having such right or duty shall have until the next Business Day to exercise such right or discharge such duty.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48" w:right="379" w:bottom="1440" w:gutter="0" w:footer="0" w:header="0"/>
        </w:sectPr>
      </w:pPr>
    </w:p>
    <w:bookmarkStart w:id="198" w:name="page199"/>
    <w:bookmarkEnd w:id="198"/>
    <w:p>
      <w:pPr>
        <w:jc w:val="both"/>
        <w:ind w:right="100" w:firstLine="1304"/>
        <w:spacing w:after="0" w:line="266" w:lineRule="auto"/>
        <w:tabs>
          <w:tab w:leader="none" w:pos="204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94"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Section 8.17 </w:t>
      </w:r>
      <w:r>
        <w:rPr>
          <w:rFonts w:ascii="Times New Roman" w:cs="Times New Roman" w:eastAsia="Times New Roman" w:hAnsi="Times New Roman"/>
          <w:sz w:val="18"/>
          <w:szCs w:val="18"/>
          <w:u w:val="single" w:color="auto"/>
          <w:color w:val="auto"/>
        </w:rPr>
        <w:t>Non-Recourse Against Financing Sources; Waiver of Certain Claims</w:t>
      </w:r>
      <w:r>
        <w:rPr>
          <w:rFonts w:ascii="Times New Roman" w:cs="Times New Roman" w:eastAsia="Times New Roman" w:hAnsi="Times New Roman"/>
          <w:sz w:val="21"/>
          <w:szCs w:val="21"/>
          <w:color w:val="auto"/>
        </w:rPr>
        <w:t>. Each of the Company, on behalf of itself and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Affiliates, and each of the Company Shareholders, each on behalf of itself, hereby agrees that none of the Financing Sources, in their capacity as such, in connection with the Merger, shall have any liability or obligations to the Company, the Company Shareholders or any of their respective Affiliates relating to this Agreement, any of the Ancillary Agreements or any of the transactions contemplated hereby (including with respect to the Financing). Each of the Company, on behalf of itself and its Affiliates, and each of the Company Shareholders, each on behalf of itself and its Affiliates, hereby waives any and all claims and causes of action (whether at law, in equity, in contract, in tort or otherwise) against the Financing Sources, in their capacity as such, that may be based upon, arise out of or relate to this Agreement, any of the Ancillary Agreements, any financing commitment or the transactions contemplated hereby (including the Financing).</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the page is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and delivered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HYGO ENERGY TRANSITION LTD.</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Eduardo Maranhão</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Eduardo Maranhão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-127635</wp:posOffset>
            </wp:positionV>
            <wp:extent cx="335153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Agreement and Plan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284480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980" w:top="121" w:right="7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and delivered as of the date first above written.</w:t>
      </w:r>
    </w:p>
    <w:p>
      <w:pPr>
        <w:spacing w:after="0" w:line="26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NEW FORTRESS ENERGY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Chistopher Guinta</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Chistopher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-127635</wp:posOffset>
            </wp:positionV>
            <wp:extent cx="335153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LOBOS ACQUISITION LTD.</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Chistopher Guinta</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Chistopher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-127635</wp:posOffset>
            </wp:positionV>
            <wp:extent cx="335153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Agreement and Plan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267335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980" w:top="121" w:right="739" w:bottom="1440" w:gutter="0" w:footer="0" w:header="0"/>
        </w:sectPr>
      </w:pPr>
    </w:p>
    <w:bookmarkStart w:id="201" w:name="page202"/>
    <w:bookmarkEnd w:id="201"/>
    <w:p>
      <w:pPr>
        <w:ind w:left="4520"/>
        <w:spacing w:after="0"/>
        <w:rPr>
          <w:sz w:val="20"/>
          <w:szCs w:val="20"/>
          <w:color w:val="auto"/>
        </w:rPr>
      </w:pPr>
      <w:r>
        <w:rPr>
          <w:rFonts w:ascii="Times New Roman" w:cs="Times New Roman" w:eastAsia="Times New Roman" w:hAnsi="Times New Roman"/>
          <w:sz w:val="18"/>
          <w:szCs w:val="18"/>
          <w:color w:val="auto"/>
        </w:rPr>
        <w:t>GOLAR LNG LIMITED</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Karl Fredrik Staubo</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Karl Fredrik Staubo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 Agreement and Plan of Merger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2" w:name="page203"/>
    <w:bookmarkEnd w:id="202"/>
    <w:p>
      <w:pPr>
        <w:ind w:left="4520"/>
        <w:spacing w:after="0"/>
        <w:rPr>
          <w:sz w:val="20"/>
          <w:szCs w:val="20"/>
          <w:color w:val="auto"/>
        </w:rPr>
      </w:pPr>
      <w:r>
        <w:rPr>
          <w:rFonts w:ascii="Times New Roman" w:cs="Times New Roman" w:eastAsia="Times New Roman" w:hAnsi="Times New Roman"/>
          <w:sz w:val="17"/>
          <w:szCs w:val="17"/>
          <w:color w:val="auto"/>
        </w:rPr>
        <w:t>STONEPEAK INFRASTRUCTURE FUND II CAYMAN (G) LTD.</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Luke Taylor</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Luke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Agreement and Plan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40"/>
          </w:cols>
          <w:pgMar w:left="1440" w:top="364" w:right="1019" w:bottom="1440" w:gutter="0" w:footer="0" w:header="0"/>
        </w:sectPr>
      </w:pPr>
    </w:p>
    <w:bookmarkStart w:id="203" w:name="page204"/>
    <w:bookmarkEnd w:id="203"/>
    <w:p>
      <w:pPr>
        <w:jc w:val="center"/>
        <w:ind w:right="-464"/>
        <w:spacing w:after="0"/>
        <w:rPr>
          <w:sz w:val="20"/>
          <w:szCs w:val="20"/>
          <w:color w:val="auto"/>
        </w:rPr>
      </w:pPr>
      <w:r>
        <w:rPr>
          <w:rFonts w:ascii="Times New Roman" w:cs="Times New Roman" w:eastAsia="Times New Roman" w:hAnsi="Times New Roman"/>
          <w:sz w:val="18"/>
          <w:szCs w:val="18"/>
          <w:u w:val="single" w:color="auto"/>
          <w:color w:val="auto"/>
        </w:rPr>
        <w:t>ANNEX A</w:t>
      </w:r>
    </w:p>
    <w:p>
      <w:pPr>
        <w:spacing w:after="0" w:line="27" w:lineRule="exact"/>
        <w:rPr>
          <w:sz w:val="20"/>
          <w:szCs w:val="20"/>
          <w:color w:val="auto"/>
        </w:rPr>
      </w:pPr>
    </w:p>
    <w:p>
      <w:pPr>
        <w:jc w:val="center"/>
        <w:ind w:right="-464"/>
        <w:spacing w:after="0"/>
        <w:rPr>
          <w:sz w:val="20"/>
          <w:szCs w:val="20"/>
          <w:color w:val="auto"/>
        </w:rPr>
      </w:pPr>
      <w:r>
        <w:rPr>
          <w:rFonts w:ascii="Times New Roman" w:cs="Times New Roman" w:eastAsia="Times New Roman" w:hAnsi="Times New Roman"/>
          <w:sz w:val="18"/>
          <w:szCs w:val="18"/>
          <w:u w:val="single" w:color="auto"/>
          <w:color w:val="auto"/>
        </w:rPr>
        <w:t>ANCILLARY AGREEMENTS</w:t>
      </w:r>
    </w:p>
    <w:p>
      <w:pPr>
        <w:spacing w:after="0" w:line="234" w:lineRule="exact"/>
        <w:rPr>
          <w:sz w:val="20"/>
          <w:szCs w:val="20"/>
          <w:color w:val="auto"/>
        </w:rPr>
      </w:pPr>
    </w:p>
    <w:p>
      <w:pPr>
        <w:ind w:left="324" w:hanging="324"/>
        <w:spacing w:after="0"/>
        <w:tabs>
          <w:tab w:leader="none" w:pos="32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Merger Agreement between the Company and Merger Sub</w:t>
      </w:r>
    </w:p>
    <w:p>
      <w:pPr>
        <w:spacing w:after="0" w:line="27"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Bermuda Services Agreement between the Company and Golar Management (Bermuda) Limited</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Omnibus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382905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83"/>
          </w:cols>
          <w:pgMar w:left="976" w:top="121" w:right="1440"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SUPPORT AGREEMENT</w:t>
      </w:r>
    </w:p>
    <w:p>
      <w:pPr>
        <w:spacing w:after="0" w:line="23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THIS SUPPORT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dated as of January 13, 2020, by and among Golar LNG Partners LP, a Marshall Islands limited partnership (the “</w:t>
      </w:r>
      <w:r>
        <w:rPr>
          <w:rFonts w:ascii="Times New Roman" w:cs="Times New Roman" w:eastAsia="Times New Roman" w:hAnsi="Times New Roman"/>
          <w:sz w:val="22"/>
          <w:szCs w:val="22"/>
          <w:u w:val="single" w:color="auto"/>
          <w:color w:val="auto"/>
        </w:rPr>
        <w:t>Partnership</w:t>
      </w:r>
      <w:r>
        <w:rPr>
          <w:rFonts w:ascii="Times New Roman" w:cs="Times New Roman" w:eastAsia="Times New Roman" w:hAnsi="Times New Roman"/>
          <w:sz w:val="22"/>
          <w:szCs w:val="22"/>
          <w:color w:val="auto"/>
        </w:rPr>
        <w:t>”), Golar LNG Limited, a Bermuda exempted company, and Golar GP LLC, a Marshall Islands limited liability company (each, a “</w:t>
      </w:r>
      <w:r>
        <w:rPr>
          <w:rFonts w:ascii="Times New Roman" w:cs="Times New Roman" w:eastAsia="Times New Roman" w:hAnsi="Times New Roman"/>
          <w:sz w:val="22"/>
          <w:szCs w:val="22"/>
          <w:u w:val="single" w:color="auto"/>
          <w:color w:val="auto"/>
        </w:rPr>
        <w:t>Unitholder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Unitholders</w:t>
      </w:r>
      <w:r>
        <w:rPr>
          <w:rFonts w:ascii="Times New Roman" w:cs="Times New Roman" w:eastAsia="Times New Roman" w:hAnsi="Times New Roman"/>
          <w:sz w:val="22"/>
          <w:szCs w:val="22"/>
          <w:color w:val="auto"/>
        </w:rPr>
        <w:t>”), and New Fortress Energy Inc., a Delaware corporation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3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WHEREAS, concurrently with the execution and delivery of this Agreement, Parent, the Partnership and Lobos Acquistion LLC, a Marshall Islands limited liability company (“</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are entering into an Agreement and Plan of Merger, dated as of the date hereof (as the same may be amended or supplemented, the “</w:t>
      </w:r>
      <w:r>
        <w:rPr>
          <w:rFonts w:ascii="Times New Roman" w:cs="Times New Roman" w:eastAsia="Times New Roman" w:hAnsi="Times New Roman"/>
          <w:sz w:val="22"/>
          <w:szCs w:val="22"/>
          <w:u w:val="single" w:color="auto"/>
          <w:color w:val="auto"/>
        </w:rPr>
        <w:t>Merger Agreement</w:t>
      </w:r>
      <w:r>
        <w:rPr>
          <w:rFonts w:ascii="Times New Roman" w:cs="Times New Roman" w:eastAsia="Times New Roman" w:hAnsi="Times New Roman"/>
          <w:sz w:val="22"/>
          <w:szCs w:val="22"/>
          <w:color w:val="auto"/>
        </w:rPr>
        <w:t>”), providing that, among other things, upon the terms and subject to the conditions set forth in the Merger Agreement, Merger Sub will be merged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with and into the Partnership, and each outstanding common unit representing a limited partner interest of the Partnership (“</w:t>
      </w:r>
      <w:r>
        <w:rPr>
          <w:rFonts w:ascii="Times New Roman" w:cs="Times New Roman" w:eastAsia="Times New Roman" w:hAnsi="Times New Roman"/>
          <w:sz w:val="22"/>
          <w:szCs w:val="22"/>
          <w:u w:val="single" w:color="auto"/>
          <w:color w:val="auto"/>
        </w:rPr>
        <w:t>Common Unit</w:t>
      </w:r>
      <w:r>
        <w:rPr>
          <w:rFonts w:ascii="Times New Roman" w:cs="Times New Roman" w:eastAsia="Times New Roman" w:hAnsi="Times New Roman"/>
          <w:sz w:val="22"/>
          <w:szCs w:val="22"/>
          <w:color w:val="auto"/>
        </w:rPr>
        <w:t>”) will be canceled and converted into and represent the right to receive cash as provided in the Merger Agreement;</w:t>
      </w:r>
    </w:p>
    <w:p>
      <w:pPr>
        <w:spacing w:after="0" w:line="21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21"/>
          <w:szCs w:val="21"/>
          <w:color w:val="auto"/>
        </w:rPr>
        <w:t xml:space="preserve">WHEREAS, each Unitholder beneficially owns such number of Common Units set forth opposite such Unitholder’s name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hereto (collectively, such units of Common Units are referred to herein as the “</w:t>
      </w:r>
      <w:r>
        <w:rPr>
          <w:rFonts w:ascii="Times New Roman" w:cs="Times New Roman" w:eastAsia="Times New Roman" w:hAnsi="Times New Roman"/>
          <w:sz w:val="21"/>
          <w:szCs w:val="21"/>
          <w:u w:val="single" w:color="auto"/>
          <w:color w:val="auto"/>
        </w:rPr>
        <w:t>Subject Units</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WHEREAS, Unitholder B owns such number of general partner units of the Partnership set forth opposite its name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hereto; and</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WHEREAS, as a condition and inducement to Parent to enter into the Merger Agreement, Parent has required that the Unitholders enter into this Agreement.</w:t>
      </w:r>
    </w:p>
    <w:p>
      <w:pPr>
        <w:spacing w:after="0" w:line="18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NOW, THEREFORE, to induce Parent to enter into, and in consideration of its entering into, the Merger Agreement, and in consideration of the promises and the representations, warranties and agreements contained herein and therein, the parties, intending to be legally bound hereby, agree as follows:</w:t>
      </w:r>
    </w:p>
    <w:p>
      <w:pPr>
        <w:spacing w:after="0" w:line="200" w:lineRule="exact"/>
        <w:rPr>
          <w:sz w:val="20"/>
          <w:szCs w:val="20"/>
          <w:color w:val="auto"/>
        </w:rPr>
      </w:pPr>
    </w:p>
    <w:p>
      <w:pPr>
        <w:ind w:firstLine="656"/>
        <w:spacing w:after="0" w:line="258" w:lineRule="auto"/>
        <w:tabs>
          <w:tab w:leader="none" w:pos="1498"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each Unitholder</w:t>
      </w:r>
      <w:r>
        <w:rPr>
          <w:rFonts w:ascii="Times New Roman" w:cs="Times New Roman" w:eastAsia="Times New Roman" w:hAnsi="Times New Roman"/>
          <w:sz w:val="22"/>
          <w:szCs w:val="22"/>
          <w:color w:val="auto"/>
        </w:rPr>
        <w:t>. Each Unitholder hereby represents and warrants to Parent, severally and not jointly, as of the date hereof as follows:</w:t>
      </w:r>
    </w:p>
    <w:p>
      <w:pPr>
        <w:spacing w:after="0" w:line="185"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2317"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Organization</w:t>
      </w:r>
      <w:r>
        <w:rPr>
          <w:rFonts w:ascii="Times New Roman" w:cs="Times New Roman" w:eastAsia="Times New Roman" w:hAnsi="Times New Roman"/>
          <w:sz w:val="22"/>
          <w:szCs w:val="22"/>
          <w:color w:val="auto"/>
        </w:rPr>
        <w:t>. Such Unitholder is an entity duly formed under the Laws of its jurisdiction of formation and is validly existing and in good standing under the Laws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05" w:name="page206"/>
    <w:bookmarkEnd w:id="205"/>
    <w:p>
      <w:pPr>
        <w:jc w:val="both"/>
        <w:ind w:left="-460" w:firstLine="644"/>
        <w:spacing w:after="0" w:line="232" w:lineRule="auto"/>
        <w:tabs>
          <w:tab w:leader="none" w:pos="1101"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 No Violation</w:t>
      </w:r>
      <w:r>
        <w:rPr>
          <w:rFonts w:ascii="Times New Roman" w:cs="Times New Roman" w:eastAsia="Times New Roman" w:hAnsi="Times New Roman"/>
          <w:sz w:val="22"/>
          <w:szCs w:val="22"/>
          <w:color w:val="auto"/>
        </w:rPr>
        <w:t>. Such Unitholder has full organizational power and authority to execute and deliver this Agreement and to perform its obligations hereunder. The execution and delivery of this Agreement and the performance of its obligations hereunder have been duly and validly approved by the governing authority of such Unitholder and no other organizational proceedings on the part of such Unitholder are necessary to approve this Agreement and to perform its obligations hereunder. This Agreement has been duly and validly executed and delivered by such Unitholder and (assuming due authorization, execution and delivery by Parent) this Agreement constitutes a valid and binding obligation of such Unitholder, enforceable against such Unitholder in accordance with its terms, subject to the Bankruptcy and Equity Exception. Neither the execution and delivery of this Agreement by such Unitholder, nor the consummation by such Unitholder of the transactions contemplated hereby, nor compliance by such Unitholder with any of the terms or provisions hereof, will (x) violate any provision of the governing documents of such Unitholder, (y) violate any statute, code, ordinance, rule, regulation, judgment, order, writ, decree or injunction applicable to such Unitholder, or any of its properties or assets, or (z)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claim, mortgage, encumbrance, pledge, deed of trust, security interest, equity or charge of any kind (each, a “</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upon any of the Subject Units pursuant to any of the terms, conditions or provisions of any note, bond, mortgage, indenture, deed of trust, license, lease, agreement or other instrument or obligation to which such Unitholder is a party, or by which it or any of its properties or assets may be bound or affected, except, in the case of this clause (z), for such matters that would not, individually or in the aggregate, impair the ability of such Unitholder to perform its obligations under this Agreement.</w:t>
      </w:r>
    </w:p>
    <w:p>
      <w:pPr>
        <w:spacing w:after="0" w:line="212" w:lineRule="exact"/>
        <w:rPr>
          <w:rFonts w:ascii="Times New Roman" w:cs="Times New Roman" w:eastAsia="Times New Roman" w:hAnsi="Times New Roman"/>
          <w:sz w:val="22"/>
          <w:szCs w:val="22"/>
          <w:color w:val="auto"/>
        </w:rPr>
      </w:pPr>
    </w:p>
    <w:p>
      <w:pPr>
        <w:jc w:val="both"/>
        <w:ind w:left="-460" w:firstLine="644"/>
        <w:spacing w:after="0" w:line="233" w:lineRule="auto"/>
        <w:tabs>
          <w:tab w:leader="none" w:pos="1076"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Subject Units</w:t>
      </w:r>
      <w:r>
        <w:rPr>
          <w:rFonts w:ascii="Times New Roman" w:cs="Times New Roman" w:eastAsia="Times New Roman" w:hAnsi="Times New Roman"/>
          <w:sz w:val="22"/>
          <w:szCs w:val="22"/>
          <w:color w:val="auto"/>
        </w:rPr>
        <w:t xml:space="preserve">. As of the date of this Agreement, such Unitholder is the beneficial owner of and, together with the applicable controlling entity or entities of such Unitholder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hereto (as applicable, the “</w:t>
      </w:r>
      <w:r>
        <w:rPr>
          <w:rFonts w:ascii="Times New Roman" w:cs="Times New Roman" w:eastAsia="Times New Roman" w:hAnsi="Times New Roman"/>
          <w:sz w:val="22"/>
          <w:szCs w:val="22"/>
          <w:u w:val="single" w:color="auto"/>
          <w:color w:val="auto"/>
        </w:rPr>
        <w:t>Controlling Entities</w:t>
      </w:r>
      <w:r>
        <w:rPr>
          <w:rFonts w:ascii="Times New Roman" w:cs="Times New Roman" w:eastAsia="Times New Roman" w:hAnsi="Times New Roman"/>
          <w:sz w:val="22"/>
          <w:szCs w:val="22"/>
          <w:color w:val="auto"/>
        </w:rPr>
        <w:t xml:space="preserve">”), has the sole right to vote and dispose of the Subject Units set forth opposite such Unitholder’s name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hereto, free and clear of any Liens whatsoever, except for any Liens which arise hereunder, in each case except as disclosed in any Schedule 13D (and any amendments thereto) filed by such Unitholder (and/or its Controlling Entities) prior to the date hereof. None of the Subject Units are subject to any voting trust or other similar agreement, arrangement or restriction, except as contemplated by this Agreement. Without limiting the generality of the foregoing, there are no agreements or arrangements of any kind, contingent or otherwise, obligating such Unitholder to sell, transfer (including by tendering into any tender or exchange offer), assign, grant a participation interest in, option, pledge, hypothecate or otherwise dispose of or encumber, including by operation of Law or otherwise (each, a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or cause to be Transferred, any of the Subject Units, other than a Transfer, such as a hedging or derivative transaction, with respect to which such Unitholder (and/or its Controlling Entities) retains its Subject Units during the Applicable Period.</w:t>
      </w:r>
    </w:p>
    <w:p>
      <w:pPr>
        <w:spacing w:after="0" w:line="3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206" w:name="page207"/>
    <w:bookmarkEnd w:id="206"/>
    <w:p>
      <w:pPr>
        <w:jc w:val="both"/>
        <w:ind w:left="660" w:firstLine="644"/>
        <w:spacing w:after="0"/>
        <w:tabs>
          <w:tab w:leader="none" w:pos="2113"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Litigation</w:t>
      </w:r>
      <w:r>
        <w:rPr>
          <w:rFonts w:ascii="Times New Roman" w:cs="Times New Roman" w:eastAsia="Times New Roman" w:hAnsi="Times New Roman"/>
          <w:sz w:val="22"/>
          <w:szCs w:val="22"/>
          <w:color w:val="auto"/>
        </w:rPr>
        <w:t>. There is no litigation, suit, claim, action, proceeding or investigation pending, or to the knowledge of such Unitholder, threatened against such Unitholder, or any property or asset of such Unitholder, before any Governmental Entity that seeks to delay or prevent the consummation of the transactions contemplated by this Agreement.</w:t>
      </w:r>
    </w:p>
    <w:p>
      <w:pPr>
        <w:spacing w:after="0" w:line="203"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2452"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Consents Required</w:t>
      </w:r>
      <w:r>
        <w:rPr>
          <w:rFonts w:ascii="Times New Roman" w:cs="Times New Roman" w:eastAsia="Times New Roman" w:hAnsi="Times New Roman"/>
          <w:sz w:val="22"/>
          <w:szCs w:val="22"/>
          <w:color w:val="auto"/>
        </w:rPr>
        <w:t>. No consent of, or registration, declaration or filing with, any Person or Governmental Entity is required to be obtained or made by or with respect to such Unitholder in connection with the execution, delivery and performance of this Agreement and except for any applicable requirements and filings with the SEC, if any, under the Exchange Act and except where the failure to obtain such consents, approvals, authorizations or permits, or to make such filings or notifications, would not prevent or delay the performance by such Unitholder of such Unitholder’s obligations under this Agreement in any material respect.</w:t>
      </w:r>
    </w:p>
    <w:p>
      <w:pPr>
        <w:spacing w:after="0" w:line="208" w:lineRule="exact"/>
        <w:rPr>
          <w:rFonts w:ascii="Times New Roman" w:cs="Times New Roman" w:eastAsia="Times New Roman" w:hAnsi="Times New Roman"/>
          <w:sz w:val="22"/>
          <w:szCs w:val="22"/>
          <w:color w:val="auto"/>
        </w:rPr>
      </w:pPr>
    </w:p>
    <w:p>
      <w:pPr>
        <w:ind w:left="660" w:firstLine="644"/>
        <w:spacing w:after="0" w:line="258" w:lineRule="auto"/>
        <w:tabs>
          <w:tab w:leader="none" w:pos="2388"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w:t>
      </w:r>
      <w:r>
        <w:rPr>
          <w:rFonts w:ascii="Times New Roman" w:cs="Times New Roman" w:eastAsia="Times New Roman" w:hAnsi="Times New Roman"/>
          <w:sz w:val="22"/>
          <w:szCs w:val="22"/>
          <w:color w:val="auto"/>
        </w:rPr>
        <w:t>. Such Unitholder understands and acknowledges that Parent is entering into the Merger Agreement in reliance upon such Unitholder’s execution and delivery of this Agreement.</w:t>
      </w:r>
    </w:p>
    <w:p>
      <w:pPr>
        <w:spacing w:after="0" w:line="185" w:lineRule="exact"/>
        <w:rPr>
          <w:rFonts w:ascii="Times New Roman" w:cs="Times New Roman" w:eastAsia="Times New Roman" w:hAnsi="Times New Roman"/>
          <w:sz w:val="22"/>
          <w:szCs w:val="22"/>
          <w:color w:val="auto"/>
        </w:rPr>
      </w:pPr>
    </w:p>
    <w:p>
      <w:pPr>
        <w:jc w:val="both"/>
        <w:ind w:left="660" w:firstLine="644"/>
        <w:spacing w:after="0" w:line="235" w:lineRule="auto"/>
        <w:tabs>
          <w:tab w:leader="none" w:pos="2289"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Unitholder Has Adequate Information.</w:t>
      </w:r>
      <w:r>
        <w:rPr>
          <w:rFonts w:ascii="Times New Roman" w:cs="Times New Roman" w:eastAsia="Times New Roman" w:hAnsi="Times New Roman"/>
          <w:sz w:val="22"/>
          <w:szCs w:val="22"/>
          <w:color w:val="auto"/>
        </w:rPr>
        <w:t xml:space="preserve"> Such Unitholder is a sophisticated seller with respect to the Subject Units and has adequate information concerning the business and financial condition of Parent to make an informed decision regarding the Merger and the transactions contemplated thereby and has independently and without reliance upon Parent and based on such information as such Unitholder has deemed appropriate, made its own analysis and decision to enter into this Agreement. Such Unitholder acknowledges that Parent has not made and does not make any representation or warranty, whether express or implied, of any kind or character except as expressly set forth in the Merger Agreement and this Agreement.</w:t>
      </w:r>
    </w:p>
    <w:p>
      <w:pPr>
        <w:spacing w:after="0" w:line="210" w:lineRule="exact"/>
        <w:rPr>
          <w:rFonts w:ascii="Times New Roman" w:cs="Times New Roman" w:eastAsia="Times New Roman" w:hAnsi="Times New Roman"/>
          <w:sz w:val="22"/>
          <w:szCs w:val="22"/>
          <w:color w:val="auto"/>
        </w:rPr>
      </w:pPr>
    </w:p>
    <w:p>
      <w:pPr>
        <w:ind w:right="20" w:firstLine="656"/>
        <w:spacing w:after="0" w:line="258" w:lineRule="auto"/>
        <w:tabs>
          <w:tab w:leader="none" w:pos="1579"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Parent</w:t>
      </w:r>
      <w:r>
        <w:rPr>
          <w:rFonts w:ascii="Times New Roman" w:cs="Times New Roman" w:eastAsia="Times New Roman" w:hAnsi="Times New Roman"/>
          <w:sz w:val="22"/>
          <w:szCs w:val="22"/>
          <w:color w:val="auto"/>
        </w:rPr>
        <w:t>. Parent hereby represents and warrants to each Unitholder as of the date hereof as follows:</w:t>
      </w:r>
    </w:p>
    <w:p>
      <w:pPr>
        <w:spacing w:after="0" w:line="185" w:lineRule="exact"/>
        <w:rPr>
          <w:rFonts w:ascii="Times New Roman" w:cs="Times New Roman" w:eastAsia="Times New Roman" w:hAnsi="Times New Roman"/>
          <w:sz w:val="22"/>
          <w:szCs w:val="22"/>
          <w:color w:val="auto"/>
        </w:rPr>
      </w:pPr>
    </w:p>
    <w:p>
      <w:pPr>
        <w:ind w:left="660" w:firstLine="644"/>
        <w:spacing w:after="0" w:line="258" w:lineRule="auto"/>
        <w:tabs>
          <w:tab w:leader="none" w:pos="2088"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Organization</w:t>
      </w:r>
      <w:r>
        <w:rPr>
          <w:rFonts w:ascii="Times New Roman" w:cs="Times New Roman" w:eastAsia="Times New Roman" w:hAnsi="Times New Roman"/>
          <w:sz w:val="22"/>
          <w:szCs w:val="22"/>
          <w:color w:val="auto"/>
        </w:rPr>
        <w:t>. Parent is a corporation duly incorporated under the Laws of the State of Delaware and is validly existing and in good standing under the Laws thereof.</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7" w:name="page208"/>
    <w:bookmarkEnd w:id="207"/>
    <w:p>
      <w:pPr>
        <w:jc w:val="both"/>
        <w:ind w:left="660" w:firstLine="644"/>
        <w:spacing w:after="0" w:line="244" w:lineRule="auto"/>
        <w:tabs>
          <w:tab w:leader="none" w:pos="2262" w:val="left"/>
        </w:tabs>
        <w:numPr>
          <w:ilvl w:val="1"/>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Authority; No Violation</w:t>
      </w:r>
      <w:r>
        <w:rPr>
          <w:rFonts w:ascii="Times New Roman" w:cs="Times New Roman" w:eastAsia="Times New Roman" w:hAnsi="Times New Roman"/>
          <w:sz w:val="21"/>
          <w:szCs w:val="21"/>
          <w:color w:val="auto"/>
        </w:rPr>
        <w:t>. Parent has full corporate power and authority to execute and deliver this Agreement. The execution and delivery of this Agreement have been duly and validly approved by the Board of Directors of Parent and no other corporate proceedings on the part of Parent are necessary to approve this Agreement. This Agreement has been duly and validly executed and delivered by Parent and (assuming due authorization, execution and delivery by each Unitholder) this Agreement constitutes a valid and binding obligation of Parent, enforceable against Parent in accordance with its terms, subject to the Bankruptcy and Equity Exception. Neither the execution and delivery of this Agreement by Parent, nor the consummation by Parent of the transactions contemplated hereby, nor compliance by Parent with any of the terms or provisions hereof, will (x) violate any provision of the governing documents of Parent or the certificate of incorporation, bylaws or similar governing documents of any of Parent’s Subsidiaries, (y) violate any statute, code, ordinance, rule, regulation, judgment, order, writ, decree or injunction applicable to the Parent or any of Parent’s Subsidiaries, or any of their respective properties or assets, or (z)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Parent or any of Parent’s Subsidiaries under, any of the terms, conditions or provisions of any note, bond, mortgage, indenture, deed of trust, license, lease, agreement or other instrument or obligation to which Parent or any of Parent’s Subsidiaries is a party, or by which they or any of their respective properties or assets may be bound or affected.</w:t>
      </w:r>
    </w:p>
    <w:p>
      <w:pPr>
        <w:spacing w:after="0" w:line="196" w:lineRule="exact"/>
        <w:rPr>
          <w:rFonts w:ascii="Times New Roman" w:cs="Times New Roman" w:eastAsia="Times New Roman" w:hAnsi="Times New Roman"/>
          <w:sz w:val="21"/>
          <w:szCs w:val="21"/>
          <w:color w:val="auto"/>
        </w:rPr>
      </w:pPr>
    </w:p>
    <w:p>
      <w:pPr>
        <w:ind w:right="20" w:firstLine="656"/>
        <w:spacing w:after="0" w:line="262" w:lineRule="auto"/>
        <w:tabs>
          <w:tab w:leader="none" w:pos="1431"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Each Unitholder</w:t>
      </w:r>
      <w:r>
        <w:rPr>
          <w:rFonts w:ascii="Times New Roman" w:cs="Times New Roman" w:eastAsia="Times New Roman" w:hAnsi="Times New Roman"/>
          <w:sz w:val="22"/>
          <w:szCs w:val="22"/>
          <w:color w:val="auto"/>
        </w:rPr>
        <w:t xml:space="preserve">. Each Unitholder, severally and not jointly, agrees as follows;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of the following covenants shall apply solely to actions taken by such Unitholder in its capacity as a holder of Common Units:</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2034"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Vote Subject Units</w:t>
      </w:r>
      <w:r>
        <w:rPr>
          <w:rFonts w:ascii="Times New Roman" w:cs="Times New Roman" w:eastAsia="Times New Roman" w:hAnsi="Times New Roman"/>
          <w:sz w:val="22"/>
          <w:szCs w:val="22"/>
          <w:color w:val="auto"/>
        </w:rPr>
        <w:t>. During the period from and including the date of this Agreement to and including the date of the termination of this Agreement (such period, the “</w:t>
      </w:r>
      <w:r>
        <w:rPr>
          <w:rFonts w:ascii="Times New Roman" w:cs="Times New Roman" w:eastAsia="Times New Roman" w:hAnsi="Times New Roman"/>
          <w:sz w:val="22"/>
          <w:szCs w:val="22"/>
          <w:u w:val="single" w:color="auto"/>
          <w:color w:val="auto"/>
        </w:rPr>
        <w:t>Applicable Period</w:t>
      </w:r>
      <w:r>
        <w:rPr>
          <w:rFonts w:ascii="Times New Roman" w:cs="Times New Roman" w:eastAsia="Times New Roman" w:hAnsi="Times New Roman"/>
          <w:sz w:val="22"/>
          <w:szCs w:val="22"/>
          <w:color w:val="auto"/>
        </w:rPr>
        <w:t>”), at any meeting of the unitholders of the Partnership, however called, or at any postponement or adjournment thereof, or in any other circumstance upon which a vote or other approval of all or some of the unitholders of the Partnership is sought, such Unitholder shall, and shall cause any holder of record of its Subject Units on any applicable record date to, vote:</w:t>
      </w:r>
    </w:p>
    <w:p>
      <w:pPr>
        <w:spacing w:after="0" w:line="203" w:lineRule="exact"/>
        <w:rPr>
          <w:rFonts w:ascii="Times New Roman" w:cs="Times New Roman" w:eastAsia="Times New Roman" w:hAnsi="Times New Roman"/>
          <w:sz w:val="22"/>
          <w:szCs w:val="22"/>
          <w:color w:val="auto"/>
        </w:rPr>
      </w:pPr>
    </w:p>
    <w:p>
      <w:pPr>
        <w:ind w:left="660" w:right="20" w:firstLine="1292"/>
        <w:spacing w:after="0" w:line="258" w:lineRule="auto"/>
        <w:tabs>
          <w:tab w:leader="none" w:pos="2840" w:val="left"/>
        </w:tabs>
        <w:numPr>
          <w:ilvl w:val="2"/>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the Merger Agreement and any other matter that is required to be approved by the unitholders of the Partnership in order to effect the Merger;</w:t>
      </w:r>
    </w:p>
    <w:p>
      <w:pPr>
        <w:spacing w:after="0" w:line="185" w:lineRule="exact"/>
        <w:rPr>
          <w:rFonts w:ascii="Times New Roman" w:cs="Times New Roman" w:eastAsia="Times New Roman" w:hAnsi="Times New Roman"/>
          <w:sz w:val="22"/>
          <w:szCs w:val="22"/>
          <w:color w:val="auto"/>
        </w:rPr>
      </w:pPr>
    </w:p>
    <w:p>
      <w:pPr>
        <w:jc w:val="both"/>
        <w:ind w:left="660" w:firstLine="1292"/>
        <w:spacing w:after="0" w:line="239" w:lineRule="auto"/>
        <w:tabs>
          <w:tab w:leader="none" w:pos="2878" w:val="left"/>
        </w:tabs>
        <w:numPr>
          <w:ilvl w:val="2"/>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against any merger agreement or merger (other than the Merger Agreement and the Merger), consolidation, combination, sale or transfer of a material amount of assets, reorganization, recapitalization, dissolution, liquidation or winding up of or by the Partnership or any of its Subsidiaries that is prohibited by the Merger Agreement, unless, in each case, such transaction is approved in writing by Parent; and</w:t>
      </w:r>
    </w:p>
    <w:p>
      <w:pPr>
        <w:spacing w:after="0" w:line="207" w:lineRule="exact"/>
        <w:rPr>
          <w:rFonts w:ascii="Times New Roman" w:cs="Times New Roman" w:eastAsia="Times New Roman" w:hAnsi="Times New Roman"/>
          <w:sz w:val="22"/>
          <w:szCs w:val="22"/>
          <w:color w:val="auto"/>
        </w:rPr>
      </w:pPr>
    </w:p>
    <w:p>
      <w:pPr>
        <w:jc w:val="both"/>
        <w:ind w:left="660" w:firstLine="1292"/>
        <w:spacing w:after="0" w:line="238" w:lineRule="auto"/>
        <w:tabs>
          <w:tab w:leader="none" w:pos="2594" w:val="left"/>
        </w:tabs>
        <w:numPr>
          <w:ilvl w:val="2"/>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against any amendment of the Partnership’s certificate of limited partnership or limited partnership agreement or other proposal or transaction involving the Partnership or any of its Subsidiaries, which amendment or other proposal or transaction would in any manner delay, impede, frustrate, prevent or nullify the Merger, the Merger Agreement or any of the transactions contemplated by the Merger Agreement or change in any manner the voting rights of any outstanding class of units of the Partnership.</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8" w:name="page209"/>
    <w:bookmarkEnd w:id="208"/>
    <w:p>
      <w:pPr>
        <w:jc w:val="both"/>
        <w:ind w:left="4" w:firstLine="644"/>
        <w:spacing w:after="0"/>
        <w:tabs>
          <w:tab w:leader="none" w:pos="1373"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Applicable Period, such Unitholder (and/or its Controlling Entities) shall retain at all times the right to vote all of its Subject Units in such Unitholder’s sole discretion and without any other limitation on those matters other than those set forth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that are at any time or from time to time presented for consideration to the Partnership’s unitholders generally.</w:t>
      </w:r>
    </w:p>
    <w:p>
      <w:pPr>
        <w:spacing w:after="0" w:line="203" w:lineRule="exact"/>
        <w:rPr>
          <w:rFonts w:ascii="Times New Roman" w:cs="Times New Roman" w:eastAsia="Times New Roman" w:hAnsi="Times New Roman"/>
          <w:sz w:val="22"/>
          <w:szCs w:val="22"/>
          <w:color w:val="auto"/>
        </w:rPr>
      </w:pPr>
    </w:p>
    <w:p>
      <w:pPr>
        <w:jc w:val="both"/>
        <w:ind w:left="4" w:firstLine="644"/>
        <w:spacing w:after="0" w:line="244" w:lineRule="auto"/>
        <w:tabs>
          <w:tab w:leader="none" w:pos="1448"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Applicable Period, in the event that any meeting of the unitholders of the Partnership is held, such Unitholder shall (or shall cause the holder of record on any applicable record date to) appear at such meeting or otherwise cause all of its Subject Units to be counted as present thereat for purposes of establishing a quorum.</w:t>
      </w:r>
    </w:p>
    <w:p>
      <w:pPr>
        <w:spacing w:after="0" w:line="200" w:lineRule="exact"/>
        <w:rPr>
          <w:rFonts w:ascii="Times New Roman" w:cs="Times New Roman" w:eastAsia="Times New Roman" w:hAnsi="Times New Roman"/>
          <w:sz w:val="22"/>
          <w:szCs w:val="22"/>
          <w:color w:val="auto"/>
        </w:rPr>
      </w:pPr>
    </w:p>
    <w:p>
      <w:pPr>
        <w:jc w:val="both"/>
        <w:ind w:left="4" w:firstLine="644"/>
        <w:spacing w:after="0" w:line="244" w:lineRule="auto"/>
        <w:tabs>
          <w:tab w:leader="none" w:pos="1511"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Applicable Period, such Unitholder further agrees not to commit or agree, and to cause any record holder of its Subject Units not to commit or agree, to take any action inconsistent with the foregoing during the Applicable Period.</w:t>
      </w:r>
    </w:p>
    <w:p>
      <w:pPr>
        <w:spacing w:after="0" w:line="200" w:lineRule="exact"/>
        <w:rPr>
          <w:rFonts w:ascii="Times New Roman" w:cs="Times New Roman" w:eastAsia="Times New Roman" w:hAnsi="Times New Roman"/>
          <w:sz w:val="22"/>
          <w:szCs w:val="22"/>
          <w:color w:val="auto"/>
        </w:rPr>
      </w:pPr>
    </w:p>
    <w:p>
      <w:pPr>
        <w:ind w:left="4" w:firstLine="644"/>
        <w:spacing w:after="0" w:line="258" w:lineRule="auto"/>
        <w:tabs>
          <w:tab w:leader="none" w:pos="1459"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Transfers</w:t>
      </w:r>
      <w:r>
        <w:rPr>
          <w:rFonts w:ascii="Times New Roman" w:cs="Times New Roman" w:eastAsia="Times New Roman" w:hAnsi="Times New Roman"/>
          <w:sz w:val="22"/>
          <w:szCs w:val="22"/>
          <w:color w:val="auto"/>
        </w:rPr>
        <w:t xml:space="preserve">. Except as provided in </w:t>
      </w:r>
      <w:r>
        <w:rPr>
          <w:rFonts w:ascii="Times New Roman" w:cs="Times New Roman" w:eastAsia="Times New Roman" w:hAnsi="Times New Roman"/>
          <w:sz w:val="22"/>
          <w:szCs w:val="22"/>
          <w:u w:val="single" w:color="auto"/>
          <w:color w:val="auto"/>
        </w:rPr>
        <w:t>Section 3(g</w:t>
      </w:r>
      <w:r>
        <w:rPr>
          <w:rFonts w:ascii="Times New Roman" w:cs="Times New Roman" w:eastAsia="Times New Roman" w:hAnsi="Times New Roman"/>
          <w:sz w:val="22"/>
          <w:szCs w:val="22"/>
          <w:color w:val="auto"/>
        </w:rPr>
        <w:t>), such Unitholder agrees not to, and to cause any record holder of its Subject Units, not to, in any such case directly or indirectly, during the Applicable Period:</w:t>
      </w:r>
    </w:p>
    <w:p>
      <w:pPr>
        <w:spacing w:after="0" w:line="185" w:lineRule="exact"/>
        <w:rPr>
          <w:rFonts w:ascii="Times New Roman" w:cs="Times New Roman" w:eastAsia="Times New Roman" w:hAnsi="Times New Roman"/>
          <w:sz w:val="22"/>
          <w:szCs w:val="22"/>
          <w:color w:val="auto"/>
        </w:rPr>
      </w:pPr>
    </w:p>
    <w:p>
      <w:pPr>
        <w:jc w:val="both"/>
        <w:ind w:left="4" w:firstLine="1292"/>
        <w:spacing w:after="0" w:line="244" w:lineRule="auto"/>
        <w:tabs>
          <w:tab w:leader="none" w:pos="2185" w:val="left"/>
        </w:tabs>
        <w:numPr>
          <w:ilvl w:val="2"/>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or enter into any agreement, option or other arrangement (including any profit-sharing arrangement) with respect to the Transfer of, any of its Subject Units (or any interest therein) to any Person, other than the exchange of its Subject Units for the Merger Consideration in accordance with the Merger Agreement; or</w:t>
      </w:r>
    </w:p>
    <w:p>
      <w:pPr>
        <w:spacing w:after="0" w:line="200" w:lineRule="exact"/>
        <w:rPr>
          <w:rFonts w:ascii="Times New Roman" w:cs="Times New Roman" w:eastAsia="Times New Roman" w:hAnsi="Times New Roman"/>
          <w:sz w:val="22"/>
          <w:szCs w:val="22"/>
          <w:color w:val="auto"/>
        </w:rPr>
      </w:pPr>
    </w:p>
    <w:p>
      <w:pPr>
        <w:jc w:val="both"/>
        <w:ind w:left="4" w:firstLine="1292"/>
        <w:spacing w:after="0" w:line="244" w:lineRule="auto"/>
        <w:tabs>
          <w:tab w:leader="none" w:pos="2046" w:val="left"/>
        </w:tabs>
        <w:numPr>
          <w:ilvl w:val="2"/>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any proxies, or deposit any of its Subject Units into any voting trust or enter into any voting arrangement, whether by proxy, voting agreement or otherwise, with respect to its Subject Units, other than pursuant to this Agreement.</w:t>
      </w:r>
    </w:p>
    <w:p>
      <w:pPr>
        <w:spacing w:after="0" w:line="200" w:lineRule="exact"/>
        <w:rPr>
          <w:rFonts w:ascii="Times New Roman" w:cs="Times New Roman" w:eastAsia="Times New Roman" w:hAnsi="Times New Roman"/>
          <w:sz w:val="22"/>
          <w:szCs w:val="22"/>
          <w:color w:val="auto"/>
        </w:rPr>
      </w:pPr>
    </w:p>
    <w:p>
      <w:pPr>
        <w:jc w:val="both"/>
        <w:ind w:left="4" w:firstLine="644"/>
        <w:spacing w:after="0" w:line="244" w:lineRule="auto"/>
        <w:tabs>
          <w:tab w:leader="none" w:pos="1453"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3(g)</w:t>
      </w:r>
      <w:r>
        <w:rPr>
          <w:rFonts w:ascii="Times New Roman" w:cs="Times New Roman" w:eastAsia="Times New Roman" w:hAnsi="Times New Roman"/>
          <w:sz w:val="22"/>
          <w:szCs w:val="22"/>
          <w:color w:val="auto"/>
        </w:rPr>
        <w:t>, such Unitholder further agrees not to commit or agree to take, and to cause any record holder of any of its Subject Units not to commit or agree to take, any of the foregoing actions during the Applicable Period.</w:t>
      </w:r>
    </w:p>
    <w:p>
      <w:pPr>
        <w:spacing w:after="0" w:line="200"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434" w:val="left"/>
        </w:tabs>
        <w:numPr>
          <w:ilvl w:val="1"/>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each Unitholder shall have the right to (i) Transfer its Subject Units to an Affiliate if and only if such Affiliate shall have agreed in writing, in a manner acceptable in form and substance to Parent,</w:t>
      </w:r>
    </w:p>
    <w:p>
      <w:pPr>
        <w:jc w:val="both"/>
        <w:ind w:left="4" w:hanging="4"/>
        <w:spacing w:after="0" w:line="232" w:lineRule="auto"/>
        <w:tabs>
          <w:tab w:leader="none" w:pos="388"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accept such Subject Units subject to the terms and conditions of this Agreement, and (B) to be bound by this Agreement as if it were “a Unitholder” for all purposes of this Agreement; provided, however, that no such Transfer shall relieve such Unitholder from its obligations under this Agreement with respect to any Subject Unit or (ii) Transfer its Subject Units in a transaction, such as a hedging or derivative transaction, with respect to which such Unitholder retains its Subject Units during the Applicable Period; provided that no such transaction shall (x) in any way limit any of the obligations of such Unitholder under this Agreement, or (y) effect the ability of the Unitholders to perform their obligations under this Agreement in any material respect.</w:t>
      </w:r>
    </w:p>
    <w:p>
      <w:pPr>
        <w:spacing w:after="0" w:line="38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209" w:name="page210"/>
    <w:bookmarkEnd w:id="209"/>
    <w:p>
      <w:pPr>
        <w:jc w:val="both"/>
        <w:ind w:left="4" w:firstLine="644"/>
        <w:spacing w:after="0" w:line="238" w:lineRule="auto"/>
        <w:tabs>
          <w:tab w:leader="none" w:pos="1444"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to Subject Units</w:t>
      </w:r>
      <w:r>
        <w:rPr>
          <w:rFonts w:ascii="Times New Roman" w:cs="Times New Roman" w:eastAsia="Times New Roman" w:hAnsi="Times New Roman"/>
          <w:sz w:val="22"/>
          <w:szCs w:val="22"/>
          <w:color w:val="auto"/>
        </w:rPr>
        <w:t>. In case of a distribution with respect to the Common Units, or any change in the Common Units by reason of any distribution, split-up, recapitalization, combination, exchange of units or the like, the term “Subject Units” shall be deemed to refer to and include the Subject Units as well as all such distributions and any securities into which or for which any or all of the Subject Units may be changed or exchanged or which are received in such transaction.</w:t>
      </w:r>
    </w:p>
    <w:p>
      <w:pPr>
        <w:spacing w:after="0" w:line="204" w:lineRule="exact"/>
        <w:rPr>
          <w:rFonts w:ascii="Times New Roman" w:cs="Times New Roman" w:eastAsia="Times New Roman" w:hAnsi="Times New Roman"/>
          <w:sz w:val="22"/>
          <w:szCs w:val="22"/>
          <w:color w:val="auto"/>
        </w:rPr>
      </w:pPr>
    </w:p>
    <w:p>
      <w:pPr>
        <w:jc w:val="both"/>
        <w:ind w:left="4" w:firstLine="644"/>
        <w:spacing w:after="0" w:line="233" w:lineRule="auto"/>
        <w:tabs>
          <w:tab w:leader="none" w:pos="1409"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xml:space="preserve">. Except to the extent that the Partnership or the Partnership Board is permitted to do so under the Merger Agreement, but subject to any limitations imposed on the Partnership or the Partnership Board under the Merger Agreement, such Unitholder agrees, solely in its capacity as a unitholder of the Partnership, that it shall not, and shall cause its Affiliates and shall use its reasonable best efforts to cause its and their respective Representatives not to, directly or indirectly, (i) initiate, solicit, knowingly encourage or knowingly facilitate (including by way of furnishing non-public information with respect to the Partnership or its Subsidiaries) any Takeover Proposal, (ii) engage in any discussions or negotiations with any Person that has made a Takeover Proposal regarding such Takeover Proposal, or (iii) furnish or disclose any information relating to the Partnership or any of its Subsidiaries to a Person who has made a Takeover Proposal (or its Representatives). Each Unitholder will, and will cause its Affiliates and its and their Representatives to immediately cease any solicitation, encouragement, discussions or negotiations with respect to a Takeover Proposal that are ongoing on or prior to the date of this Agreement. Nothing contained in this </w:t>
      </w:r>
      <w:r>
        <w:rPr>
          <w:rFonts w:ascii="Times New Roman" w:cs="Times New Roman" w:eastAsia="Times New Roman" w:hAnsi="Times New Roman"/>
          <w:sz w:val="22"/>
          <w:szCs w:val="22"/>
          <w:u w:val="single" w:color="auto"/>
          <w:color w:val="auto"/>
        </w:rPr>
        <w:t>Section 3(i</w:t>
      </w:r>
      <w:r>
        <w:rPr>
          <w:rFonts w:ascii="Times New Roman" w:cs="Times New Roman" w:eastAsia="Times New Roman" w:hAnsi="Times New Roman"/>
          <w:sz w:val="22"/>
          <w:szCs w:val="22"/>
          <w:color w:val="auto"/>
        </w:rPr>
        <w:t>) shall prevent any Person affiliated with such Unitholder who is a director or officer of the Partnership or designated by such Unitholder as a director of officer of the Partnership from taking actions in his capacity as a director or officer of the Partnership, including taking any actions permitted under Section 5.4 of the Merger Agreement.</w:t>
      </w:r>
    </w:p>
    <w:p>
      <w:pPr>
        <w:spacing w:after="0" w:line="206" w:lineRule="exact"/>
        <w:rPr>
          <w:rFonts w:ascii="Times New Roman" w:cs="Times New Roman" w:eastAsia="Times New Roman" w:hAnsi="Times New Roman"/>
          <w:sz w:val="22"/>
          <w:szCs w:val="22"/>
          <w:color w:val="auto"/>
        </w:rPr>
      </w:pPr>
    </w:p>
    <w:p>
      <w:pPr>
        <w:ind w:left="1444" w:hanging="796"/>
        <w:spacing w:after="0"/>
        <w:tabs>
          <w:tab w:leader="none" w:pos="1444"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Unitholder B Consent to the Merger</w:t>
      </w:r>
    </w:p>
    <w:p>
      <w:pPr>
        <w:spacing w:after="0" w:line="233" w:lineRule="exact"/>
        <w:rPr>
          <w:rFonts w:ascii="Times New Roman" w:cs="Times New Roman" w:eastAsia="Times New Roman" w:hAnsi="Times New Roman"/>
          <w:sz w:val="22"/>
          <w:szCs w:val="22"/>
          <w:color w:val="auto"/>
        </w:rPr>
      </w:pPr>
    </w:p>
    <w:p>
      <w:pPr>
        <w:jc w:val="both"/>
        <w:ind w:left="4" w:firstLine="1292"/>
        <w:spacing w:after="0" w:line="244" w:lineRule="auto"/>
        <w:tabs>
          <w:tab w:leader="none" w:pos="2026" w:val="left"/>
        </w:tabs>
        <w:numPr>
          <w:ilvl w:val="2"/>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or prior to the date of this Agreement, Unitholder B, in its capacity as General Partner, has delivered its consent to the Merger in accordance with Section 14.2 of the Partnership Agreement (the “</w:t>
      </w:r>
      <w:r>
        <w:rPr>
          <w:rFonts w:ascii="Times New Roman" w:cs="Times New Roman" w:eastAsia="Times New Roman" w:hAnsi="Times New Roman"/>
          <w:sz w:val="22"/>
          <w:szCs w:val="22"/>
          <w:u w:val="single" w:color="auto"/>
          <w:color w:val="auto"/>
        </w:rPr>
        <w:t>GP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jc w:val="both"/>
        <w:ind w:left="4" w:firstLine="1292"/>
        <w:spacing w:after="0" w:line="253" w:lineRule="auto"/>
        <w:tabs>
          <w:tab w:leader="none" w:pos="2198" w:val="left"/>
        </w:tabs>
        <w:numPr>
          <w:ilvl w:val="2"/>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Unitholder B agrees that it will not rescind, revoke, cancel, amend, modify or change the GP Consent in any respect prior to, and shall ensure that GP Consent shall remain in full force and effect until, the earlier of</w:t>
      </w:r>
    </w:p>
    <w:p>
      <w:pPr>
        <w:jc w:val="both"/>
        <w:ind w:left="4" w:hanging="4"/>
        <w:spacing w:after="0" w:line="235" w:lineRule="auto"/>
        <w:tabs>
          <w:tab w:leader="none" w:pos="28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or (ii) the termination of the Merger Agreement in accordance with its terms thereunder. For the avoidance of doubt, Unitholder B may approve a Takeover Proposal following an Adverse Recommendation Change made in accordance with the Merger Agreement.</w:t>
      </w:r>
    </w:p>
    <w:p>
      <w:pPr>
        <w:spacing w:after="0" w:line="38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210" w:name="page211"/>
    <w:bookmarkEnd w:id="210"/>
    <w:p>
      <w:pPr>
        <w:ind w:right="280" w:firstLine="656"/>
        <w:spacing w:after="0"/>
        <w:tabs>
          <w:tab w:leader="none" w:pos="1404"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Section 3, in the event of an Adverse Recommendation Change (as defined in the Merger Agreement) made in compliance with the Merger Agreement, the obligation of each Unitholder to vote its respective Common Units as to which the Unitholder controls the right to vote in the manner set forth in the foregoing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shall be modified such that:</w:t>
      </w:r>
    </w:p>
    <w:p>
      <w:pPr>
        <w:spacing w:after="0" w:line="203" w:lineRule="exact"/>
        <w:rPr>
          <w:rFonts w:ascii="Times New Roman" w:cs="Times New Roman" w:eastAsia="Times New Roman" w:hAnsi="Times New Roman"/>
          <w:sz w:val="22"/>
          <w:szCs w:val="22"/>
          <w:color w:val="auto"/>
        </w:rPr>
      </w:pPr>
    </w:p>
    <w:p>
      <w:pPr>
        <w:ind w:left="660" w:right="120" w:firstLine="644"/>
        <w:spacing w:after="0" w:line="239" w:lineRule="auto"/>
        <w:tabs>
          <w:tab w:leader="none" w:pos="2088"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Unitholders, collectively, shall vote (or cause to be voted), in person or by proxy, or deliver (or cause to be delivered) a written consent covering a number of the Common Units owned by them equal to 20% of the outstanding Common Units of the Partnership as of the Partnership Meeting Date (as defined in the Merger Agreement) entitled to vote in respect of such matter, as provided in Section 3(a); and</w:t>
      </w:r>
    </w:p>
    <w:p>
      <w:pPr>
        <w:spacing w:after="0" w:line="207" w:lineRule="exact"/>
        <w:rPr>
          <w:rFonts w:ascii="Times New Roman" w:cs="Times New Roman" w:eastAsia="Times New Roman" w:hAnsi="Times New Roman"/>
          <w:sz w:val="22"/>
          <w:szCs w:val="22"/>
          <w:color w:val="auto"/>
        </w:rPr>
      </w:pPr>
    </w:p>
    <w:p>
      <w:pPr>
        <w:ind w:left="660" w:right="220" w:firstLine="644"/>
        <w:spacing w:after="0" w:line="244" w:lineRule="auto"/>
        <w:tabs>
          <w:tab w:leader="none" w:pos="2100"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Unitholders shall cause all remaining Common Units owned by them that are not restricted by the foregoing clause (a) to be voted in a manner that is proportionate to the manner in which all outstanding Common Units (other than Common Units held by the Unitholders) which are voted in respect of such matter, are voted.</w:t>
      </w:r>
    </w:p>
    <w:p>
      <w:pPr>
        <w:spacing w:after="0" w:line="200" w:lineRule="exact"/>
        <w:rPr>
          <w:rFonts w:ascii="Times New Roman" w:cs="Times New Roman" w:eastAsia="Times New Roman" w:hAnsi="Times New Roman"/>
          <w:sz w:val="22"/>
          <w:szCs w:val="22"/>
          <w:color w:val="auto"/>
        </w:rPr>
      </w:pPr>
    </w:p>
    <w:p>
      <w:pPr>
        <w:jc w:val="both"/>
        <w:ind w:firstLine="656"/>
        <w:spacing w:after="0" w:line="235" w:lineRule="auto"/>
        <w:tabs>
          <w:tab w:leader="none" w:pos="1876"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No Third-Party Beneficiaries</w:t>
      </w:r>
      <w:r>
        <w:rPr>
          <w:rFonts w:ascii="Times New Roman" w:cs="Times New Roman" w:eastAsia="Times New Roman" w:hAnsi="Times New Roman"/>
          <w:sz w:val="22"/>
          <w:szCs w:val="22"/>
          <w:color w:val="auto"/>
        </w:rPr>
        <w:t xml:space="preserve">. Except as provided herein, including with respect to each Unitholder’s right to Transfer the Subject Units in accordance with </w:t>
      </w:r>
      <w:r>
        <w:rPr>
          <w:rFonts w:ascii="Times New Roman" w:cs="Times New Roman" w:eastAsia="Times New Roman" w:hAnsi="Times New Roman"/>
          <w:sz w:val="22"/>
          <w:szCs w:val="22"/>
          <w:u w:val="single" w:color="auto"/>
          <w:color w:val="auto"/>
        </w:rPr>
        <w:t>Section 3(g)</w:t>
      </w:r>
      <w:r>
        <w:rPr>
          <w:rFonts w:ascii="Times New Roman" w:cs="Times New Roman" w:eastAsia="Times New Roman" w:hAnsi="Times New Roman"/>
          <w:sz w:val="22"/>
          <w:szCs w:val="22"/>
          <w:color w:val="auto"/>
        </w:rPr>
        <w:t>, neither this Agreement nor any of the rights, interests or obligations hereunder shall be assigned by any of the parties without the prior written consent of the other parties hereto, except that Parent may assign, it its sole discretion, any or all of its rights, interest and obligations hereunder to any direct or indirect wholly owned Subsidiary of Parent. Subject to the preceding sentence, this Agreement will be binding upon, inure to the benefit of and be enforceable by the parties hereto and their respective successors and assigns. Except as otherwise expressly provided herein, this Agreement (including the documents and instruments referred to herein) is not intended to confer upon any Person other than the parties hereto any rights or remedies hereunder.</w:t>
      </w:r>
    </w:p>
    <w:p>
      <w:pPr>
        <w:spacing w:after="0" w:line="205" w:lineRule="exact"/>
        <w:rPr>
          <w:rFonts w:ascii="Times New Roman" w:cs="Times New Roman" w:eastAsia="Times New Roman" w:hAnsi="Times New Roman"/>
          <w:sz w:val="22"/>
          <w:szCs w:val="22"/>
          <w:color w:val="auto"/>
        </w:rPr>
      </w:pPr>
    </w:p>
    <w:p>
      <w:pPr>
        <w:ind w:firstLine="656"/>
        <w:spacing w:after="0" w:line="258" w:lineRule="auto"/>
        <w:tabs>
          <w:tab w:leader="none" w:pos="1458"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Agreement and the covenants and agreements set forth in this Agreement shall automatically terminate (without any further action of the parties) upon the earliest to occur of:</w:t>
      </w:r>
    </w:p>
    <w:p>
      <w:pPr>
        <w:spacing w:after="0" w:line="185" w:lineRule="exact"/>
        <w:rPr>
          <w:rFonts w:ascii="Times New Roman" w:cs="Times New Roman" w:eastAsia="Times New Roman" w:hAnsi="Times New Roman"/>
          <w:sz w:val="22"/>
          <w:szCs w:val="22"/>
          <w:color w:val="auto"/>
        </w:rPr>
      </w:pPr>
    </w:p>
    <w:p>
      <w:pPr>
        <w:ind w:left="2080" w:hanging="776"/>
        <w:spacing w:after="0"/>
        <w:tabs>
          <w:tab w:leader="none" w:pos="2080"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of the Merger Agreement in accordance with its terms;</w:t>
      </w:r>
    </w:p>
    <w:p>
      <w:pPr>
        <w:spacing w:after="0" w:line="233" w:lineRule="exact"/>
        <w:rPr>
          <w:rFonts w:ascii="Times New Roman" w:cs="Times New Roman" w:eastAsia="Times New Roman" w:hAnsi="Times New Roman"/>
          <w:sz w:val="22"/>
          <w:szCs w:val="22"/>
          <w:color w:val="auto"/>
        </w:rPr>
      </w:pPr>
    </w:p>
    <w:p>
      <w:pPr>
        <w:ind w:left="2100" w:hanging="796"/>
        <w:spacing w:after="0"/>
        <w:tabs>
          <w:tab w:leader="none" w:pos="2100"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Time;</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2330"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any modification, waiver or amendment to the Merger Agreement effected without such Unitholder’s consent that (i) decreases the amount or changes the form of consideration payable to all of the unitholders of the Partnership pursuant to the terms of the Merger Agreement as in effect on the date of this Agreement or (ii) otherwise materially adversely affects the interests of such Unitholder;</w:t>
      </w:r>
    </w:p>
    <w:p>
      <w:pPr>
        <w:spacing w:after="0" w:line="207" w:lineRule="exact"/>
        <w:rPr>
          <w:rFonts w:ascii="Times New Roman" w:cs="Times New Roman" w:eastAsia="Times New Roman" w:hAnsi="Times New Roman"/>
          <w:sz w:val="22"/>
          <w:szCs w:val="22"/>
          <w:color w:val="auto"/>
        </w:rPr>
      </w:pPr>
    </w:p>
    <w:p>
      <w:pPr>
        <w:ind w:left="2100" w:hanging="796"/>
        <w:spacing w:after="0"/>
        <w:tabs>
          <w:tab w:leader="none" w:pos="2100"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mutual written consent of the parties hereto; and</w:t>
      </w:r>
    </w:p>
    <w:p>
      <w:pPr>
        <w:spacing w:after="0" w:line="233" w:lineRule="exact"/>
        <w:rPr>
          <w:rFonts w:ascii="Times New Roman" w:cs="Times New Roman" w:eastAsia="Times New Roman" w:hAnsi="Times New Roman"/>
          <w:sz w:val="22"/>
          <w:szCs w:val="22"/>
          <w:color w:val="auto"/>
        </w:rPr>
      </w:pPr>
    </w:p>
    <w:p>
      <w:pPr>
        <w:ind w:left="2080" w:hanging="776"/>
        <w:spacing w:after="0"/>
        <w:tabs>
          <w:tab w:leader="none" w:pos="2080"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1" w:name="page212"/>
    <w:bookmarkEnd w:id="211"/>
    <w:p>
      <w:pPr>
        <w:ind w:right="1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In the event of termination of this Agreement pursuant to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this Agreement shall become void and of no effect with no liability on the part of any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termination shall relieve any party from liability for any breach hereof prior to such termination.</w:t>
      </w:r>
    </w:p>
    <w:p>
      <w:pPr>
        <w:spacing w:after="0" w:line="201" w:lineRule="exact"/>
        <w:rPr>
          <w:sz w:val="20"/>
          <w:szCs w:val="20"/>
          <w:color w:val="auto"/>
        </w:rPr>
      </w:pPr>
    </w:p>
    <w:p>
      <w:pPr>
        <w:ind w:left="1420" w:hanging="764"/>
        <w:spacing w:after="0"/>
        <w:tabs>
          <w:tab w:leader="none" w:pos="142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660" w:right="100" w:firstLine="644"/>
        <w:spacing w:after="0" w:line="258" w:lineRule="auto"/>
        <w:tabs>
          <w:tab w:leader="none" w:pos="2088"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Agreement may be amended or supplemented in any and all respects only by written agreement of the parties hereto.</w:t>
      </w:r>
    </w:p>
    <w:p>
      <w:pPr>
        <w:spacing w:after="0" w:line="185" w:lineRule="exact"/>
        <w:rPr>
          <w:rFonts w:ascii="Times New Roman" w:cs="Times New Roman" w:eastAsia="Times New Roman" w:hAnsi="Times New Roman"/>
          <w:sz w:val="22"/>
          <w:szCs w:val="22"/>
          <w:color w:val="auto"/>
        </w:rPr>
      </w:pPr>
    </w:p>
    <w:p>
      <w:pPr>
        <w:ind w:left="660" w:right="40" w:firstLine="644"/>
        <w:spacing w:after="0" w:line="239" w:lineRule="auto"/>
        <w:tabs>
          <w:tab w:leader="none" w:pos="2100"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All notices and other communications hereunder shall be in writing and shall be deemed given if delivered personally, by email (upon receipt), telecopied (which is confirmed) or sent by overnight courier (providing proof of delivery) at the following addresses (or at such other address for a party as specified by like notice;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notices of a change of address will be effective only upon receipt thereof):</w:t>
      </w:r>
    </w:p>
    <w:p>
      <w:pPr>
        <w:spacing w:after="0" w:line="207" w:lineRule="exact"/>
        <w:rPr>
          <w:rFonts w:ascii="Times New Roman" w:cs="Times New Roman" w:eastAsia="Times New Roman" w:hAnsi="Times New Roman"/>
          <w:sz w:val="22"/>
          <w:szCs w:val="22"/>
          <w:color w:val="auto"/>
        </w:rPr>
      </w:pPr>
    </w:p>
    <w:p>
      <w:pPr>
        <w:ind w:left="2700" w:hanging="748"/>
        <w:spacing w:after="0"/>
        <w:tabs>
          <w:tab w:leader="none" w:pos="2700" w:val="left"/>
        </w:tabs>
        <w:numPr>
          <w:ilvl w:val="2"/>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Unitholders, to:</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Golar LNG Limited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2nd Floor, S.E. Pearman Building</w:t>
      </w:r>
    </w:p>
    <w:p>
      <w:pPr>
        <w:ind w:left="1960"/>
        <w:spacing w:after="0" w:line="230" w:lineRule="auto"/>
        <w:rPr>
          <w:sz w:val="20"/>
          <w:szCs w:val="20"/>
          <w:color w:val="auto"/>
        </w:rPr>
      </w:pPr>
      <w:r>
        <w:rPr>
          <w:rFonts w:ascii="Times New Roman" w:cs="Times New Roman" w:eastAsia="Times New Roman" w:hAnsi="Times New Roman"/>
          <w:sz w:val="22"/>
          <w:szCs w:val="22"/>
          <w:color w:val="auto"/>
        </w:rPr>
        <w:t>9 Par-la-Ville Road</w:t>
      </w:r>
    </w:p>
    <w:p>
      <w:pPr>
        <w:ind w:left="1960"/>
        <w:spacing w:after="0" w:line="231" w:lineRule="auto"/>
        <w:rPr>
          <w:sz w:val="20"/>
          <w:szCs w:val="20"/>
          <w:color w:val="auto"/>
        </w:rPr>
      </w:pPr>
      <w:r>
        <w:rPr>
          <w:rFonts w:ascii="Times New Roman" w:cs="Times New Roman" w:eastAsia="Times New Roman" w:hAnsi="Times New Roman"/>
          <w:sz w:val="22"/>
          <w:szCs w:val="22"/>
          <w:color w:val="auto"/>
        </w:rPr>
        <w:t>Hamilton HM 11, Bermuda</w:t>
      </w:r>
    </w:p>
    <w:p>
      <w:pPr>
        <w:ind w:left="1960"/>
        <w:spacing w:after="0"/>
        <w:tabs>
          <w:tab w:leader="none" w:pos="30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Karl Staubo</w:t>
      </w:r>
    </w:p>
    <w:p>
      <w:pPr>
        <w:ind w:left="1960"/>
        <w:spacing w:after="0"/>
        <w:tabs>
          <w:tab w:leader="none" w:pos="304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1"/>
          <w:szCs w:val="21"/>
          <w:color w:val="auto"/>
        </w:rPr>
        <w:t>+44 (0)207 063 7901</w:t>
      </w:r>
    </w:p>
    <w:p>
      <w:pPr>
        <w:jc w:val="both"/>
        <w:ind w:left="1960"/>
        <w:spacing w:after="0" w:line="230" w:lineRule="auto"/>
        <w:tabs>
          <w:tab w:leader="none" w:pos="304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karl.staubo@golar.com</w:t>
      </w:r>
    </w:p>
    <w:p>
      <w:pPr>
        <w:spacing w:after="0" w:line="1" w:lineRule="exact"/>
        <w:rPr>
          <w:sz w:val="20"/>
          <w:szCs w:val="20"/>
          <w:color w:val="auto"/>
        </w:rPr>
      </w:pPr>
    </w:p>
    <w:p>
      <w:pPr>
        <w:jc w:val="right"/>
        <w:ind w:right="6180"/>
        <w:spacing w:after="0"/>
        <w:rPr>
          <w:sz w:val="20"/>
          <w:szCs w:val="20"/>
          <w:color w:val="auto"/>
        </w:rPr>
      </w:pPr>
      <w:r>
        <w:rPr>
          <w:rFonts w:ascii="Times New Roman" w:cs="Times New Roman" w:eastAsia="Times New Roman" w:hAnsi="Times New Roman"/>
          <w:sz w:val="22"/>
          <w:szCs w:val="22"/>
          <w:color w:val="auto"/>
        </w:rPr>
        <w:t>GMLLegal@golar.com</w:t>
      </w:r>
    </w:p>
    <w:p>
      <w:pPr>
        <w:spacing w:after="0" w:line="20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Baker Botts L.L.P.</w:t>
      </w:r>
    </w:p>
    <w:p>
      <w:pPr>
        <w:ind w:left="1960"/>
        <w:spacing w:after="0" w:line="230" w:lineRule="auto"/>
        <w:rPr>
          <w:sz w:val="20"/>
          <w:szCs w:val="20"/>
          <w:color w:val="auto"/>
        </w:rPr>
      </w:pPr>
      <w:r>
        <w:rPr>
          <w:rFonts w:ascii="Times New Roman" w:cs="Times New Roman" w:eastAsia="Times New Roman" w:hAnsi="Times New Roman"/>
          <w:sz w:val="22"/>
          <w:szCs w:val="22"/>
          <w:color w:val="auto"/>
        </w:rPr>
        <w:t>30 Rockefeller Plaza</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New York, New York 10112</w:t>
      </w:r>
    </w:p>
    <w:p>
      <w:pPr>
        <w:spacing w:after="0" w:line="209" w:lineRule="exact"/>
        <w:rPr>
          <w:sz w:val="20"/>
          <w:szCs w:val="20"/>
          <w:color w:val="auto"/>
        </w:rPr>
      </w:pPr>
    </w:p>
    <w:p>
      <w:pPr>
        <w:ind w:left="1960"/>
        <w:spacing w:after="0"/>
        <w:tabs>
          <w:tab w:leader="none" w:pos="30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Michael Swidler</w:t>
      </w:r>
    </w:p>
    <w:p>
      <w:pPr>
        <w:spacing w:after="0" w:line="4"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1"/>
          <w:szCs w:val="21"/>
          <w:color w:val="auto"/>
        </w:rPr>
        <w:t>212-259-2511</w:t>
      </w:r>
    </w:p>
    <w:p>
      <w:pPr>
        <w:ind w:left="1960"/>
        <w:spacing w:after="0"/>
        <w:tabs>
          <w:tab w:leader="none" w:pos="304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michael.swidler@bakerbotts.com</w:t>
      </w:r>
    </w:p>
    <w:p>
      <w:pPr>
        <w:spacing w:after="0" w:line="20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Baker Botts L.L.P.</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700 K Street, N.W.</w:t>
      </w:r>
    </w:p>
    <w:p>
      <w:pPr>
        <w:ind w:left="1960"/>
        <w:spacing w:after="0"/>
        <w:rPr>
          <w:sz w:val="20"/>
          <w:szCs w:val="20"/>
          <w:color w:val="auto"/>
        </w:rPr>
      </w:pPr>
      <w:r>
        <w:rPr>
          <w:rFonts w:ascii="Times New Roman" w:cs="Times New Roman" w:eastAsia="Times New Roman" w:hAnsi="Times New Roman"/>
          <w:sz w:val="22"/>
          <w:szCs w:val="22"/>
          <w:color w:val="auto"/>
        </w:rPr>
        <w:t>Washington, DC 20001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40" w:type="dxa"/>
            <w:vAlign w:val="bottom"/>
          </w:tcPr>
          <w:p>
            <w:pPr>
              <w:ind w:left="1960"/>
              <w:spacing w:after="0"/>
              <w:rPr>
                <w:sz w:val="20"/>
                <w:szCs w:val="20"/>
                <w:color w:val="auto"/>
              </w:rPr>
            </w:pPr>
            <w:r>
              <w:rPr>
                <w:rFonts w:ascii="Times New Roman" w:cs="Times New Roman" w:eastAsia="Times New Roman" w:hAnsi="Times New Roman"/>
                <w:sz w:val="22"/>
                <w:szCs w:val="22"/>
                <w:color w:val="auto"/>
              </w:rPr>
              <w:t>Attention:</w:t>
            </w:r>
          </w:p>
        </w:tc>
        <w:tc>
          <w:tcPr>
            <w:tcW w:w="8300" w:type="dxa"/>
            <w:vAlign w:val="bottom"/>
          </w:tcPr>
          <w:p>
            <w:pPr>
              <w:jc w:val="right"/>
              <w:ind w:right="6364"/>
              <w:spacing w:after="0"/>
              <w:rPr>
                <w:sz w:val="20"/>
                <w:szCs w:val="20"/>
                <w:color w:val="auto"/>
              </w:rPr>
            </w:pPr>
            <w:r>
              <w:rPr>
                <w:rFonts w:ascii="Times New Roman" w:cs="Times New Roman" w:eastAsia="Times New Roman" w:hAnsi="Times New Roman"/>
                <w:sz w:val="22"/>
                <w:szCs w:val="22"/>
                <w:color w:val="auto"/>
              </w:rPr>
              <w:t>Catherine Gallagher</w:t>
            </w:r>
          </w:p>
        </w:tc>
      </w:tr>
      <w:tr>
        <w:trPr>
          <w:trHeight w:val="282"/>
        </w:trPr>
        <w:tc>
          <w:tcPr>
            <w:tcW w:w="2940" w:type="dxa"/>
            <w:vAlign w:val="bottom"/>
          </w:tcPr>
          <w:p>
            <w:pPr>
              <w:ind w:left="1960"/>
              <w:spacing w:after="0"/>
              <w:rPr>
                <w:sz w:val="20"/>
                <w:szCs w:val="20"/>
                <w:color w:val="auto"/>
              </w:rPr>
            </w:pPr>
            <w:r>
              <w:rPr>
                <w:rFonts w:ascii="Times New Roman" w:cs="Times New Roman" w:eastAsia="Times New Roman" w:hAnsi="Times New Roman"/>
                <w:sz w:val="22"/>
                <w:szCs w:val="22"/>
                <w:color w:val="auto"/>
              </w:rPr>
              <w:t>Email:</w:t>
            </w:r>
          </w:p>
        </w:tc>
        <w:tc>
          <w:tcPr>
            <w:tcW w:w="8300" w:type="dxa"/>
            <w:vAlign w:val="bottom"/>
          </w:tcPr>
          <w:p>
            <w:pPr>
              <w:jc w:val="right"/>
              <w:ind w:right="4844"/>
              <w:spacing w:after="0"/>
              <w:rPr>
                <w:sz w:val="20"/>
                <w:szCs w:val="20"/>
                <w:color w:val="auto"/>
              </w:rPr>
            </w:pPr>
            <w:r>
              <w:rPr>
                <w:rFonts w:ascii="Times New Roman" w:cs="Times New Roman" w:eastAsia="Times New Roman" w:hAnsi="Times New Roman"/>
                <w:sz w:val="22"/>
                <w:szCs w:val="22"/>
                <w:color w:val="auto"/>
              </w:rPr>
              <w:t>Catherine.gallagher@bakerbotts.com</w:t>
            </w:r>
          </w:p>
        </w:tc>
      </w:tr>
      <w:tr>
        <w:trPr>
          <w:trHeight w:val="572"/>
        </w:trPr>
        <w:tc>
          <w:tcPr>
            <w:tcW w:w="2940" w:type="dxa"/>
            <w:vAlign w:val="bottom"/>
          </w:tcPr>
          <w:p>
            <w:pPr>
              <w:spacing w:after="0"/>
              <w:rPr>
                <w:sz w:val="24"/>
                <w:szCs w:val="24"/>
                <w:color w:val="auto"/>
              </w:rPr>
            </w:pPr>
          </w:p>
        </w:tc>
        <w:tc>
          <w:tcPr>
            <w:tcW w:w="8300" w:type="dxa"/>
            <w:vAlign w:val="bottom"/>
          </w:tcPr>
          <w:p>
            <w:pPr>
              <w:jc w:val="right"/>
              <w:ind w:right="5484"/>
              <w:spacing w:after="0"/>
              <w:rPr>
                <w:sz w:val="20"/>
                <w:szCs w:val="20"/>
                <w:color w:val="auto"/>
              </w:rPr>
            </w:pPr>
            <w:r>
              <w:rPr>
                <w:rFonts w:ascii="Times New Roman" w:cs="Times New Roman" w:eastAsia="Times New Roman" w:hAnsi="Times New Roman"/>
                <w:sz w:val="14"/>
                <w:szCs w:val="14"/>
                <w:color w:val="auto"/>
              </w:rPr>
              <w:t>8</w:t>
            </w:r>
          </w:p>
        </w:tc>
      </w:tr>
      <w:tr>
        <w:trPr>
          <w:trHeight w:val="44"/>
        </w:trPr>
        <w:tc>
          <w:tcPr>
            <w:tcW w:w="2940" w:type="dxa"/>
            <w:vAlign w:val="bottom"/>
            <w:tcBorders>
              <w:bottom w:val="single" w:sz="8" w:color="auto"/>
            </w:tcBorders>
          </w:tcPr>
          <w:p>
            <w:pPr>
              <w:spacing w:after="0"/>
              <w:rPr>
                <w:sz w:val="3"/>
                <w:szCs w:val="3"/>
                <w:color w:val="auto"/>
              </w:rPr>
            </w:pPr>
          </w:p>
        </w:tc>
        <w:tc>
          <w:tcPr>
            <w:tcW w:w="83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2" w:right="339" w:bottom="1440" w:gutter="0" w:footer="0" w:header="0"/>
        </w:sectPr>
      </w:pPr>
    </w:p>
    <w:bookmarkStart w:id="212" w:name="page213"/>
    <w:bookmarkEnd w:id="212"/>
    <w:p>
      <w:pPr>
        <w:ind w:left="1580" w:hanging="748"/>
        <w:spacing w:after="0"/>
        <w:tabs>
          <w:tab w:leader="none" w:pos="158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Parent, to:</w:t>
      </w:r>
    </w:p>
    <w:p>
      <w:pPr>
        <w:spacing w:after="0" w:line="23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111 W. 19th Street, 8th Floor</w:t>
      </w:r>
    </w:p>
    <w:p>
      <w:pPr>
        <w:ind w:left="840"/>
        <w:spacing w:after="0"/>
        <w:rPr>
          <w:sz w:val="20"/>
          <w:szCs w:val="20"/>
          <w:color w:val="auto"/>
        </w:rPr>
      </w:pPr>
      <w:r>
        <w:rPr>
          <w:rFonts w:ascii="Times New Roman" w:cs="Times New Roman" w:eastAsia="Times New Roman" w:hAnsi="Times New Roman"/>
          <w:sz w:val="22"/>
          <w:szCs w:val="22"/>
          <w:color w:val="auto"/>
        </w:rPr>
        <w:t>New York, New York 10011</w:t>
      </w:r>
    </w:p>
    <w:p>
      <w:pPr>
        <w:spacing w:after="0" w:line="209" w:lineRule="exact"/>
        <w:rPr>
          <w:sz w:val="20"/>
          <w:szCs w:val="20"/>
          <w:color w:val="auto"/>
        </w:rPr>
      </w:pPr>
    </w:p>
    <w:p>
      <w:pPr>
        <w:ind w:left="840"/>
        <w:spacing w:after="0"/>
        <w:tabs>
          <w:tab w:leader="none" w:pos="164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Cameron D. MacDougall</w:t>
      </w:r>
    </w:p>
    <w:p>
      <w:pPr>
        <w:spacing w:after="0" w:line="14" w:lineRule="exact"/>
        <w:rPr>
          <w:sz w:val="20"/>
          <w:szCs w:val="20"/>
          <w:color w:val="auto"/>
        </w:rPr>
      </w:pPr>
    </w:p>
    <w:p>
      <w:pPr>
        <w:ind w:left="840"/>
        <w:spacing w:after="0"/>
        <w:tabs>
          <w:tab w:leader="none" w:pos="17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cmacdougall@fortress.com</w:t>
      </w:r>
    </w:p>
    <w:p>
      <w:pPr>
        <w:spacing w:after="0" w:line="2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Skadden, Arps, Slate, Meagher &amp; Flom LLP</w:t>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One Manhattan West</w:t>
      </w:r>
    </w:p>
    <w:p>
      <w:pPr>
        <w:ind w:left="840"/>
        <w:spacing w:after="0" w:line="230" w:lineRule="auto"/>
        <w:rPr>
          <w:sz w:val="20"/>
          <w:szCs w:val="20"/>
          <w:color w:val="auto"/>
        </w:rPr>
      </w:pPr>
      <w:r>
        <w:rPr>
          <w:rFonts w:ascii="Times New Roman" w:cs="Times New Roman" w:eastAsia="Times New Roman" w:hAnsi="Times New Roman"/>
          <w:sz w:val="22"/>
          <w:szCs w:val="22"/>
          <w:color w:val="auto"/>
        </w:rPr>
        <w:t>New York, NY 10001</w:t>
      </w:r>
    </w:p>
    <w:p>
      <w:pPr>
        <w:ind w:left="840"/>
        <w:spacing w:after="0"/>
        <w:tabs>
          <w:tab w:leader="none" w:pos="190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Joseph A. Coco;</w:t>
      </w:r>
    </w:p>
    <w:p>
      <w:pPr>
        <w:ind w:left="2300"/>
        <w:spacing w:after="0" w:line="230" w:lineRule="auto"/>
        <w:rPr>
          <w:sz w:val="20"/>
          <w:szCs w:val="20"/>
          <w:color w:val="auto"/>
        </w:rPr>
      </w:pPr>
      <w:r>
        <w:rPr>
          <w:rFonts w:ascii="Times New Roman" w:cs="Times New Roman" w:eastAsia="Times New Roman" w:hAnsi="Times New Roman"/>
          <w:sz w:val="22"/>
          <w:szCs w:val="22"/>
          <w:color w:val="auto"/>
        </w:rPr>
        <w:t>Thomas W. Greenberg</w:t>
      </w:r>
    </w:p>
    <w:p>
      <w:pPr>
        <w:ind w:left="840"/>
        <w:spacing w:after="0"/>
        <w:tabs>
          <w:tab w:leader="none" w:pos="192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1"/>
          <w:szCs w:val="21"/>
          <w:color w:val="auto"/>
        </w:rPr>
        <w:t>(212) 735-2000</w:t>
      </w:r>
    </w:p>
    <w:p>
      <w:pPr>
        <w:ind w:left="840"/>
        <w:spacing w:after="0" w:line="230" w:lineRule="auto"/>
        <w:tabs>
          <w:tab w:leader="none" w:pos="19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joseph.coco@skadden.com;</w:t>
      </w:r>
    </w:p>
    <w:p>
      <w:pPr>
        <w:spacing w:after="0" w:line="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thomas.greenberg@skadden.com</w:t>
      </w:r>
    </w:p>
    <w:p>
      <w:pPr>
        <w:spacing w:after="0" w:line="2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Skadden, Arps, Slate, Meagher &amp; Flom LLP</w:t>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1000 Louisiana St., Suite 6800</w:t>
      </w:r>
    </w:p>
    <w:p>
      <w:pPr>
        <w:ind w:left="840"/>
        <w:spacing w:after="0" w:line="230" w:lineRule="auto"/>
        <w:rPr>
          <w:sz w:val="20"/>
          <w:szCs w:val="20"/>
          <w:color w:val="auto"/>
        </w:rPr>
      </w:pPr>
      <w:r>
        <w:rPr>
          <w:rFonts w:ascii="Times New Roman" w:cs="Times New Roman" w:eastAsia="Times New Roman" w:hAnsi="Times New Roman"/>
          <w:sz w:val="22"/>
          <w:szCs w:val="22"/>
          <w:color w:val="auto"/>
        </w:rPr>
        <w:t>Houston, TX 77002</w:t>
      </w:r>
    </w:p>
    <w:p>
      <w:pPr>
        <w:ind w:left="840"/>
        <w:spacing w:after="0"/>
        <w:tabs>
          <w:tab w:leader="none" w:pos="190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Eric C. Otness</w:t>
      </w:r>
    </w:p>
    <w:p>
      <w:pPr>
        <w:ind w:left="840"/>
        <w:spacing w:after="0"/>
        <w:tabs>
          <w:tab w:leader="none" w:pos="192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1"/>
          <w:szCs w:val="21"/>
          <w:color w:val="auto"/>
        </w:rPr>
        <w:t>(713) 655-5200</w:t>
      </w:r>
    </w:p>
    <w:p>
      <w:pPr>
        <w:spacing w:after="0" w:line="1" w:lineRule="exact"/>
        <w:rPr>
          <w:sz w:val="20"/>
          <w:szCs w:val="20"/>
          <w:color w:val="auto"/>
        </w:rPr>
      </w:pPr>
    </w:p>
    <w:p>
      <w:pPr>
        <w:ind w:left="840"/>
        <w:spacing w:after="0"/>
        <w:tabs>
          <w:tab w:leader="none" w:pos="19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eric.ottness@skadden.com</w:t>
      </w:r>
    </w:p>
    <w:p>
      <w:pPr>
        <w:spacing w:after="0" w:line="209" w:lineRule="exact"/>
        <w:rPr>
          <w:sz w:val="20"/>
          <w:szCs w:val="20"/>
          <w:color w:val="auto"/>
        </w:rPr>
      </w:pPr>
    </w:p>
    <w:p>
      <w:pPr>
        <w:jc w:val="both"/>
        <w:ind w:left="-460" w:firstLine="644"/>
        <w:spacing w:after="0" w:line="238" w:lineRule="auto"/>
        <w:tabs>
          <w:tab w:leader="none" w:pos="1116"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When a reference is made in this Agreement to a Section, such reference shall be to a Section to this Agreement unless otherwise indicated. The headings contained in this Agreement are for reference purposes only and shall not affect in any way the meaning or interpretation of this Agreement. Wherever the words “include,” “includes” or “including” are used in this Agreement, they shall be deemed to be followed by the words “without limitation.”</w:t>
      </w:r>
    </w:p>
    <w:p>
      <w:pPr>
        <w:spacing w:after="0" w:line="203" w:lineRule="exact"/>
        <w:rPr>
          <w:rFonts w:ascii="Times New Roman" w:cs="Times New Roman" w:eastAsia="Times New Roman" w:hAnsi="Times New Roman"/>
          <w:sz w:val="22"/>
          <w:szCs w:val="22"/>
          <w:color w:val="auto"/>
        </w:rPr>
      </w:pPr>
    </w:p>
    <w:p>
      <w:pPr>
        <w:jc w:val="both"/>
        <w:ind w:left="-460" w:firstLine="644"/>
        <w:spacing w:after="0" w:line="239" w:lineRule="auto"/>
        <w:tabs>
          <w:tab w:leader="none" w:pos="102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(including by facsimile or electronic mail),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3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213" w:name="page214"/>
    <w:bookmarkEnd w:id="213"/>
    <w:p>
      <w:pPr>
        <w:jc w:val="both"/>
        <w:ind w:left="-460" w:firstLine="644"/>
        <w:spacing w:after="0" w:line="244" w:lineRule="auto"/>
        <w:tabs>
          <w:tab w:leader="none" w:pos="1157"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the documents and the instruments referred to herein) constitutes the entire agreement and supersedes all prior agreements and understandings, both written and oral, among the parties hereto with respect to the subject matter hereof.</w:t>
      </w:r>
    </w:p>
    <w:p>
      <w:pPr>
        <w:spacing w:after="0" w:line="201" w:lineRule="exact"/>
        <w:rPr>
          <w:rFonts w:ascii="Times New Roman" w:cs="Times New Roman" w:eastAsia="Times New Roman" w:hAnsi="Times New Roman"/>
          <w:sz w:val="22"/>
          <w:szCs w:val="22"/>
          <w:color w:val="auto"/>
        </w:rPr>
      </w:pPr>
    </w:p>
    <w:p>
      <w:pPr>
        <w:jc w:val="both"/>
        <w:ind w:left="-460" w:firstLine="644"/>
        <w:spacing w:after="0" w:line="236" w:lineRule="auto"/>
        <w:tabs>
          <w:tab w:leader="none" w:pos="863"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Delaware applicable to contracts executed in and to be performed entirely in that state, regardless of the Laws that might otherwise govern under any applicable conflict of laws principles, except to the extent any provisions of this Agreement which relate to statutory duties, obligations and/or statutory provisions, or which arise under, the Laws of the Marshall Islands (including those applicable to the Merger) shall be governed by and in accordance with the Laws of the Marshall Islands.</w:t>
      </w:r>
    </w:p>
    <w:p>
      <w:pPr>
        <w:spacing w:after="0" w:line="208" w:lineRule="exact"/>
        <w:rPr>
          <w:rFonts w:ascii="Times New Roman" w:cs="Times New Roman" w:eastAsia="Times New Roman" w:hAnsi="Times New Roman"/>
          <w:sz w:val="22"/>
          <w:szCs w:val="22"/>
          <w:color w:val="auto"/>
        </w:rPr>
      </w:pPr>
    </w:p>
    <w:p>
      <w:pPr>
        <w:jc w:val="both"/>
        <w:ind w:left="-460" w:firstLine="644"/>
        <w:spacing w:after="0" w:line="235" w:lineRule="auto"/>
        <w:tabs>
          <w:tab w:leader="none" w:pos="1047"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attempt to modify this Agreement so as to effect the original intent of the parties as closely as possible to the fullest extent permitted by applicable Law in an acceptable manner to the end that the Transactions are fulfilled to the extent possible.</w:t>
      </w:r>
    </w:p>
    <w:p>
      <w:pPr>
        <w:spacing w:after="0" w:line="210" w:lineRule="exact"/>
        <w:rPr>
          <w:rFonts w:ascii="Times New Roman" w:cs="Times New Roman" w:eastAsia="Times New Roman" w:hAnsi="Times New Roman"/>
          <w:sz w:val="22"/>
          <w:szCs w:val="22"/>
          <w:color w:val="auto"/>
        </w:rPr>
      </w:pPr>
    </w:p>
    <w:p>
      <w:pPr>
        <w:jc w:val="both"/>
        <w:ind w:left="-460" w:firstLine="644"/>
        <w:spacing w:after="0" w:line="234" w:lineRule="auto"/>
        <w:tabs>
          <w:tab w:leader="none" w:pos="1047"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Any provisions of this Agreement may be waived at any time by the party that is entitled to the benefits thereof. Any agreement on the part of a party hereto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w:t>
      </w:r>
    </w:p>
    <w:p>
      <w:pPr>
        <w:spacing w:after="0" w:line="210" w:lineRule="exact"/>
        <w:rPr>
          <w:rFonts w:ascii="Times New Roman" w:cs="Times New Roman" w:eastAsia="Times New Roman" w:hAnsi="Times New Roman"/>
          <w:sz w:val="22"/>
          <w:szCs w:val="22"/>
          <w:color w:val="auto"/>
        </w:rPr>
      </w:pPr>
    </w:p>
    <w:p>
      <w:pPr>
        <w:jc w:val="both"/>
        <w:ind w:left="-460" w:firstLine="644"/>
        <w:spacing w:after="0" w:line="238" w:lineRule="auto"/>
        <w:tabs>
          <w:tab w:leader="none" w:pos="959"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Each Unitholder will, from time to time, (i) at the request of Parent take, or cause to be taken, all actions, and do, or cause to be done, and assist and cooperate with the other parties hereto in doing, all things reasonably necessary, proper or advisable to carry out the intent and purposes of this Agreement and (ii) execute and deliver, or cause to be executed and delivered, such additional or further consents, documents and other instruments as Parent may reasonably request for the purpose of effectively carrying out the intent and purposes of this Agreement.</w:t>
      </w:r>
    </w:p>
    <w:p>
      <w:pPr>
        <w:spacing w:after="0" w:line="38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214" w:name="page215"/>
    <w:bookmarkEnd w:id="214"/>
    <w:p>
      <w:pPr>
        <w:jc w:val="both"/>
        <w:ind w:left="660" w:firstLine="644"/>
        <w:spacing w:after="0" w:line="236" w:lineRule="auto"/>
        <w:tabs>
          <w:tab w:leader="none" w:pos="2281"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 Except as otherwise required by Law (including securities Laws and regulations) and the regulations of any national stock exchange, so long as this Agreement is in effect, each Unitholder shall not issue or cause the publication of any press release or other public announcement with respect to, or otherwise make any public statement concerning, the transactions contemplated by this Agreement or the Merger Agreement, except to the extent the Partnership would be permitted to issue any press release or make any public statement in accordance with the terms of the Merger Agreement.</w:t>
      </w:r>
    </w:p>
    <w:p>
      <w:pPr>
        <w:spacing w:after="0" w:line="209" w:lineRule="exact"/>
        <w:rPr>
          <w:rFonts w:ascii="Times New Roman" w:cs="Times New Roman" w:eastAsia="Times New Roman" w:hAnsi="Times New Roman"/>
          <w:sz w:val="22"/>
          <w:szCs w:val="22"/>
          <w:color w:val="auto"/>
        </w:rPr>
      </w:pPr>
    </w:p>
    <w:p>
      <w:pPr>
        <w:ind w:left="660" w:firstLine="644"/>
        <w:spacing w:after="0" w:line="258" w:lineRule="auto"/>
        <w:tabs>
          <w:tab w:leader="none" w:pos="2113"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used but not defined herein shall have the meanings set forth in the Merger Agreement.</w:t>
      </w:r>
    </w:p>
    <w:p>
      <w:pPr>
        <w:spacing w:after="0" w:line="185" w:lineRule="exact"/>
        <w:rPr>
          <w:rFonts w:ascii="Times New Roman" w:cs="Times New Roman" w:eastAsia="Times New Roman" w:hAnsi="Times New Roman"/>
          <w:sz w:val="22"/>
          <w:szCs w:val="22"/>
          <w:color w:val="auto"/>
        </w:rPr>
      </w:pPr>
    </w:p>
    <w:p>
      <w:pPr>
        <w:jc w:val="both"/>
        <w:ind w:firstLine="656"/>
        <w:spacing w:after="0" w:line="238" w:lineRule="auto"/>
        <w:tabs>
          <w:tab w:leader="none" w:pos="1377"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Unitholder Capacity</w:t>
      </w:r>
      <w:r>
        <w:rPr>
          <w:rFonts w:ascii="Times New Roman" w:cs="Times New Roman" w:eastAsia="Times New Roman" w:hAnsi="Times New Roman"/>
          <w:sz w:val="22"/>
          <w:szCs w:val="22"/>
          <w:color w:val="auto"/>
        </w:rPr>
        <w:t>. Each Unitholder signs solely in its capacity as the beneficial owner of its Subject Units and nothing contained herein shall limit or affect any actions taken by any officer, director, partner, Affiliate or representative of such Unitholder who is or becomes an officer or a director of the Partnership in his or her capacity as an officer or director of the Partnership, and none of such actions in such capacity shall be deemed to constitute a breach of this Agreement. Each Unitholder signs individually solely on behalf of itself and not on behalf of any other Unitholder.</w:t>
      </w:r>
    </w:p>
    <w:p>
      <w:pPr>
        <w:spacing w:after="0" w:line="203" w:lineRule="exact"/>
        <w:rPr>
          <w:rFonts w:ascii="Times New Roman" w:cs="Times New Roman" w:eastAsia="Times New Roman" w:hAnsi="Times New Roman"/>
          <w:sz w:val="22"/>
          <w:szCs w:val="22"/>
          <w:color w:val="auto"/>
        </w:rPr>
      </w:pPr>
    </w:p>
    <w:p>
      <w:pPr>
        <w:jc w:val="both"/>
        <w:ind w:firstLine="656"/>
        <w:spacing w:after="0" w:line="242" w:lineRule="auto"/>
        <w:tabs>
          <w:tab w:leader="none" w:pos="1741"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Enforcement</w:t>
      </w:r>
      <w:r>
        <w:rPr>
          <w:rFonts w:ascii="Times New Roman" w:cs="Times New Roman" w:eastAsia="Times New Roman" w:hAnsi="Times New Roman"/>
          <w:sz w:val="21"/>
          <w:szCs w:val="21"/>
          <w:color w:val="auto"/>
        </w:rPr>
        <w:t xml:space="preserve">. The parties hereto agree that irreparable damage would occur in the event that any of the provisions of this Agreement were not performed in accordance with their specific terms or were otherwise breached and that money damages would not be a sufficient remedy of any such breach. It is accordingly agreed that, in addition to any other remedy to which they are entitled at law or in equity, the parties hereto shall be entitled to specific performance and injunctive or other equitable relief, without the necessity of proving the inadequacy of money damages. Notwithstanding the foregoing, Parent agrees that with respect to any damage claim that might be brought against any Unitholder, any of its Affiliates under this Agreement, and without regard to whether such claim sounds in contract, tort or any other legal or equitable theory of relief, that damages are limited to actual damages and expressly waive any right to recover special damages, including, without limitation, lost profits as well as any punitive or exemplary damages. In the event of any litigation over the terms of this Agreement, the prevailing party in any such litigation shall be entitled to reasonable attorneys’ fees and costs incurred in connection with such litigation. The parties hereto further agree that any action or proceeding relating to this Agreement or the transactions contemplated hereby shall be brought and determined in the Court of Chancery of the State of Delaware (or, if the Court of Chancery of the State of Delaware declines to accept jurisdiction over a particular matter, the Superior Court of the State of Delaware (Complex Commercial Division) or, if subject matter jurisdiction over the matter that is the subject of the action or proceeding is vested exclusively in the federal courts of the United States of America, the federal court of the United States of America sitting in the district of Delaware) and any appellate court from any thereof. In addition, each of the parties hereto (a) consents that each party hereto irrevocably submits to the exclusive jurisdiction and venue of such courts listed in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in the event any dispute arises out of this Agreement or any of the transactions contemplated hereby, (b) agrees that each party hereto irrevocably waives the defense of an inconvenient forum and all other defenses to venue in any such court in any such action or proceeding, and (c) waives any right to trial by jury with respect to any claim or proceeding related to or arising out of this Agreement or any of the transactions contemplated hereby. EACH PARTY HERETO HEREBY IRREVOCABLY AND UNCONDITIONALLY WAIVES ANY RIGHT IT MAY HAVE TO A TRIAL BY JURY IN RESPECT OF ANY LITIGATION OR PROCEEDING DIRECTLY OR INDIRECTLY ARISING OUT OF OR RELATING TO THIS AGREEMENT OR THE TRANSACTIONS CONTEMPLATED HEREBY. EACH PARTY HERETO CERTIFIES AND ACKNOWLEDGES THAT (I) NO REPRESENTATIVE, AGENT OR ATTORNEY OF ANY OTHER PARTY HAS REPRESENTED, EXPRESSLY OR OTHERWISE, THAT SUCH OTHER PARTY WOULD NOT, IN THE EVENT OF LITIGATION, SEEK TO ENFORCE ANY OF SUCH WAIVER, (II) IT UNDERSTANDS AND HAS CONSIDERED THE IMPLICATIONS OF SUCH WAIVER, (III) IT MAKES SUCH WAIVER VOLUNTARILY, AND (IV) IT HAS BEEN INDUCED TO ENTER INTO THIS AGREEMENT BY, AMONG OTHER THINGS, THE MUTUAL WAIVERS AND CERTIFICATIONS IN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w:t>
      </w:r>
    </w:p>
    <w:p>
      <w:pPr>
        <w:spacing w:after="0" w:line="228" w:lineRule="exact"/>
        <w:rPr>
          <w:rFonts w:ascii="Times New Roman" w:cs="Times New Roman" w:eastAsia="Times New Roman" w:hAnsi="Times New Roman"/>
          <w:sz w:val="21"/>
          <w:szCs w:val="21"/>
          <w:color w:val="auto"/>
        </w:rPr>
      </w:pPr>
    </w:p>
    <w:p>
      <w:pPr>
        <w:jc w:val="both"/>
        <w:ind w:firstLine="656"/>
        <w:spacing w:after="0" w:line="236" w:lineRule="auto"/>
        <w:tabs>
          <w:tab w:leader="none" w:pos="1512"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Ownership Interest</w:t>
      </w:r>
      <w:r>
        <w:rPr>
          <w:rFonts w:ascii="Times New Roman" w:cs="Times New Roman" w:eastAsia="Times New Roman" w:hAnsi="Times New Roman"/>
          <w:sz w:val="22"/>
          <w:szCs w:val="22"/>
          <w:color w:val="auto"/>
        </w:rPr>
        <w:t>. Nothing contained in this Agreement shall be deemed to vest in Parent or any other Person any direct or indirect ownership or incidence of ownership of, or with respect to, any Subject Units. Subject to the restrictions and requirements set forth in this Agreement, all rights, ownership and economic benefits of and relating to the Subject Units shall remain vested in and belong to each Unitholder, and this Agreement shall not confer any right, power or authority upon Parent or any other Person to direct the Unitholder in the voting of any of the Subject Units (except as otherwise specifically provided for herein).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the page intentionally left blank</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215" w:name="page216"/>
    <w:bookmarkEnd w:id="215"/>
    <w:p>
      <w:pPr>
        <w:ind w:left="180"/>
        <w:spacing w:after="0"/>
        <w:rPr>
          <w:sz w:val="20"/>
          <w:szCs w:val="20"/>
          <w:color w:val="auto"/>
        </w:rPr>
      </w:pPr>
      <w:r>
        <w:rPr>
          <w:rFonts w:ascii="Times New Roman" w:cs="Times New Roman" w:eastAsia="Times New Roman" w:hAnsi="Times New Roman"/>
          <w:sz w:val="21"/>
          <w:szCs w:val="21"/>
          <w:color w:val="auto"/>
        </w:rPr>
        <w:t>IN WITNESS WHEREOF, this Agreement has been executed and delivered as of the date first written above.</w:t>
      </w:r>
    </w:p>
    <w:p>
      <w:pPr>
        <w:spacing w:after="0" w:line="25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Christopher Guinta</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Support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279400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60"/>
          </w:cols>
          <w:pgMar w:left="1440" w:top="112" w:right="799" w:bottom="1440" w:gutter="0" w:footer="0" w:header="0"/>
        </w:sectPr>
      </w:pPr>
    </w:p>
    <w:bookmarkStart w:id="216" w:name="page217"/>
    <w:bookmarkEnd w:id="216"/>
    <w:p>
      <w:pPr>
        <w:ind w:left="4520"/>
        <w:spacing w:after="0"/>
        <w:rPr>
          <w:sz w:val="20"/>
          <w:szCs w:val="20"/>
          <w:color w:val="auto"/>
        </w:rPr>
      </w:pPr>
      <w:r>
        <w:rPr>
          <w:rFonts w:ascii="Times New Roman" w:cs="Times New Roman" w:eastAsia="Times New Roman" w:hAnsi="Times New Roman"/>
          <w:sz w:val="18"/>
          <w:szCs w:val="18"/>
          <w:b w:val="1"/>
          <w:bCs w:val="1"/>
          <w:color w:val="auto"/>
        </w:rPr>
        <w:t>GOLAR LNG LIMITED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Georgina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jc w:val="right"/>
        <w:ind w:right="2499"/>
        <w:spacing w:after="0"/>
        <w:rPr>
          <w:sz w:val="20"/>
          <w:szCs w:val="20"/>
          <w:color w:val="auto"/>
        </w:rPr>
      </w:pPr>
      <w:r>
        <w:rPr>
          <w:rFonts w:ascii="Times New Roman" w:cs="Times New Roman" w:eastAsia="Times New Roman" w:hAnsi="Times New Roman"/>
          <w:sz w:val="18"/>
          <w:szCs w:val="18"/>
          <w:color w:val="auto"/>
        </w:rPr>
        <w:t>Name: Georgina Sousa</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Support Agreement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286385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17" w:name="page218"/>
    <w:bookmarkEnd w:id="217"/>
    <w:p>
      <w:pPr>
        <w:ind w:left="4520"/>
        <w:spacing w:after="0"/>
        <w:rPr>
          <w:sz w:val="20"/>
          <w:szCs w:val="20"/>
          <w:color w:val="auto"/>
        </w:rPr>
      </w:pPr>
      <w:r>
        <w:rPr>
          <w:rFonts w:ascii="Times New Roman" w:cs="Times New Roman" w:eastAsia="Times New Roman" w:hAnsi="Times New Roman"/>
          <w:sz w:val="21"/>
          <w:szCs w:val="21"/>
          <w:b w:val="1"/>
          <w:bCs w:val="1"/>
          <w:color w:val="auto"/>
        </w:rPr>
        <w:t>GOLAR LNG PARTNERS LP</w:t>
      </w:r>
    </w:p>
    <w:p>
      <w:pPr>
        <w:spacing w:after="0" w:line="2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Karl Fredrik Staubo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Karl Fredrik Staubo</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7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GOLAR GP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By: GOLAR LNG LIMITED, as sole</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Georgina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Georgina Sousa</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Support Agreement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286385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56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 of Unitholder</w:t>
            </w:r>
          </w:p>
        </w:tc>
        <w:tc>
          <w:tcPr>
            <w:tcW w:w="2500" w:type="dxa"/>
            <w:vAlign w:val="bottom"/>
            <w:tcBorders>
              <w:top w:val="single" w:sz="8" w:color="auto"/>
              <w:right w:val="single" w:sz="8" w:color="auto"/>
            </w:tcBorders>
          </w:tcPr>
          <w:p>
            <w:pPr>
              <w:spacing w:after="0"/>
              <w:rPr>
                <w:sz w:val="21"/>
                <w:szCs w:val="21"/>
                <w:color w:val="auto"/>
              </w:rPr>
            </w:pPr>
          </w:p>
        </w:tc>
        <w:tc>
          <w:tcPr>
            <w:tcW w:w="2500" w:type="dxa"/>
            <w:vAlign w:val="bottom"/>
            <w:tcBorders>
              <w:top w:val="single" w:sz="8" w:color="auto"/>
              <w:right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680" w:type="dxa"/>
            <w:vAlign w:val="bottom"/>
            <w:tcBorders>
              <w:top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Number of General</w:t>
            </w:r>
          </w:p>
        </w:tc>
      </w:tr>
      <w:tr>
        <w:trPr>
          <w:trHeight w:val="238"/>
        </w:trPr>
        <w:tc>
          <w:tcPr>
            <w:tcW w:w="3560" w:type="dxa"/>
            <w:vAlign w:val="bottom"/>
            <w:tcBorders>
              <w:lef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268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Partner Units</w:t>
            </w:r>
          </w:p>
        </w:tc>
      </w:tr>
      <w:tr>
        <w:trPr>
          <w:trHeight w:val="34"/>
        </w:trPr>
        <w:tc>
          <w:tcPr>
            <w:tcW w:w="3560" w:type="dxa"/>
            <w:vAlign w:val="bottom"/>
            <w:tcBorders>
              <w:left w:val="single" w:sz="8" w:color="auto"/>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43"/>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Golar LNG Limited</w:t>
            </w:r>
          </w:p>
        </w:tc>
        <w:tc>
          <w:tcPr>
            <w:tcW w:w="25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21,333,586</w:t>
            </w:r>
          </w:p>
        </w:tc>
        <w:tc>
          <w:tcPr>
            <w:tcW w:w="2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3560" w:type="dxa"/>
            <w:vAlign w:val="bottom"/>
            <w:tcBorders>
              <w:left w:val="single" w:sz="8" w:color="auto"/>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43"/>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Golar GP LLC</w:t>
            </w:r>
          </w:p>
        </w:tc>
        <w:tc>
          <w:tcPr>
            <w:tcW w:w="25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1,436,391</w:t>
            </w:r>
          </w:p>
        </w:tc>
      </w:tr>
      <w:tr>
        <w:trPr>
          <w:trHeight w:val="34"/>
        </w:trPr>
        <w:tc>
          <w:tcPr>
            <w:tcW w:w="3560" w:type="dxa"/>
            <w:vAlign w:val="bottom"/>
            <w:tcBorders>
              <w:left w:val="single" w:sz="8" w:color="auto"/>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652"/>
        </w:trPr>
        <w:tc>
          <w:tcPr>
            <w:tcW w:w="3560" w:type="dxa"/>
            <w:vAlign w:val="bottom"/>
          </w:tcPr>
          <w:p>
            <w:pPr>
              <w:spacing w:after="0"/>
              <w:rPr>
                <w:sz w:val="24"/>
                <w:szCs w:val="24"/>
                <w:color w:val="auto"/>
              </w:rPr>
            </w:pPr>
          </w:p>
        </w:tc>
        <w:tc>
          <w:tcPr>
            <w:tcW w:w="5000" w:type="dxa"/>
            <w:vAlign w:val="bottom"/>
            <w:gridSpan w:val="2"/>
          </w:tcPr>
          <w:p>
            <w:pPr>
              <w:jc w:val="right"/>
              <w:ind w:right="2730"/>
              <w:spacing w:after="0"/>
              <w:rPr>
                <w:sz w:val="20"/>
                <w:szCs w:val="20"/>
                <w:color w:val="auto"/>
              </w:rPr>
            </w:pPr>
            <w:r>
              <w:rPr>
                <w:rFonts w:ascii="Times New Roman" w:cs="Times New Roman" w:eastAsia="Times New Roman" w:hAnsi="Times New Roman"/>
                <w:sz w:val="14"/>
                <w:szCs w:val="14"/>
                <w:color w:val="auto"/>
              </w:rPr>
              <w:t>A-1</w:t>
            </w:r>
          </w:p>
        </w:tc>
        <w:tc>
          <w:tcPr>
            <w:tcW w:w="2680" w:type="dxa"/>
            <w:vAlign w:val="bottom"/>
          </w:tcPr>
          <w:p>
            <w:pPr>
              <w:spacing w:after="0"/>
              <w:rPr>
                <w:sz w:val="24"/>
                <w:szCs w:val="24"/>
                <w:color w:val="auto"/>
              </w:rPr>
            </w:pPr>
          </w:p>
        </w:tc>
      </w:tr>
      <w:tr>
        <w:trPr>
          <w:trHeight w:val="98"/>
        </w:trPr>
        <w:tc>
          <w:tcPr>
            <w:tcW w:w="356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08" w:right="339" w:bottom="1440" w:gutter="0" w:footer="0" w:header="0"/>
        </w:sectPr>
      </w:pPr>
    </w:p>
    <w:bookmarkStart w:id="219" w:name="page220"/>
    <w:bookmarkEnd w:id="219"/>
    <w:p>
      <w:pPr>
        <w:ind w:left="101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4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New Fortress Energy to Acquire Hygo Energy Transition Ltd. and Golar LNG Partners LP in Combined $5 Billion Transaction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Highlights</w:t>
      </w:r>
    </w:p>
    <w:p>
      <w:pPr>
        <w:spacing w:after="0" w:line="23" w:lineRule="exact"/>
        <w:rPr>
          <w:sz w:val="20"/>
          <w:szCs w:val="20"/>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NFE will become the leading gas-to-power company in Brazil, one of the largest economies in the world with a population of over 200 million</w:t>
      </w:r>
    </w:p>
    <w:p>
      <w:pPr>
        <w:spacing w:after="0" w:line="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2700MW of power generation operational or in development and robust customer pipeline in Brazil’s rapidly growing natural gas and power markets</w:t>
      </w: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world-class LNG shipping experience and assets for NFE’s fully integrated approach to advance the global energy transition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Accelerates NFE’s rapid growth, with expansion of LNG terminals operational or in development from five to nine</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1"/>
          <w:szCs w:val="21"/>
          <w:color w:val="auto"/>
        </w:rPr>
        <w:t>NEW YORK – (BUSINESS WIRE) – January [13], 2021 – New Fortress Energy Inc. (Nasdaq: NFE) (“NFE”) today announced that it has entered into definitive agreements to acquire Hygo Energy Transition Ltd. (“Hygo”), a 50-50 joint venture between Golar LNG Limited (Nasdaq: GLNG) (“GLNG”) and Stonepeak Infrastructure Fund II Cayman (G) Ltd., a fund managed by Stonepeak Infrastructure Partners (“Stonepeak”), and Golar LNG Partners, LP (Nasdaq: GMLP) (“GMLP”).</w:t>
      </w:r>
    </w:p>
    <w:p>
      <w:pPr>
        <w:spacing w:after="0" w:line="18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1"/>
          <w:szCs w:val="21"/>
          <w:color w:val="auto"/>
        </w:rPr>
        <w:t>“With a strong presence in Brazil and a world-class LNG shipping business, Hygo and GMLP are excellent additions to our efforts to accelerate the world’s energy transition,” said Wes Edens, Chairman and CEO of NFE. “The addition of Hygo will quickly expand our footprint in South America with three gas-to-power projects in Brazil’s large and fast-growing market. With GMLP, we gain LNG ships and world-class operators that are an ideal fit to support our existing terminals and robust pipeline.”</w:t>
      </w:r>
    </w:p>
    <w:p>
      <w:pPr>
        <w:spacing w:after="0" w:line="189"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“We are impressed with what Wes Edens and the NFE team have created and their commitment to changing the energy industry,” said Golar LNG Chairman Tor Olav Troim. “They share our vision to provide cheaper and cleaner energy to a growing population. The consolidation of two of the entrepreneurial LNG downstream players gives the company improved access to capital and creates a unique world-leading energy transition company which Golar shareholders will benefit from being a part of going forward.”</w:t>
      </w:r>
    </w:p>
    <w:p>
      <w:pPr>
        <w:spacing w:after="0" w:line="204"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22"/>
          <w:szCs w:val="22"/>
          <w:color w:val="auto"/>
        </w:rPr>
        <w:t>“Tor Olav Trøim and his teams have been pioneers in the global shipping and energy industries,” continued Edens. “The addition of this great portfolio of assets enhances our fully integrated approach and we’re excited for them to become part of NFE. This is a great step towards our goal of finishing this year with fifteen to twenty terminals that bring more clean and affordable energy to growing markets around the world.”</w:t>
      </w:r>
    </w:p>
    <w:p>
      <w:pPr>
        <w:spacing w:after="0" w:line="20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With the acquisition of Hygo, NFE will acquire an operating floating storage and regasification unit (FSRU) terminal and a 50% interest in a 1500MW power plant in Sergipe, Brazil as well as two other FSRU terminals with 1200MW of power in advanced stages in Brazil. Hygo’s fleet consists of a newbuild FSRU and two operating LNG carriers.</w:t>
      </w:r>
    </w:p>
    <w:p>
      <w:pPr>
        <w:spacing w:after="0" w:line="20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21"/>
          <w:szCs w:val="21"/>
          <w:color w:val="auto"/>
        </w:rPr>
        <w:t>NFE will also acquire a leading owner of FSRUs and LNG carriers as well as a pioneer in floating liquefaction technologies with the GMLP transaction. The addition of GMLP’s fleet of six FSRUs, four LNG carriers and a 50% interest in Trains 1 and 2 of the Hilli, a floating liquefaction vessel, is expected to support both NFE’s existing facilities and international project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2"/>
          <w:szCs w:val="22"/>
          <w:b w:val="1"/>
          <w:bCs w:val="1"/>
          <w:u w:val="single" w:color="auto"/>
          <w:color w:val="auto"/>
        </w:rPr>
        <w:t>Acquisition of Hygo Energy Transition Ltd.</w:t>
      </w:r>
    </w:p>
    <w:p>
      <w:pPr>
        <w:spacing w:after="0" w:line="238"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1"/>
          <w:szCs w:val="21"/>
          <w:color w:val="auto"/>
        </w:rPr>
        <w:t>Under NFE’s agreement with Hygo (the “Hygo Agreement”), NFE will acquire all of the outstanding shares of Hygo for 31.4 million shares of NFE Class A common stock and $580 million in cash. The transaction is valued at a $3.1 billion enterprise value and a $2.18 billion equity value. Pursuant to the transaction, GLNG will receive 18.6 million shares of NFE Class A common stock and $50 million in cash and Stonepeak will receive 12.7 million shares of NFE Class A common stock and $530 million in cash. Hygo’s Board of Directors, together with GLNG and Stonepeak, the shareholders of Hygo, have unanimously approved the proposed transaction with NFE. The closing of the transaction is subject to the receipt of certain regulatory approvals and third party consents and other customary closing conditions, and is expected to occur in the first half of 2021.</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Acquisition of Golar LNG Partners, LP</w:t>
      </w:r>
    </w:p>
    <w:p>
      <w:pPr>
        <w:spacing w:after="0" w:line="237"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2"/>
          <w:szCs w:val="22"/>
          <w:color w:val="auto"/>
        </w:rPr>
        <w:t>Under NFE’s agreement with GMLP (the “GMLP Agreement”), NFE has agreed to acquire all of the outstanding common units of GMLP for $3.55 per common unit in cash. NFE has also agreed to acquire GMLP’s general partner for equivalent consideration based on the general partner’s economic interest in GMLP. The preferred units of GMLP will remain outstanding. The transaction is valued at a $1.9 billion enterprise value and $251 million common equity value. GMLP’s Board of Directors, acting upon the recommendation of a special committee of independent directors of GMLP, unanimously approved the proposed transaction with NFE. The closing of the transaction is subject to the approval by the holders of a majority of GMLP’s outstanding common units, the receipt of certain regulatory approvals and third party consents and other customary closing conditions, and is expected to occur in the first half of 2021. GLNG has entered into a support agreement with NFE committing to vote its approximately 30.8% interest in GMLP’s common units in favor of the transaction.</w:t>
      </w:r>
    </w:p>
    <w:p>
      <w:pPr>
        <w:spacing w:after="0" w:line="2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Skadden, Arps, Slate, Meagher &amp; Flom LLP, Conyers Dill &amp; Pearman and Watson Farley and Williams are acting as NFE’s legal advisors in the transaction. Goldman Sachs &amp; Co. and Citi are acting as financial advisors to Hygo and Vinson &amp; Elkins LLP is acting as Hygo’s legal advisor. Deutsche Bank Securities Inc. is acting as financial advisor to the special committee of GMLP, Akin Gump Strauss Hauer &amp; Feld LLP is acting as the special committee’s legal advisor, and Baker Botts L.L.P. is acting as GMLP’s legal advisor. Simpson, Thacher, &amp; Bartlett LLP are acting as legal advisors to Stonepeak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New Fortress Energy</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New Fortress Energy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Language Regarding Forward-Looking Statements</w:t>
      </w:r>
    </w:p>
    <w:p>
      <w:pPr>
        <w:spacing w:after="0" w:line="237"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color w:val="auto"/>
        </w:rPr>
        <w:t>This communication contains forward-looking statements. All statements contained in this communication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w:t>
      </w: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221" w:name="page222"/>
    <w:bookmarkEnd w:id="221"/>
    <w:p>
      <w:pPr>
        <w:spacing w:after="0" w:line="243" w:lineRule="auto"/>
        <w:rPr>
          <w:sz w:val="20"/>
          <w:szCs w:val="20"/>
          <w:color w:val="auto"/>
        </w:rPr>
      </w:pPr>
      <w:r>
        <w:rPr>
          <w:rFonts w:ascii="Times New Roman" w:cs="Times New Roman" w:eastAsia="Times New Roman" w:hAnsi="Times New Roman"/>
          <w:sz w:val="21"/>
          <w:szCs w:val="21"/>
          <w:color w:val="auto"/>
        </w:rPr>
        <w:t>Specific factors that could cause actual results to differ from those in the forward-looking statements include, but are not limited to: (i) changes in federal, state, local and foreign laws or regulations to which NFE, Hygo or GMLP is subject; (ii) terrorism and other security risks, including cyber risk, adverse weather conditions, including hurricanes, environmental releases and natural disasters; (iii) adverse regional, national, or international economic conditions, adverse capital market conditions and adverse political developments; (iv) shutdowns or interruptions at Hygo’s or GMLP’s terminaling, storage and processing assets; (v) volatility in the price of LNG products; (vi) nonpayment or nonperformance by any of NFE’s, Hygo’s or GMLP’s customers or suppliers; (vii) NFE’s ability to integrate the acquired assets and operations with its existing assets and operations and to realize anticipated cost savings and other efficiencies and benefits; (viii) the risk that the proposed transactions with each of Hygo and GMLP may not be completed in a timely manner or at all; (ix) GMLP’s ability to receive, on a timely basis or otherwise, the required approval of the proposed GMLP Transaction with NFE by GMLP’s common unitholders; (x) the possibility that competing offers or acquisition proposals for GMLP will be made; (xi) the possibility that any or all of the various conditions to the consummation of the Hygo Transaction or the GMLP Transaction may not be satisfied or waived, including the failure to receive any required regulatory approvals from any applicable governmental entities (or any conditions, limitations or restrictions placed on such approvals); (xii) the effect of the announcement or pendency of the transactions contemplated by each of the Hygo Agreement and GMLP Agreement on NFE’s, Hygo’s and GMLP’s ability to retain and hire key personnel, their ability to maintain relationships with their respective customers, suppliers and others with whom they do business, and their operating results and business generally; (xiii) the possibility that long-term financing for the proposed transactions may not be available on favorable terms, or at all; and (xiv) the cautionary discussion of risks and uncertainties detailed in Part I, Item 1A, “Risk Factors” and Part II, Item 7, “Management’s Discussion and Analysis of Financial Condition and Results of Operations” of NFE’s Annual Report on Form 10-K for the fiscal year ended December 31, 2019 (as filed with the SEC on March 4, 2020) and other risk factors identified herein or from time to time in NFE’s periodic filings with the SEC. These factors are not necessarily all of the important factors that could cause actual results to differ materially from those expressed in any of NFE’s forward-looking statements. Other known or unpredictable factors could also have material adverse effects on future results.</w:t>
      </w:r>
    </w:p>
    <w:p>
      <w:pPr>
        <w:spacing w:after="0" w:line="209" w:lineRule="exact"/>
        <w:rPr>
          <w:sz w:val="20"/>
          <w:szCs w:val="20"/>
          <w:color w:val="auto"/>
        </w:rPr>
      </w:pPr>
    </w:p>
    <w:p>
      <w:pPr>
        <w:ind w:right="640"/>
        <w:spacing w:after="0" w:line="244" w:lineRule="auto"/>
        <w:rPr>
          <w:sz w:val="20"/>
          <w:szCs w:val="20"/>
          <w:color w:val="auto"/>
        </w:rPr>
      </w:pPr>
      <w:r>
        <w:rPr>
          <w:rFonts w:ascii="Times New Roman" w:cs="Times New Roman" w:eastAsia="Times New Roman" w:hAnsi="Times New Roman"/>
          <w:sz w:val="22"/>
          <w:szCs w:val="22"/>
          <w:color w:val="auto"/>
        </w:rPr>
        <w:t>We undertake no duty to update these forward-looking statements, even though our situation may change in the future. Furthermore, we cannot guarantee future results, events, levels of activity, performance, projections, achievements and the completion of each of the GMLP Transaction and the Hygo Transaction.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Joshua Kane</w:t>
      </w:r>
    </w:p>
    <w:p>
      <w:pPr>
        <w:ind w:right="8540" w:firstLine="8"/>
        <w:spacing w:after="0" w:line="258" w:lineRule="auto"/>
        <w:tabs>
          <w:tab w:leader="none" w:pos="522"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268-7455 jkane@newfortressenergy.com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Jake Suski</w:t>
      </w:r>
    </w:p>
    <w:p>
      <w:pPr>
        <w:ind w:right="8560" w:firstLine="8"/>
        <w:spacing w:after="0" w:line="258" w:lineRule="auto"/>
        <w:tabs>
          <w:tab w:leader="none" w:pos="522"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268-7403 press@newfortressenergy.com</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25ACE2"/>
    <w:multiLevelType w:val="hybridMultilevel"/>
    <w:lvl w:ilvl="0">
      <w:lvlJc w:val="left"/>
      <w:lvlText w:val="☐"/>
      <w:numFmt w:val="bullet"/>
      <w:start w:val="1"/>
    </w:lvl>
  </w:abstractNum>
  <w:abstractNum w:abstractNumId="1">
    <w:nsid w:val="175DFCF0"/>
    <w:multiLevelType w:val="hybridMultilevel"/>
    <w:lvl w:ilvl="0">
      <w:lvlJc w:val="left"/>
      <w:lvlText w:val="☐"/>
      <w:numFmt w:val="bullet"/>
      <w:start w:val="1"/>
    </w:lvl>
  </w:abstractNum>
  <w:abstractNum w:abstractNumId="2">
    <w:nsid w:val="4F97E3E4"/>
    <w:multiLevelType w:val="hybridMultilevel"/>
    <w:lvl w:ilvl="0">
      <w:lvlJc w:val="left"/>
      <w:lvlText w:val="(%1)"/>
      <w:numFmt w:val="lowerLetter"/>
      <w:start w:val="4"/>
    </w:lvl>
  </w:abstractNum>
  <w:abstractNum w:abstractNumId="3">
    <w:nsid w:val="53B0A9E"/>
    <w:multiLevelType w:val="hybridMultilevel"/>
    <w:lvl w:ilvl="0">
      <w:lvlJc w:val="left"/>
      <w:lvlText w:val="†"/>
      <w:numFmt w:val="bullet"/>
      <w:start w:val="1"/>
    </w:lvl>
  </w:abstractNum>
  <w:abstractNum w:abstractNumId="4">
    <w:nsid w:val="34FD6B4F"/>
    <w:multiLevelType w:val="hybridMultilevel"/>
    <w:lvl w:ilvl="0">
      <w:lvlJc w:val="left"/>
      <w:lvlText w:val="(%1)"/>
      <w:numFmt w:val="lowerLetter"/>
      <w:start w:val="1"/>
    </w:lvl>
  </w:abstractNum>
  <w:abstractNum w:abstractNumId="5">
    <w:nsid w:val="5915FF32"/>
    <w:multiLevelType w:val="hybridMultilevel"/>
    <w:lvl w:ilvl="0">
      <w:lvlJc w:val="left"/>
      <w:lvlText w:val="(%1)"/>
      <w:numFmt w:val="lowerLetter"/>
      <w:start w:val="6"/>
    </w:lvl>
  </w:abstractNum>
  <w:abstractNum w:abstractNumId="6">
    <w:nsid w:val="56438D15"/>
    <w:multiLevelType w:val="hybridMultilevel"/>
    <w:lvl w:ilvl="0">
      <w:lvlJc w:val="left"/>
      <w:lvlText w:val="(%1)"/>
      <w:numFmt w:val="lowerLetter"/>
      <w:start w:val="1"/>
    </w:lvl>
  </w:abstractNum>
  <w:abstractNum w:abstractNumId="7">
    <w:nsid w:val="519E3149"/>
    <w:multiLevelType w:val="hybridMultilevel"/>
    <w:lvl w:ilvl="0">
      <w:lvlJc w:val="left"/>
      <w:lvlText w:val="(%1)"/>
      <w:numFmt w:val="lowerLetter"/>
      <w:start w:val="3"/>
    </w:lvl>
  </w:abstractNum>
  <w:abstractNum w:abstractNumId="8">
    <w:nsid w:val="2C6E4AFD"/>
    <w:multiLevelType w:val="hybridMultilevel"/>
    <w:lvl w:ilvl="0">
      <w:lvlJc w:val="left"/>
      <w:lvlText w:val="(%1)"/>
      <w:numFmt w:val="lowerLetter"/>
      <w:start w:val="5"/>
    </w:lvl>
  </w:abstractNum>
  <w:abstractNum w:abstractNumId="9">
    <w:nsid w:val="17A1B582"/>
    <w:multiLevelType w:val="hybridMultilevel"/>
    <w:lvl w:ilvl="0">
      <w:lvlJc w:val="left"/>
      <w:lvlText w:val="(%1)"/>
      <w:numFmt w:val="lowerLetter"/>
      <w:start w:val="1"/>
    </w:lvl>
  </w:abstractNum>
  <w:abstractNum w:abstractNumId="10">
    <w:nsid w:val="4DF72E4E"/>
    <w:multiLevelType w:val="hybridMultilevel"/>
    <w:lvl w:ilvl="0">
      <w:lvlJc w:val="left"/>
      <w:lvlText w:val="(%1)"/>
      <w:numFmt w:val="lowerLetter"/>
      <w:start w:val="1"/>
    </w:lvl>
  </w:abstractNum>
  <w:abstractNum w:abstractNumId="11">
    <w:nsid w:val="5046B5A9"/>
    <w:multiLevelType w:val="hybridMultilevel"/>
    <w:lvl w:ilvl="0">
      <w:lvlJc w:val="left"/>
      <w:lvlText w:val="(%1)"/>
      <w:numFmt w:val="lowerLetter"/>
      <w:start w:val="2"/>
    </w:lvl>
  </w:abstractNum>
  <w:abstractNum w:abstractNumId="12">
    <w:nsid w:val="5D888A08"/>
    <w:multiLevelType w:val="hybridMultilevel"/>
    <w:lvl w:ilvl="0">
      <w:lvlJc w:val="left"/>
      <w:lvlText w:val="(%1)"/>
      <w:numFmt w:val="lowerLetter"/>
      <w:start w:val="4"/>
    </w:lvl>
  </w:abstractNum>
  <w:abstractNum w:abstractNumId="13">
    <w:nsid w:val="2A082C70"/>
    <w:multiLevelType w:val="hybridMultilevel"/>
    <w:lvl w:ilvl="0">
      <w:lvlJc w:val="left"/>
      <w:lvlText w:val="(%1)"/>
      <w:numFmt w:val="lowerLetter"/>
      <w:start w:val="1"/>
    </w:lvl>
  </w:abstractNum>
  <w:abstractNum w:abstractNumId="14">
    <w:nsid w:val="5EC6AFD4"/>
    <w:multiLevelType w:val="hybridMultilevel"/>
    <w:lvl w:ilvl="0">
      <w:lvlJc w:val="left"/>
      <w:lvlText w:val="(%1)"/>
      <w:numFmt w:val="lowerLetter"/>
      <w:start w:val="3"/>
    </w:lvl>
  </w:abstractNum>
  <w:abstractNum w:abstractNumId="15">
    <w:nsid w:val="19E21BB2"/>
    <w:multiLevelType w:val="hybridMultilevel"/>
    <w:lvl w:ilvl="0">
      <w:lvlJc w:val="left"/>
      <w:lvlText w:val="(%1)"/>
      <w:numFmt w:val="lowerLetter"/>
      <w:start w:val="1"/>
    </w:lvl>
  </w:abstractNum>
  <w:abstractNum w:abstractNumId="16">
    <w:nsid w:val="75E0858A"/>
    <w:multiLevelType w:val="hybridMultilevel"/>
    <w:lvl w:ilvl="0">
      <w:lvlJc w:val="left"/>
      <w:lvlText w:val="(%1)"/>
      <w:numFmt w:val="lowerLetter"/>
      <w:start w:val="4"/>
    </w:lvl>
  </w:abstractNum>
  <w:abstractNum w:abstractNumId="17">
    <w:nsid w:val="57A61A29"/>
    <w:multiLevelType w:val="hybridMultilevel"/>
    <w:lvl w:ilvl="0">
      <w:lvlJc w:val="left"/>
      <w:lvlText w:val="(%1)"/>
      <w:numFmt w:val="lowerLetter"/>
      <w:start w:val="1"/>
    </w:lvl>
  </w:abstractNum>
  <w:abstractNum w:abstractNumId="18">
    <w:nsid w:val="5399C654"/>
    <w:multiLevelType w:val="hybridMultilevel"/>
    <w:lvl w:ilvl="0">
      <w:lvlJc w:val="left"/>
      <w:lvlText w:val="(%1)"/>
      <w:numFmt w:val="lowerLetter"/>
      <w:start w:val="1"/>
    </w:lvl>
  </w:abstractNum>
  <w:abstractNum w:abstractNumId="19">
    <w:nsid w:val="20EE1348"/>
    <w:multiLevelType w:val="hybridMultilevel"/>
    <w:lvl w:ilvl="0">
      <w:lvlJc w:val="left"/>
      <w:lvlText w:val="(%1)"/>
      <w:numFmt w:val="lowerLetter"/>
      <w:start w:val="3"/>
    </w:lvl>
  </w:abstractNum>
  <w:abstractNum w:abstractNumId="20">
    <w:nsid w:val="4427069A"/>
    <w:multiLevelType w:val="hybridMultilevel"/>
    <w:lvl w:ilvl="0">
      <w:lvlJc w:val="left"/>
      <w:lvlText w:val="%1"/>
      <w:numFmt w:val="lowerLetter"/>
      <w:start w:val="1"/>
    </w:lvl>
    <w:lvl w:ilvl="1">
      <w:lvlJc w:val="left"/>
      <w:lvlText w:val="(%2)"/>
      <w:numFmt w:val="lowerLetter"/>
      <w:start w:val="11"/>
    </w:lvl>
  </w:abstractNum>
  <w:abstractNum w:abstractNumId="21">
    <w:nsid w:val="B37E80A"/>
    <w:multiLevelType w:val="hybridMultilevel"/>
    <w:lvl w:ilvl="0">
      <w:lvlJc w:val="left"/>
      <w:lvlText w:val="(%1)"/>
      <w:numFmt w:val="lowerLetter"/>
      <w:start w:val="35"/>
    </w:lvl>
    <w:lvl w:ilvl="1">
      <w:lvlJc w:val="left"/>
      <w:lvlText w:val="%2"/>
      <w:numFmt w:val="lowerLetter"/>
      <w:start w:val="1"/>
    </w:lvl>
  </w:abstractNum>
  <w:abstractNum w:abstractNumId="22">
    <w:nsid w:val="2157F6BC"/>
    <w:multiLevelType w:val="hybridMultilevel"/>
    <w:lvl w:ilvl="0">
      <w:lvlJc w:val="left"/>
      <w:lvlText w:val="(%1)"/>
      <w:numFmt w:val="lowerLetter"/>
      <w:start w:val="1"/>
    </w:lvl>
  </w:abstractNum>
  <w:abstractNum w:abstractNumId="23">
    <w:nsid w:val="704E1DD5"/>
    <w:multiLevelType w:val="hybridMultilevel"/>
    <w:lvl w:ilvl="0">
      <w:lvlJc w:val="left"/>
      <w:lvlText w:val="(%1)"/>
      <w:numFmt w:val="lowerLetter"/>
      <w:start w:val="1"/>
    </w:lvl>
  </w:abstractNum>
  <w:abstractNum w:abstractNumId="24">
    <w:nsid w:val="57D2F10E"/>
    <w:multiLevelType w:val="hybridMultilevel"/>
    <w:lvl w:ilvl="0">
      <w:lvlJc w:val="left"/>
      <w:lvlText w:val="(%1)"/>
      <w:numFmt w:val="lowerLetter"/>
      <w:start w:val="1"/>
    </w:lvl>
    <w:lvl w:ilvl="1">
      <w:lvlJc w:val="left"/>
      <w:lvlText w:val="(%2)"/>
      <w:numFmt w:val="lowerRoman"/>
      <w:start w:val="1"/>
    </w:lvl>
  </w:abstractNum>
  <w:abstractNum w:abstractNumId="25">
    <w:nsid w:val="BFFAE18"/>
    <w:multiLevelType w:val="hybridMultilevel"/>
    <w:lvl w:ilvl="0">
      <w:lvlJc w:val="left"/>
      <w:lvlText w:val="(%1)"/>
      <w:numFmt w:val="lowerLetter"/>
      <w:start w:val="1"/>
    </w:lvl>
  </w:abstractNum>
  <w:abstractNum w:abstractNumId="26">
    <w:nsid w:val="E3E47A8"/>
    <w:multiLevelType w:val="hybridMultilevel"/>
    <w:lvl w:ilvl="0">
      <w:lvlJc w:val="left"/>
      <w:lvlText w:val="(%1)"/>
      <w:numFmt w:val="lowerLetter"/>
      <w:start w:val="7"/>
    </w:lvl>
  </w:abstractNum>
  <w:abstractNum w:abstractNumId="27">
    <w:nsid w:val="2E48F044"/>
    <w:multiLevelType w:val="hybridMultilevel"/>
    <w:lvl w:ilvl="0">
      <w:lvlJc w:val="left"/>
      <w:lvlText w:val="(%1)"/>
      <w:numFmt w:val="lowerLetter"/>
      <w:start w:val="1"/>
    </w:lvl>
    <w:lvl w:ilvl="1">
      <w:lvlJc w:val="left"/>
      <w:lvlText w:val="(%2)"/>
      <w:numFmt w:val="lowerRoman"/>
      <w:start w:val="1"/>
    </w:lvl>
  </w:abstractNum>
  <w:abstractNum w:abstractNumId="28">
    <w:nsid w:val="49D0FEAC"/>
    <w:multiLevelType w:val="hybridMultilevel"/>
    <w:lvl w:ilvl="0">
      <w:lvlJc w:val="left"/>
      <w:lvlText w:val="(%1)"/>
      <w:numFmt w:val="lowerRoman"/>
      <w:start w:val="5"/>
    </w:lvl>
  </w:abstractNum>
  <w:abstractNum w:abstractNumId="29">
    <w:nsid w:val="4BEE5A5B"/>
    <w:multiLevelType w:val="hybridMultilevel"/>
    <w:lvl w:ilvl="0">
      <w:lvlJc w:val="left"/>
      <w:lvlText w:val="(%1)"/>
      <w:numFmt w:val="lowerLetter"/>
      <w:start w:val="2"/>
    </w:lvl>
  </w:abstractNum>
  <w:abstractNum w:abstractNumId="30">
    <w:nsid w:val="5551B9F3"/>
    <w:multiLevelType w:val="hybridMultilevel"/>
    <w:lvl w:ilvl="0">
      <w:lvlJc w:val="left"/>
      <w:lvlText w:val="(%1)"/>
      <w:numFmt w:val="lowerLetter"/>
      <w:start w:val="1"/>
    </w:lvl>
  </w:abstractNum>
  <w:abstractNum w:abstractNumId="31">
    <w:nsid w:val="24F6AB8E"/>
    <w:multiLevelType w:val="hybridMultilevel"/>
    <w:lvl w:ilvl="0">
      <w:lvlJc w:val="left"/>
      <w:lvlText w:val="%1"/>
      <w:numFmt w:val="lowerLetter"/>
      <w:start w:val="1"/>
    </w:lvl>
    <w:lvl w:ilvl="1">
      <w:lvlJc w:val="left"/>
      <w:lvlText w:val="(%2)"/>
      <w:numFmt w:val="lowerLetter"/>
      <w:start w:val="1"/>
    </w:lvl>
  </w:abstractNum>
  <w:abstractNum w:abstractNumId="32">
    <w:nsid w:val="634C574C"/>
    <w:multiLevelType w:val="hybridMultilevel"/>
    <w:lvl w:ilvl="0">
      <w:lvlJc w:val="left"/>
      <w:lvlText w:val="(%1)"/>
      <w:numFmt w:val="lowerLetter"/>
      <w:start w:val="2"/>
    </w:lvl>
    <w:lvl w:ilvl="1">
      <w:lvlJc w:val="left"/>
      <w:lvlText w:val="%2"/>
      <w:numFmt w:val="lowerLetter"/>
      <w:start w:val="1"/>
    </w:lvl>
  </w:abstractNum>
  <w:abstractNum w:abstractNumId="33">
    <w:nsid w:val="24E99DD7"/>
    <w:multiLevelType w:val="hybridMultilevel"/>
    <w:lvl w:ilvl="0">
      <w:lvlJc w:val="left"/>
      <w:lvlText w:val="(%1)"/>
      <w:numFmt w:val="lowerLetter"/>
      <w:start w:val="2"/>
    </w:lvl>
  </w:abstractNum>
  <w:abstractNum w:abstractNumId="34">
    <w:nsid w:val="2A31B62D"/>
    <w:multiLevelType w:val="hybridMultilevel"/>
    <w:lvl w:ilvl="0">
      <w:lvlJc w:val="left"/>
      <w:lvlText w:val="%1"/>
      <w:numFmt w:val="decimal"/>
      <w:start w:val="1"/>
    </w:lvl>
    <w:lvl w:ilvl="1">
      <w:lvlJc w:val="left"/>
      <w:lvlText w:val="(%2)"/>
      <w:numFmt w:val="lowerLetter"/>
      <w:start w:val="1"/>
    </w:lvl>
  </w:abstractNum>
  <w:abstractNum w:abstractNumId="35">
    <w:nsid w:val="1849C29B"/>
    <w:multiLevelType w:val="hybridMultilevel"/>
    <w:lvl w:ilvl="0">
      <w:lvlJc w:val="left"/>
      <w:lvlText w:val="(%1)"/>
      <w:numFmt w:val="decimal"/>
      <w:start w:val="1"/>
    </w:lvl>
    <w:lvl w:ilvl="1">
      <w:lvlJc w:val="left"/>
      <w:lvlText w:val="%2"/>
      <w:numFmt w:val="lowerLetter"/>
      <w:start w:val="1"/>
    </w:lvl>
  </w:abstractNum>
  <w:abstractNum w:abstractNumId="36">
    <w:nsid w:val="7DFF9D09"/>
    <w:multiLevelType w:val="hybridMultilevel"/>
    <w:lvl w:ilvl="0">
      <w:lvlJc w:val="left"/>
      <w:lvlText w:val="(%1)"/>
      <w:numFmt w:val="lowerLetter"/>
      <w:start w:val="3"/>
    </w:lvl>
  </w:abstractNum>
  <w:abstractNum w:abstractNumId="37">
    <w:nsid w:val="754342"/>
    <w:multiLevelType w:val="hybridMultilevel"/>
    <w:lvl w:ilvl="0">
      <w:lvlJc w:val="left"/>
      <w:lvlText w:val="(%1)"/>
      <w:numFmt w:val="lowerLetter"/>
      <w:start w:val="1"/>
    </w:lvl>
  </w:abstractNum>
  <w:abstractNum w:abstractNumId="38">
    <w:nsid w:val="69E7F3E5"/>
    <w:multiLevelType w:val="hybridMultilevel"/>
    <w:lvl w:ilvl="0">
      <w:lvlJc w:val="left"/>
      <w:lvlText w:val="(%1)"/>
      <w:numFmt w:val="lowerLetter"/>
      <w:start w:val="1"/>
    </w:lvl>
    <w:lvl w:ilvl="1">
      <w:lvlJc w:val="left"/>
      <w:lvlText w:val="(%2)"/>
      <w:numFmt w:val="lowerRoman"/>
      <w:start w:val="1"/>
    </w:lvl>
  </w:abstractNum>
  <w:abstractNum w:abstractNumId="39">
    <w:nsid w:val="2A6DE806"/>
    <w:multiLevelType w:val="hybridMultilevel"/>
    <w:lvl w:ilvl="0">
      <w:lvlJc w:val="left"/>
      <w:lvlText w:val="(%1)"/>
      <w:numFmt w:val="lowerRoman"/>
      <w:start w:val="5"/>
    </w:lvl>
  </w:abstractNum>
  <w:abstractNum w:abstractNumId="40">
    <w:nsid w:val="1816F8C4"/>
    <w:multiLevelType w:val="hybridMultilevel"/>
    <w:lvl w:ilvl="0">
      <w:lvlJc w:val="left"/>
      <w:lvlText w:val="%1"/>
      <w:numFmt w:val="upperLetter"/>
      <w:start w:val="1"/>
    </w:lvl>
    <w:lvl w:ilvl="1">
      <w:lvlJc w:val="left"/>
      <w:lvlText w:val="(%2)"/>
      <w:numFmt w:val="lowerRoman"/>
      <w:start w:val="10"/>
    </w:lvl>
  </w:abstractNum>
  <w:abstractNum w:abstractNumId="41">
    <w:nsid w:val="37DF2233"/>
    <w:multiLevelType w:val="hybridMultilevel"/>
    <w:lvl w:ilvl="0">
      <w:lvlJc w:val="left"/>
      <w:lvlText w:val="(%1)"/>
      <w:numFmt w:val="upperLetter"/>
      <w:start w:val="4"/>
    </w:lvl>
    <w:lvl w:ilvl="1">
      <w:lvlJc w:val="left"/>
      <w:lvlText w:val="(%2)"/>
      <w:numFmt w:val="lowerRoman"/>
      <w:start w:val="14"/>
    </w:lvl>
  </w:abstractNum>
  <w:abstractNum w:abstractNumId="42">
    <w:nsid w:val="7AB49DAF"/>
    <w:multiLevelType w:val="hybridMultilevel"/>
    <w:lvl w:ilvl="0">
      <w:lvlJc w:val="left"/>
      <w:lvlText w:val="%1"/>
      <w:numFmt w:val="lowerLetter"/>
      <w:start w:val="1"/>
    </w:lvl>
    <w:lvl w:ilvl="1">
      <w:lvlJc w:val="left"/>
      <w:lvlText w:val="(%2)"/>
      <w:numFmt w:val="lowerRoman"/>
      <w:start w:val="16"/>
    </w:lvl>
  </w:abstractNum>
  <w:abstractNum w:abstractNumId="43">
    <w:nsid w:val="759F82CD"/>
    <w:multiLevelType w:val="hybridMultilevel"/>
    <w:lvl w:ilvl="0">
      <w:lvlJc w:val="left"/>
      <w:lvlText w:val="(%1)"/>
      <w:numFmt w:val="lowerLetter"/>
      <w:start w:val="3"/>
    </w:lvl>
    <w:lvl w:ilvl="1">
      <w:lvlJc w:val="left"/>
      <w:lvlText w:val="%2"/>
      <w:numFmt w:val="lowerRoman"/>
      <w:start w:val="1"/>
    </w:lvl>
  </w:abstractNum>
  <w:abstractNum w:abstractNumId="44">
    <w:nsid w:val="61E74EA3"/>
    <w:multiLevelType w:val="hybridMultilevel"/>
    <w:lvl w:ilvl="0">
      <w:lvlJc w:val="left"/>
      <w:lvlText w:val="(%1)"/>
      <w:numFmt w:val="lowerLetter"/>
      <w:start w:val="1"/>
    </w:lvl>
  </w:abstractNum>
  <w:abstractNum w:abstractNumId="45">
    <w:nsid w:val="597B4D84"/>
    <w:multiLevelType w:val="hybridMultilevel"/>
    <w:lvl w:ilvl="0">
      <w:lvlJc w:val="left"/>
      <w:lvlText w:val="%1"/>
      <w:numFmt w:val="lowerRoman"/>
      <w:start w:val="1"/>
    </w:lvl>
    <w:lvl w:ilvl="1">
      <w:lvlJc w:val="left"/>
      <w:lvlText w:val="(%2)"/>
      <w:numFmt w:val="lowerLetter"/>
      <w:start w:val="2"/>
    </w:lvl>
  </w:abstractNum>
  <w:abstractNum w:abstractNumId="46">
    <w:nsid w:val="F819E7F"/>
    <w:multiLevelType w:val="hybridMultilevel"/>
    <w:lvl w:ilvl="0">
      <w:lvlJc w:val="left"/>
      <w:lvlText w:val="(%1)"/>
      <w:numFmt w:val="lowerRoman"/>
      <w:start w:val="4"/>
    </w:lvl>
    <w:lvl w:ilvl="1">
      <w:lvlJc w:val="left"/>
      <w:lvlText w:val="%2"/>
      <w:numFmt w:val="lowerLetter"/>
      <w:start w:val="1"/>
    </w:lvl>
  </w:abstractNum>
  <w:abstractNum w:abstractNumId="47">
    <w:nsid w:val="57C7D42D"/>
    <w:multiLevelType w:val="hybridMultilevel"/>
    <w:lvl w:ilvl="0">
      <w:lvlJc w:val="left"/>
      <w:lvlText w:val="(%1)"/>
      <w:numFmt w:val="lowerLetter"/>
      <w:start w:val="3"/>
    </w:lvl>
  </w:abstractNum>
  <w:abstractNum w:abstractNumId="48">
    <w:nsid w:val="312167AD"/>
    <w:multiLevelType w:val="hybridMultilevel"/>
    <w:lvl w:ilvl="0">
      <w:lvlJc w:val="left"/>
      <w:lvlText w:val="(%1)"/>
      <w:numFmt w:val="lowerLetter"/>
      <w:start w:val="1"/>
    </w:lvl>
  </w:abstractNum>
  <w:abstractNum w:abstractNumId="49">
    <w:nsid w:val="631B64D4"/>
    <w:multiLevelType w:val="hybridMultilevel"/>
    <w:lvl w:ilvl="0">
      <w:lvlJc w:val="left"/>
      <w:lvlText w:val="(%1)"/>
      <w:numFmt w:val="lowerRoman"/>
      <w:start w:val="1"/>
    </w:lvl>
  </w:abstractNum>
  <w:abstractNum w:abstractNumId="50">
    <w:nsid w:val="78B5E776"/>
    <w:multiLevelType w:val="hybridMultilevel"/>
    <w:lvl w:ilvl="0">
      <w:lvlJc w:val="left"/>
      <w:lvlText w:val="(%1)"/>
      <w:numFmt w:val="lowerLetter"/>
      <w:start w:val="1"/>
    </w:lvl>
  </w:abstractNum>
  <w:abstractNum w:abstractNumId="51">
    <w:nsid w:val="75486E47"/>
    <w:multiLevelType w:val="hybridMultilevel"/>
    <w:lvl w:ilvl="0">
      <w:lvlJc w:val="left"/>
      <w:lvlText w:val="(%1)"/>
      <w:numFmt w:val="lowerLetter"/>
      <w:start w:val="2"/>
    </w:lvl>
    <w:lvl w:ilvl="1">
      <w:lvlJc w:val="left"/>
      <w:lvlText w:val="(%2)"/>
      <w:numFmt w:val="lowerRoman"/>
      <w:start w:val="1"/>
    </w:lvl>
  </w:abstractNum>
  <w:abstractNum w:abstractNumId="52">
    <w:nsid w:val="6E534CDE"/>
    <w:multiLevelType w:val="hybridMultilevel"/>
    <w:lvl w:ilvl="0">
      <w:lvlJc w:val="left"/>
      <w:lvlText w:val="(%1)"/>
      <w:numFmt w:val="lowerLetter"/>
      <w:start w:val="4"/>
    </w:lvl>
  </w:abstractNum>
  <w:abstractNum w:abstractNumId="53">
    <w:nsid w:val="1A0DDE32"/>
    <w:multiLevelType w:val="hybridMultilevel"/>
    <w:lvl w:ilvl="0">
      <w:lvlJc w:val="left"/>
      <w:lvlText w:val="%1"/>
      <w:numFmt w:val="lowerLetter"/>
      <w:start w:val="1"/>
    </w:lvl>
    <w:lvl w:ilvl="1">
      <w:lvlJc w:val="left"/>
      <w:lvlText w:val="(%2)"/>
      <w:numFmt w:val="lowerLetter"/>
      <w:start w:val="1"/>
    </w:lvl>
  </w:abstractNum>
  <w:abstractNum w:abstractNumId="54">
    <w:nsid w:val="65968C1C"/>
    <w:multiLevelType w:val="hybridMultilevel"/>
    <w:lvl w:ilvl="0">
      <w:lvlJc w:val="left"/>
      <w:lvlText w:val="(%1)"/>
      <w:numFmt w:val="lowerLetter"/>
      <w:start w:val="61"/>
    </w:lvl>
    <w:lvl w:ilvl="1">
      <w:lvlJc w:val="left"/>
      <w:lvlText w:val="%2"/>
      <w:numFmt w:val="lowerLetter"/>
      <w:start w:val="1"/>
    </w:lvl>
  </w:abstractNum>
  <w:abstractNum w:abstractNumId="55">
    <w:nsid w:val="46263DEC"/>
    <w:multiLevelType w:val="hybridMultilevel"/>
    <w:lvl w:ilvl="0">
      <w:lvlJc w:val="left"/>
      <w:lvlText w:val="(%1)"/>
      <w:numFmt w:val="lowerLetter"/>
      <w:start w:val="2"/>
    </w:lvl>
  </w:abstractNum>
  <w:abstractNum w:abstractNumId="56">
    <w:nsid w:val="260D8C4A"/>
    <w:multiLevelType w:val="hybridMultilevel"/>
    <w:lvl w:ilvl="0">
      <w:lvlJc w:val="left"/>
      <w:lvlText w:val="(%1)"/>
      <w:numFmt w:val="lowerLetter"/>
      <w:start w:val="4"/>
    </w:lvl>
  </w:abstractNum>
  <w:abstractNum w:abstractNumId="57">
    <w:nsid w:val="73D4D3C4"/>
    <w:multiLevelType w:val="hybridMultilevel"/>
    <w:lvl w:ilvl="0">
      <w:lvlJc w:val="left"/>
      <w:lvlText w:val="(%1)"/>
      <w:numFmt w:val="lowerLetter"/>
      <w:start w:val="1"/>
    </w:lvl>
  </w:abstractNum>
  <w:abstractNum w:abstractNumId="58">
    <w:nsid w:val="746F2E30"/>
    <w:multiLevelType w:val="hybridMultilevel"/>
    <w:lvl w:ilvl="0">
      <w:lvlJc w:val="left"/>
      <w:lvlText w:val="(%1)"/>
      <w:numFmt w:val="lowerLetter"/>
      <w:start w:val="1"/>
    </w:lvl>
  </w:abstractNum>
  <w:abstractNum w:abstractNumId="59">
    <w:nsid w:val="6FDE8AF6"/>
    <w:multiLevelType w:val="hybridMultilevel"/>
    <w:lvl w:ilvl="0">
      <w:lvlJc w:val="left"/>
      <w:lvlText w:val="(%1)"/>
      <w:numFmt w:val="lowerLetter"/>
      <w:start w:val="2"/>
    </w:lvl>
  </w:abstractNum>
  <w:abstractNum w:abstractNumId="60">
    <w:nsid w:val="3FC32E20"/>
    <w:multiLevelType w:val="hybridMultilevel"/>
    <w:lvl w:ilvl="0">
      <w:lvlJc w:val="left"/>
      <w:lvlText w:val="(%1)"/>
      <w:numFmt w:val="lowerLetter"/>
      <w:start w:val="4"/>
    </w:lvl>
  </w:abstractNum>
  <w:abstractNum w:abstractNumId="61">
    <w:nsid w:val="49C0E823"/>
    <w:multiLevelType w:val="hybridMultilevel"/>
    <w:lvl w:ilvl="0">
      <w:lvlJc w:val="left"/>
      <w:lvlText w:val="(%1)"/>
      <w:numFmt w:val="lowerLetter"/>
      <w:start w:val="1"/>
    </w:lvl>
  </w:abstractNum>
  <w:abstractNum w:abstractNumId="62">
    <w:nsid w:val="14D53685"/>
    <w:multiLevelType w:val="hybridMultilevel"/>
    <w:lvl w:ilvl="0">
      <w:lvlJc w:val="left"/>
      <w:lvlText w:val="(%1)"/>
      <w:numFmt w:val="lowerRoman"/>
      <w:start w:val="1"/>
    </w:lvl>
  </w:abstractNum>
  <w:abstractNum w:abstractNumId="63">
    <w:nsid w:val="230F856C"/>
    <w:multiLevelType w:val="hybridMultilevel"/>
    <w:lvl w:ilvl="0">
      <w:lvlJc w:val="left"/>
      <w:lvlText w:val="(%1)"/>
      <w:numFmt w:val="lowerRoman"/>
      <w:start w:val="5"/>
    </w:lvl>
  </w:abstractNum>
  <w:abstractNum w:abstractNumId="64">
    <w:nsid w:val="6EAA85FB"/>
    <w:multiLevelType w:val="hybridMultilevel"/>
    <w:lvl w:ilvl="0">
      <w:lvlJc w:val="left"/>
      <w:lvlText w:val="%1"/>
      <w:numFmt w:val="lowerLetter"/>
      <w:start w:val="1"/>
    </w:lvl>
    <w:lvl w:ilvl="1">
      <w:lvlJc w:val="left"/>
      <w:lvlText w:val="(%2)"/>
      <w:numFmt w:val="lowerRoman"/>
      <w:start w:val="12"/>
    </w:lvl>
  </w:abstractNum>
  <w:abstractNum w:abstractNumId="65">
    <w:nsid w:val="3F06ECB2"/>
    <w:multiLevelType w:val="hybridMultilevel"/>
    <w:lvl w:ilvl="0">
      <w:lvlJc w:val="left"/>
      <w:lvlText w:val="(%1)"/>
      <w:numFmt w:val="lowerLetter"/>
      <w:start w:val="2"/>
    </w:lvl>
    <w:lvl w:ilvl="1">
      <w:lvlJc w:val="left"/>
      <w:lvlText w:val="(%2)"/>
      <w:numFmt w:val="lowerRoman"/>
      <w:start w:val="1"/>
    </w:lvl>
  </w:abstractNum>
  <w:abstractNum w:abstractNumId="66">
    <w:nsid w:val="3B594807"/>
    <w:multiLevelType w:val="hybridMultilevel"/>
    <w:lvl w:ilvl="0">
      <w:lvlJc w:val="left"/>
      <w:lvlText w:val="%1"/>
      <w:numFmt w:val="lowerLetter"/>
      <w:start w:val="1"/>
    </w:lvl>
    <w:lvl w:ilvl="1">
      <w:lvlJc w:val="left"/>
      <w:lvlText w:val="(%2)"/>
      <w:numFmt w:val="lowerRoman"/>
      <w:start w:val="4"/>
    </w:lvl>
  </w:abstractNum>
  <w:abstractNum w:abstractNumId="67">
    <w:nsid w:val="6CAA2304"/>
    <w:multiLevelType w:val="hybridMultilevel"/>
    <w:lvl w:ilvl="0">
      <w:lvlJc w:val="left"/>
      <w:lvlText w:val="(%1)"/>
      <w:numFmt w:val="lowerLetter"/>
      <w:start w:val="3"/>
    </w:lvl>
    <w:lvl w:ilvl="1">
      <w:lvlJc w:val="left"/>
      <w:lvlText w:val="%2"/>
      <w:numFmt w:val="lowerRoman"/>
      <w:start w:val="1"/>
    </w:lvl>
  </w:abstractNum>
  <w:abstractNum w:abstractNumId="68">
    <w:nsid w:val="3F7C2FF4"/>
    <w:multiLevelType w:val="hybridMultilevel"/>
    <w:lvl w:ilvl="0">
      <w:lvlJc w:val="left"/>
      <w:lvlText w:val="(%1)"/>
      <w:numFmt w:val="lowerLetter"/>
      <w:start w:val="5"/>
    </w:lvl>
  </w:abstractNum>
  <w:abstractNum w:abstractNumId="69">
    <w:nsid w:val="25413BEC"/>
    <w:multiLevelType w:val="hybridMultilevel"/>
    <w:lvl w:ilvl="0">
      <w:lvlJc w:val="left"/>
      <w:lvlText w:val="(%1)"/>
      <w:numFmt w:val="lowerLetter"/>
      <w:start w:val="1"/>
    </w:lvl>
    <w:lvl w:ilvl="1">
      <w:lvlJc w:val="left"/>
      <w:lvlText w:val="(%2)"/>
      <w:numFmt w:val="lowerRoman"/>
      <w:start w:val="1"/>
    </w:lvl>
  </w:abstractNum>
  <w:abstractNum w:abstractNumId="70">
    <w:nsid w:val="17180B0B"/>
    <w:multiLevelType w:val="hybridMultilevel"/>
    <w:lvl w:ilvl="0">
      <w:lvlJc w:val="left"/>
      <w:lvlText w:val="(%1)"/>
      <w:numFmt w:val="lowerLetter"/>
      <w:start w:val="2"/>
    </w:lvl>
  </w:abstractNum>
  <w:abstractNum w:abstractNumId="71">
    <w:nsid w:val="579328B9"/>
    <w:multiLevelType w:val="hybridMultilevel"/>
    <w:lvl w:ilvl="0">
      <w:lvlJc w:val="left"/>
      <w:lvlText w:val="(%1)"/>
      <w:numFmt w:val="lowerLetter"/>
      <w:start w:val="1"/>
    </w:lvl>
  </w:abstractNum>
  <w:abstractNum w:abstractNumId="72">
    <w:nsid w:val="5D205E20"/>
    <w:multiLevelType w:val="hybridMultilevel"/>
    <w:lvl w:ilvl="0">
      <w:lvlJc w:val="left"/>
      <w:lvlText w:val="(%1)"/>
      <w:numFmt w:val="lowerLetter"/>
      <w:start w:val="1"/>
    </w:lvl>
  </w:abstractNum>
  <w:abstractNum w:abstractNumId="73">
    <w:nsid w:val="11CCA8BA"/>
    <w:multiLevelType w:val="hybridMultilevel"/>
    <w:lvl w:ilvl="0">
      <w:lvlJc w:val="left"/>
      <w:lvlText w:val="(%1)"/>
      <w:numFmt w:val="lowerLetter"/>
      <w:start w:val="6"/>
    </w:lvl>
  </w:abstractNum>
  <w:abstractNum w:abstractNumId="74">
    <w:nsid w:val="4D32AB86"/>
    <w:multiLevelType w:val="hybridMultilevel"/>
    <w:lvl w:ilvl="0">
      <w:lvlJc w:val="left"/>
      <w:lvlText w:val="."/>
      <w:numFmt w:val="bullet"/>
      <w:start w:val="1"/>
    </w:lvl>
  </w:abstractNum>
  <w:abstractNum w:abstractNumId="75">
    <w:nsid w:val="3F07ACC3"/>
    <w:multiLevelType w:val="hybridMultilevel"/>
    <w:lvl w:ilvl="0">
      <w:lvlJc w:val="left"/>
      <w:lvlText w:val="(%1)"/>
      <w:numFmt w:val="lowerRoman"/>
      <w:start w:val="1"/>
    </w:lvl>
  </w:abstractNum>
  <w:abstractNum w:abstractNumId="76">
    <w:nsid w:val="6B47F63E"/>
    <w:multiLevelType w:val="hybridMultilevel"/>
    <w:lvl w:ilvl="0">
      <w:lvlJc w:val="left"/>
      <w:lvlText w:val="(%1)"/>
      <w:numFmt w:val="lowerLetter"/>
      <w:start w:val="1"/>
    </w:lvl>
  </w:abstractNum>
  <w:abstractNum w:abstractNumId="77">
    <w:nsid w:val="5CB44A05"/>
    <w:multiLevelType w:val="hybridMultilevel"/>
    <w:lvl w:ilvl="0">
      <w:lvlJc w:val="left"/>
      <w:lvlText w:val="(%1)"/>
      <w:numFmt w:val="lowerLetter"/>
      <w:start w:val="5"/>
    </w:lvl>
  </w:abstractNum>
  <w:abstractNum w:abstractNumId="78">
    <w:nsid w:val="16CF80F1"/>
    <w:multiLevelType w:val="hybridMultilevel"/>
    <w:lvl w:ilvl="0">
      <w:lvlJc w:val="left"/>
      <w:lvlText w:val="(%1)"/>
      <w:numFmt w:val="lowerLetter"/>
      <w:start w:val="1"/>
    </w:lvl>
    <w:lvl w:ilvl="1">
      <w:lvlJc w:val="left"/>
      <w:lvlText w:val="(%2)"/>
      <w:numFmt w:val="lowerRoman"/>
      <w:start w:val="1"/>
    </w:lvl>
  </w:abstractNum>
  <w:abstractNum w:abstractNumId="79">
    <w:nsid w:val="1C695DEC"/>
    <w:multiLevelType w:val="hybridMultilevel"/>
    <w:lvl w:ilvl="0">
      <w:lvlJc w:val="left"/>
      <w:lvlText w:val="%1"/>
      <w:numFmt w:val="lowerLetter"/>
      <w:start w:val="1"/>
    </w:lvl>
    <w:lvl w:ilvl="1">
      <w:lvlJc w:val="left"/>
      <w:lvlText w:val="(%2)"/>
      <w:numFmt w:val="lowerRoman"/>
      <w:start w:val="3"/>
    </w:lvl>
  </w:abstractNum>
  <w:abstractNum w:abstractNumId="80">
    <w:nsid w:val="3FCFAED9"/>
    <w:multiLevelType w:val="hybridMultilevel"/>
    <w:lvl w:ilvl="0">
      <w:lvlJc w:val="left"/>
      <w:lvlText w:val="(%1)"/>
      <w:numFmt w:val="lowerLetter"/>
      <w:start w:val="3"/>
    </w:lvl>
    <w:lvl w:ilvl="1">
      <w:lvlJc w:val="left"/>
      <w:lvlText w:val="(%2)"/>
      <w:numFmt w:val="lowerRoman"/>
      <w:start w:val="1"/>
    </w:lvl>
  </w:abstractNum>
  <w:abstractNum w:abstractNumId="81">
    <w:nsid w:val="F856867"/>
    <w:multiLevelType w:val="hybridMultilevel"/>
    <w:lvl w:ilvl="0">
      <w:lvlJc w:val="left"/>
      <w:lvlText w:val="(%1)"/>
      <w:numFmt w:val="lowerLetter"/>
      <w:start w:val="1"/>
    </w:lvl>
    <w:lvl w:ilvl="1">
      <w:lvlJc w:val="left"/>
      <w:lvlText w:val="(%2)"/>
      <w:numFmt w:val="lowerRoman"/>
      <w:start w:val="1"/>
    </w:lvl>
  </w:abstractNum>
  <w:abstractNum w:abstractNumId="82">
    <w:nsid w:val="11B1CC33"/>
    <w:multiLevelType w:val="hybridMultilevel"/>
    <w:lvl w:ilvl="0">
      <w:lvlJc w:val="left"/>
      <w:lvlText w:val="(%1)"/>
      <w:numFmt w:val="lowerLetter"/>
      <w:start w:val="5"/>
    </w:lvl>
  </w:abstractNum>
  <w:abstractNum w:abstractNumId="83">
    <w:nsid w:val="2E22FBB7"/>
    <w:multiLevelType w:val="hybridMultilevel"/>
    <w:lvl w:ilvl="0">
      <w:lvlJc w:val="left"/>
      <w:lvlText w:val="(%1)"/>
      <w:numFmt w:val="lowerLetter"/>
      <w:start w:val="1"/>
    </w:lvl>
  </w:abstractNum>
  <w:abstractNum w:abstractNumId="84">
    <w:nsid w:val="29934699"/>
    <w:multiLevelType w:val="hybridMultilevel"/>
    <w:lvl w:ilvl="0">
      <w:lvlJc w:val="left"/>
      <w:lvlText w:val="(%1)"/>
      <w:numFmt w:val="lowerLetter"/>
      <w:start w:val="2"/>
    </w:lvl>
  </w:abstractNum>
  <w:abstractNum w:abstractNumId="85">
    <w:nsid w:val="77485850"/>
    <w:multiLevelType w:val="hybridMultilevel"/>
    <w:lvl w:ilvl="0">
      <w:lvlJc w:val="left"/>
      <w:lvlText w:val="(%1)"/>
      <w:numFmt w:val="lowerLetter"/>
      <w:start w:val="1"/>
    </w:lvl>
  </w:abstractNum>
  <w:abstractNum w:abstractNumId="86">
    <w:nsid w:val="744939A3"/>
    <w:multiLevelType w:val="hybridMultilevel"/>
    <w:lvl w:ilvl="0">
      <w:lvlJc w:val="left"/>
      <w:lvlText w:val="(%1)"/>
      <w:numFmt w:val="lowerLetter"/>
      <w:start w:val="1"/>
    </w:lvl>
  </w:abstractNum>
  <w:abstractNum w:abstractNumId="87">
    <w:nsid w:val="4FA0D2E3"/>
    <w:multiLevelType w:val="hybridMultilevel"/>
    <w:lvl w:ilvl="0">
      <w:lvlJc w:val="left"/>
      <w:lvlText w:val="(%1)"/>
      <w:numFmt w:val="lowerLetter"/>
      <w:start w:val="2"/>
    </w:lvl>
  </w:abstractNum>
  <w:abstractNum w:abstractNumId="88">
    <w:nsid w:val="6B1D2C14"/>
    <w:multiLevelType w:val="hybridMultilevel"/>
    <w:lvl w:ilvl="0">
      <w:lvlJc w:val="left"/>
      <w:lvlText w:val="(%1)"/>
      <w:numFmt w:val="lowerLetter"/>
      <w:start w:val="1"/>
    </w:lvl>
  </w:abstractNum>
  <w:abstractNum w:abstractNumId="89">
    <w:nsid w:val="68B867D3"/>
    <w:multiLevelType w:val="hybridMultilevel"/>
    <w:lvl w:ilvl="0">
      <w:lvlJc w:val="left"/>
      <w:lvlText w:val="(%1)"/>
      <w:numFmt w:val="lowerLetter"/>
      <w:start w:val="1"/>
    </w:lvl>
  </w:abstractNum>
  <w:abstractNum w:abstractNumId="90">
    <w:nsid w:val="3F7F5DD9"/>
    <w:multiLevelType w:val="hybridMultilevel"/>
    <w:lvl w:ilvl="0">
      <w:lvlJc w:val="left"/>
      <w:lvlText w:val="%1"/>
      <w:numFmt w:val="lowerLetter"/>
      <w:start w:val="1"/>
    </w:lvl>
    <w:lvl w:ilvl="1">
      <w:lvlJc w:val="left"/>
      <w:lvlText w:val="(%2)"/>
      <w:numFmt w:val="lowerRoman"/>
      <w:start w:val="1"/>
    </w:lvl>
  </w:abstractNum>
  <w:abstractNum w:abstractNumId="91">
    <w:nsid w:val="2AE05A34"/>
    <w:multiLevelType w:val="hybridMultilevel"/>
    <w:lvl w:ilvl="0">
      <w:lvlJc w:val="left"/>
      <w:lvlText w:val="(%1)"/>
      <w:numFmt w:val="lowerLetter"/>
      <w:start w:val="2"/>
    </w:lvl>
    <w:lvl w:ilvl="1">
      <w:lvlJc w:val="left"/>
      <w:lvlText w:val="(%2)"/>
      <w:numFmt w:val="lowerRoman"/>
      <w:start w:val="1"/>
    </w:lvl>
  </w:abstractNum>
  <w:abstractNum w:abstractNumId="92">
    <w:nsid w:val="32794FF7"/>
    <w:multiLevelType w:val="hybridMultilevel"/>
    <w:lvl w:ilvl="0">
      <w:lvlJc w:val="left"/>
      <w:lvlText w:val="(%1)"/>
      <w:numFmt w:val="lowerRoman"/>
      <w:start w:val="4"/>
    </w:lvl>
  </w:abstractNum>
  <w:abstractNum w:abstractNumId="93">
    <w:nsid w:val="5454945E"/>
    <w:multiLevelType w:val="hybridMultilevel"/>
    <w:lvl w:ilvl="0">
      <w:lvlJc w:val="left"/>
      <w:lvlText w:val="(%1)"/>
      <w:numFmt w:val="lowerLetter"/>
      <w:start w:val="1"/>
    </w:lvl>
  </w:abstractNum>
  <w:abstractNum w:abstractNumId="94">
    <w:nsid w:val="4DEFDFA0"/>
    <w:multiLevelType w:val="hybridMultilevel"/>
    <w:lvl w:ilvl="0">
      <w:lvlJc w:val="left"/>
      <w:lvlText w:val="(%1)"/>
      <w:numFmt w:val="lowerLetter"/>
      <w:start w:val="1"/>
    </w:lvl>
  </w:abstractNum>
  <w:abstractNum w:abstractNumId="95">
    <w:nsid w:val="2123D5F2"/>
    <w:multiLevelType w:val="hybridMultilevel"/>
    <w:lvl w:ilvl="0">
      <w:lvlJc w:val="left"/>
      <w:lvlText w:val="(%1)"/>
      <w:numFmt w:val="lowerLetter"/>
      <w:start w:val="1"/>
    </w:lvl>
  </w:abstractNum>
  <w:abstractNum w:abstractNumId="96">
    <w:nsid w:val="135B8110"/>
    <w:multiLevelType w:val="hybridMultilevel"/>
    <w:lvl w:ilvl="0">
      <w:lvlJc w:val="left"/>
      <w:lvlText w:val="(%1)"/>
      <w:numFmt w:val="lowerLetter"/>
      <w:start w:val="2"/>
    </w:lvl>
  </w:abstractNum>
  <w:abstractNum w:abstractNumId="97">
    <w:nsid w:val="94927A8"/>
    <w:multiLevelType w:val="hybridMultilevel"/>
    <w:lvl w:ilvl="0">
      <w:lvlJc w:val="left"/>
      <w:lvlText w:val="(%1)"/>
      <w:numFmt w:val="lowerLetter"/>
      <w:start w:val="1"/>
    </w:lvl>
  </w:abstractNum>
  <w:abstractNum w:abstractNumId="98">
    <w:nsid w:val="DCDF8F6"/>
    <w:multiLevelType w:val="hybridMultilevel"/>
    <w:lvl w:ilvl="0">
      <w:lvlJc w:val="left"/>
      <w:lvlText w:val="(%1)"/>
      <w:numFmt w:val="lowerLetter"/>
      <w:start w:val="2"/>
    </w:lvl>
  </w:abstractNum>
  <w:abstractNum w:abstractNumId="99">
    <w:nsid w:val="52D7B105"/>
    <w:multiLevelType w:val="hybridMultilevel"/>
    <w:lvl w:ilvl="0">
      <w:lvlJc w:val="left"/>
      <w:lvlText w:val="(%1)"/>
      <w:numFmt w:val="lowerLetter"/>
      <w:start w:val="10"/>
    </w:lvl>
  </w:abstractNum>
  <w:abstractNum w:abstractNumId="100">
    <w:nsid w:val="2E8A6394"/>
    <w:multiLevelType w:val="hybridMultilevel"/>
    <w:lvl w:ilvl="0">
      <w:lvlJc w:val="left"/>
      <w:lvlText w:val="(%1)"/>
      <w:numFmt w:val="lowerLetter"/>
      <w:start w:val="1"/>
    </w:lvl>
  </w:abstractNum>
  <w:abstractNum w:abstractNumId="101">
    <w:nsid w:val="24E60401"/>
    <w:multiLevelType w:val="hybridMultilevel"/>
    <w:lvl w:ilvl="0">
      <w:lvlJc w:val="left"/>
      <w:lvlText w:val="(%1)"/>
      <w:numFmt w:val="lowerLetter"/>
      <w:start w:val="4"/>
    </w:lvl>
  </w:abstractNum>
  <w:abstractNum w:abstractNumId="102">
    <w:nsid w:val="2A6AD9BE"/>
    <w:multiLevelType w:val="hybridMultilevel"/>
    <w:lvl w:ilvl="0">
      <w:lvlJc w:val="left"/>
      <w:lvlText w:val="%1"/>
      <w:numFmt w:val="lowerLetter"/>
      <w:start w:val="1"/>
    </w:lvl>
    <w:lvl w:ilvl="1">
      <w:lvlJc w:val="left"/>
      <w:lvlText w:val="(%2)"/>
      <w:numFmt w:val="lowerLetter"/>
      <w:start w:val="1"/>
    </w:lvl>
  </w:abstractNum>
  <w:abstractNum w:abstractNumId="103">
    <w:nsid w:val="BAAC1B4"/>
    <w:multiLevelType w:val="hybridMultilevel"/>
    <w:lvl w:ilvl="0">
      <w:lvlJc w:val="left"/>
      <w:lvlText w:val="(%1)"/>
      <w:numFmt w:val="lowerLetter"/>
      <w:start w:val="35"/>
    </w:lvl>
    <w:lvl w:ilvl="1">
      <w:lvlJc w:val="left"/>
      <w:lvlText w:val="%2"/>
      <w:numFmt w:val="lowerLetter"/>
      <w:start w:val="1"/>
    </w:lvl>
  </w:abstractNum>
  <w:abstractNum w:abstractNumId="104">
    <w:nsid w:val="36B2ACBC"/>
    <w:multiLevelType w:val="hybridMultilevel"/>
    <w:lvl w:ilvl="0">
      <w:lvlJc w:val="left"/>
      <w:lvlText w:val="(%1)"/>
      <w:numFmt w:val="lowerLetter"/>
      <w:start w:val="2"/>
    </w:lvl>
  </w:abstractNum>
  <w:abstractNum w:abstractNumId="105">
    <w:nsid w:val="779D8544"/>
    <w:multiLevelType w:val="hybridMultilevel"/>
    <w:lvl w:ilvl="0">
      <w:lvlJc w:val="left"/>
      <w:lvlText w:val="(%1)"/>
      <w:numFmt w:val="lowerLetter"/>
      <w:start w:val="1"/>
    </w:lvl>
  </w:abstractNum>
  <w:abstractNum w:abstractNumId="106">
    <w:nsid w:val="4AB26E78"/>
    <w:multiLevelType w:val="hybridMultilevel"/>
    <w:lvl w:ilvl="0">
      <w:lvlJc w:val="left"/>
      <w:lvlText w:val="(%1)"/>
      <w:numFmt w:val="lowerLetter"/>
      <w:start w:val="2"/>
    </w:lvl>
  </w:abstractNum>
  <w:abstractNum w:abstractNumId="107">
    <w:nsid w:val="21FAA2FA"/>
    <w:multiLevelType w:val="hybridMultilevel"/>
    <w:lvl w:ilvl="0">
      <w:lvlJc w:val="left"/>
      <w:lvlText w:val="(%1)"/>
      <w:numFmt w:val="lowerLetter"/>
      <w:start w:val="1"/>
    </w:lvl>
  </w:abstractNum>
  <w:abstractNum w:abstractNumId="108">
    <w:nsid w:val="5451CF49"/>
    <w:multiLevelType w:val="hybridMultilevel"/>
    <w:lvl w:ilvl="0">
      <w:lvlJc w:val="left"/>
      <w:lvlText w:val="(%1)"/>
      <w:numFmt w:val="upperLetter"/>
      <w:start w:val="1"/>
    </w:lvl>
  </w:abstractNum>
  <w:abstractNum w:abstractNumId="109">
    <w:nsid w:val="6181EF69"/>
    <w:multiLevelType w:val="hybridMultilevel"/>
    <w:lvl w:ilvl="0">
      <w:lvlJc w:val="left"/>
      <w:lvlText w:val="(%1)"/>
      <w:numFmt w:val="lowerLetter"/>
      <w:start w:val="1"/>
    </w:lvl>
  </w:abstractNum>
  <w:abstractNum w:abstractNumId="110">
    <w:nsid w:val="3E6400E6"/>
    <w:multiLevelType w:val="hybridMultilevel"/>
    <w:lvl w:ilvl="0">
      <w:lvlJc w:val="left"/>
      <w:lvlText w:val="%1."/>
      <w:numFmt w:val="decimal"/>
      <w:start w:val="1"/>
    </w:lvl>
  </w:abstractNum>
  <w:abstractNum w:abstractNumId="111">
    <w:nsid w:val="14217E23"/>
    <w:multiLevelType w:val="hybridMultilevel"/>
    <w:lvl w:ilvl="0">
      <w:lvlJc w:val="left"/>
      <w:lvlText w:val="%1."/>
      <w:numFmt w:val="decimal"/>
      <w:start w:val="4"/>
    </w:lvl>
  </w:abstractNum>
  <w:abstractNum w:abstractNumId="112">
    <w:nsid w:val="710757D0"/>
    <w:multiLevelType w:val="hybridMultilevel"/>
    <w:lvl w:ilvl="0">
      <w:lvlJc w:val="left"/>
      <w:lvlText w:val="(%1)"/>
      <w:numFmt w:val="lowerLetter"/>
      <w:start w:val="1"/>
    </w:lvl>
  </w:abstractNum>
  <w:abstractNum w:abstractNumId="113">
    <w:nsid w:val="5015CD1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14">
    <w:nsid w:val="424479D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15">
    <w:nsid w:val="1A9A9E69"/>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16">
    <w:nsid w:val="475E256A"/>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117">
    <w:nsid w:val="368DB37E"/>
    <w:multiLevelType w:val="hybridMultilevel"/>
    <w:lvl w:ilvl="0">
      <w:lvlJc w:val="left"/>
      <w:lvlText w:val="(%1)"/>
      <w:numFmt w:val="lowerLetter"/>
      <w:start w:val="1"/>
    </w:lvl>
  </w:abstractNum>
  <w:abstractNum w:abstractNumId="118">
    <w:nsid w:val="6A3B714C"/>
    <w:multiLevelType w:val="hybridMultilevel"/>
    <w:lvl w:ilvl="0">
      <w:lvlJc w:val="left"/>
      <w:lvlText w:val="(%1)"/>
      <w:numFmt w:val="lowerLetter"/>
      <w:start w:val="1"/>
    </w:lvl>
  </w:abstractNum>
  <w:abstractNum w:abstractNumId="119">
    <w:nsid w:val="327B517E"/>
    <w:multiLevelType w:val="hybridMultilevel"/>
    <w:lvl w:ilvl="0">
      <w:lvlJc w:val="left"/>
      <w:lvlText w:val="(%1)"/>
      <w:numFmt w:val="lowerLetter"/>
      <w:start w:val="4"/>
    </w:lvl>
  </w:abstractNum>
  <w:abstractNum w:abstractNumId="120">
    <w:nsid w:val="1F461B51"/>
    <w:multiLevelType w:val="hybridMultilevel"/>
    <w:lvl w:ilvl="0">
      <w:lvlJc w:val="left"/>
      <w:lvlText w:val="%1"/>
      <w:numFmt w:val="lowerLetter"/>
      <w:start w:val="1"/>
    </w:lvl>
    <w:lvl w:ilvl="1">
      <w:lvlJc w:val="left"/>
      <w:lvlText w:val="(%2)"/>
      <w:numFmt w:val="lowerLetter"/>
      <w:start w:val="1"/>
    </w:lvl>
  </w:abstractNum>
  <w:abstractNum w:abstractNumId="121">
    <w:nsid w:val="29BACF25"/>
    <w:multiLevelType w:val="hybridMultilevel"/>
    <w:lvl w:ilvl="0">
      <w:lvlJc w:val="left"/>
      <w:lvlText w:val="(%1)"/>
      <w:numFmt w:val="lowerLetter"/>
      <w:start w:val="35"/>
    </w:lvl>
    <w:lvl w:ilvl="1">
      <w:lvlJc w:val="left"/>
      <w:lvlText w:val="%2"/>
      <w:numFmt w:val="lowerLetter"/>
      <w:start w:val="1"/>
    </w:lvl>
  </w:abstractNum>
  <w:abstractNum w:abstractNumId="122">
    <w:nsid w:val="5D5BABB3"/>
    <w:multiLevelType w:val="hybridMultilevel"/>
    <w:lvl w:ilvl="0">
      <w:lvlJc w:val="left"/>
      <w:lvlText w:val="(%1)"/>
      <w:numFmt w:val="lowerLetter"/>
      <w:start w:val="2"/>
    </w:lvl>
    <w:lvl w:ilvl="1">
      <w:lvlJc w:val="left"/>
      <w:lvlText w:val="(%2)"/>
      <w:numFmt w:val="lowerRoman"/>
      <w:start w:val="1"/>
    </w:lvl>
  </w:abstractNum>
  <w:abstractNum w:abstractNumId="123">
    <w:nsid w:val="51BF6B48"/>
    <w:multiLevelType w:val="hybridMultilevel"/>
    <w:lvl w:ilvl="0">
      <w:lvlJc w:val="left"/>
      <w:lvlText w:val="%1"/>
      <w:numFmt w:val="lowerLetter"/>
      <w:start w:val="1"/>
    </w:lvl>
    <w:lvl w:ilvl="1">
      <w:lvlJc w:val="left"/>
      <w:lvlText w:val="(%2)"/>
      <w:numFmt w:val="lowerLetter"/>
      <w:start w:val="4"/>
    </w:lvl>
  </w:abstractNum>
  <w:abstractNum w:abstractNumId="124">
    <w:nsid w:val="7E0F6384"/>
    <w:multiLevelType w:val="hybridMultilevel"/>
    <w:lvl w:ilvl="0">
      <w:lvlJc w:val="left"/>
      <w:lvlText w:val="(%1)"/>
      <w:numFmt w:val="lowerLetter"/>
      <w:start w:val="61"/>
    </w:lvl>
    <w:lvl w:ilvl="1">
      <w:lvlJc w:val="left"/>
      <w:lvlText w:val="%2"/>
      <w:numFmt w:val="lowerLetter"/>
      <w:start w:val="1"/>
    </w:lvl>
  </w:abstractNum>
  <w:abstractNum w:abstractNumId="125">
    <w:nsid w:val="2B4B8B53"/>
    <w:multiLevelType w:val="hybridMultilevel"/>
    <w:lvl w:ilvl="0">
      <w:lvlJc w:val="left"/>
      <w:lvlText w:val="(%1)"/>
      <w:numFmt w:val="lowerLetter"/>
      <w:start w:val="1"/>
    </w:lvl>
  </w:abstractNum>
  <w:abstractNum w:abstractNumId="126">
    <w:nsid w:val="72E3413A"/>
    <w:multiLevelType w:val="hybridMultilevel"/>
    <w:lvl w:ilvl="0">
      <w:lvlJc w:val="left"/>
      <w:lvlText w:val="(%1)"/>
      <w:numFmt w:val="lowerLetter"/>
      <w:start w:val="1"/>
    </w:lvl>
  </w:abstractNum>
  <w:abstractNum w:abstractNumId="127">
    <w:nsid w:val="116AE494"/>
    <w:multiLevelType w:val="hybridMultilevel"/>
    <w:lvl w:ilvl="0">
      <w:lvlJc w:val="left"/>
      <w:lvlText w:val="(%1)"/>
      <w:numFmt w:val="lowerLetter"/>
      <w:start w:val="4"/>
    </w:lvl>
  </w:abstractNum>
  <w:abstractNum w:abstractNumId="128">
    <w:nsid w:val="3494B2FB"/>
    <w:multiLevelType w:val="hybridMultilevel"/>
    <w:lvl w:ilvl="0">
      <w:lvlJc w:val="left"/>
      <w:lvlText w:val="(%1)"/>
      <w:numFmt w:val="lowerLetter"/>
      <w:start w:val="1"/>
    </w:lvl>
  </w:abstractNum>
  <w:abstractNum w:abstractNumId="129">
    <w:nsid w:val="B13A31"/>
    <w:multiLevelType w:val="hybridMultilevel"/>
    <w:lvl w:ilvl="0">
      <w:lvlJc w:val="left"/>
      <w:lvlText w:val="(%1)"/>
      <w:numFmt w:val="lowerLetter"/>
      <w:start w:val="1"/>
    </w:lvl>
  </w:abstractNum>
  <w:abstractNum w:abstractNumId="130">
    <w:nsid w:val="64429599"/>
    <w:multiLevelType w:val="hybridMultilevel"/>
    <w:lvl w:ilvl="0">
      <w:lvlJc w:val="left"/>
      <w:lvlText w:val="(%1)"/>
      <w:numFmt w:val="lowerLetter"/>
      <w:start w:val="7"/>
    </w:lvl>
  </w:abstractNum>
  <w:abstractNum w:abstractNumId="131">
    <w:nsid w:val="631F1690"/>
    <w:multiLevelType w:val="hybridMultilevel"/>
    <w:lvl w:ilvl="0">
      <w:lvlJc w:val="left"/>
      <w:lvlText w:val="(%1)"/>
      <w:numFmt w:val="lowerLetter"/>
      <w:start w:val="14"/>
    </w:lvl>
  </w:abstractNum>
  <w:abstractNum w:abstractNumId="132">
    <w:nsid w:val="25973E32"/>
    <w:multiLevelType w:val="hybridMultilevel"/>
    <w:lvl w:ilvl="0">
      <w:lvlJc w:val="left"/>
      <w:lvlText w:val="%1"/>
      <w:numFmt w:val="lowerLetter"/>
      <w:start w:val="1"/>
    </w:lvl>
    <w:lvl w:ilvl="1">
      <w:lvlJc w:val="left"/>
      <w:lvlText w:val="(%2)"/>
      <w:numFmt w:val="lowerLetter"/>
      <w:start w:val="1"/>
    </w:lvl>
  </w:abstractNum>
  <w:abstractNum w:abstractNumId="133">
    <w:nsid w:val="EAD6F57"/>
    <w:multiLevelType w:val="hybridMultilevel"/>
    <w:lvl w:ilvl="0">
      <w:lvlJc w:val="left"/>
      <w:lvlText w:val="(%1)"/>
      <w:numFmt w:val="lowerLetter"/>
      <w:start w:val="22"/>
    </w:lvl>
    <w:lvl w:ilvl="1">
      <w:lvlJc w:val="left"/>
      <w:lvlText w:val="(%2)"/>
      <w:numFmt w:val="lowerLetter"/>
      <w:start w:val="2"/>
    </w:lvl>
  </w:abstractNum>
  <w:abstractNum w:abstractNumId="134">
    <w:nsid w:val="6EC9D844"/>
    <w:multiLevelType w:val="hybridMultilevel"/>
    <w:lvl w:ilvl="0">
      <w:lvlJc w:val="left"/>
      <w:lvlText w:val="(%1)"/>
      <w:numFmt w:val="lowerLetter"/>
      <w:start w:val="3"/>
    </w:lvl>
  </w:abstractNum>
  <w:abstractNum w:abstractNumId="135">
    <w:nsid w:val="5C49EAEE"/>
    <w:multiLevelType w:val="hybridMultilevel"/>
    <w:lvl w:ilvl="0">
      <w:lvlJc w:val="left"/>
      <w:lvlText w:val="(%1)"/>
      <w:numFmt w:val="lowerRoman"/>
      <w:start w:val="1"/>
    </w:lvl>
  </w:abstractNum>
  <w:abstractNum w:abstractNumId="136">
    <w:nsid w:val="64AF49B"/>
    <w:multiLevelType w:val="hybridMultilevel"/>
    <w:lvl w:ilvl="0">
      <w:lvlJc w:val="left"/>
      <w:lvlText w:val="(%1)"/>
      <w:numFmt w:val="lowerLetter"/>
      <w:start w:val="1"/>
    </w:lvl>
  </w:abstractNum>
  <w:abstractNum w:abstractNumId="137">
    <w:nsid w:val="397C46BC"/>
    <w:multiLevelType w:val="hybridMultilevel"/>
    <w:lvl w:ilvl="0">
      <w:lvlJc w:val="left"/>
      <w:lvlText w:val="(%1)"/>
      <w:numFmt w:val="lowerLetter"/>
      <w:start w:val="4"/>
    </w:lvl>
  </w:abstractNum>
  <w:abstractNum w:abstractNumId="138">
    <w:nsid w:val="7E448DE9"/>
    <w:multiLevelType w:val="hybridMultilevel"/>
    <w:lvl w:ilvl="0">
      <w:lvlJc w:val="left"/>
      <w:lvlText w:val="%1"/>
      <w:numFmt w:val="lowerLetter"/>
      <w:start w:val="1"/>
    </w:lvl>
    <w:lvl w:ilvl="1">
      <w:lvlJc w:val="left"/>
      <w:lvlText w:val="(%2)"/>
      <w:numFmt w:val="lowerLetter"/>
      <w:start w:val="10"/>
    </w:lvl>
  </w:abstractNum>
  <w:abstractNum w:abstractNumId="139">
    <w:nsid w:val="5A9CC3E5"/>
    <w:multiLevelType w:val="hybridMultilevel"/>
    <w:lvl w:ilvl="0">
      <w:lvlJc w:val="left"/>
      <w:lvlText w:val="(%1)"/>
      <w:numFmt w:val="lowerLetter"/>
      <w:start w:val="35"/>
    </w:lvl>
    <w:lvl w:ilvl="1">
      <w:lvlJc w:val="left"/>
      <w:lvlText w:val="%2"/>
      <w:numFmt w:val="lowerLetter"/>
      <w:start w:val="1"/>
    </w:lvl>
  </w:abstractNum>
  <w:abstractNum w:abstractNumId="140">
    <w:nsid w:val="1AFE3625"/>
    <w:multiLevelType w:val="hybridMultilevel"/>
    <w:lvl w:ilvl="0">
      <w:lvlJc w:val="left"/>
      <w:lvlText w:val="(%1)"/>
      <w:numFmt w:val="lowerLetter"/>
      <w:start w:val="1"/>
    </w:lvl>
  </w:abstractNum>
  <w:abstractNum w:abstractNumId="141">
    <w:nsid w:val="3CA88ECF"/>
    <w:multiLevelType w:val="hybridMultilevel"/>
    <w:lvl w:ilvl="0">
      <w:lvlJc w:val="left"/>
      <w:lvlText w:val="(%1)"/>
      <w:numFmt w:val="lowerLetter"/>
      <w:start w:val="4"/>
    </w:lvl>
  </w:abstractNum>
  <w:abstractNum w:abstractNumId="142">
    <w:nsid w:val="6EBE4208"/>
    <w:multiLevelType w:val="hybridMultilevel"/>
    <w:lvl w:ilvl="0">
      <w:lvlJc w:val="left"/>
      <w:lvlText w:val="(%1)"/>
      <w:numFmt w:val="lowerLetter"/>
      <w:start w:val="1"/>
    </w:lvl>
  </w:abstractNum>
  <w:abstractNum w:abstractNumId="143">
    <w:nsid w:val="C058DF5"/>
    <w:multiLevelType w:val="hybridMultilevel"/>
    <w:lvl w:ilvl="0">
      <w:lvlJc w:val="left"/>
      <w:lvlText w:val="(%1)"/>
      <w:numFmt w:val="lowerLetter"/>
      <w:start w:val="2"/>
    </w:lvl>
    <w:lvl w:ilvl="1">
      <w:lvlJc w:val="left"/>
      <w:lvlText w:val="(%2)"/>
      <w:numFmt w:val="lowerRoman"/>
      <w:start w:val="1"/>
    </w:lvl>
  </w:abstractNum>
  <w:abstractNum w:abstractNumId="144">
    <w:nsid w:val="CBE5BE9"/>
    <w:multiLevelType w:val="hybridMultilevel"/>
    <w:lvl w:ilvl="0">
      <w:lvlJc w:val="left"/>
      <w:lvlText w:val="(%1)"/>
      <w:numFmt w:val="lowerLetter"/>
      <w:start w:val="1"/>
    </w:lvl>
  </w:abstractNum>
  <w:abstractNum w:abstractNumId="145">
    <w:nsid w:val="3102BBE2"/>
    <w:multiLevelType w:val="hybridMultilevel"/>
    <w:lvl w:ilvl="0">
      <w:lvlJc w:val="left"/>
      <w:lvlText w:val="(%1)"/>
      <w:numFmt w:val="lowerLetter"/>
      <w:start w:val="4"/>
    </w:lvl>
    <w:lvl w:ilvl="1">
      <w:lvlJc w:val="left"/>
      <w:lvlText w:val="(%2)"/>
      <w:numFmt w:val="lowerRoman"/>
      <w:start w:val="1"/>
    </w:lvl>
  </w:abstractNum>
  <w:abstractNum w:abstractNumId="146">
    <w:nsid w:val="26A02C5E"/>
    <w:multiLevelType w:val="hybridMultilevel"/>
    <w:lvl w:ilvl="0">
      <w:lvlJc w:val="left"/>
      <w:lvlText w:val="(%1)"/>
      <w:numFmt w:val="lowerLetter"/>
      <w:start w:val="1"/>
    </w:lvl>
    <w:lvl w:ilvl="1">
      <w:lvlJc w:val="left"/>
      <w:lvlText w:val="(%2)"/>
      <w:numFmt w:val="lowerRoman"/>
      <w:start w:val="1"/>
    </w:lvl>
  </w:abstractNum>
  <w:abstractNum w:abstractNumId="147">
    <w:nsid w:val="541C8153"/>
    <w:multiLevelType w:val="hybridMultilevel"/>
    <w:lvl w:ilvl="0">
      <w:lvlJc w:val="left"/>
      <w:lvlText w:val="(%1)"/>
      <w:numFmt w:val="lowerRoman"/>
      <w:start w:val="3"/>
    </w:lvl>
  </w:abstractNum>
  <w:abstractNum w:abstractNumId="148">
    <w:nsid w:val="67906F60"/>
    <w:multiLevelType w:val="hybridMultilevel"/>
    <w:lvl w:ilvl="0">
      <w:lvlJc w:val="left"/>
      <w:lvlText w:val="(%1)"/>
      <w:numFmt w:val="lowerRoman"/>
      <w:start w:val="11"/>
    </w:lvl>
  </w:abstractNum>
  <w:abstractNum w:abstractNumId="149">
    <w:nsid w:val="10DB9DAA"/>
    <w:multiLevelType w:val="hybridMultilevel"/>
    <w:lvl w:ilvl="0">
      <w:lvlJc w:val="left"/>
      <w:lvlText w:val="%1"/>
      <w:numFmt w:val="lowerLetter"/>
      <w:start w:val="1"/>
    </w:lvl>
    <w:lvl w:ilvl="1">
      <w:lvlJc w:val="left"/>
      <w:lvlText w:val="(%2)"/>
      <w:numFmt w:val="lowerRoman"/>
      <w:start w:val="13"/>
    </w:lvl>
  </w:abstractNum>
  <w:abstractNum w:abstractNumId="150">
    <w:nsid w:val="697D2D2"/>
    <w:multiLevelType w:val="hybridMultilevel"/>
    <w:lvl w:ilvl="0">
      <w:lvlJc w:val="left"/>
      <w:lvlText w:val="(%1)"/>
      <w:numFmt w:val="lowerLetter"/>
      <w:start w:val="2"/>
    </w:lvl>
    <w:lvl w:ilvl="1">
      <w:lvlJc w:val="left"/>
      <w:lvlText w:val="%2"/>
      <w:numFmt w:val="lowerRoman"/>
      <w:start w:val="1"/>
    </w:lvl>
  </w:abstractNum>
  <w:abstractNum w:abstractNumId="151">
    <w:nsid w:val="6D68AB2"/>
    <w:multiLevelType w:val="hybridMultilevel"/>
    <w:lvl w:ilvl="0">
      <w:lvlJc w:val="left"/>
      <w:lvlText w:val="(%1)"/>
      <w:numFmt w:val="lowerLetter"/>
      <w:start w:val="1"/>
    </w:lvl>
  </w:abstractNum>
  <w:abstractNum w:abstractNumId="152">
    <w:nsid w:val="3A966CD0"/>
    <w:multiLevelType w:val="hybridMultilevel"/>
    <w:lvl w:ilvl="0">
      <w:lvlJc w:val="left"/>
      <w:lvlText w:val="%1"/>
      <w:numFmt w:val="lowerLetter"/>
      <w:start w:val="1"/>
    </w:lvl>
    <w:lvl w:ilvl="1">
      <w:lvlJc w:val="left"/>
      <w:lvlText w:val="(%2)"/>
      <w:numFmt w:val="lowerLetter"/>
      <w:start w:val="1"/>
    </w:lvl>
  </w:abstractNum>
  <w:abstractNum w:abstractNumId="153">
    <w:nsid w:val="63F37E85"/>
    <w:multiLevelType w:val="hybridMultilevel"/>
    <w:lvl w:ilvl="0">
      <w:lvlJc w:val="left"/>
      <w:lvlText w:val="(%1)"/>
      <w:numFmt w:val="lowerLetter"/>
      <w:start w:val="3"/>
    </w:lvl>
    <w:lvl w:ilvl="1">
      <w:lvlJc w:val="left"/>
      <w:lvlText w:val="(%2)"/>
      <w:numFmt w:val="lowerLetter"/>
      <w:start w:val="2"/>
    </w:lvl>
  </w:abstractNum>
  <w:abstractNum w:abstractNumId="154">
    <w:nsid w:val="5895F5FA"/>
    <w:multiLevelType w:val="hybridMultilevel"/>
    <w:lvl w:ilvl="0">
      <w:lvlJc w:val="left"/>
      <w:lvlText w:val="(%1)"/>
      <w:numFmt w:val="lowerLetter"/>
      <w:start w:val="1"/>
    </w:lvl>
  </w:abstractNum>
  <w:abstractNum w:abstractNumId="155">
    <w:nsid w:val="38A5D054"/>
    <w:multiLevelType w:val="hybridMultilevel"/>
    <w:lvl w:ilvl="0">
      <w:lvlJc w:val="left"/>
      <w:lvlText w:val="(%1)"/>
      <w:numFmt w:val="lowerLetter"/>
      <w:start w:val="3"/>
    </w:lvl>
  </w:abstractNum>
  <w:abstractNum w:abstractNumId="156">
    <w:nsid w:val="F3F09D8"/>
    <w:multiLevelType w:val="hybridMultilevel"/>
    <w:lvl w:ilvl="0">
      <w:lvlJc w:val="left"/>
      <w:lvlText w:val="(%1)"/>
      <w:numFmt w:val="lowerLetter"/>
      <w:start w:val="1"/>
    </w:lvl>
  </w:abstractNum>
  <w:abstractNum w:abstractNumId="157">
    <w:nsid w:val="4B793735"/>
    <w:multiLevelType w:val="hybridMultilevel"/>
    <w:lvl w:ilvl="0">
      <w:lvlJc w:val="left"/>
      <w:lvlText w:val="(%1)"/>
      <w:numFmt w:val="lowerLetter"/>
      <w:start w:val="4"/>
    </w:lvl>
  </w:abstractNum>
  <w:abstractNum w:abstractNumId="158">
    <w:nsid w:val="4A10B4E8"/>
    <w:multiLevelType w:val="hybridMultilevel"/>
    <w:lvl w:ilvl="0">
      <w:lvlJc w:val="left"/>
      <w:lvlText w:val="(%1)"/>
      <w:numFmt w:val="lowerLetter"/>
      <w:start w:val="1"/>
    </w:lvl>
  </w:abstractNum>
  <w:abstractNum w:abstractNumId="159">
    <w:nsid w:val="43D3BCD4"/>
    <w:multiLevelType w:val="hybridMultilevel"/>
    <w:lvl w:ilvl="0">
      <w:lvlJc w:val="left"/>
      <w:lvlText w:val="(%1)"/>
      <w:numFmt w:val="lowerLetter"/>
      <w:start w:val="2"/>
    </w:lvl>
  </w:abstractNum>
  <w:abstractNum w:abstractNumId="160">
    <w:nsid w:val="4C2A7166"/>
    <w:multiLevelType w:val="hybridMultilevel"/>
    <w:lvl w:ilvl="0">
      <w:lvlJc w:val="left"/>
      <w:lvlText w:val="(%1)"/>
      <w:numFmt w:val="lowerLetter"/>
      <w:start w:val="1"/>
    </w:lvl>
  </w:abstractNum>
  <w:abstractNum w:abstractNumId="161">
    <w:nsid w:val="2E534A82"/>
    <w:multiLevelType w:val="hybridMultilevel"/>
    <w:lvl w:ilvl="0">
      <w:lvlJc w:val="left"/>
      <w:lvlText w:val="(%1)"/>
      <w:numFmt w:val="lowerLetter"/>
      <w:start w:val="3"/>
    </w:lvl>
  </w:abstractNum>
  <w:abstractNum w:abstractNumId="162">
    <w:nsid w:val="26F2D364"/>
    <w:multiLevelType w:val="hybridMultilevel"/>
    <w:lvl w:ilvl="0">
      <w:lvlJc w:val="left"/>
      <w:lvlText w:val="(%1)"/>
      <w:numFmt w:val="lowerLetter"/>
      <w:start w:val="4"/>
    </w:lvl>
  </w:abstractNum>
  <w:abstractNum w:abstractNumId="163">
    <w:nsid w:val="71C1AF98"/>
    <w:multiLevelType w:val="hybridMultilevel"/>
    <w:lvl w:ilvl="0">
      <w:lvlJc w:val="left"/>
      <w:lvlText w:val="(%1)"/>
      <w:numFmt w:val="lowerLetter"/>
      <w:start w:val="1"/>
    </w:lvl>
  </w:abstractNum>
  <w:abstractNum w:abstractNumId="164">
    <w:nsid w:val="3D00B9D9"/>
    <w:multiLevelType w:val="hybridMultilevel"/>
    <w:lvl w:ilvl="0">
      <w:lvlJc w:val="left"/>
      <w:lvlText w:val="%1"/>
      <w:numFmt w:val="decimal"/>
      <w:start w:val="1"/>
    </w:lvl>
    <w:lvl w:ilvl="1">
      <w:lvlJc w:val="left"/>
      <w:lvlText w:val="(%2)"/>
      <w:numFmt w:val="lowerLetter"/>
      <w:start w:val="2"/>
    </w:lvl>
  </w:abstractNum>
  <w:abstractNum w:abstractNumId="165">
    <w:nsid w:val="15BCABA8"/>
    <w:multiLevelType w:val="hybridMultilevel"/>
    <w:lvl w:ilvl="0">
      <w:lvlJc w:val="left"/>
      <w:lvlText w:val="(%1)"/>
      <w:numFmt w:val="decimal"/>
      <w:start w:val="4"/>
    </w:lvl>
    <w:lvl w:ilvl="1">
      <w:lvlJc w:val="left"/>
      <w:lvlText w:val="(%2)"/>
      <w:numFmt w:val="lowerLetter"/>
      <w:start w:val="3"/>
    </w:lvl>
  </w:abstractNum>
  <w:abstractNum w:abstractNumId="166">
    <w:nsid w:val="4E0B9A87"/>
    <w:multiLevelType w:val="hybridMultilevel"/>
    <w:lvl w:ilvl="0">
      <w:lvlJc w:val="left"/>
      <w:lvlText w:val="(%1)"/>
      <w:numFmt w:val="lowerLetter"/>
      <w:start w:val="4"/>
    </w:lvl>
  </w:abstractNum>
  <w:abstractNum w:abstractNumId="167">
    <w:nsid w:val="434BAE75"/>
    <w:multiLevelType w:val="hybridMultilevel"/>
    <w:lvl w:ilvl="0">
      <w:lvlJc w:val="left"/>
      <w:lvlText w:val="(%1)"/>
      <w:numFmt w:val="lowerLetter"/>
      <w:start w:val="2"/>
    </w:lvl>
  </w:abstractNum>
  <w:abstractNum w:abstractNumId="168">
    <w:nsid w:val="4F38F265"/>
    <w:multiLevelType w:val="hybridMultilevel"/>
    <w:lvl w:ilvl="0">
      <w:lvlJc w:val="left"/>
      <w:lvlText w:val="(%1)"/>
      <w:numFmt w:val="lowerLetter"/>
      <w:start w:val="1"/>
    </w:lvl>
  </w:abstractNum>
  <w:abstractNum w:abstractNumId="169">
    <w:nsid w:val="4C502870"/>
    <w:multiLevelType w:val="hybridMultilevel"/>
    <w:lvl w:ilvl="0">
      <w:lvlJc w:val="left"/>
      <w:lvlText w:val="%1"/>
      <w:numFmt w:val="lowerRoman"/>
      <w:start w:val="1"/>
    </w:lvl>
    <w:lvl w:ilvl="1">
      <w:lvlJc w:val="left"/>
      <w:lvlText w:val="(%2)"/>
      <w:numFmt w:val="lowerLetter"/>
      <w:start w:val="2"/>
    </w:lvl>
  </w:abstractNum>
  <w:abstractNum w:abstractNumId="170">
    <w:nsid w:val="1DE8725A"/>
    <w:multiLevelType w:val="hybridMultilevel"/>
    <w:lvl w:ilvl="0">
      <w:lvlJc w:val="left"/>
      <w:lvlText w:val="(%1)"/>
      <w:numFmt w:val="lowerRoman"/>
      <w:start w:val="4"/>
    </w:lvl>
    <w:lvl w:ilvl="1">
      <w:lvlJc w:val="left"/>
      <w:lvlText w:val="(%2)"/>
      <w:numFmt w:val="lowerLetter"/>
      <w:start w:val="4"/>
    </w:lvl>
  </w:abstractNum>
  <w:abstractNum w:abstractNumId="171">
    <w:nsid w:val="6A37288A"/>
    <w:multiLevelType w:val="hybridMultilevel"/>
    <w:lvl w:ilvl="0">
      <w:lvlJc w:val="left"/>
      <w:lvlText w:val="(%1)"/>
      <w:numFmt w:val="lowerLetter"/>
      <w:start w:val="6"/>
    </w:lvl>
  </w:abstractNum>
  <w:abstractNum w:abstractNumId="172">
    <w:nsid w:val="8F8B73F"/>
    <w:multiLevelType w:val="hybridMultilevel"/>
    <w:lvl w:ilvl="0">
      <w:lvlJc w:val="left"/>
      <w:lvlText w:val="(%1)"/>
      <w:numFmt w:val="lowerLetter"/>
      <w:start w:val="7"/>
    </w:lvl>
  </w:abstractNum>
  <w:abstractNum w:abstractNumId="173">
    <w:nsid w:val="CA6B462"/>
    <w:multiLevelType w:val="hybridMultilevel"/>
    <w:lvl w:ilvl="0">
      <w:lvlJc w:val="left"/>
      <w:lvlText w:val="(%1)"/>
      <w:numFmt w:val="lowerLetter"/>
      <w:start w:val="1"/>
    </w:lvl>
  </w:abstractNum>
  <w:abstractNum w:abstractNumId="174">
    <w:nsid w:val="763CB680"/>
    <w:multiLevelType w:val="hybridMultilevel"/>
    <w:lvl w:ilvl="0">
      <w:lvlJc w:val="left"/>
      <w:lvlText w:val="(%1)"/>
      <w:numFmt w:val="lowerLetter"/>
      <w:start w:val="5"/>
    </w:lvl>
  </w:abstractNum>
  <w:abstractNum w:abstractNumId="175">
    <w:nsid w:val="15B71329"/>
    <w:multiLevelType w:val="hybridMultilevel"/>
    <w:lvl w:ilvl="0">
      <w:lvlJc w:val="left"/>
      <w:lvlText w:val="(%1)"/>
      <w:numFmt w:val="lowerLetter"/>
      <w:start w:val="1"/>
    </w:lvl>
  </w:abstractNum>
  <w:abstractNum w:abstractNumId="176">
    <w:nsid w:val="3DA97044"/>
    <w:multiLevelType w:val="hybridMultilevel"/>
    <w:lvl w:ilvl="0">
      <w:lvlJc w:val="left"/>
      <w:lvlText w:val="(%1)"/>
      <w:numFmt w:val="lowerLetter"/>
      <w:start w:val="1"/>
    </w:lvl>
  </w:abstractNum>
  <w:abstractNum w:abstractNumId="177">
    <w:nsid w:val="1CDCE2DE"/>
    <w:multiLevelType w:val="hybridMultilevel"/>
    <w:lvl w:ilvl="0">
      <w:lvlJc w:val="left"/>
      <w:lvlText w:val="(%1)"/>
      <w:numFmt w:val="lowerLetter"/>
      <w:start w:val="3"/>
    </w:lvl>
  </w:abstractNum>
  <w:abstractNum w:abstractNumId="178">
    <w:nsid w:val="69D3947C"/>
    <w:multiLevelType w:val="hybridMultilevel"/>
    <w:lvl w:ilvl="0">
      <w:lvlJc w:val="left"/>
      <w:lvlText w:val="(%1)"/>
      <w:numFmt w:val="lowerLetter"/>
      <w:start w:val="1"/>
    </w:lvl>
  </w:abstractNum>
  <w:abstractNum w:abstractNumId="179">
    <w:nsid w:val="2539DFA5"/>
    <w:multiLevelType w:val="hybridMultilevel"/>
    <w:lvl w:ilvl="0">
      <w:lvlJc w:val="left"/>
      <w:lvlText w:val="(%1)"/>
      <w:numFmt w:val="lowerLetter"/>
      <w:start w:val="2"/>
    </w:lvl>
    <w:lvl w:ilvl="1">
      <w:lvlJc w:val="left"/>
      <w:lvlText w:val="(%2)"/>
      <w:numFmt w:val="lowerRoman"/>
      <w:start w:val="1"/>
    </w:lvl>
  </w:abstractNum>
  <w:abstractNum w:abstractNumId="180">
    <w:nsid w:val="2DB88089"/>
    <w:multiLevelType w:val="hybridMultilevel"/>
    <w:lvl w:ilvl="0">
      <w:lvlJc w:val="left"/>
      <w:lvlText w:val="(%1)"/>
      <w:numFmt w:val="lowerRoman"/>
      <w:start w:val="5"/>
    </w:lvl>
  </w:abstractNum>
  <w:abstractNum w:abstractNumId="181">
    <w:nsid w:val="706B674E"/>
    <w:multiLevelType w:val="hybridMultilevel"/>
    <w:lvl w:ilvl="0">
      <w:lvlJc w:val="left"/>
      <w:lvlText w:val="(%1)"/>
      <w:numFmt w:val="lowerRoman"/>
      <w:start w:val="10"/>
    </w:lvl>
  </w:abstractNum>
  <w:abstractNum w:abstractNumId="182">
    <w:nsid w:val="2C106A57"/>
    <w:multiLevelType w:val="hybridMultilevel"/>
    <w:lvl w:ilvl="0">
      <w:lvlJc w:val="left"/>
      <w:lvlText w:val="%1"/>
      <w:numFmt w:val="lowerLetter"/>
      <w:start w:val="1"/>
    </w:lvl>
    <w:lvl w:ilvl="1">
      <w:lvlJc w:val="left"/>
      <w:lvlText w:val="(%2)"/>
      <w:numFmt w:val="lowerRoman"/>
      <w:start w:val="17"/>
    </w:lvl>
  </w:abstractNum>
  <w:abstractNum w:abstractNumId="183">
    <w:nsid w:val="684EED59"/>
    <w:multiLevelType w:val="hybridMultilevel"/>
    <w:lvl w:ilvl="0">
      <w:lvlJc w:val="left"/>
      <w:lvlText w:val="(%1)"/>
      <w:numFmt w:val="lowerLetter"/>
      <w:start w:val="3"/>
    </w:lvl>
    <w:lvl w:ilvl="1">
      <w:lvlJc w:val="left"/>
      <w:lvlText w:val="%2"/>
      <w:numFmt w:val="lowerRoman"/>
      <w:start w:val="1"/>
    </w:lvl>
  </w:abstractNum>
  <w:abstractNum w:abstractNumId="184">
    <w:nsid w:val="545EE5D3"/>
    <w:multiLevelType w:val="hybridMultilevel"/>
    <w:lvl w:ilvl="0">
      <w:lvlJc w:val="left"/>
      <w:lvlText w:val="(%1)"/>
      <w:numFmt w:val="lowerLetter"/>
      <w:start w:val="1"/>
    </w:lvl>
    <w:lvl w:ilvl="1">
      <w:lvlJc w:val="left"/>
      <w:lvlText w:val="(%2)"/>
      <w:numFmt w:val="lowerRoman"/>
      <w:start w:val="1"/>
    </w:lvl>
  </w:abstractNum>
  <w:abstractNum w:abstractNumId="185">
    <w:nsid w:val="4A66051"/>
    <w:multiLevelType w:val="hybridMultilevel"/>
    <w:lvl w:ilvl="0">
      <w:lvlJc w:val="left"/>
      <w:lvlText w:val="%1"/>
      <w:numFmt w:val="lowerLetter"/>
      <w:start w:val="1"/>
    </w:lvl>
    <w:lvl w:ilvl="1">
      <w:lvlJc w:val="left"/>
      <w:lvlText w:val="(%2)"/>
      <w:numFmt w:val="lowerRoman"/>
      <w:start w:val="5"/>
    </w:lvl>
  </w:abstractNum>
  <w:abstractNum w:abstractNumId="186">
    <w:nsid w:val="20F4BDAD"/>
    <w:multiLevelType w:val="hybridMultilevel"/>
    <w:lvl w:ilvl="0">
      <w:lvlJc w:val="left"/>
      <w:lvlText w:val="(%1)"/>
      <w:numFmt w:val="lowerLetter"/>
      <w:start w:val="3"/>
    </w:lvl>
    <w:lvl w:ilvl="1">
      <w:lvlJc w:val="left"/>
      <w:lvlText w:val="%2"/>
      <w:numFmt w:val="lowerRoman"/>
      <w:start w:val="1"/>
    </w:lvl>
  </w:abstractNum>
  <w:abstractNum w:abstractNumId="187">
    <w:nsid w:val="639DEFAC"/>
    <w:multiLevelType w:val="hybridMultilevel"/>
    <w:lvl w:ilvl="0">
      <w:lvlJc w:val="left"/>
      <w:lvlText w:val="(%1)"/>
      <w:numFmt w:val="lowerLetter"/>
      <w:start w:val="1"/>
    </w:lvl>
  </w:abstractNum>
  <w:abstractNum w:abstractNumId="188">
    <w:nsid w:val="501F9786"/>
    <w:multiLevelType w:val="hybridMultilevel"/>
    <w:lvl w:ilvl="0">
      <w:lvlJc w:val="left"/>
      <w:lvlText w:val="(%1)"/>
      <w:numFmt w:val="lowerLetter"/>
      <w:start w:val="3"/>
    </w:lvl>
  </w:abstractNum>
  <w:abstractNum w:abstractNumId="189">
    <w:nsid w:val="6B057295"/>
    <w:multiLevelType w:val="hybridMultilevel"/>
    <w:lvl w:ilvl="0">
      <w:lvlJc w:val="left"/>
      <w:lvlText w:val="(%1)"/>
      <w:numFmt w:val="lowerLetter"/>
      <w:start w:val="1"/>
    </w:lvl>
  </w:abstractNum>
  <w:abstractNum w:abstractNumId="190">
    <w:nsid w:val="2771AC80"/>
    <w:multiLevelType w:val="hybridMultilevel"/>
    <w:lvl w:ilvl="0">
      <w:lvlJc w:val="left"/>
      <w:lvlText w:val="(%1)"/>
      <w:numFmt w:val="lowerLetter"/>
      <w:start w:val="2"/>
    </w:lvl>
  </w:abstractNum>
  <w:abstractNum w:abstractNumId="191">
    <w:nsid w:val="1C4A08EC"/>
    <w:multiLevelType w:val="hybridMultilevel"/>
    <w:lvl w:ilvl="0">
      <w:lvlJc w:val="left"/>
      <w:lvlText w:val="(%1)"/>
      <w:numFmt w:val="lowerLetter"/>
      <w:start w:val="1"/>
    </w:lvl>
  </w:abstractNum>
  <w:abstractNum w:abstractNumId="192">
    <w:nsid w:val="1958BD17"/>
    <w:multiLevelType w:val="hybridMultilevel"/>
    <w:lvl w:ilvl="0">
      <w:lvlJc w:val="left"/>
      <w:lvlText w:val="(%1)"/>
      <w:numFmt w:val="lowerLetter"/>
      <w:start w:val="3"/>
    </w:lvl>
  </w:abstractNum>
  <w:abstractNum w:abstractNumId="193">
    <w:nsid w:val="4E647FE4"/>
    <w:multiLevelType w:val="hybridMultilevel"/>
    <w:lvl w:ilvl="0">
      <w:lvlJc w:val="left"/>
      <w:lvlText w:val="(%1)"/>
      <w:numFmt w:val="lowerLetter"/>
      <w:start w:val="6"/>
    </w:lvl>
  </w:abstractNum>
  <w:abstractNum w:abstractNumId="194">
    <w:nsid w:val="E0BB885"/>
    <w:multiLevelType w:val="hybridMultilevel"/>
    <w:lvl w:ilvl="0">
      <w:lvlJc w:val="left"/>
      <w:lvlText w:val="(%1)"/>
      <w:numFmt w:val="upperLetter"/>
      <w:start w:val="1"/>
    </w:lvl>
  </w:abstractNum>
  <w:abstractNum w:abstractNumId="195">
    <w:nsid w:val="565976F1"/>
    <w:multiLevelType w:val="hybridMultilevel"/>
    <w:lvl w:ilvl="0">
      <w:lvlJc w:val="left"/>
      <w:lvlText w:val="(%1)"/>
      <w:numFmt w:val="lowerLetter"/>
      <w:start w:val="1"/>
    </w:lvl>
  </w:abstractNum>
  <w:abstractNum w:abstractNumId="196">
    <w:nsid w:val="64212B8C"/>
    <w:multiLevelType w:val="hybridMultilevel"/>
    <w:lvl w:ilvl="0">
      <w:lvlJc w:val="left"/>
      <w:lvlText w:val="(%1)"/>
      <w:numFmt w:val="lowerRoman"/>
      <w:start w:val="1"/>
    </w:lvl>
  </w:abstractNum>
  <w:abstractNum w:abstractNumId="197">
    <w:nsid w:val="5C17530C"/>
    <w:multiLevelType w:val="hybridMultilevel"/>
    <w:lvl w:ilvl="0">
      <w:lvlJc w:val="left"/>
      <w:lvlText w:val="(%1)"/>
      <w:numFmt w:val="lowerRoman"/>
      <w:start w:val="5"/>
    </w:lvl>
  </w:abstractNum>
  <w:abstractNum w:abstractNumId="198">
    <w:nsid w:val="19A5256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2"/>
    </w:lvl>
  </w:abstractNum>
  <w:abstractNum w:abstractNumId="199">
    <w:nsid w:val="335A1DF1"/>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00">
    <w:nsid w:val="28677B7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201">
    <w:nsid w:val="378D97C0"/>
    <w:multiLevelType w:val="hybridMultilevel"/>
    <w:lvl w:ilvl="0">
      <w:lvlJc w:val="left"/>
      <w:lvlText w:val="(%1)"/>
      <w:numFmt w:val="lowerLetter"/>
      <w:start w:val="3"/>
    </w:lvl>
  </w:abstractNum>
  <w:abstractNum w:abstractNumId="202">
    <w:nsid w:val="1D91467C"/>
    <w:multiLevelType w:val="hybridMultilevel"/>
    <w:lvl w:ilvl="0">
      <w:lvlJc w:val="left"/>
      <w:lvlText w:val="(%1)"/>
      <w:numFmt w:val="lowerLetter"/>
      <w:start w:val="1"/>
    </w:lvl>
  </w:abstractNum>
  <w:abstractNum w:abstractNumId="203">
    <w:nsid w:val="316032BB"/>
    <w:multiLevelType w:val="hybridMultilevel"/>
    <w:lvl w:ilvl="0">
      <w:lvlJc w:val="left"/>
      <w:lvlText w:val="(%1)"/>
      <w:numFmt w:val="lowerLetter"/>
      <w:start w:val="1"/>
    </w:lvl>
    <w:lvl w:ilvl="1">
      <w:lvlJc w:val="left"/>
      <w:lvlText w:val="(%2)"/>
      <w:numFmt w:val="lowerRoman"/>
      <w:start w:val="1"/>
    </w:lvl>
  </w:abstractNum>
  <w:abstractNum w:abstractNumId="204">
    <w:nsid w:val="44344C22"/>
    <w:multiLevelType w:val="hybridMultilevel"/>
    <w:lvl w:ilvl="0">
      <w:lvlJc w:val="left"/>
      <w:lvlText w:val="(%1)"/>
      <w:numFmt w:val="lowerLetter"/>
      <w:start w:val="2"/>
    </w:lvl>
  </w:abstractNum>
  <w:abstractNum w:abstractNumId="205">
    <w:nsid w:val="13CDFCFC"/>
    <w:multiLevelType w:val="hybridMultilevel"/>
    <w:lvl w:ilvl="0">
      <w:lvlJc w:val="left"/>
      <w:lvlText w:val="(%1)"/>
      <w:numFmt w:val="lowerLetter"/>
      <w:start w:val="1"/>
    </w:lvl>
  </w:abstractNum>
  <w:abstractNum w:abstractNumId="206">
    <w:nsid w:val="471745E4"/>
    <w:multiLevelType w:val="hybridMultilevel"/>
    <w:lvl w:ilvl="0">
      <w:lvlJc w:val="left"/>
      <w:lvlText w:val="(%1)"/>
      <w:numFmt w:val="lowerLetter"/>
      <w:start w:val="1"/>
    </w:lvl>
  </w:abstractNum>
  <w:abstractNum w:abstractNumId="207">
    <w:nsid w:val="1DDBC66"/>
    <w:multiLevelType w:val="hybridMultilevel"/>
    <w:lvl w:ilvl="0">
      <w:lvlJc w:val="left"/>
      <w:lvlText w:val="(%1)"/>
      <w:numFmt w:val="lowerLetter"/>
      <w:start w:val="2"/>
    </w:lvl>
  </w:abstractNum>
  <w:abstractNum w:abstractNumId="208">
    <w:nsid w:val="30AADFDA"/>
    <w:multiLevelType w:val="hybridMultilevel"/>
    <w:lvl w:ilvl="0">
      <w:lvlJc w:val="left"/>
      <w:lvlText w:val="(%1)"/>
      <w:numFmt w:val="lowerLetter"/>
      <w:start w:val="5"/>
    </w:lvl>
  </w:abstractNum>
  <w:abstractNum w:abstractNumId="209">
    <w:nsid w:val="30EADA61"/>
    <w:multiLevelType w:val="hybridMultilevel"/>
    <w:lvl w:ilvl="0">
      <w:lvlJc w:val="left"/>
      <w:lvlText w:val="(%1)"/>
      <w:numFmt w:val="lowerLetter"/>
      <w:start w:val="7"/>
    </w:lvl>
  </w:abstractNum>
  <w:abstractNum w:abstractNumId="210">
    <w:nsid w:val="27179C0B"/>
    <w:multiLevelType w:val="hybridMultilevel"/>
    <w:lvl w:ilvl="0">
      <w:lvlJc w:val="left"/>
      <w:lvlText w:val="(%1)"/>
      <w:numFmt w:val="lowerLetter"/>
      <w:start w:val="1"/>
    </w:lvl>
  </w:abstractNum>
  <w:abstractNum w:abstractNumId="211">
    <w:nsid w:val="5E636063"/>
    <w:multiLevelType w:val="hybridMultilevel"/>
    <w:lvl w:ilvl="0">
      <w:lvlJc w:val="left"/>
      <w:lvlText w:val="(%1)"/>
      <w:numFmt w:val="lowerLetter"/>
      <w:start w:val="1"/>
    </w:lvl>
    <w:lvl w:ilvl="1">
      <w:lvlJc w:val="left"/>
      <w:lvlText w:val="(%2)"/>
      <w:numFmt w:val="lowerRoman"/>
      <w:start w:val="1"/>
    </w:lvl>
  </w:abstractNum>
  <w:abstractNum w:abstractNumId="212">
    <w:nsid w:val="215641AF"/>
    <w:multiLevelType w:val="hybridMultilevel"/>
    <w:lvl w:ilvl="0">
      <w:lvlJc w:val="left"/>
      <w:lvlText w:val="(%1)"/>
      <w:numFmt w:val="lowerLetter"/>
      <w:start w:val="4"/>
    </w:lvl>
    <w:lvl w:ilvl="1">
      <w:lvlJc w:val="left"/>
      <w:lvlText w:val="(%2)"/>
      <w:numFmt w:val="lowerLetter"/>
      <w:start w:val="9"/>
    </w:lvl>
  </w:abstractNum>
  <w:abstractNum w:abstractNumId="213">
    <w:nsid w:val="53280662"/>
    <w:multiLevelType w:val="hybridMultilevel"/>
    <w:lvl w:ilvl="0">
      <w:lvlJc w:val="left"/>
      <w:lvlText w:val="(%1)"/>
      <w:numFmt w:val="lowerLetter"/>
      <w:start w:val="1"/>
    </w:lvl>
  </w:abstractNum>
  <w:abstractNum w:abstractNumId="214">
    <w:nsid w:val="46B24DBC"/>
    <w:multiLevelType w:val="hybridMultilevel"/>
    <w:lvl w:ilvl="0">
      <w:lvlJc w:val="left"/>
      <w:lvlText w:val="(%1)"/>
      <w:numFmt w:val="lowerLetter"/>
      <w:start w:val="2"/>
    </w:lvl>
  </w:abstractNum>
  <w:abstractNum w:abstractNumId="215">
    <w:nsid w:val="75B52783"/>
    <w:multiLevelType w:val="hybridMultilevel"/>
    <w:lvl w:ilvl="0">
      <w:lvlJc w:val="left"/>
      <w:lvlText w:val="(%1)"/>
      <w:numFmt w:val="lowerLetter"/>
      <w:start w:val="1"/>
    </w:lvl>
  </w:abstractNum>
  <w:abstractNum w:abstractNumId="216">
    <w:nsid w:val="57CE66B4"/>
    <w:multiLevelType w:val="hybridMultilevel"/>
    <w:lvl w:ilvl="0">
      <w:lvlJc w:val="left"/>
      <w:lvlText w:val="(%1)"/>
      <w:numFmt w:val="lowerRoman"/>
      <w:start w:val="2"/>
    </w:lvl>
  </w:abstractNum>
  <w:abstractNum w:abstractNumId="217">
    <w:nsid w:val="67A70B69"/>
    <w:multiLevelType w:val="hybridMultilevel"/>
    <w:lvl w:ilvl="0">
      <w:lvlJc w:val="left"/>
      <w:lvlText w:val="(%1)"/>
      <w:numFmt w:val="lowerLetter"/>
      <w:start w:val="3"/>
    </w:lvl>
  </w:abstractNum>
  <w:abstractNum w:abstractNumId="218">
    <w:nsid w:val="5953172F"/>
    <w:multiLevelType w:val="hybridMultilevel"/>
    <w:lvl w:ilvl="0">
      <w:lvlJc w:val="left"/>
      <w:lvlText w:val="(%1)"/>
      <w:numFmt w:val="lowerLetter"/>
      <w:start w:val="2"/>
    </w:lvl>
  </w:abstractNum>
  <w:abstractNum w:abstractNumId="219">
    <w:nsid w:val="27EDFE3A"/>
    <w:multiLevelType w:val="hybridMultilevel"/>
    <w:lvl w:ilvl="0">
      <w:lvlJc w:val="left"/>
      <w:lvlText w:val="(%1)"/>
      <w:numFmt w:val="lowerLetter"/>
      <w:start w:val="1"/>
    </w:lvl>
  </w:abstractNum>
  <w:abstractNum w:abstractNumId="220">
    <w:nsid w:val="52AC7DFF"/>
    <w:multiLevelType w:val="hybridMultilevel"/>
    <w:lvl w:ilvl="0">
      <w:lvlJc w:val="left"/>
      <w:lvlText w:val="(%1)"/>
      <w:numFmt w:val="lowerLetter"/>
      <w:start w:val="2"/>
    </w:lvl>
  </w:abstractNum>
  <w:abstractNum w:abstractNumId="221">
    <w:nsid w:val="C4C3AF"/>
    <w:multiLevelType w:val="hybridMultilevel"/>
    <w:lvl w:ilvl="0">
      <w:lvlJc w:val="left"/>
      <w:lvlText w:val="(%1)"/>
      <w:numFmt w:val="lowerLetter"/>
      <w:start w:val="1"/>
    </w:lvl>
  </w:abstractNum>
  <w:abstractNum w:abstractNumId="222">
    <w:nsid w:val="44380727"/>
    <w:multiLevelType w:val="hybridMultilevel"/>
    <w:lvl w:ilvl="0">
      <w:lvlJc w:val="left"/>
      <w:lvlText w:val="(%1)"/>
      <w:numFmt w:val="lowerLetter"/>
      <w:start w:val="2"/>
    </w:lvl>
  </w:abstractNum>
  <w:abstractNum w:abstractNumId="223">
    <w:nsid w:val="6C053B16"/>
    <w:multiLevelType w:val="hybridMultilevel"/>
    <w:lvl w:ilvl="0">
      <w:lvlJc w:val="left"/>
      <w:lvlText w:val="•"/>
      <w:numFmt w:val="bullet"/>
      <w:start w:val="1"/>
    </w:lvl>
  </w:abstractNum>
  <w:abstractNum w:abstractNumId="224">
    <w:nsid w:val="4F294393"/>
    <w:multiLevelType w:val="hybridMultilevel"/>
    <w:lvl w:ilvl="0">
      <w:lvlJc w:val="left"/>
      <w:lvlText w:val="%1."/>
      <w:numFmt w:val="decimal"/>
      <w:start w:val="1"/>
    </w:lvl>
    <w:lvl w:ilvl="1">
      <w:lvlJc w:val="left"/>
      <w:lvlText w:val="(%2)"/>
      <w:numFmt w:val="lowerLetter"/>
      <w:start w:val="1"/>
    </w:lvl>
  </w:abstractNum>
  <w:abstractNum w:abstractNumId="225">
    <w:nsid w:val="5243BFAC"/>
    <w:multiLevelType w:val="hybridMultilevel"/>
    <w:lvl w:ilvl="0">
      <w:lvlJc w:val="left"/>
      <w:lvlText w:val="(%1)"/>
      <w:numFmt w:val="lowerLetter"/>
      <w:start w:val="2"/>
    </w:lvl>
  </w:abstractNum>
  <w:abstractNum w:abstractNumId="226">
    <w:nsid w:val="425EB207"/>
    <w:multiLevelType w:val="hybridMultilevel"/>
    <w:lvl w:ilvl="0">
      <w:lvlJc w:val="left"/>
      <w:lvlText w:val="%1"/>
      <w:numFmt w:val="decimal"/>
      <w:start w:val="1"/>
    </w:lvl>
    <w:lvl w:ilvl="1">
      <w:lvlJc w:val="left"/>
      <w:lvlText w:val="(%2)"/>
      <w:numFmt w:val="lowerLetter"/>
      <w:start w:val="4"/>
    </w:lvl>
  </w:abstractNum>
  <w:abstractNum w:abstractNumId="227">
    <w:nsid w:val="334A6F1F"/>
    <w:multiLevelType w:val="hybridMultilevel"/>
    <w:lvl w:ilvl="0">
      <w:lvlJc w:val="left"/>
      <w:lvlText w:val="%1."/>
      <w:numFmt w:val="decimal"/>
      <w:start w:val="2"/>
    </w:lvl>
    <w:lvl w:ilvl="1">
      <w:lvlJc w:val="left"/>
      <w:lvlText w:val="(%2)"/>
      <w:numFmt w:val="lowerLetter"/>
      <w:start w:val="1"/>
    </w:lvl>
  </w:abstractNum>
  <w:abstractNum w:abstractNumId="228">
    <w:nsid w:val="2E5B12B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9">
    <w:nsid w:val="5C03D76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0">
    <w:nsid w:val="66A48D11"/>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31">
    <w:nsid w:val="56C28E3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32">
    <w:nsid w:val="13916F2D"/>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233">
    <w:nsid w:val="435D38D"/>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234">
    <w:nsid w:val="822C0EF"/>
    <w:multiLevelType w:val="hybridMultilevel"/>
    <w:lvl w:ilvl="0">
      <w:lvlJc w:val="left"/>
      <w:lvlText w:val="%1."/>
      <w:numFmt w:val="decimal"/>
      <w:start w:val="4"/>
    </w:lvl>
    <w:lvl w:ilvl="1">
      <w:lvlJc w:val="left"/>
      <w:lvlText w:val="(%2)"/>
      <w:numFmt w:val="lowerLetter"/>
      <w:start w:val="1"/>
    </w:lvl>
  </w:abstractNum>
  <w:abstractNum w:abstractNumId="235">
    <w:nsid w:val="57C5BB4F"/>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36">
    <w:nsid w:val="1803D089"/>
    <w:multiLevelType w:val="hybridMultilevel"/>
    <w:lvl w:ilvl="0">
      <w:lvlJc w:val="left"/>
      <w:lvlText w:val="(%1)"/>
      <w:numFmt w:val="lowerRoman"/>
      <w:start w:val="2"/>
    </w:lvl>
  </w:abstractNum>
  <w:abstractNum w:abstractNumId="237">
    <w:nsid w:val="4F3A06D4"/>
    <w:multiLevelType w:val="hybridMultilevel"/>
    <w:lvl w:ilvl="0">
      <w:lvlJc w:val="left"/>
      <w:lvlText w:val="(%1)"/>
      <w:numFmt w:val="lowerLetter"/>
      <w:start w:val="3"/>
    </w:lvl>
  </w:abstractNum>
  <w:abstractNum w:abstractNumId="238">
    <w:nsid w:val="59A377B6"/>
    <w:multiLevelType w:val="hybridMultilevel"/>
    <w:lvl w:ilvl="0">
      <w:lvlJc w:val="left"/>
      <w:lvlText w:val="(%1)"/>
      <w:numFmt w:val="lowerLetter"/>
      <w:start w:val="5"/>
    </w:lvl>
  </w:abstractNum>
  <w:abstractNum w:abstractNumId="239">
    <w:nsid w:val="48AEB063"/>
    <w:multiLevelType w:val="hybridMultilevel"/>
    <w:lvl w:ilvl="0">
      <w:lvlJc w:val="left"/>
      <w:lvlText w:val="%1"/>
      <w:numFmt w:val="decimal"/>
      <w:start w:val="1"/>
    </w:lvl>
    <w:lvl w:ilvl="1">
      <w:lvlJc w:val="left"/>
      <w:lvlText w:val="(%2)"/>
      <w:numFmt w:val="lowerLetter"/>
      <w:start w:val="10"/>
    </w:lvl>
  </w:abstractNum>
  <w:abstractNum w:abstractNumId="240">
    <w:nsid w:val="24E135"/>
    <w:multiLevelType w:val="hybridMultilevel"/>
    <w:lvl w:ilvl="0">
      <w:lvlJc w:val="left"/>
      <w:lvlText w:val="%1."/>
      <w:numFmt w:val="decimal"/>
      <w:start w:val="8"/>
    </w:lvl>
    <w:lvl w:ilvl="1">
      <w:lvlJc w:val="left"/>
      <w:lvlText w:val="%2"/>
      <w:numFmt w:val="lowerLetter"/>
      <w:start w:val="1"/>
    </w:lvl>
  </w:abstractNum>
  <w:abstractNum w:abstractNumId="241">
    <w:nsid w:val="BB13C1"/>
    <w:multiLevelType w:val="hybridMultilevel"/>
    <w:lvl w:ilvl="0">
      <w:lvlJc w:val="left"/>
      <w:lvlText w:val="•"/>
      <w:numFmt w:val="bullet"/>
      <w:start w:val="1"/>
    </w:lvl>
  </w:abstractNum>
  <w:abstractNum w:abstractNumId="242">
    <w:nsid w:val="271210C7"/>
    <w:multiLevelType w:val="hybridMultilevel"/>
    <w:lvl w:ilvl="0">
      <w:lvlJc w:val="left"/>
      <w:lvlText w:val="(%1)"/>
      <w:numFmt w:val="decimal"/>
      <w:start w:val="516"/>
    </w:lvl>
  </w:abstractNum>
  <w:abstractNum w:abstractNumId="243">
    <w:nsid w:val="217B22E4"/>
    <w:multiLevelType w:val="hybridMultilevel"/>
    <w:lvl w:ilvl="0">
      <w:lvlJc w:val="left"/>
      <w:lvlText w:val="(%1)"/>
      <w:numFmt w:val="decimal"/>
      <w:start w:val="5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2021-01-20T15:03:48Z</dcterms:created>
  <dcterms:modified xsi:type="dcterms:W3CDTF">2021-01-20T15:03:48Z</dcterms:modified>
</cp:coreProperties>
</file>