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158750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212725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214630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 or other jurisdiction</w:t>
      </w:r>
    </w:p>
    <w:p>
      <w:pPr>
        <w:spacing w:after="0" w:line="21" w:lineRule="exact"/>
        <w:rPr>
          <w:sz w:val="24"/>
          <w:szCs w:val="24"/>
          <w:color w:val="auto"/>
        </w:rPr>
      </w:pPr>
    </w:p>
    <w:p>
      <w:pPr>
        <w:ind w:left="1180"/>
        <w:spacing w:after="0"/>
        <w:rPr>
          <w:sz w:val="20"/>
          <w:szCs w:val="20"/>
          <w:color w:val="auto"/>
        </w:rPr>
      </w:pPr>
      <w:r>
        <w:rPr>
          <w:rFonts w:ascii="Arial" w:cs="Arial" w:eastAsia="Arial" w:hAnsi="Arial"/>
          <w:sz w:val="18"/>
          <w:szCs w:val="18"/>
          <w:i w:val="1"/>
          <w:iCs w:val="1"/>
          <w:color w:val="auto"/>
        </w:rPr>
        <w:t>of incorporation</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i w:val="1"/>
          <w:iCs w:val="1"/>
          <w:color w:val="auto"/>
        </w:rPr>
        <w:t>File Number</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6"/>
          <w:szCs w:val="16"/>
          <w:i w:val="1"/>
          <w:iCs w:val="1"/>
          <w:color w:val="auto"/>
        </w:rPr>
        <w:t>Identification No.</w:t>
      </w:r>
      <w:r>
        <w:rPr>
          <w:rFonts w:ascii="Arial" w:cs="Arial" w:eastAsia="Arial" w:hAnsi="Arial"/>
          <w:sz w:val="16"/>
          <w:szCs w:val="16"/>
          <w:color w:val="auto"/>
        </w:rPr>
        <w:t>)</w:t>
      </w:r>
    </w:p>
    <w:p>
      <w:pPr>
        <w:spacing w:after="0" w:line="222" w:lineRule="exact"/>
        <w:rPr>
          <w:sz w:val="24"/>
          <w:szCs w:val="24"/>
          <w:color w:val="auto"/>
        </w:rPr>
      </w:pPr>
    </w:p>
    <w:p>
      <w:pPr>
        <w:sectPr>
          <w:pgSz w:w="11900" w:h="16838" w:orient="portrait"/>
          <w:cols w:equalWidth="0" w:num="3">
            <w:col w:w="4440" w:space="720"/>
            <w:col w:w="2900" w:space="720"/>
            <w:col w:w="2460"/>
          </w:cols>
          <w:pgMar w:left="320" w:top="535"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Address of principal executive offices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Zip Code</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name or former address, if changed since last report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7"/>
        </w:trPr>
        <w:tc>
          <w:tcPr>
            <w:tcW w:w="4560" w:type="dxa"/>
            <w:vAlign w:val="bottom"/>
            <w:gridSpan w:val="3"/>
          </w:tcPr>
          <w:p>
            <w:pPr>
              <w:ind w:left="1160"/>
              <w:spacing w:after="0"/>
              <w:rPr>
                <w:sz w:val="20"/>
                <w:szCs w:val="20"/>
                <w:color w:val="auto"/>
              </w:rPr>
            </w:pPr>
            <w:r>
              <w:rPr>
                <w:rFonts w:ascii="Arial" w:cs="Arial" w:eastAsia="Arial" w:hAnsi="Arial"/>
                <w:sz w:val="18"/>
                <w:szCs w:val="18"/>
                <w:color w:val="auto"/>
              </w:rPr>
              <w:t>Title of each class</w:t>
            </w:r>
          </w:p>
        </w:tc>
        <w:tc>
          <w:tcPr>
            <w:tcW w:w="30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jc w:val="center"/>
              <w:ind w:right="630"/>
              <w:spacing w:after="0" w:line="198" w:lineRule="exact"/>
              <w:rPr>
                <w:sz w:val="20"/>
                <w:szCs w:val="20"/>
                <w:color w:val="auto"/>
              </w:rPr>
            </w:pPr>
            <w:r>
              <w:rPr>
                <w:rFonts w:ascii="Arial" w:cs="Arial" w:eastAsia="Arial" w:hAnsi="Arial"/>
                <w:sz w:val="18"/>
                <w:szCs w:val="18"/>
                <w:b w:val="1"/>
                <w:bCs w:val="1"/>
                <w:color w:val="auto"/>
                <w:w w:val="99"/>
              </w:rPr>
              <w:t>NFE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34"/>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share</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Emerging Growth Company</w:t>
      </w:r>
    </w:p>
    <w:p>
      <w:pPr>
        <w:spacing w:after="0" w:line="205"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Merger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15, 2021 (the “Closing Date”), New Fortress Energy Inc., a Delaware corporation (the “Company” or “NFE”), announced that Lobos Acquisition LLC (“GMLP Merger Sub”), a Marshall Islands limited liability company and a subsidiary of NFE, completed its merger (the “GMLP Merger”) with and into Golar LNG Partners LP, a Marshall Islands limited partnership (“GMLP”), with GMLP surviving the GMLP Merger. As a result of the GMLP Merger, GMLP became an indirect subsidiary of the Company. The GMLP Merger was effected pursuant to the Agreement and Plan of Merger (the “GMLP Merger Agreement”), dated January 13, 2021, by and among GMLP, Golar GP LLC, a Marshall Islands limited liability company and the general partner of GMLP (the “General Partner”), NFE, GMLP Merger Sub and NFE International Holdings Limited, a private limited company incorporated under the laws of England and Wales, United Kingdom, and an indirect subsidiary of NFE (“GP Buyer”).</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on the Closing Date, GP Buyer purchased from GLNG, and GLNG transferred to GP Buyer, all of the outstanding membership interests of the General Partner pursuant to a Transfer Agreement, dated as of January 13, 2021 (the “Transfer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Merger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the Closing Date, Lobos Acquisition Ltd., a Bermuda exempted company and a subsidiary of NFE (“Hygo Merger Sub”), completed its merger (the “Hygo Merger”) with and into Hygo Energy Transition Ltd., a Bermuda exempted company (“Hygo”), with Hygo surviving the Hygo Merger. As a result of the Hygo Merger, Hygo became an indirect subsidiary of the Company. The Hygo Merger was effected pursuant to the Agreement and Plan of Merger (the “Hygo Merger Agreement”), dated January 13, 2021, by and among Hygo, NFE, Golar LNG Limited, a Bermuda exempted company (“GLNG”), Stonepeak Infrastructure Fund II Cayman (G) Ltd. (“Stonepeak” and together with GLNG, the “Hygo Shareholders”) and Hygo Merger Sub.</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Closing Date, pursuant to the terms of the Hygo Merger Agreement, the Company, GLNG and Stonepeak entered into a Shareholders’ Agreement (the “Shareholders’ Agreement”). Pursuant to the Shareholders’ Agreement, GLNG and Stonepeak each agreed not to transfer or dispose of (or take other analogous actions under the terms of the Shareholders’ Agreement) any economic, voting or other rights in or to any of the shares of the Class A Common Stock of NFE, par value $0.01 per share (“Common Stock”) issued to each of GLNG and Stonepeak pursuant to the Hygo Merger Agreement for a period set forth in the Shareholders’ Agreement. The Shareholders’ Agreement also provides for certain registration rights with respect to the Common Stock issued to each of GLNG and Stonepeak.</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Shareholders’ Agreement is not complete and is qualified in its entirety by reference to the complete text of the Shareholders’ Agreement, a copy of which is filed as Exhibit 10.1 hereto and the terms of which are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the Closing Date, the Company entered into a Credit Agreement for a $200 million Revolving Credit Facility (the “Revolving Credit Facility”). The proceeds of the Revolving Credit Facility may be used for working capital and other general corporate purposes (including permitted acquisitions and other investments). Letters of credit issued under the $100 million letter of credit sub-facility may be used for general corporate purposes. The Revolving Credit Facility will mature in 2026, with the potential for the Company to extend the maturity date once in a one-year increment.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ind w:firstLine="648"/>
        <w:spacing w:after="0" w:line="270" w:lineRule="auto"/>
        <w:rPr>
          <w:sz w:val="20"/>
          <w:szCs w:val="20"/>
          <w:color w:val="auto"/>
        </w:rPr>
      </w:pPr>
      <w:r>
        <w:rPr>
          <w:rFonts w:ascii="Arial" w:cs="Arial" w:eastAsia="Arial" w:hAnsi="Arial"/>
          <w:sz w:val="17"/>
          <w:szCs w:val="17"/>
          <w:color w:val="auto"/>
        </w:rPr>
        <w:t>The obligations under the Revolving Credit Facility are guaranteed, jointly and severally, subject to certain exceptions and thresholds, by each domestic subsidiary and foreign subsidiary that is a wholly-owned restricted subsidiary of the Company, other than (as defined in the Credit Agreement) (i) any Qualified Liquefaction Development Entities, (ii) any Receivables Subsidiaries, (iii) any Immaterial Subsidiaries, (iv) any Captive Insurance Subsidiaries, (v) any not-for-profit or special purpose Subsidiaries and (vi) any Subsidiary with respect to which a guarantee would result in material adverse tax consequences, as reasonably determined by the Company (the “guarantors”). The obligations of the Company and the guarantors are senior secured obligations of the Company and the guarantors, secured on a first-priority basis by liens on the collateral, subject to permitted liens and certain other exceptions. The security interest of the secured parties under the Revolving Credit Facility in the collateral ranks pari passu with the security interest of the holders of the Company’s existing 6.750% Senior Secured Notes due 2025 and the Company’s existing 6.50% Senior Secured Notes due 2026, and an equal priority intercreditor agreement governs the treatment of such collateral.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Borrowings under the Revolving Credit Facility will bear interest at a per annum rate equal to LIBOR plus 2.50% if the usage under the Revolving Credit Facility is equal to or less than 50% of the commitments under the Revolving Credit Facility and LIBOR plus 2.75% if the usage under the Revolving Credit Facility is in excess of 50% of the commitments under the Revolving Credit Facility, subject in each case to a 0.00% LIBOR floor. Borrowings under the Revolving Credit Facility may be prepaid, at the option of the Company, at any time without premium. Borrowings under the Revolving Credit Facility will be required to be prepaid in the event and on each occasion that the outstanding principal amount of the loans and letters of credit exceed $200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Revolving Credit Facility contains usual and customary representations and warranties, and usual and customary affirmative and negative covenants. The affirmative covenants include, among other things, delivery of financial statements, compliance certificates and notices, payment of taxes and other obligations, conduct of business and maintenance of existence, compliance with applicable laws and regulations, maintenance of properties and insurance, maintenance of books and records and provision of guarantees and collateral.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negative covenants include limitations on restricted payments, dividends and other payment restrictions affecting subsidiaries, indebtedness, asset sales, transactions with affiliates, liens, mergers, consolidation or sale of all or substantially all assets, and maintenance of a total debt to capitalization ratio and a total first lien debt to EBITDA ratio (which latter covenant shall be tested only if usage under the Revolving Credit Facility is equal to or greater than 50% of the commitments under the Revolving Credit Facility). The Revolving Credit Facility also contains usual and customary events of default (subject to grace periods), including non-payment of principal, interest, fees and other amounts; material breach of a representation or warranty; covenant defaults, acceleration of other material debt; material judgments; bankruptcy or insolvency; ERISA-related defaults; impairment of security or guarantees; and change of control.</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Revolving Credit Facility is not complete and is qualified in its entirety by reference to the complete text of the Revolving Credit Facility, a copy of which is filed as Exhibit 10.2 hereto and the terms of which are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brief description of the Hygo debt facilities that remain outstanding following the closing of the Hygo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b w:val="1"/>
          <w:bCs w:val="1"/>
          <w:i w:val="1"/>
          <w:iCs w:val="1"/>
          <w:color w:val="auto"/>
        </w:rPr>
        <w:t>Sergipe Debt Financing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finance construction of the facility located near Aracaju, the capital of Sergipe, Brazil (the “Sergipe Facility”) and the Sergipe Power Plant, a 1.5 GW combined cycle power plant (the “Sergipe Power Plant”), in April 2018, CELSE—Centrais Elétricas de Sergipe S.A. (“CELSE”) signed financing agreements with amounts made available by banks and multilateral organizations throughout the years 2018 and 2019 (the “CELSE Facility”). As of December 31, 2020, amounts outstanding and the effective interest rates under the CELSE Facility were as set forth below. Principal and interest payments are due each October and April, beginning October 2020. The CELSE Facility matures in April 2032.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Effective</w:t>
            </w:r>
          </w:p>
        </w:tc>
      </w:t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IFC</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R844,916,512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Inter-American Development Bank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R694,622,166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r>
      <w:tr>
        <w:trPr>
          <w:trHeight w:val="257"/>
        </w:trPr>
        <w:tc>
          <w:tcPr>
            <w:tcW w:w="8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IDB Invest</w:t>
            </w:r>
            <w:r>
              <w:rPr>
                <w:rFonts w:ascii="Arial" w:cs="Arial" w:eastAsia="Arial" w:hAnsi="Arial"/>
                <w:sz w:val="29"/>
                <w:szCs w:val="29"/>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IDB China Fund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50,000,000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0" w:firstLine="8"/>
        <w:spacing w:after="0" w:line="277" w:lineRule="auto"/>
        <w:tabs>
          <w:tab w:leader="none" w:pos="26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Inter-American Investment Corporation is an international organization established by the Inter-American Investment Corporation Agreement between its member countries (“IDB Invest”).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in April 2018, CELSE issued debentures in the aggregate principal amount of R$3,370,000,000, due April 2032, bearing interest at a fixed rate of 9.85% (the “CELSE Debentures”). As of December 31, 2020, the balance of the CELSE Debentures was R$2,571,041,246. The CELSE Debentures were purchased by Swiss Insured Brazil Power Finance S.à.r.l. (“Power Finance”) and secure the 9.85% Senior Secured Notes due 2032 that Power Finance issued on April 18, 2018 in reliance on an exemption from registration provided by Rule 144A and in reliance on Regulation S. The CELSE Debentures have a unit nominal value of R$10,000 (the “Debenture Unit Nominal Value”).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is payable on the CELSE Debentures semi-annually on each April 15 and October 15, beginning on October 15, 2018. The Debenture Unit Nominal Value of the CELSE Debentures is amortized and repaid in 24 consecutive semi-annual installments on each of April 15 and October 15, commencing on October 15, 2020. If payment of any principal is not paid on the originally scheduled payment date, CELSE will be required to apply any funds available to the payment of such delinquent amounts on each subsequent payment date.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CELSE Debentures are secured, on a pari passu basis with the other senior debt related to the Sergipe Power Plant, the 33 kilometer transmission line, dedicated gas pipeline and mooring system at the Sergipe Facility (collectively, for purposes of this description of the CELSE Debentures, the “Project”) and subject to an Intercreditor Agreement among the senior lenders for the Project, by a first lien security interest in (i) any and all shares issued by CELSE, including all earnings, benefits and rights attached thereto; (ii) all machinery, equipment and moveable assets of the Project;</w:t>
      </w:r>
    </w:p>
    <w:p>
      <w:pPr>
        <w:spacing w:after="0" w:line="1" w:lineRule="exact"/>
        <w:rPr>
          <w:sz w:val="20"/>
          <w:szCs w:val="20"/>
          <w:color w:val="auto"/>
        </w:rPr>
      </w:pPr>
    </w:p>
    <w:p>
      <w:pPr>
        <w:jc w:val="both"/>
        <w:ind w:firstLine="8"/>
        <w:spacing w:after="0" w:line="253"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CELSE’s credit rights and receivables arising from and related to the PPAs and security related thereto; (iv) certain bank accounts, including certain offshore and Swiss accounts; (v) CELSE’s insurance policies; (vi) the Sergipe Power Plant; (vii) the real estate and related easements or rights of way associated with the transmission line and connection bay; and (viii) all Project Documents, including, without limitation, the Golar Nanook’s 25-year bareboat charter for the Golar Nanook with CELSE, the Operation &amp; Services Agreement, the EPC agreement with General Electric related to the Sergipe Power Plant, the Sergipe O&amp;M Agreement and the Sergipe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ind w:firstLine="648"/>
        <w:spacing w:after="0" w:line="291" w:lineRule="auto"/>
        <w:rPr>
          <w:sz w:val="20"/>
          <w:szCs w:val="20"/>
          <w:color w:val="auto"/>
        </w:rPr>
      </w:pPr>
      <w:r>
        <w:rPr>
          <w:rFonts w:ascii="Arial" w:cs="Arial" w:eastAsia="Arial" w:hAnsi="Arial"/>
          <w:sz w:val="16"/>
          <w:szCs w:val="16"/>
          <w:color w:val="auto"/>
        </w:rPr>
        <w:t>As of the date hereof, Brazilian law prohibits any prepayment (other than scheduled amortization payments) of the CELSE Debentures prior to maturity. To the extent Brazilian law permits a voluntary prepayment or redemption of the CELSE Debentures, a make-whole premium will apply, equal to the greater of (i) zero and (ii) (x) the present value of the remaining scheduled interest and principal payments, discounted at the then-prevailing Brazilian government local note (NTN-F) with a maturity that is closest to the remaining weighted average life of the CELSE Debentures minus (y) the aggregate principal amount of all CELSE Debentures so prepaid or redeemed (excluding any CELSE debentures held by CELSE and its affiliates). In connection with certain mandatory prepayment events, each holder of the CELSE Debentures has the irrevocable option to, following April 5, 2020, sell all or any portion of its CELSE Debentures to CELSE, at a price equal to the Debenture Unit Nominal Value plus any accrued and unpaid interest thereon.</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indenture governing the CELSE Debentures and the Common Terms Agreement, dated April 12, 2018, among CELSE and the senior lenders for the Project (the “Common Terms Agreement”), contains covenants that, among other things and subject to certain exceptions and qualifications: (i) requires CELSE to maintain a Historical Debt Service Coverage Ratio (as defined in the Common Terms Agreement) for a twelve month period on or after March 31, 2021 of no less than 1.10 to 1.00; (ii) prohibit certain Restricted Payments (as defined in the Common Terms Agreement); (iii) limit the ability of CELSE from creating any liens or incurring additional indebtedness; (iv) prohibit certain fundamental changes; (v) limit the ability of CELSE to transfer or purchase assets; (vi) prohibit certain affiliate transactions; (vii) limit the ability of CELSE to make change orders or give other directions under the documents related to the construction and operation of the Project in certain circumstances; (viii) limit the ability of CELSE to enter into additional contracts; (ix) limit CELSE’s operating expenses and capital expenditures; and (x) prohibit CELSE from transferring, purchasing or otherwise acquiring any portion of the CELSE Debentures, other than pursuant to the exercise of the put option.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financing of the Project, CELSEPAR—Centrais Elétricas de Sergipe Participações S.A. (“CELSEPAR”) entered into a Standby Guarantee and Credit Facility Agreement, dated April 12, 2018, with GE Capital EFS Financing, Inc. (“GE Capital”), as lender, and Ebrasil and Golar Power Brasil Participações S.A., each as sponsor (the “GE Credit Facility”). Pursuant to the GE Credit Facility, GE Capital agreed to provide $120.0 million in credit support in respect of CELSEPAR’s obligation to make certain contingent equity contributions to CELSE. Amounts disbursed under the GE Credit Facility accrue interest at a fixed rate of LIBOR plus a margin of 11.4% and are payable on May 30 and November 30 each year, beginning on May 30, 2021. If an event of default occurs and is continuing, the interest rate and commitment fee accruing will increase by 2%. Amounts due under the GE Credit Facility are paid in installments pursuant to the terms of the GE Credit Facility. The GE Credit Facility matures on November 30, 2024. As of December 31, 2020, there was R$689.4 million outstanding under the GE Credit Facility.</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CELSEPAR’s obligations under the GE Credit Facility are secured by (i) a share pledge over 51% of the shares of CELSEPAR, (ii) a first priority security interest over a debt service reserve account, which CELSEPAR is required to maintain with a balance sufficient to cover the immediately next scheduled payment of principal and interest due under the GE Credit Facility, a restricted payment account and an operating account from which CELSEPAR will be authorized to pay its administrative expenses and (iii) a fiduciary assignment over the amounts deposited in a project distribution account by the Project to CELSEPAR. The GE Credit Facility includes covenants and events of default that are customary for similar transactions.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Debenture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10, 2019, Hygo’s subsidiary, Golar Power Brasil Participações S.A. (“Golar Brazil”), issued debentures in the aggregate principal amount of R$300.0 million due September 2024, bearing interest at a rate equal to the one-day interbank deposit futures rate in Brazil plus 2.65% (the “Debentures”). The Debentures were issued in a public offering in Brazil with restricted efforts, exempted from registration before the Brazilian Securities and Exchange Commission (</w:t>
      </w:r>
      <w:r>
        <w:rPr>
          <w:rFonts w:ascii="Arial" w:cs="Arial" w:eastAsia="Arial" w:hAnsi="Arial"/>
          <w:sz w:val="18"/>
          <w:szCs w:val="18"/>
          <w:i w:val="1"/>
          <w:iCs w:val="1"/>
          <w:color w:val="auto"/>
        </w:rPr>
        <w:t>Comissão de Valores Mobiliários</w:t>
      </w:r>
      <w:r>
        <w:rPr>
          <w:rFonts w:ascii="Arial" w:cs="Arial" w:eastAsia="Arial" w:hAnsi="Arial"/>
          <w:sz w:val="18"/>
          <w:szCs w:val="18"/>
          <w:color w:val="auto"/>
        </w:rPr>
        <w:t xml:space="preserve"> or “CVM”) pursuant to the Brazilian Law No. 6,385/1976, as amended, and to CVM Instruction No. 476/2009, as amended. The offering resulted in net proceeds to Golar Brazil, after deducting applicable discounts and commissions and offering expenses, of R$295.0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firstLine="648"/>
        <w:spacing w:after="0" w:line="277" w:lineRule="auto"/>
        <w:rPr>
          <w:sz w:val="20"/>
          <w:szCs w:val="20"/>
          <w:color w:val="auto"/>
        </w:rPr>
      </w:pPr>
      <w:r>
        <w:rPr>
          <w:rFonts w:ascii="Arial" w:cs="Arial" w:eastAsia="Arial" w:hAnsi="Arial"/>
          <w:sz w:val="18"/>
          <w:szCs w:val="18"/>
          <w:color w:val="auto"/>
        </w:rPr>
        <w:t>Interest is payable on the Debentures semi-annually on each September 13 and March 13, beginning on September 13, 2020. Principal due under the Debentures is amortized semi-annually on each September 13 and March 13, beginning September 13,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Debentures are fully and unconditionally guaranteed by: (i) Brazilian law security interests over (A) 100% percent of the shares issued by Golar Brazil owned by Hygo’s subsidiary, LNG Power Ltd. (“LNG Power”), (B) certain dividends and credit rights due to Golar Brazil in its capacity of shareholder of CELSEPAR and (C) a controlled account owned by Golar Brazil and any monies deposited therein; (ii) a first demand corporate guarantee under Bermuda law granted by Hygo; (iii) a first demand corporate guarantee under English law granted by LNG Power; and (iv) an English law security interests over controlled accounts owned by LNG Power and Hygo.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September 13, 2024, Golar Brazil may redeem all, but not less than all, of the Debentures at a 0.1% premium, plus accrued and unpaid interest. Moreover, as long as in compliance with local capital markets regulation, Golar Brazil may also acquire the Debentures and such Debentures acquired by Golar Brazil may be cancelled, held in treasury or even traded in the market. When traded back in the market, such Debentures shall be entitled to the same interest payments due to the other Brazilian Debentures.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indenture governing the Debentures contains covenants that, among other things and subject to certain exceptions and qualifications, (i) limit the ability of Golar Brazil, Golar Nanook UK Limited (“Golar Nanook UK”), us and LNG Power to pay certain dividends; (ii) limit the ability of Golar Brazil, Hygo and LNG Power to incur certain debts or issue debt securities; (iii) limit the ability of Golar Brazil, Golar Nanook UK, Hygo and LNG Power to grant certain liens or guarantees; (iv) limit the ability of Golar Nanook UK to make certain new investments; and (v) limit the ability of Golar Brazil to consolidate, merge, engage in a corporate restructuring or other change of control events.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Golar Nanook Leaseback and Credit Facility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2018, Golar FSRU8 Corp., a corporation organized in the Marshall Islands, as subsidiary of Hygo, entered into a sale and leaseback transaction with Compass Shipping 23 Corporation Limited in respect of the Golar Nanook (the “Nanook Leaseback”). The Nanook Leaseback is guaranteed by GLNG and Hygo, and is secured by: (i) the Golar Nanook; (ii) certain accounts; (iii) the assignment of certain warranties and insurance policies; (iv) the assignment of the 25-year charter to CELSE and related Operating &amp; Services Agreement; and (v) shares in Golar FSRU 8 Corp., the charterer of the Golar Nanook under the Nanook Leaseback, and Golar Nanook UK Limited, the sub-charterer of the Golar Nanook.</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September 2018, Compass Shipping 23 Corporation Limited, the owner of the Golar Nanook, entered into a twelve-year, $277 million credit facility (the “Nanook Facility”). Although we have no control over the funding arrangements of Compass Shipping 23 Corporation Limited, we expect to be the primary beneficiary of the Golar Nanook and therefore expect to consolidate the Nanook Facility in our financial results. The Nanook Facility bears interest at LIBOR plus a margin equal to 3.5% and is repayable in a balloon payment on maturity. The Nanook Facility matures in September 2030.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Golar Penguin Leaseback and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6"/>
          <w:szCs w:val="16"/>
          <w:color w:val="auto"/>
        </w:rPr>
        <w:t>In December 2019, Golar Hull M2023 Corp., a corporation organized in the Marshall Islands, as subsidiary of Hygo, entered into a sale and leaseback transaction with Oriental LNG 02 Limited in respect of the Golar Penguin (the “Penguin Leaseback”). Payments are due quarterly in 24 installments of $1.89 million, with a balloon payment of approximately $68.0 million upon maturity. The Penguin Leaseback is guaranteed by GLNG and is secured by: (i) the Golar Penguin; (ii) certain accounts; (iii) the assignment of insurance policies, earnings and requisition compensation; (iv) the assignment of any existing or future charters in excess of twelve months; and (v) the assignment of shares in Golar Hull M2023 Corp., the charterer of the Golar Penguin pursuant to the sale and leaseback transaction. The Penguin Leaseback also contains certain covenants that, among other things and subject to certain exceptions and qualifications, (i) require GLNG to maintain a Consolidated Net Worth (as defined therein) equal or greater to $450.0 million and maintain Current Assets (as defined therein) equal to or greater than Current Liabilities and (ii) require the guarantor to maintain Free Liquid Assets (as defined therein) with aggregate value equal to or greater than $50.0 million. The Penguin Leaseback is cross-collateralized with a vessel under a sale and leaseback transaction between a subsidiary of GLNG and Oriental LNG 01 Limited, whereby a default under one sale and leaseback transaction automatically results in a default under the other. In connection with the Hygo Merger, a Supplemental Deed to the Penguin Leaseback was executed pursuant to which the cross-collateralization and related default were deleted. The Supplemental Deed is effective subject to certain conditions, including consent from the lenders to the Penguin Facility (as defined below) to the amendments to the Penguin charter set out in the Supplemental Deed.</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2020, Oriental LNG 02 Limited, the owner of the Golar Penguin, entered into a financing agreement to refinance its existing $113.4 million loan facility (the “Penguin Facility”). Although we have no control over the funding arrangements of Oriental LNG 02 Limited, we expect to be the primary beneficiary of the Golar Penguin and therefore expect to be required to consolidate the Penguin Facility in our financial results. The Penguin Facility bears interest at LIBOR plus a margin of 1.7% and is repayable in quarterly installments over a term of approximately six years.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Golar Celsius Leaseback and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3, 2020, Golar Hull M2026 Corporation, a corporation organized in the Marshall Islands, as subsidiary of Hygo, entered into in a sale and leaseback transaction with Noble Celsius Shipping Limited in respect of the Golar Celsius (the “Celsius Leaseback”). The Celsius Leaseback is guaranteed by GLNG and Hygo, and is secured by: (i) the Golar Celsius; (ii) the assignment of certain insurance policies; and (iii) the assignment of shares in Golar Hull M2026 Corporation, as the charterer under the Celsius Leaseback.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Noble Celsius Shipping Limited, the owner of the Golar Celsius, entered into a three-year loan facility for $118.2 million (the “Celsius Facility”). The Celsius Facility is denominated in U.S. dollars and bears interest at 4.0% and is repayable at the end of the three-year period. Although we have no control over the funding arrangements of Noble Celsius Shipping Limited, we expect to be the primary beneficiary of the Golar Celsius and therefore expect to consolidate the Celsius Facility in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brief description of the GMLP debt facilities that remain outstanding following the closing of the GMLP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Golar Eskimo Leaseback and Credit Facility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November 2015, GMLP entered into a sale and leaseback transaction with a subsidiary, Sea 23 Leasing Co. Limited (“Eskimo SPV”) of China Merchants Bank Leasing in respect of the Golar Eskimo (the “Eskimo Leaseback”). The Eskimo Leaseback is guaranteed by GMLP and is secured by: (i) the Golar Eskimo; (ii) certain accounts; (iii) the assignment of insurance policies and earnings; (iv) the assignment of the time charter with the Hashemite Kingdom of Jordan; and (v) the pledge of shares in Golar Eskimo Corporation., the charterer of the Golar Eskimo pursuant to the sale and leaseback transaction. The Eskimo Leaseback also contains certain covenants that, among other things and subject to certain exceptions and qualifications require: (a) GMLP to maintain a minimum level of liquidity of $30 million and consolidated net worth of $123.95 million, (b) GMLP to not exceed a maximum net debt to EBITDA ratio of 6.5:1, (c) GMLP to maintain a minimum percentage of the value of the Golar Eskimo over the relevant outstanding balances of 110%. The Eskimo Leaseback is cross-collateralized with a vessel under a sale and leaseback transaction between a subsidiary of GLNG and Sea 24 Leasing Co. Limited, whereby a default under one sale and leaseback transaction automatically results in a default under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7"/>
          <w:szCs w:val="17"/>
          <w:color w:val="auto"/>
        </w:rPr>
        <w:t>In November 2015, Eskimo SPV, which is the legal owner of the Golar Eskimo, entered into a long-term loan facility (the “Eskimo SPV Debt”). The facility bears interest at a rate of LIBOR plus a margin. Although we have no control over the funding arrangements of the Eskimo SPV, we will be the primary beneficiary of the Golar Eskimo and therefore will be required to consolidate the Eskimo SPV Debt in our financial results.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Golar Hilli Leaseback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Golar Hilli Corporation (“Hilli Corp”) is a party to a Memorandum of Agreement, dated September 9, 2015, with Fortune Lianjian Shipping S.A., a subsidiary of China State Shipbuilding Corporation (“Fortune”), pursuant to which Hilli Corp has sold to and leased back from Fortune the Hilli under a 10-year bareboat charter agreement (the “Hilli Leaseback”). The Hilli Leaseback provided for post-construction financing for the Hilli in the amount of $960 million. Pursuant to a Deed of Amendment, Restatement and Accession relating to a guarantee between GLNG, Fortune and GMLP dated July 12, 2018, GMLP has agreed to provide the GMLP Guarantee. GMLP’s 50% share of Hilli Corp’s indebtedness of $778.5 million amounted to $389.3 million as of December 31, 2020. NFE expects to enter into a letter of undertaking pursuant to which it will guarantee GMLP’s obligations with respect to its guarantee of Hilli Corp’s debt under the Hilli Leaseback to the extent GMLP does not perform thereunder.</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GMLP Guarantee, GMLP is required to comply with the following covenants and ratios: (i) free liquid assets of at least $30 million throughout the Hilli Leaseback period; (ii) a maximum net debt to EBITDA ratio for the previous 12 months of 6.5:1; and (iii) a consolidated tangible net worth of $123.95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Distributions on the Preferred Units are payable out of amounts legally available therefor at a rate equal to 8.75% per annum of the stated liquidation preference. The Preferred Units generally have no voting rights. In the event of a liquidation, dissolution or winding up, whether voluntary or involuntary, holders of Preferred Units will have the right to receive a liquidation preference of $25.00 per unit plus an amount equal to all accumulated and unpaid distributions thereon to the date of payment, whether declared or not. At any time on or after October 31, 2022, the Preferred Units may be redeemed, in whole or in part, at a redemption price of $25.00 per unit plus an amount equal to all accumulated and unpaid distributions thereon on the date of redemption, whether declared or not.</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the GMLP Merger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disclosure set forth in the “Introductory Note—GMLP Merger” above is incorporated into this Item 2.01 by reference. Pursuant to the GMLP Merger, each common unit representing a limited partner interest in GMLP (“Common Units”) issued and outstanding immediately prior to the effective time of the GMLP Merger was automatically converted into the right to receive $3.55 in cash (the “Common Unit Consideration”).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Closing Date, pursuant to the GMLP Merger Agreement:</w:t>
      </w:r>
    </w:p>
    <w:p>
      <w:pPr>
        <w:spacing w:after="0" w:line="225" w:lineRule="exact"/>
        <w:rPr>
          <w:sz w:val="20"/>
          <w:szCs w:val="20"/>
          <w:color w:val="auto"/>
        </w:rPr>
      </w:pPr>
    </w:p>
    <w:p>
      <w:pPr>
        <w:jc w:val="both"/>
        <w:ind w:left="1620" w:hanging="647"/>
        <w:spacing w:after="0" w:line="263" w:lineRule="auto"/>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Each 8.75% Series A Cumulative Redeemable Preferred Unit of GMLP issued and outstanding immediately prior to the effective time of the GMLP Merger was unaffected by the GMLP Merger and remains outstanding, and no consideration was delivered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ind w:left="1620" w:hanging="647"/>
        <w:spacing w:after="0" w:line="277" w:lineRule="auto"/>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Each outstanding unit representing a general partner interest of the Partnership that was issued and outstanding immediately prior to the effective time of the GMLP Merger remains outstanding.</w:t>
      </w:r>
    </w:p>
    <w:p>
      <w:pPr>
        <w:spacing w:after="0" w:line="170" w:lineRule="exact"/>
        <w:rPr>
          <w:sz w:val="20"/>
          <w:szCs w:val="20"/>
          <w:color w:val="auto"/>
        </w:rPr>
      </w:pPr>
    </w:p>
    <w:p>
      <w:pPr>
        <w:jc w:val="both"/>
        <w:ind w:left="1620" w:hanging="647"/>
        <w:spacing w:after="0" w:line="273" w:lineRule="auto"/>
        <w:tabs>
          <w:tab w:leader="none" w:pos="16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Each outstanding option to purchase Common Units (each, a “Partnership Option”) pursuant to any Partnership Plan (as defined in the GMLP Merger Agreement), whether or not vested, was automatically vested, cancelled and converted into the right to receive an amount in cash equal to the product of (i) the excess, if any, of the Common Unit Consideration over the applicable exercise price per Common Unit of such Partnership Option and (ii) the number of Common Units subject to such Partnership Option. Any Partnership Option which had a per Common Unit exercise price that was greater than or equal to the Common Unit Consideration was cancelled on the Closing Date for no consideration or payment.</w:t>
      </w:r>
    </w:p>
    <w:p>
      <w:pPr>
        <w:spacing w:after="0" w:line="178" w:lineRule="exact"/>
        <w:rPr>
          <w:sz w:val="20"/>
          <w:szCs w:val="20"/>
          <w:color w:val="auto"/>
        </w:rPr>
      </w:pPr>
    </w:p>
    <w:p>
      <w:pPr>
        <w:jc w:val="both"/>
        <w:ind w:left="1620" w:hanging="647"/>
        <w:spacing w:after="0" w:line="263" w:lineRule="auto"/>
        <w:tabs>
          <w:tab w:leader="none" w:pos="16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Each Partnership Phantom Unit (as defined in the GMLP Merger Agreement), whether or not vested, was automatically vested, cancelled and converted into the right to receive an amount in cash equal to the product of (i) the Common Unit Consideration and (ii) the number of Common Units subject to such Partnership Phantom Unit.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closing of the GMLP Merger, GP Buyer purchased from GLNG, and GLNG transferred to GP Buyer, all of the outstanding membership interests of the General Partner pursuant to the Transfer Agreement for a purchase price of $5,099,188 in cash, which is equivalent to $3.55 per general partner unit of GMLP. Pursuant to the Transfer Agreement, the parties also entered into, among other things, an Omnibus Agreement relating to the provision of certain management services related to the vessels that GMLP owns.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foregoing description of the GMLP Merger Agreement, Transfer Agreement and the transactions contemplated thereby is not complete and are subject to and qualified in their entirety by reference to the GMLP Merger Agreement and Transfer Agreement, which were filed as Exhibit 2.1 and Exhibit 2.2, respectively, to the Company’s Form 8-K filed on January 20, 2021, and the terms of which are incorporated herein by reference.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GMLP Merger Agreement and Transfer Agreement are incorporated by reference to provide security holders with information regarding their respective terms. They are not intended to provide any other factual information about the Company or any of its subsidiaries or affiliates, including GMLP. The GMLP Merger Agreement contains representations, warranties, and covenants by each of the parties to the GMLP Merger Agreement. These representations, warranties, and covenants were made solely for the benefit of the other parties to the GMLP Merger Agreement, are subject to limitations agreed upon by the parties, and (i) are not intended to be treated as categorical statements of fact, but rather as a way of allocating risk to one of the parties if those statements prove to be inaccurate, (ii) may be subject to standards of materiality applicable to the parties that differ from what might be viewed as material to stockholders, and (iii) were made only as of the date of the GMLP Merger Agreement or such other date or dates as may be specified in the GMLP Merger Agreement. Accordingly, security holders should not rely on the representations, warranties, and covenants, or any descriptions thereof, as characterizations of the actual state of facts or condition of the Company or any other party to the GMLP Merger Agreement. Moreover, information concerning the subject matter of representations and warranties may have changed after the date of the GMLP Merger Agreement, and such subsequent information may or may not be fully reflected in the Company’s public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the Hygo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ind w:firstLine="648"/>
        <w:spacing w:after="0" w:line="301" w:lineRule="auto"/>
        <w:rPr>
          <w:sz w:val="20"/>
          <w:szCs w:val="20"/>
          <w:color w:val="auto"/>
        </w:rPr>
      </w:pPr>
      <w:r>
        <w:rPr>
          <w:rFonts w:ascii="Arial" w:cs="Arial" w:eastAsia="Arial" w:hAnsi="Arial"/>
          <w:sz w:val="16"/>
          <w:szCs w:val="16"/>
          <w:color w:val="auto"/>
        </w:rPr>
        <w:t>The disclosure set forth in the “Introductory Note—Hygo Merger” above is incorporated into this Item 2.01 by reference. Pursuant to the Hygo Merger Agreement: (i) GLNG received 18,627,451 shares of Common Stock and an aggregate of $50 million in cash and (ii) Stonepeak received 12,745,098 shares of Common Stock and an aggregate of $530 million in cash. Pursuant to the Hygo Merger Agreement, the parties entered into, among other things, an Omnibus Agreement relating to the provision of certain management services related to the vessels that Hygo owns.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Hygo Merger Agreement and the transactions contemplated thereby is not complete and is subject to and qualified in its entirety by reference to the Hygo Merger Agreement, which was filed as Exhibit 2.3 to the Company’s Form 8-K filed on January 20, 2021, and the terms of which are incorporated herein by reference.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Hygo Merger Agreement is incorporated by reference to provide security holders with information regarding its terms. It is not intended to provide any other factual information about the Company or any of its subsidiaries or affiliates, including Hygo. The Hygo Merger Agreement contains representations, warranties, and covenants by each of the parties to the Hygo Merger Agreement. These representations, warranties, and covenants were made solely for the benefit of the other parties to the Hygo Merger Agreement, are subject to limitations agreed upon by the parties, and (i) are not intended to be treated as categorical statements of fact, but rather as a way of allocating risk to one of the parties if those statements prove to be inaccurate, (ii) may be subject to standards of materiality applicable to the parties that differ from what might be viewed as material to stockholders, and (iii) were made only as of the date of the Hygo Merger Agreement or such other date or dates as may be specified in the Hygo Merger Agreement. Accordingly, security holders should not rely on the representations, warranties, and covenants, or any descriptions thereof, as characterizations of the actual state of facts or condition of the Company or any other party to the Hygo Merger Agreement. Moreover, information concerning the subject matter of representations and warranties may have changed after the date of the Hygo Merger Agreement, and such subsequent information may or may not be fully reflected in the Company’s public disclosures.</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 insofar as it relates to the creation of a direct financial obligation of the Company.</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Hygo Merger Agreement, on the Closing Date, NFE issued an aggregate of 18,627,451 shares of Common Stock to GLNG and 12,745,098 shares of Common Stock to Stonepeak as partial consideration for the Hygo Merger.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shares of Common Stock was made in reliance on the exemption from registration afforded by Section 4(a)(2) of the Securities Act of 1933, as amended, as a transaction not involving a public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description of the Hygo Merger Agreement contained in the “Introductory Note—Hygo Merger” and “Section 2.01—Completion of the Hygo Merger” of this Current Report are incorporated by reference herein.</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15, 2021, the Company issued a press release announcing the completion of the GMLP Merger and Hygo Merger. A copy of the press release is filed as Exhibit 99.1 to this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648"/>
        <w:spacing w:after="0" w:line="311" w:lineRule="auto"/>
        <w:rPr>
          <w:sz w:val="20"/>
          <w:szCs w:val="20"/>
          <w:color w:val="auto"/>
        </w:rPr>
      </w:pPr>
      <w:r>
        <w:rPr>
          <w:rFonts w:ascii="Arial" w:cs="Arial" w:eastAsia="Arial" w:hAnsi="Arial"/>
          <w:sz w:val="16"/>
          <w:szCs w:val="16"/>
          <w:color w:val="auto"/>
        </w:rPr>
        <w:t>The information in this Item 7.01 and Exhibit 99.1 attached hereto are being furnished and shall not be deemed “filed” for purposes of Section 18 of the Securities Exchange Act of 1934, as amended, or otherwise subject to the liabilities of that Section, nor shall it be deemed incorporated by reference in any filing under the Securities Act of 1933, amended, except as shall be expressly set forth by specific reference in such a filing.</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 Acquired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audited consolidated financial statements of:</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GMLP as of December 31, 2020 and 2019 and for the years ended December 31, 2020, 2019 and 2018; and</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Hygo as of December 31, 2020 and 2019 and for the years ended December 31, 2020, 2019 and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were filed on NFE’s Current Report on Form 8-K on March 18, 2021 as Exhibits 99.1 and 99.2, respectively, and are incorporated in this Item 9.01(a) by reference.</w:t>
      </w:r>
    </w:p>
    <w:p>
      <w:pPr>
        <w:spacing w:after="0" w:line="170" w:lineRule="exact"/>
        <w:rPr>
          <w:sz w:val="20"/>
          <w:szCs w:val="20"/>
          <w:color w:val="auto"/>
        </w:rPr>
      </w:pPr>
    </w:p>
    <w:p>
      <w:pPr>
        <w:ind w:left="660" w:hanging="6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pro forma condensed combined financial statements of NFE reflecting the Hygo Merger and the GMLP Merger for the year ended December 31, 2020 were filed on NFE’s Current Report on Form 8-K filed on March 18, 2021, as Exhibit 99.3 and are incorporated in this Item 9.01(b)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660" w:hanging="60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2"/>
            <w:shd w:val="clear" w:color="auto" w:fill="CCEEFF"/>
          </w:tcPr>
          <w:p>
            <w:pPr>
              <w:spacing w:after="0" w:line="169" w:lineRule="exact"/>
              <w:rPr>
                <w:rFonts w:ascii="Arial" w:cs="Arial" w:eastAsia="Arial" w:hAnsi="Arial"/>
                <w:sz w:val="18"/>
                <w:szCs w:val="18"/>
                <w:color w:val="0000EE"/>
              </w:rPr>
            </w:pPr>
            <w:hyperlink r:id="rId2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5"/>
              </w:rPr>
              <w:t>Agreement and Plan of Merger, dated as of January 13, 2021, by and among NFE, GMLP Merger Sub, GP Buyer, GMLP and the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General Partner (incorporated by reference to Exhibit 2.1 to New Fortress Energy Inc.’s Current Report on Form 8-K, filed January 20,</w:t>
            </w:r>
          </w:p>
        </w:tc>
      </w:tr>
      <w:tr>
        <w:trPr>
          <w:trHeight w:val="230"/>
        </w:trPr>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Transfer Agreement, dated as of January 13, 2021, by and among GP Buyer, GLNG and the General Partner (incorporated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 Exhibit 2.2 to New Fortress Energy Inc.’s Current Report on Form 8-K, filed January 20, 2021).</w:t>
            </w: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r:id="rId31">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Agreement and Plan of Merger, dated as of January 13, 2021, by and among NFE, Hygo Merger Sub, Hygo and the Hygo Shareholders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(incorporated by reference to Exhibit 2.3 to New Fortress Energy Inc.’s Current Report on Form 8-K, filed January 20, 2021).</w:t>
            </w: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10.1</w:t>
        </w:r>
      </w:hyperlink>
    </w:p>
    <w:p>
      <w:pPr>
        <w:spacing w:after="0" w:line="229" w:lineRule="exact"/>
        <w:rPr>
          <w:sz w:val="20"/>
          <w:szCs w:val="20"/>
          <w:color w:val="auto"/>
        </w:rPr>
      </w:pPr>
    </w:p>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10.2</w:t>
        </w:r>
      </w:hyperlink>
      <w:r>
        <w:rPr>
          <w:rFonts w:ascii="Arial" w:cs="Arial" w:eastAsia="Arial" w:hAnsi="Arial"/>
          <w:sz w:val="24"/>
          <w:szCs w:val="24"/>
          <w:u w:val="single" w:color="auto"/>
          <w:color w:val="0000EE"/>
          <w:vertAlign w:val="superscript"/>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Shareholders’ Agreement, dated as of April 15, 2021, by and among the Company, GLNG, and Stonepeak.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-422275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640" w:space="720"/>
            <w:col w:w="988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40" w:type="dxa"/>
            <w:vAlign w:val="bottom"/>
            <w:gridSpan w:val="2"/>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Press Release, dated as of April 15, 2021, announcing the completion of the GMLP Merger and Hygo Merger.</w:t>
            </w:r>
          </w:p>
        </w:tc>
      </w:tr>
      <w:tr>
        <w:trPr>
          <w:trHeight w:val="216"/>
        </w:trPr>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104</w:t>
            </w:r>
          </w:p>
        </w:tc>
        <w:tc>
          <w:tcPr>
            <w:tcW w:w="520" w:type="dxa"/>
            <w:vAlign w:val="bottom"/>
            <w:shd w:val="clear" w:color="auto" w:fill="CCEEFF"/>
          </w:tcPr>
          <w:p>
            <w:pPr>
              <w:spacing w:after="0"/>
              <w:rPr>
                <w:sz w:val="18"/>
                <w:szCs w:val="18"/>
                <w:color w:val="auto"/>
              </w:rPr>
            </w:pPr>
          </w:p>
        </w:tc>
        <w:tc>
          <w:tcPr>
            <w:tcW w:w="10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r>
    </w:tbl>
    <w:p>
      <w:pPr>
        <w:spacing w:after="0" w:line="222" w:lineRule="exact"/>
        <w:rPr>
          <w:sz w:val="20"/>
          <w:szCs w:val="20"/>
          <w:color w:val="auto"/>
        </w:rPr>
      </w:pPr>
    </w:p>
    <w:p>
      <w:pPr>
        <w:ind w:right="800" w:firstLine="8"/>
        <w:spacing w:after="0" w:line="250" w:lineRule="auto"/>
        <w:tabs>
          <w:tab w:leader="none" w:pos="162" w:val="left"/>
        </w:tabs>
        <w:numPr>
          <w:ilvl w:val="0"/>
          <w:numId w:val="8"/>
        </w:numPr>
        <w:rPr>
          <w:rFonts w:ascii="Arial" w:cs="Arial" w:eastAsia="Arial" w:hAnsi="Arial"/>
          <w:sz w:val="22"/>
          <w:szCs w:val="22"/>
          <w:color w:val="auto"/>
        </w:rPr>
      </w:pPr>
      <w:r>
        <w:rPr>
          <w:rFonts w:ascii="Arial" w:cs="Arial" w:eastAsia="Arial" w:hAnsi="Arial"/>
          <w:sz w:val="22"/>
          <w:szCs w:val="22"/>
          <w:color w:val="auto"/>
        </w:rPr>
        <w:t>Certain schedules and similar attachments have been omitted pursuant to Item 601(a)(5) of Regulation S-K and will be provided to the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21,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3282950" cy="848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28295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Completes Acquisition of Hygo Energy Transition Ltd. and Golar LNG Partners, 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NEW YORK--(BUSINESS WIRE)--Apr. 15, 2021-- New Fortress Energy Inc. (Nasdaq: NFE) (“NFE”) today announced the completion of its acquisition of Hygo Energy Transition Ltd. (“Hygo”), a 50-50 joint venture between Golar LNG Limited (Nasdaq: GLNG) (“GLNG”) and Stonepeak Infrastructure Fund II Cayman (G) Ltd., a fund managed by Stonepeak Infrastructure Partners (“Stonepeak”), for 31,372,549 shares of NFE and $580 million in cash. NFE simultaneously announced the completion of the acquisition of all of the outstanding common units of Golar LNG Partners, LP (Nasdaq: GMLP) (“GMLP”) for $3.55 per common unit in cash.</w:t>
      </w:r>
    </w:p>
    <w:p>
      <w:pPr>
        <w:spacing w:after="0" w:line="10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addition of the Hygo team, together with a great portfolio of world-class LNG ships and operators, enhances our efforts to bring more clean and affordable energy around the world,” said Wes Edens, Chairman and CEO of NFE. “With this acquisition, we are now a leading gas and power provider in a large and fast-growing market and have become one of the world’s premier energy transition companies.”</w:t>
      </w:r>
    </w:p>
    <w:p>
      <w:pPr>
        <w:spacing w:after="0" w:line="103"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NFE is now a leading international gas-to-power company with an operational floating storage and regasification unit (FSRU) terminal and a 50% interest in a 1500MW power plant in Sergipe, Brazil, as well as three other FSRU terminals with associated power opportunities that are advancing through development and construction.</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Including the acquisition of GMLP, NFE has become more integrated by adding a global shipping fleet of seven FSRUs and six LNG carriers as well as a 50% interest in Trains 1 and 2 of the Hilli Episeyo, a floating liquefaction vessel.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combined transactions are valued at a $5.1 billion enterprise value and a $2.43 billion equity value.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NFE’s management will host a conference call on Friday, April 16, 2021 at 10:00 A.M. Eastern Time. The conference call may be accessed by dialing</w:t>
      </w:r>
    </w:p>
    <w:p>
      <w:pPr>
        <w:spacing w:after="0" w:line="35" w:lineRule="exact"/>
        <w:rPr>
          <w:sz w:val="20"/>
          <w:szCs w:val="20"/>
          <w:color w:val="auto"/>
        </w:rPr>
      </w:pPr>
    </w:p>
    <w:p>
      <w:pPr>
        <w:ind w:right="260" w:firstLine="8"/>
        <w:spacing w:after="0" w:line="260"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953-0778 (from within the U.S.) or (630) 652-5853 (from outside the U.S.) fifteen minutes prior to the scheduled start of the call; please reference “NFE Investor Update Call."</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A simultaneous webcast of the conference call will be available to the public on a listen-only basis at </w:t>
      </w:r>
      <w:r>
        <w:rPr>
          <w:rFonts w:ascii="Arial" w:cs="Arial" w:eastAsia="Arial" w:hAnsi="Arial"/>
          <w:sz w:val="18"/>
          <w:szCs w:val="18"/>
          <w:u w:val="single" w:color="auto"/>
          <w:color w:val="auto"/>
        </w:rPr>
        <w:t>www.newfortressenergy.com</w:t>
      </w:r>
      <w:r>
        <w:rPr>
          <w:rFonts w:ascii="Arial" w:cs="Arial" w:eastAsia="Arial" w:hAnsi="Arial"/>
          <w:sz w:val="18"/>
          <w:szCs w:val="18"/>
          <w:u w:val="single" w:color="auto"/>
          <w:color w:val="0000FF"/>
        </w:rPr>
        <w:t>.</w:t>
      </w:r>
      <w:r>
        <w:rPr>
          <w:rFonts w:ascii="Arial" w:cs="Arial" w:eastAsia="Arial" w:hAnsi="Arial"/>
          <w:sz w:val="18"/>
          <w:szCs w:val="18"/>
          <w:color w:val="auto"/>
        </w:rPr>
        <w:t xml:space="preserve"> Please allow extra time prior to the call to visit the site and download the necessary software required to listen to the internet broadcast.</w:t>
      </w:r>
    </w:p>
    <w:p>
      <w:pPr>
        <w:spacing w:after="0" w:line="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replay of the conference call will be available after 1:00 P.M. Eastern Time on April 16, 2021 through 1:00 P.M. Eastern Time on April 23, 2021 at (855) 859-2056 (from within the U.S.) or (404) 537-3406 (from outside the U.S.), Passcode: 3694361.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w:t>
      </w:r>
    </w:p>
    <w:p>
      <w:pPr>
        <w:spacing w:after="0" w:line="14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communication contains forward-looking statements.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t>Specific factors that could cause actual results to differ from those in the forward-looking statements include, but are not limited to: (i) changes in federal, state, local and foreign laws or regulations to which NFE, Hygo or GMLP is subject; (ii) terrorism and other security risks, including cyber risk, adverse weather conditions, including hurricanes, environmental releases and natural disasters; (iii) adverse regional, national, or international economic conditions, adverse capital market conditions and adverse political, economic or social developments; (iv) shutdowns or interruptions at NFE’s, Hygo’s or GMLP’s terminaling, storage and processing assets; (v) volatility in the price of LNG products; (vi) nonpayment or nonperformance by any of NFE’s, Hygo’s or GMLP’s customers or suppliers; (vii) NFE’s ability to integrate Hygo’s and GMLP’s assets and operations with its existing assets and operations in the expected timeframe and to realize anticipated cost savings and other efficiencies and benefits; (viii) increased costs associated with the integration of Hygo’s and GMLP’s businesses and other risks common to integration of assets and operations, including disruptions to the businesses of NFE, Hygo or GMLP, failure to integrate internal controls, and failure to realize the anticipated benefits of the transactions, among others; and (ix) the cautionary discussion of risks and uncertainties detailed in Part I, Item 1A, “Risk Factors” and Part II, Item 7, “Management’s Discussion and Analysis of Financial Condition and Results of Operations” of NFE’s Annual Report on Form 10-K for the fiscal year ended December 31, 2020 (as filed with the SEC on March 16, 2021) and other risk factors identified herein or from time to time in NFE’s periodic filings with the SEC.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undertake no duty to update these forward-looking statements, even though our situation may change in the future. Furthermore, we cannot guarantee future results, events, levels of activity, performance, projections or achievements.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View source version on businesswire.com</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https://www.businesswire.com/news/home/20210415006086/en/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8860" w:firstLine="8"/>
        <w:spacing w:after="0" w:line="358"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268-7455 </w:t>
      </w:r>
      <w:r>
        <w:rPr>
          <w:rFonts w:ascii="Arial" w:cs="Arial" w:eastAsia="Arial" w:hAnsi="Arial"/>
          <w:sz w:val="16"/>
          <w:szCs w:val="16"/>
          <w:u w:val="single" w:color="auto"/>
          <w:color w:val="auto"/>
        </w:rPr>
        <w:t>jkane@newfortressenergy.com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23" w:lineRule="exact"/>
        <w:rPr>
          <w:sz w:val="20"/>
          <w:szCs w:val="20"/>
          <w:color w:val="auto"/>
        </w:rPr>
      </w:pPr>
    </w:p>
    <w:p>
      <w:pPr>
        <w:ind w:right="8880" w:firstLine="8"/>
        <w:spacing w:after="0" w:line="341"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268-7403 </w:t>
      </w:r>
      <w:r>
        <w:rPr>
          <w:rFonts w:ascii="Arial" w:cs="Arial" w:eastAsia="Arial" w:hAnsi="Arial"/>
          <w:sz w:val="16"/>
          <w:szCs w:val="16"/>
          <w:u w:val="single" w:color="auto"/>
          <w:color w:val="auto"/>
        </w:rPr>
        <w:t>press@newfortressenergy.com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47" w:right="4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SHAREHOLDERS’ AGREEMENT</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SHAREHOLDERS’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April 15, 2021, is entered into by and among, New Fortress Energy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Golar LNG Limited (“</w:t>
      </w:r>
      <w:r>
        <w:rPr>
          <w:rFonts w:ascii="Arial" w:cs="Arial" w:eastAsia="Arial" w:hAnsi="Arial"/>
          <w:sz w:val="19"/>
          <w:szCs w:val="19"/>
          <w:u w:val="single" w:color="auto"/>
          <w:color w:val="auto"/>
        </w:rPr>
        <w:t>Shareholder A</w:t>
      </w:r>
      <w:r>
        <w:rPr>
          <w:rFonts w:ascii="Arial" w:cs="Arial" w:eastAsia="Arial" w:hAnsi="Arial"/>
          <w:sz w:val="19"/>
          <w:szCs w:val="19"/>
          <w:color w:val="auto"/>
        </w:rPr>
        <w:t>”) and Stonepeak Infrastructure Fund II Cayman (G) Ltd. (“</w:t>
      </w:r>
      <w:r>
        <w:rPr>
          <w:rFonts w:ascii="Arial" w:cs="Arial" w:eastAsia="Arial" w:hAnsi="Arial"/>
          <w:sz w:val="19"/>
          <w:szCs w:val="19"/>
          <w:u w:val="single" w:color="auto"/>
          <w:color w:val="auto"/>
        </w:rPr>
        <w:t>Shareholder B</w:t>
      </w:r>
      <w:r>
        <w:rPr>
          <w:rFonts w:ascii="Arial" w:cs="Arial" w:eastAsia="Arial" w:hAnsi="Arial"/>
          <w:sz w:val="19"/>
          <w:szCs w:val="19"/>
          <w:color w:val="auto"/>
        </w:rPr>
        <w:t>” and together with Shareholder A, the “</w:t>
      </w:r>
      <w:r>
        <w:rPr>
          <w:rFonts w:ascii="Arial" w:cs="Arial" w:eastAsia="Arial" w:hAnsi="Arial"/>
          <w:sz w:val="19"/>
          <w:szCs w:val="19"/>
          <w:u w:val="single" w:color="auto"/>
          <w:color w:val="auto"/>
        </w:rPr>
        <w:t>Shareholders</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WHEREAS, the Company, Lobos Acquisition Ltd., a Bermuda exempted company and an indirect, wholly-owned subsidiary of the Company (“</w:t>
      </w:r>
      <w:r>
        <w:rPr>
          <w:rFonts w:ascii="Arial" w:cs="Arial" w:eastAsia="Arial" w:hAnsi="Arial"/>
          <w:sz w:val="22"/>
          <w:szCs w:val="22"/>
          <w:u w:val="single" w:color="auto"/>
          <w:color w:val="auto"/>
        </w:rPr>
        <w:t>Merger Sub</w:t>
      </w:r>
      <w:r>
        <w:rPr>
          <w:rFonts w:ascii="Arial" w:cs="Arial" w:eastAsia="Arial" w:hAnsi="Arial"/>
          <w:sz w:val="22"/>
          <w:szCs w:val="22"/>
          <w:color w:val="auto"/>
        </w:rPr>
        <w:t>”), the Shareholders, and Hygo Energy Transition Ltd., a Bermuda exempted company (“</w:t>
      </w:r>
      <w:r>
        <w:rPr>
          <w:rFonts w:ascii="Arial" w:cs="Arial" w:eastAsia="Arial" w:hAnsi="Arial"/>
          <w:sz w:val="22"/>
          <w:szCs w:val="22"/>
          <w:u w:val="single" w:color="auto"/>
          <w:color w:val="auto"/>
        </w:rPr>
        <w:t>Target</w:t>
      </w:r>
      <w:r>
        <w:rPr>
          <w:rFonts w:ascii="Arial" w:cs="Arial" w:eastAsia="Arial" w:hAnsi="Arial"/>
          <w:sz w:val="22"/>
          <w:szCs w:val="22"/>
          <w:color w:val="auto"/>
        </w:rPr>
        <w:t>”), have effected the transactions contemplated by that certain Agreement and Plan of Merger (the “</w:t>
      </w:r>
      <w:r>
        <w:rPr>
          <w:rFonts w:ascii="Arial" w:cs="Arial" w:eastAsia="Arial" w:hAnsi="Arial"/>
          <w:sz w:val="22"/>
          <w:szCs w:val="22"/>
          <w:u w:val="single" w:color="auto"/>
          <w:color w:val="auto"/>
        </w:rPr>
        <w:t>Merger Agreement</w:t>
      </w:r>
      <w:r>
        <w:rPr>
          <w:rFonts w:ascii="Arial" w:cs="Arial" w:eastAsia="Arial" w:hAnsi="Arial"/>
          <w:sz w:val="22"/>
          <w:szCs w:val="22"/>
          <w:color w:val="auto"/>
        </w:rPr>
        <w:t>”), dated as of January 13, 2021, pursuant to which, among other things, on the terms and subject to the conditions set forth in the Merger Agreement (i) Merger Sub merged with and into Target (the “</w:t>
      </w:r>
      <w:r>
        <w:rPr>
          <w:rFonts w:ascii="Arial" w:cs="Arial" w:eastAsia="Arial" w:hAnsi="Arial"/>
          <w:sz w:val="22"/>
          <w:szCs w:val="22"/>
          <w:u w:val="single" w:color="auto"/>
          <w:color w:val="auto"/>
        </w:rPr>
        <w:t>Merger</w:t>
      </w:r>
      <w:r>
        <w:rPr>
          <w:rFonts w:ascii="Arial" w:cs="Arial" w:eastAsia="Arial" w:hAnsi="Arial"/>
          <w:sz w:val="22"/>
          <w:szCs w:val="22"/>
          <w:color w:val="auto"/>
        </w:rPr>
        <w:t>”), (ii) Shareholder A received 18,627,451 shares of the Company’s Class A Common Stock, par value $0.01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 and (iii) Shareholder B received 12,745,098 shares of Common Stock (the Common Stock received by Shareholder A and Shareholder B in connection with the Merger, the “</w:t>
      </w:r>
      <w:r>
        <w:rPr>
          <w:rFonts w:ascii="Arial" w:cs="Arial" w:eastAsia="Arial" w:hAnsi="Arial"/>
          <w:sz w:val="22"/>
          <w:szCs w:val="22"/>
          <w:u w:val="single" w:color="auto"/>
          <w:color w:val="auto"/>
        </w:rPr>
        <w:t>Issued Shares</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in connection with the closing of the Merger, the Company is granting to each Shareholder certain registration rights with respect to the Issued Shares, as set forth in this Agreement; and</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in connection with, and effective upon, the date of the closing of the transactions contemplated by the Merger Agreement (the “Closing Date”), the Company and each Shareholder desire to enter into this Agreement to set forth certain understandings among themselves.</w:t>
      </w:r>
    </w:p>
    <w:p>
      <w:pPr>
        <w:spacing w:after="0" w:line="21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receipt and sufficiency of which are hereby acknowledged, the parties hereto hereby agree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shall have the following meanings:</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any other Person who directly, or indirectly through one or more intermediaries, controls, is controlled by or is under common control with such Person.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ASR Filing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of a security is a Person who directly or indirectly, through any contract, arrangement, understanding, relationship or otherwise, has or shares (a) voting power, which includes the power to vote, or to direct the voting of, such security and/or (b) investment power, which includes the power to dispose of, or to direct the disposition of, such security. The term “</w:t>
      </w:r>
      <w:r>
        <w:rPr>
          <w:rFonts w:ascii="Arial" w:cs="Arial" w:eastAsia="Arial" w:hAnsi="Arial"/>
          <w:sz w:val="22"/>
          <w:szCs w:val="22"/>
          <w:u w:val="single" w:color="auto"/>
          <w:color w:val="auto"/>
        </w:rPr>
        <w:t>Beneficially Own</w:t>
      </w:r>
      <w:r>
        <w:rPr>
          <w:rFonts w:ascii="Arial" w:cs="Arial" w:eastAsia="Arial" w:hAnsi="Arial"/>
          <w:sz w:val="22"/>
          <w:szCs w:val="22"/>
          <w:color w:val="auto"/>
        </w:rPr>
        <w:t>” shall have a correlative meaning.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Sunday, any federal holiday or any other day on which banking institutions in the State of New York are authorized or required to be closed by law or governmental 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Bylaws</w:t>
      </w:r>
      <w:r>
        <w:rPr>
          <w:rFonts w:ascii="Arial" w:cs="Arial" w:eastAsia="Arial" w:hAnsi="Arial"/>
          <w:sz w:val="22"/>
          <w:szCs w:val="22"/>
          <w:color w:val="auto"/>
        </w:rPr>
        <w:t>” means the bylaws of the Company, as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Charter</w:t>
      </w:r>
      <w:r>
        <w:rPr>
          <w:rFonts w:ascii="Arial" w:cs="Arial" w:eastAsia="Arial" w:hAnsi="Arial"/>
          <w:sz w:val="22"/>
          <w:szCs w:val="22"/>
          <w:color w:val="auto"/>
        </w:rPr>
        <w:t>” means the certificate of incorporation of the Company, as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Controls</w:t>
      </w:r>
      <w:r>
        <w:rPr>
          <w:rFonts w:ascii="Arial" w:cs="Arial" w:eastAsia="Arial" w:hAnsi="Arial"/>
          <w:sz w:val="22"/>
          <w:szCs w:val="22"/>
          <w:i w:val="1"/>
          <w:iCs w:val="1"/>
          <w:color w:val="auto"/>
        </w:rPr>
        <w:t>,</w:t>
      </w:r>
      <w:r>
        <w:rPr>
          <w:rFonts w:ascii="Arial" w:cs="Arial" w:eastAsia="Arial" w:hAnsi="Arial"/>
          <w:sz w:val="22"/>
          <w:szCs w:val="22"/>
          <w:color w:val="auto"/>
        </w:rPr>
        <w:t>”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means the possession, direct or indirect, of the power to direct or cause the direction of the management and policies of a Person, whether through the ownership of voting securities, by contract or otherwise.</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or any successor federal statute, and the rules and regulations of the Commission thereunder.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Founders’ Securities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3.2(c)(i)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court, governmental, regulatory or administrative agency or commission or other governmental authority or instrumentality, domestic or foreign.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Issued Shares</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law, rule, regulation, ordinance, code, judgment, order, treaty, convention, governmental directive or other legally enforceable requirement, U.S. or non-U.S., of any Governmental Entity, including common law.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Underwriter</w:t>
      </w:r>
      <w:r>
        <w:rPr>
          <w:rFonts w:ascii="Arial" w:cs="Arial" w:eastAsia="Arial" w:hAnsi="Arial"/>
          <w:sz w:val="22"/>
          <w:szCs w:val="22"/>
          <w:color w:val="auto"/>
        </w:rPr>
        <w:t>” means, with respect to any Underwritten Offering, the lead book-running manager(s) of such Underwritten Offering.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Shares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MIS Participants</w:t>
      </w:r>
      <w:r>
        <w:rPr>
          <w:rFonts w:ascii="Arial" w:cs="Arial" w:eastAsia="Arial" w:hAnsi="Arial"/>
          <w:sz w:val="22"/>
          <w:szCs w:val="22"/>
          <w:color w:val="auto"/>
        </w:rPr>
        <w:t>” means the individuals or entities that participate in the management incentive system under the Supplemental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Global Select Market.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Necessary Action</w:t>
      </w:r>
      <w:r>
        <w:rPr>
          <w:rFonts w:ascii="Arial" w:cs="Arial" w:eastAsia="Arial" w:hAnsi="Arial"/>
          <w:sz w:val="22"/>
          <w:szCs w:val="22"/>
          <w:color w:val="auto"/>
        </w:rPr>
        <w:t>” means, with respect to a specified result, any and all actions necessary to cause such result, including, but not limited to, executing any and all agreements and instruments that are required to achieve such result and making, or causing to be made, with any and all Governmental Entities, all filings, registrations or similar actions that are required to achieve such result (but solely to the extent such actions are permitted by Law).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Company Charter and Company Bylaws.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of a Shareholder means any Affiliate of such Shareholder.</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shall mean an action, claim, suit, arbitration or proceeding (including, without limitation, an investigation or partial proceeding, such as a deposition), whether commenced or threatened.</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shall mean (a) the Issued Shares and (b) any securities issued or issuable with respect to the Issued Shares by way of distribution or in connection with any reorganization or other recapitalization, merger, consolidation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Registrable Security owned by a Shareholder shall cease to be a Registrable Security when</w:t>
      </w:r>
    </w:p>
    <w:p>
      <w:pPr>
        <w:spacing w:after="0" w:line="1" w:lineRule="exact"/>
        <w:rPr>
          <w:sz w:val="20"/>
          <w:szCs w:val="20"/>
          <w:color w:val="auto"/>
        </w:rPr>
      </w:pPr>
    </w:p>
    <w:p>
      <w:pPr>
        <w:jc w:val="both"/>
        <w:ind w:firstLine="8"/>
        <w:spacing w:after="0" w:line="277" w:lineRule="auto"/>
        <w:tabs>
          <w:tab w:leader="none" w:pos="275" w:val="left"/>
        </w:tabs>
        <w:numPr>
          <w:ilvl w:val="0"/>
          <w:numId w:val="12"/>
        </w:numPr>
        <w:rPr>
          <w:rFonts w:ascii="Arial" w:cs="Arial" w:eastAsia="Arial" w:hAnsi="Arial"/>
          <w:sz w:val="19"/>
          <w:szCs w:val="19"/>
          <w:color w:val="auto"/>
        </w:rPr>
      </w:pPr>
      <w:r>
        <w:rPr>
          <w:rFonts w:ascii="Arial" w:cs="Arial" w:eastAsia="Arial" w:hAnsi="Arial"/>
          <w:sz w:val="19"/>
          <w:szCs w:val="19"/>
          <w:color w:val="auto"/>
        </w:rPr>
        <w:t>such share has been disposed of pursuant to an effective Registration Statement, (ii) such share has been disposed of under Rule 144 or any other exemption from the registration requirements of the Securities Act as a result of which the Transferee thereof does not receive “restricted securities” as defined in Rule 144, (iii) such shares are freely tradeable by such Shareholder without volume or other limitations or requirements under Rule 144 and such Shareholder and its Affiliates collectively hold less than 5% of the outstanding shares of Common Stock or (iv) such shares have ceased to be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xml:space="preserve">” means all expenses incurred by the Company in complying with </w:t>
      </w:r>
      <w:r>
        <w:rPr>
          <w:rFonts w:ascii="Arial" w:cs="Arial" w:eastAsia="Arial" w:hAnsi="Arial"/>
          <w:sz w:val="22"/>
          <w:szCs w:val="22"/>
          <w:u w:val="single" w:color="auto"/>
          <w:color w:val="auto"/>
        </w:rPr>
        <w:t>Article III</w:t>
      </w:r>
      <w:r>
        <w:rPr>
          <w:rFonts w:ascii="Arial" w:cs="Arial" w:eastAsia="Arial" w:hAnsi="Arial"/>
          <w:sz w:val="22"/>
          <w:szCs w:val="22"/>
          <w:color w:val="auto"/>
        </w:rPr>
        <w:t>, including, without limitation, all registration and filing fees, printing expenses, road show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 but excluding any Selling Expenses.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means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Relative</w:t>
      </w:r>
      <w:r>
        <w:rPr>
          <w:rFonts w:ascii="Arial" w:cs="Arial" w:eastAsia="Arial" w:hAnsi="Arial"/>
          <w:sz w:val="21"/>
          <w:szCs w:val="21"/>
          <w:color w:val="auto"/>
        </w:rPr>
        <w:t>” means, with respect to any natural person: (a) such natural person’s spouse, (b) any lineal descendant, parent, grandparent, great grandparent or sibling or any lineal descendant of such sibling (in each case whether by blood or legal adoption), and (c) the spouse of a natural person described in clause (b) of this definition.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Requesting Shareholder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promulgated by the Commission pursuant to the Securities Act, as such rule may be amended from time to time, or any similar rule or regulation hereafter adopted by the Commission as a replacement thereto having substantially the same effect as such rule.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successor federal statute, and the rules and regulations of the Commission thereunder. References to any rule under the Securities Act shall be deemed to refer to any similar or successor rule or regulation.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Expenses</w:t>
      </w:r>
      <w:r>
        <w:rPr>
          <w:rFonts w:ascii="Arial" w:cs="Arial" w:eastAsia="Arial" w:hAnsi="Arial"/>
          <w:sz w:val="22"/>
          <w:szCs w:val="22"/>
          <w:color w:val="auto"/>
        </w:rPr>
        <w:t>” means all (a) underwriting fees, discounts and selling commissions allocable to the sale of Registrable Securities, (b) transfer taxes allocable to the sale of the Registrable Securities, (c) costs or expenses related to any roadshows conducted in connection with the marketing of any Shelf Underwritten Offering and (d) fees and expenses of counsel to the Shareholders.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 A</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 B</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 Securities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Underwritten Offering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Underwritten Offering Request</w:t>
      </w:r>
      <w:r>
        <w:rPr>
          <w:rFonts w:ascii="Arial" w:cs="Arial" w:eastAsia="Arial" w:hAnsi="Arial"/>
          <w:sz w:val="22"/>
          <w:szCs w:val="22"/>
          <w:color w:val="auto"/>
        </w:rPr>
        <w:t xml:space="preserve">” shall have the meaning set forth in Section </w:t>
      </w:r>
      <w:r>
        <w:rPr>
          <w:rFonts w:ascii="Arial" w:cs="Arial" w:eastAsia="Arial" w:hAnsi="Arial"/>
          <w:sz w:val="22"/>
          <w:szCs w:val="22"/>
          <w:u w:val="single" w:color="auto"/>
          <w:color w:val="auto"/>
        </w:rPr>
        <w:t>3.2(a)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Supplemental Agreement</w:t>
      </w:r>
      <w:r>
        <w:rPr>
          <w:rFonts w:ascii="Arial" w:cs="Arial" w:eastAsia="Arial" w:hAnsi="Arial"/>
          <w:sz w:val="22"/>
          <w:szCs w:val="22"/>
          <w:color w:val="auto"/>
        </w:rPr>
        <w:t>” means that certain Supplemental Agreement dated as of August 31, 2018, by and between Target (f/k/a Golar Power Limited), Shareholder A and Shareholder B, entered into to supplement that certain Investment and Shareholders Agreement dated July 5, 2016, and any amendments or supplements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Suspension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Underwriter</w:t>
      </w:r>
      <w:r>
        <w:rPr>
          <w:rFonts w:ascii="Arial" w:cs="Arial" w:eastAsia="Arial" w:hAnsi="Arial"/>
          <w:sz w:val="22"/>
          <w:szCs w:val="22"/>
          <w:color w:val="auto"/>
        </w:rPr>
        <w:t>” mean a securities dealer who purchases any Registrable Securities as principal in an Underwritten Offering and not as part of such dealer’s market-making activities.</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Offering</w:t>
      </w:r>
      <w:r>
        <w:rPr>
          <w:rFonts w:ascii="Arial" w:cs="Arial" w:eastAsia="Arial" w:hAnsi="Arial"/>
          <w:sz w:val="22"/>
          <w:szCs w:val="22"/>
          <w:color w:val="auto"/>
        </w:rPr>
        <w:t>” means an offering (including an offering pursuant to a Shelf Registration Statement) in which shares of Common Stock are sold to an Underwriter for reoffer.</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Offering Filing</w:t>
      </w:r>
      <w:r>
        <w:rPr>
          <w:rFonts w:ascii="Arial" w:cs="Arial" w:eastAsia="Arial" w:hAnsi="Arial"/>
          <w:sz w:val="22"/>
          <w:szCs w:val="22"/>
          <w:color w:val="auto"/>
        </w:rPr>
        <w:t>” means with respect to a Shelf Underwritten Offering, a preliminary prospectus supplement (or prospectus supplement if no preliminary prospectus supplement is used) to the Shelf Registration Statement relating to such Shelf Underwritten Offering.</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WKSI</w:t>
      </w:r>
      <w:r>
        <w:rPr>
          <w:rFonts w:ascii="Arial" w:cs="Arial" w:eastAsia="Arial" w:hAnsi="Arial"/>
          <w:sz w:val="22"/>
          <w:szCs w:val="22"/>
          <w:color w:val="auto"/>
        </w:rPr>
        <w:t>” means a well-known seasoned issuer (as defined in Rule 405 under the Securities Act).</w:t>
      </w:r>
    </w:p>
    <w:p>
      <w:pPr>
        <w:spacing w:after="0" w:line="21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45" w:lineRule="exact"/>
        <w:rPr>
          <w:sz w:val="20"/>
          <w:szCs w:val="20"/>
          <w:color w:val="auto"/>
        </w:rPr>
      </w:pPr>
    </w:p>
    <w:p>
      <w:pPr>
        <w:jc w:val="both"/>
        <w:ind w:firstLine="1304"/>
        <w:spacing w:after="0" w:line="273" w:lineRule="auto"/>
        <w:tabs>
          <w:tab w:leader="none" w:pos="2454" w:val="left"/>
        </w:tabs>
        <w:numPr>
          <w:ilvl w:val="0"/>
          <w:numId w:val="13"/>
        </w:numPr>
        <w:rPr>
          <w:rFonts w:ascii="Arial" w:cs="Arial" w:eastAsia="Arial" w:hAnsi="Arial"/>
          <w:sz w:val="19"/>
          <w:szCs w:val="19"/>
          <w:color w:val="auto"/>
        </w:rPr>
      </w:pPr>
      <w:r>
        <w:rPr>
          <w:rFonts w:ascii="Arial" w:cs="Arial" w:eastAsia="Arial" w:hAnsi="Arial"/>
          <w:sz w:val="19"/>
          <w:szCs w:val="19"/>
          <w:color w:val="auto"/>
        </w:rPr>
        <w:t>Unless the context requires otherwise: (i) any pronoun used in this Agreement shall include the corresponding masculine, feminine or neuter forms; (ii) references to Articles and Sections refer to articles and sections of this Agreement; (iii) the terms “include,” “includes,” “including” and words of like import shall be deemed to be followed by the words “without limitation”; (iv) the terms “hereof,” “hereto,” “herein” or “hereunder” refer to this Agreement as a whole and not to any particular provision of this Agreement; (v) unless the context otherwise requires, the term “or” is not exclusive and shall have the inclusive meaning of “and/or”; (vi) defined terms herein will apply equally to both the singular and plural forms and derivative forms of defined terms will have correlative meanings; (vii) references to any Law or statute shall include all rules and regulations promulgated thereunder, and references to any Law or statute shall be construed as including any legal and statutory provisions consolidating, amending, succeeding or replacing the applicable Law or statute; (viii) references to any Person include such Person’s successors and permitted assigns; and (ix) references to “days” are to calendar days unless otherwise indicated.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firstLine="1304"/>
        <w:spacing w:after="0" w:line="251" w:lineRule="auto"/>
        <w:tabs>
          <w:tab w:leader="none" w:pos="231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and identification only and are not intended to describe, interpret, define or limit the scope, extent or intent of this Agreement or any provision thereof.</w:t>
      </w:r>
    </w:p>
    <w:p>
      <w:pPr>
        <w:spacing w:after="0" w:line="200" w:lineRule="exact"/>
        <w:rPr>
          <w:rFonts w:ascii="Arial" w:cs="Arial" w:eastAsia="Arial" w:hAnsi="Arial"/>
          <w:sz w:val="22"/>
          <w:szCs w:val="22"/>
          <w:color w:val="auto"/>
        </w:rPr>
      </w:pPr>
    </w:p>
    <w:p>
      <w:pPr>
        <w:ind w:firstLine="1304"/>
        <w:spacing w:after="0" w:line="250" w:lineRule="auto"/>
        <w:tabs>
          <w:tab w:leader="none" w:pos="207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Agreement shall be construed without regard to any presumption or other rule requiring construction against the party that drafted or caused this Agreement to be drafted.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LOCK-UP</w:t>
      </w:r>
    </w:p>
    <w:p>
      <w:pPr>
        <w:spacing w:after="0" w:line="246"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Lock-up</w:t>
      </w:r>
      <w:r>
        <w:rPr>
          <w:rFonts w:ascii="Arial" w:cs="Arial" w:eastAsia="Arial" w:hAnsi="Arial"/>
          <w:sz w:val="17"/>
          <w:szCs w:val="17"/>
          <w:color w:val="auto"/>
        </w:rPr>
        <w:t>. Each Shareholder shall not, without the prior written consent of the Company (which consent shall not be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unreasonably withheld, conditioned or delayed), during the period commencing on the Closing Date and continuing for 90 days after the Closing Date (the “</w:t>
      </w:r>
      <w:r>
        <w:rPr>
          <w:rFonts w:ascii="Arial" w:cs="Arial" w:eastAsia="Arial" w:hAnsi="Arial"/>
          <w:sz w:val="17"/>
          <w:szCs w:val="17"/>
          <w:u w:val="single" w:color="auto"/>
          <w:color w:val="auto"/>
        </w:rPr>
        <w:t>Lock-up Period</w:t>
      </w:r>
      <w:r>
        <w:rPr>
          <w:rFonts w:ascii="Arial" w:cs="Arial" w:eastAsia="Arial" w:hAnsi="Arial"/>
          <w:sz w:val="17"/>
          <w:szCs w:val="17"/>
          <w:color w:val="auto"/>
        </w:rPr>
        <w:t>”), directly or indirectly through one or more Affiliates, (a) offer, pledge, sell, contract to sell, grant any option, right or warrant to purchase, give, assign, hypothecate, pledge, encumber, grant a security interest in, sell any option or contract to purchase, purchase any option or contract to sell, grant any option, right or warrant to purchase, lend or otherwise transfer or dispose of (including through any hedging or other similar transaction) any economic, voting or other rights in or to the Issued Shares, or (b) enter into any swap or other agreement that transfers or intends to transfer, in whole or in part, any of the economic consequences of ownership of the Issued Shares (any such transaction described in clause (a) or (b) above, a “</w:t>
      </w:r>
      <w:r>
        <w:rPr>
          <w:rFonts w:ascii="Arial" w:cs="Arial" w:eastAsia="Arial" w:hAnsi="Arial"/>
          <w:sz w:val="17"/>
          <w:szCs w:val="17"/>
          <w:u w:val="single" w:color="auto"/>
          <w:color w:val="auto"/>
        </w:rPr>
        <w:t>Transfer</w:t>
      </w:r>
      <w:r>
        <w:rPr>
          <w:rFonts w:ascii="Arial" w:cs="Arial" w:eastAsia="Arial" w:hAnsi="Arial"/>
          <w:sz w:val="17"/>
          <w:szCs w:val="17"/>
          <w:color w:val="auto"/>
        </w:rPr>
        <w:t>”), other than (x) subject to Article VI, a transfer of the Issued Shares to a Permitted Transferee and (y) Shareholder B’s transfer of a portion of the Issued Shares pursuant to the Supplemental Agreement. Other than any agreement, arrangement or understanding relating to the Supplemental Agreement, each Shareholder represents and warrants to the Company that it is not party to any agreement, arrangement or understanding relating to a Transfer as of the date hereof.</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Pro Rata Distribution</w:t>
      </w:r>
      <w:r>
        <w:rPr>
          <w:rFonts w:ascii="Arial" w:cs="Arial" w:eastAsia="Arial" w:hAnsi="Arial"/>
          <w:sz w:val="17"/>
          <w:szCs w:val="17"/>
          <w:color w:val="auto"/>
        </w:rPr>
        <w:t>. If, after the Lock-up Period, Shareholder A decides to distribute its Common Stock through a pro rata distribution to its shareholders, the Company shall reasonably cooperate with the reasonable requests of Shareholder A in connection therewith, including, to the extent reasonably necessary and with assistance of counsel to each party, seeking guidance from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as to the requirements necessary for such distribution to be completed without registration, or, if registration is required, the appropriate form of such registration statement, in order to enable Shareholder A’s shareholders who receive Common Stock in the distribution to trade their shares of Common Stock freely;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consultation with the SEC shall include counsel to Shareholder A and counsel to the Company, and the Company shall use its commercially reasonable efforts to use the form of registration statement that, in the view of counsel to the Company and Shareholder A, is reasonably necessary to effect the distribution at the time desired by Shareholder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Shareholder A shall consult with the Company a reasonable time in advance of such distribution regarding an orderly process, determining the appropriate mechanics for completing such distribution, and reimburse the Company for any reasonable out-of-pocket expenses incurred by the Company in connection therewith (other than any Registration Expenses for which the Company is responsible hereunder).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ARTICLE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REGISTRATION RIGHTS</w:t>
      </w:r>
    </w:p>
    <w:p>
      <w:pPr>
        <w:spacing w:after="0" w:line="1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18" w:lineRule="exact"/>
        <w:rPr>
          <w:sz w:val="20"/>
          <w:szCs w:val="20"/>
          <w:color w:val="auto"/>
        </w:rPr>
      </w:pPr>
    </w:p>
    <w:p>
      <w:pPr>
        <w:ind w:left="2160" w:hanging="856"/>
        <w:spacing w:after="0"/>
        <w:tabs>
          <w:tab w:leader="none" w:pos="2160"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promptly as practicable, but no later than the 90</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day following the Closing Date, the Company shall</w:t>
      </w:r>
    </w:p>
    <w:p>
      <w:pPr>
        <w:jc w:val="both"/>
        <w:ind w:firstLine="8"/>
        <w:spacing w:after="0" w:line="271" w:lineRule="auto"/>
        <w:tabs>
          <w:tab w:leader="none" w:pos="259" w:val="left"/>
        </w:tabs>
        <w:numPr>
          <w:ilvl w:val="0"/>
          <w:numId w:val="16"/>
        </w:numPr>
        <w:rPr>
          <w:rFonts w:ascii="Arial" w:cs="Arial" w:eastAsia="Arial" w:hAnsi="Arial"/>
          <w:sz w:val="19"/>
          <w:szCs w:val="19"/>
          <w:color w:val="auto"/>
        </w:rPr>
      </w:pPr>
      <w:r>
        <w:rPr>
          <w:rFonts w:ascii="Arial" w:cs="Arial" w:eastAsia="Arial" w:hAnsi="Arial"/>
          <w:sz w:val="19"/>
          <w:szCs w:val="19"/>
          <w:color w:val="auto"/>
        </w:rPr>
        <w:t>file a “shelf” registration statement under the Securities Act to permit the resale of the Registrable Securities from time to time as permitted by Rule 415 under the Securities Act (or any similar provision adopted by the Commission then in effect) or (ii) have available and on file with the SEC an existing “shelf” registration statement filed with the SEC that would permit the resale of the Registrable Securities as contemplated by the foregoing clause (i) (in each case, the “</w:t>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If at the time of such filing, the Company is a WKSI, the Shelf Registration Statement shall be (i) an automatic shelf registration statement that becomes effective upon filing with the Commission in accordance with Rule 462(e) under the Securities Act (an “</w:t>
      </w:r>
      <w:r>
        <w:rPr>
          <w:rFonts w:ascii="Arial" w:cs="Arial" w:eastAsia="Arial" w:hAnsi="Arial"/>
          <w:sz w:val="19"/>
          <w:szCs w:val="19"/>
          <w:u w:val="single" w:color="auto"/>
          <w:color w:val="auto"/>
        </w:rPr>
        <w:t>ASR Filing</w:t>
      </w:r>
      <w:r>
        <w:rPr>
          <w:rFonts w:ascii="Arial" w:cs="Arial" w:eastAsia="Arial" w:hAnsi="Arial"/>
          <w:sz w:val="19"/>
          <w:szCs w:val="19"/>
          <w:color w:val="auto"/>
        </w:rPr>
        <w:t>”) or (ii) a prospectus supplement filed pursuant to an existing ASR Filing. If the Shelf Registration Statement does not qualify as an ASR Filing, the Company shall use its commercially reasonable efforts to cause such Shelf Registration Statement to become or be declared effective as soon as practicable after the filing thereof. As soon as practicable (but in any event within two Business Days) after the effective date of the Shelf Registration Statement that is not an ASR Filing, the Company shall notify the Shareholders of the effectiveness of such Registration Statement.</w:t>
      </w:r>
    </w:p>
    <w:p>
      <w:pPr>
        <w:spacing w:after="0" w:line="184" w:lineRule="exact"/>
        <w:rPr>
          <w:rFonts w:ascii="Arial" w:cs="Arial" w:eastAsia="Arial" w:hAnsi="Arial"/>
          <w:sz w:val="19"/>
          <w:szCs w:val="19"/>
          <w:color w:val="auto"/>
        </w:rPr>
      </w:pPr>
    </w:p>
    <w:p>
      <w:pPr>
        <w:jc w:val="both"/>
        <w:ind w:firstLine="1304"/>
        <w:spacing w:after="0" w:line="279" w:lineRule="auto"/>
        <w:tabs>
          <w:tab w:leader="none" w:pos="2223"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Shelf Registration Statement shall be on a new or existing Form S-3 or, if Form S-3 is not then available to the Company, on Form S-1 or such other form of registration statement as is then available to effect a registration for resale of such Registrable Securities and shall contain a prospectus in such form as to permit the Shareholders to sell such Registrable Securities pursuant to Rule 415 under the Securities Act (or any successor or similar rule adopted by the Commission then in effect) at any time beginning on the effective date for such Registration Statement. The Shelf Registration Statement shall provide for the distribution or resale pursuant to any method or combination of methods legally available to the Shareholders.</w:t>
      </w:r>
    </w:p>
    <w:p>
      <w:pPr>
        <w:spacing w:after="0" w:line="177" w:lineRule="exact"/>
        <w:rPr>
          <w:rFonts w:ascii="Arial" w:cs="Arial" w:eastAsia="Arial" w:hAnsi="Arial"/>
          <w:sz w:val="19"/>
          <w:szCs w:val="19"/>
          <w:color w:val="auto"/>
        </w:rPr>
      </w:pPr>
    </w:p>
    <w:p>
      <w:pPr>
        <w:jc w:val="both"/>
        <w:ind w:firstLine="1304"/>
        <w:spacing w:after="0" w:line="270" w:lineRule="auto"/>
        <w:tabs>
          <w:tab w:leader="none" w:pos="2157"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Company shall use its commercially reasonable efforts to cause the Shelf Registration Statement to remain effective, and to be supplemented and amended as promptly as practicable to the extent necessary to ensure that the Shelf Registration Statement is available or, if not available, that another Registration Statement is available (which Registration Statement shall also be referred to herein as the Shelf Registration Statement), for the resale of all the Registrable Securities held by each Shareholder until (i) all of the Registrable Securities held by such Shareholder have ceased to be Registrable Securities or</w:t>
      </w:r>
    </w:p>
    <w:p>
      <w:pPr>
        <w:spacing w:after="0" w:line="4" w:lineRule="exact"/>
        <w:rPr>
          <w:rFonts w:ascii="Arial" w:cs="Arial" w:eastAsia="Arial" w:hAnsi="Arial"/>
          <w:sz w:val="19"/>
          <w:szCs w:val="19"/>
          <w:color w:val="auto"/>
        </w:rPr>
      </w:pPr>
    </w:p>
    <w:p>
      <w:pPr>
        <w:jc w:val="both"/>
        <w:ind w:firstLine="8"/>
        <w:spacing w:after="0" w:line="234" w:lineRule="auto"/>
        <w:tabs>
          <w:tab w:leader="none" w:pos="334"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such Shareholder, collectively with its Permitted Transferee, if applicable, owns less than $150 million in total value of the Company’s outstanding Common Stock (as determined based on the closing price of the Common Stock on the date of such determination).</w:t>
      </w:r>
    </w:p>
    <w:p>
      <w:pPr>
        <w:spacing w:after="0" w:line="214" w:lineRule="exact"/>
        <w:rPr>
          <w:rFonts w:ascii="Arial" w:cs="Arial" w:eastAsia="Arial" w:hAnsi="Arial"/>
          <w:sz w:val="22"/>
          <w:szCs w:val="22"/>
          <w:color w:val="auto"/>
        </w:rPr>
      </w:pPr>
    </w:p>
    <w:p>
      <w:pPr>
        <w:jc w:val="both"/>
        <w:ind w:firstLine="1304"/>
        <w:spacing w:after="0" w:line="249" w:lineRule="auto"/>
        <w:tabs>
          <w:tab w:leader="none" w:pos="2317" w:val="left"/>
        </w:tabs>
        <w:numPr>
          <w:ilvl w:val="1"/>
          <w:numId w:val="17"/>
        </w:numPr>
        <w:rPr>
          <w:rFonts w:ascii="Arial" w:cs="Arial" w:eastAsia="Arial" w:hAnsi="Arial"/>
          <w:sz w:val="21"/>
          <w:szCs w:val="21"/>
          <w:color w:val="auto"/>
        </w:rPr>
      </w:pPr>
      <w:r>
        <w:rPr>
          <w:rFonts w:ascii="Arial" w:cs="Arial" w:eastAsia="Arial" w:hAnsi="Arial"/>
          <w:sz w:val="21"/>
          <w:szCs w:val="21"/>
          <w:color w:val="auto"/>
        </w:rPr>
        <w:t>When effective, the Shelf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the Shelf Registration Statement, in the light of the circumstances under which such statements are made).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ind w:left="660"/>
        <w:spacing w:after="0"/>
        <w:tabs>
          <w:tab w:leader="none" w:pos="226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Underwritten Shelf Offering Request</w:t>
      </w:r>
    </w:p>
    <w:p>
      <w:pPr>
        <w:spacing w:after="0" w:line="234" w:lineRule="exact"/>
        <w:rPr>
          <w:sz w:val="20"/>
          <w:szCs w:val="20"/>
          <w:color w:val="auto"/>
        </w:rPr>
      </w:pPr>
    </w:p>
    <w:p>
      <w:pPr>
        <w:jc w:val="both"/>
        <w:ind w:firstLine="1304"/>
        <w:spacing w:after="0" w:line="269" w:lineRule="auto"/>
        <w:tabs>
          <w:tab w:leader="none" w:pos="2332"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the event a Shareholder elects to dispose of Registrable Securities under a Registration Statement pursuant to an Underwritten Offering and reasonably expects gross proceeds of at least $100 million from such Underwritten Offering, the Company shall, at the request (a “</w:t>
      </w:r>
      <w:r>
        <w:rPr>
          <w:rFonts w:ascii="Arial" w:cs="Arial" w:eastAsia="Arial" w:hAnsi="Arial"/>
          <w:sz w:val="19"/>
          <w:szCs w:val="19"/>
          <w:u w:val="single" w:color="auto"/>
          <w:color w:val="auto"/>
        </w:rPr>
        <w:t>Shelf Underwritten Offering Request</w:t>
      </w:r>
      <w:r>
        <w:rPr>
          <w:rFonts w:ascii="Arial" w:cs="Arial" w:eastAsia="Arial" w:hAnsi="Arial"/>
          <w:sz w:val="19"/>
          <w:szCs w:val="19"/>
          <w:color w:val="auto"/>
        </w:rPr>
        <w:t>”) of such Shareholder (in such capacity, the “</w:t>
      </w:r>
      <w:r>
        <w:rPr>
          <w:rFonts w:ascii="Arial" w:cs="Arial" w:eastAsia="Arial" w:hAnsi="Arial"/>
          <w:sz w:val="19"/>
          <w:szCs w:val="19"/>
          <w:u w:val="single" w:color="auto"/>
          <w:color w:val="auto"/>
        </w:rPr>
        <w:t>Requesting Shareholder</w:t>
      </w:r>
      <w:r>
        <w:rPr>
          <w:rFonts w:ascii="Arial" w:cs="Arial" w:eastAsia="Arial" w:hAnsi="Arial"/>
          <w:sz w:val="19"/>
          <w:szCs w:val="19"/>
          <w:color w:val="auto"/>
        </w:rPr>
        <w:t>”), enter into an underwriting agreement in a form as is customary in Underwritten Offerings of securities by the Company with the Underwriter or Underwriters selected by the holders of a majority of the shares of Common Stock to be included in such offering and reasonably acceptable to the Company, and shall take all such other reasonable actions as are requested by the Managing Underwriter of such Underwritten Offering and/or the Requesting Shareholder in order to expedite or facilitate the disposition of such Registrable Securities (a “</w:t>
      </w:r>
      <w:r>
        <w:rPr>
          <w:rFonts w:ascii="Arial" w:cs="Arial" w:eastAsia="Arial" w:hAnsi="Arial"/>
          <w:sz w:val="19"/>
          <w:szCs w:val="19"/>
          <w:u w:val="single" w:color="auto"/>
          <w:color w:val="auto"/>
        </w:rPr>
        <w:t>Shelf Underwritten Offering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Company shall have no obligation to facilitate or participate in any Shelf Underwritten Offering before the expiration of the Lock-Up Period, and (ii) the Shareholders, collectively, may not demand more than five Shelf Underwritten Offerings in the aggregate during the term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Shareholder A does not complete the pro rata distribution contemplated by Section 2.2, Shareholder A shall be entitled to demand no more than two of the five Shelf Underwritten Offerings during the term of this Agreement and Shareholder B shall be entitled to demand no more than three of the five Shelf Underwritten Offerings during the term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the time of the Shelf Underwritten Offering Request, the Company is then planning to undertake an Underwritten Offering for its own account and for so long as it continues to actively employ, in good faith, all reasonable efforts to undertake the applicable Underwritten Offering, and the Company provides notice to the such Shareholders that it would be detrimental to the Company for such Shelf Underwritten Offering to be effected in the near future, the Company shall have the right to defer such Shelf Underwritten Offering Request until the abandonment of such Underwritten Offering by the Company or the later of (x) thirty (30) days following the Company’s closing of its Underwritten Offering or (y) the expiration of any lock-up period required by the Underwriters in such Underwritten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lock-up period shall in no event exceed any such period that applies to a director or “executive officer” (as defined under Section 16 of the Exchange Act) with respect to such Underwritten Offering and shall in no event exceed 60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defer its obligation pursuant to this proviso more than twice in any 12-month period. For the avoidance of doubt, any required registration pursuant to Section 2.2 and any Block Trade pursuant to Section 3.7 shall be counted as Shelf Underwritten Offerings for purposes of the limitations in this Section 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ind w:firstLine="1304"/>
        <w:spacing w:after="0" w:line="270" w:lineRule="auto"/>
        <w:tabs>
          <w:tab w:leader="none" w:pos="2344"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If the Company receives a Shelf Underwritten Offering Request, it will give written notice of such proposed Shelf Underwritten Offering to each Shareholder (other than the Requesting Shareholder), which notice shall include the anticipated filing date of the related Underwritten Offering Filing and, if known, the number of shares of Common Stock that are proposed to be included in such Shelf Underwritten Offering, and of such Shareholders’ rights under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Such notice shall be given promptly (and in any event not later than two Business Day following receipt of the Shelf Underwritten Offering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Shareholder wishes to engage in an underwritten registered offering not involving a “roadshow,” an offer commonly known as a “block trade” (a “</w:t>
      </w:r>
      <w:r>
        <w:rPr>
          <w:rFonts w:ascii="Arial" w:cs="Arial" w:eastAsia="Arial" w:hAnsi="Arial"/>
          <w:sz w:val="19"/>
          <w:szCs w:val="19"/>
          <w:u w:val="single" w:color="auto"/>
          <w:color w:val="auto"/>
        </w:rPr>
        <w:t>Block Trade</w:t>
      </w:r>
      <w:r>
        <w:rPr>
          <w:rFonts w:ascii="Arial" w:cs="Arial" w:eastAsia="Arial" w:hAnsi="Arial"/>
          <w:sz w:val="19"/>
          <w:szCs w:val="19"/>
          <w:color w:val="auto"/>
        </w:rPr>
        <w:t xml:space="preserve">”), no such notice shall be required and no Shareholder (other than the Requesting Shareholder) shall have any right to include its Registrable Securities in such Block Trade;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Shelf Underwritten Offering Request (including a Block Trade) shall be subject to the notice and other requirements contained in the Founders’ Agreement (as defined in Section 3.2(c));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Company shall use its commercially reasonable efforts to manage its obligations under the Founders’ Agreement so as to not materially impede the ability of the Requesting Shareholder to achieve the objective of its requested Block Trade;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shall not so notify any such other Shareholder that has notified the Company (and not revoked such notice) requesting that such Shareholder not receive notice from the Company of any proposed Shelf Underwritten Offering. If such notice is delivered pursuant to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each such Shareholder shall then have three Business Days after the date on which the Shareholders received notice pursuant to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to request inclusion of Registrable Securities in the Shelf Underwritten Offering (which request shall specify the maximum number of Registrable Securities intended to be disposed of by such Shareholder and such other information as is reasonably required to effect the inclusion of such Registrable Securities). If no request for inclusion from a Shareholder is received within such period, such Shareholder shall have no further right to participate in such Shelf Underwritten Offering.</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304"/>
        <w:spacing w:after="0" w:line="246" w:lineRule="auto"/>
        <w:tabs>
          <w:tab w:leader="none" w:pos="2089"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the Managing Underwriter of the Shelf Underwritten Offering shall inform the Requesting Shareholder of its belief that the number of Registrable Securities requested to be included in such Shelf Underwritten Offering by such Shareholder (and any other shares of Common Stock requested to be included by the Company or any other Persons having registration rights with respect to such offering) would have a negative effect on the pricing of such offering, then the Company shall include in the applicable Underwritten Offering Filing, to the extent of the total number of Registrable Securities that the Company is so advised can be sold in such Shelf Underwritten Offering without so materially adversely affecting such offering (the “</w:t>
      </w:r>
      <w:r>
        <w:rPr>
          <w:rFonts w:ascii="Arial" w:cs="Arial" w:eastAsia="Arial" w:hAnsi="Arial"/>
          <w:sz w:val="21"/>
          <w:szCs w:val="21"/>
          <w:u w:val="single" w:color="auto"/>
          <w:color w:val="auto"/>
        </w:rPr>
        <w:t>Maximum Shares</w:t>
      </w:r>
      <w:r>
        <w:rPr>
          <w:rFonts w:ascii="Arial" w:cs="Arial" w:eastAsia="Arial" w:hAnsi="Arial"/>
          <w:sz w:val="21"/>
          <w:szCs w:val="21"/>
          <w:color w:val="auto"/>
        </w:rPr>
        <w:t>”), Registrable Securities in the following priority:</w:t>
      </w:r>
    </w:p>
    <w:p>
      <w:pPr>
        <w:spacing w:after="0" w:line="211" w:lineRule="exact"/>
        <w:rPr>
          <w:rFonts w:ascii="Arial" w:cs="Arial" w:eastAsia="Arial" w:hAnsi="Arial"/>
          <w:sz w:val="21"/>
          <w:szCs w:val="21"/>
          <w:color w:val="auto"/>
        </w:rPr>
      </w:pPr>
    </w:p>
    <w:p>
      <w:pPr>
        <w:jc w:val="both"/>
        <w:ind w:left="1300" w:firstLine="652"/>
        <w:spacing w:after="0" w:line="234" w:lineRule="auto"/>
        <w:tabs>
          <w:tab w:leader="none" w:pos="28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First, any Registrable Securities that the Shareholders requested to be included therein (the “</w:t>
      </w:r>
      <w:r>
        <w:rPr>
          <w:rFonts w:ascii="Arial" w:cs="Arial" w:eastAsia="Arial" w:hAnsi="Arial"/>
          <w:sz w:val="22"/>
          <w:szCs w:val="22"/>
          <w:u w:val="single" w:color="auto"/>
          <w:color w:val="auto"/>
        </w:rPr>
        <w:t>Shareholders’ Securities</w:t>
      </w:r>
      <w:r>
        <w:rPr>
          <w:rFonts w:ascii="Arial" w:cs="Arial" w:eastAsia="Arial" w:hAnsi="Arial"/>
          <w:sz w:val="22"/>
          <w:szCs w:val="22"/>
          <w:color w:val="auto"/>
        </w:rPr>
        <w:t>”) and any shares of Common Stock requested to be included therein by the parties to that certain Shareholders’ Agreement dated as February 4, 2019 (the “</w:t>
      </w:r>
      <w:r>
        <w:rPr>
          <w:rFonts w:ascii="Arial" w:cs="Arial" w:eastAsia="Arial" w:hAnsi="Arial"/>
          <w:sz w:val="22"/>
          <w:szCs w:val="22"/>
          <w:u w:val="single" w:color="auto"/>
          <w:color w:val="auto"/>
        </w:rPr>
        <w:t>Founders’ Agreement</w:t>
      </w:r>
      <w:r>
        <w:rPr>
          <w:rFonts w:ascii="Arial" w:cs="Arial" w:eastAsia="Arial" w:hAnsi="Arial"/>
          <w:sz w:val="22"/>
          <w:szCs w:val="22"/>
          <w:color w:val="auto"/>
        </w:rPr>
        <w:t>”), by and among the Company and certain parties thereto (including any assignee who has been assigned Registration Rights pursuant to the terms thereunder) (the “</w:t>
      </w:r>
      <w:r>
        <w:rPr>
          <w:rFonts w:ascii="Arial" w:cs="Arial" w:eastAsia="Arial" w:hAnsi="Arial"/>
          <w:sz w:val="22"/>
          <w:szCs w:val="22"/>
          <w:u w:val="single" w:color="auto"/>
          <w:color w:val="auto"/>
        </w:rPr>
        <w:t>Founders’ Securities</w:t>
      </w:r>
      <w:r>
        <w:rPr>
          <w:rFonts w:ascii="Arial" w:cs="Arial" w:eastAsia="Arial" w:hAnsi="Arial"/>
          <w:sz w:val="22"/>
          <w:szCs w:val="22"/>
          <w:color w:val="auto"/>
        </w:rPr>
        <w:t>”) (pro rata among the holders of the Shareholders’ Securities and the Founders’ Securities in proportion to the number of shares of Common Stock held by all such holders); and</w:t>
      </w:r>
    </w:p>
    <w:p>
      <w:pPr>
        <w:spacing w:after="0" w:line="217" w:lineRule="exact"/>
        <w:rPr>
          <w:rFonts w:ascii="Arial" w:cs="Arial" w:eastAsia="Arial" w:hAnsi="Arial"/>
          <w:sz w:val="22"/>
          <w:szCs w:val="22"/>
          <w:color w:val="auto"/>
        </w:rPr>
      </w:pPr>
    </w:p>
    <w:p>
      <w:pPr>
        <w:jc w:val="both"/>
        <w:ind w:left="660" w:firstLine="1292"/>
        <w:spacing w:after="0" w:line="238" w:lineRule="auto"/>
        <w:tabs>
          <w:tab w:leader="none" w:pos="2652" w:val="left"/>
        </w:tabs>
        <w:numPr>
          <w:ilvl w:val="1"/>
          <w:numId w:val="19"/>
        </w:numPr>
        <w:rPr>
          <w:rFonts w:ascii="Arial" w:cs="Arial" w:eastAsia="Arial" w:hAnsi="Arial"/>
          <w:sz w:val="22"/>
          <w:szCs w:val="22"/>
          <w:color w:val="auto"/>
        </w:rPr>
      </w:pPr>
      <w:r>
        <w:rPr>
          <w:rFonts w:ascii="Arial" w:cs="Arial" w:eastAsia="Arial" w:hAnsi="Arial"/>
          <w:sz w:val="22"/>
          <w:szCs w:val="22"/>
          <w:color w:val="auto"/>
        </w:rPr>
        <w:t>Second, to the extent that the number of the Shareholders’ Securities and Founders’ Securities is less than the Maximum Shares, the shares of Common Stock requested to be included by the Company or any other Persons having registration rights with respect to such offering, pro rata among such other Persons based on the number of shares of Common Stock each requested to be included.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both"/>
        <w:ind w:firstLine="1304"/>
        <w:spacing w:after="0" w:line="297" w:lineRule="auto"/>
        <w:tabs>
          <w:tab w:leader="none" w:pos="2169"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Holders of a majority of the shares of Common Stock to be included in the offering shall determine the pricing of the Registrable Securities offered pursuant to any Shelf Underwritten Offering and the applicable underwriting discounts and commissions and determine the timing of any such Shelf Underwritten Offering, subject to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304"/>
        <w:spacing w:after="0" w:line="245" w:lineRule="auto"/>
        <w:tabs>
          <w:tab w:leader="none" w:pos="2143"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Either Shareholder shall have the right to withdraw such Shareholder’s respective Registrable Securities from the Shelf Underwritten Offering at any time prior to the execution of an underwriting agreement with respect thereto by giving written notice to the Company of its request to withdraw;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request shall be made in writing prior to the earlier of the execution of the underwriting agreement or the execution of the custody agreement with respect to such registration, (ii) such withdrawal shall be irrevocable and, after making such withdrawal, such Shareholder shall no longer have any right to include Registrable Securities in the registration as to which such withdrawal was made and (iii) notwithstanding anything herein to the contrary, such Shareholder shall reimburse the Company for all outside legal and accounting fees and expenses incurred by the Company and reasonably allocable to such Shareholder in connection with such Shelf Underwritten Offering.</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Delay and Suspension Rights</w:t>
      </w:r>
      <w:r>
        <w:rPr>
          <w:rFonts w:ascii="Arial" w:cs="Arial" w:eastAsia="Arial" w:hAnsi="Arial"/>
          <w:sz w:val="17"/>
          <w:szCs w:val="17"/>
          <w:color w:val="auto"/>
        </w:rPr>
        <w:t>. Notwithstanding anything to the contrary contained in this Agreement, the Company shall be entitled, from time to time, by providing notice to the Shareholders who elected to participate in the Shelf Registration Statement, to require such Shareholders to suspend the use of the prospectus for sales of Registrable Securities under the Shelf Registration Statement for a reasonable period of time not to exceed 60 days in succession or 90 days in the aggregate in any 12 month period (a “</w:t>
      </w:r>
      <w:r>
        <w:rPr>
          <w:rFonts w:ascii="Arial" w:cs="Arial" w:eastAsia="Arial" w:hAnsi="Arial"/>
          <w:sz w:val="17"/>
          <w:szCs w:val="17"/>
          <w:u w:val="single" w:color="auto"/>
          <w:color w:val="auto"/>
        </w:rPr>
        <w:t>Suspension Period</w:t>
      </w:r>
      <w:r>
        <w:rPr>
          <w:rFonts w:ascii="Arial" w:cs="Arial" w:eastAsia="Arial" w:hAnsi="Arial"/>
          <w:sz w:val="17"/>
          <w:szCs w:val="17"/>
          <w:color w:val="auto"/>
        </w:rPr>
        <w:t>”) if the Board determines in good faith and in its reasonable judgment that it is required to disclose in the Shelf Registration Statement a financing, acquisition, corporate reorganization or other similar transaction or other material event or circumstance affecting the Company or its securities, and that the disclosure of such information at such time would be detrimental to the Company or the holders of its equity interests. Immediately upon receipt of such notice, the Shareholders covered by the Shelf Registration Statement shall suspend the use of the prospectus until the requisite changes to the prospectus have been made as required below. Any Suspension Period shall terminate at such time as the public disclosure of such information is made. After the expiration of any Suspension Period and without any further request from a Shareholder, the Company shall as promptly as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For the avoidance of doubt, any required registration pursuant to Section 2.2 and any Block Trade pursuant to Section 3.7 shall be subject to the limitations in this Section 3.3.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660"/>
        <w:spacing w:after="0"/>
        <w:tabs>
          <w:tab w:leader="none" w:pos="19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Participation in Underwritten Offerings</w:t>
      </w:r>
      <w:r>
        <w:rPr>
          <w:rFonts w:ascii="Arial" w:cs="Arial" w:eastAsia="Arial" w:hAnsi="Arial"/>
          <w:sz w:val="16"/>
          <w:szCs w:val="16"/>
          <w:color w:val="auto"/>
        </w:rPr>
        <w:t>.</w:t>
      </w:r>
    </w:p>
    <w:p>
      <w:pPr>
        <w:spacing w:after="0" w:line="218" w:lineRule="exact"/>
        <w:rPr>
          <w:sz w:val="20"/>
          <w:szCs w:val="20"/>
          <w:color w:val="auto"/>
        </w:rPr>
      </w:pPr>
    </w:p>
    <w:p>
      <w:pPr>
        <w:jc w:val="both"/>
        <w:ind w:firstLine="1304"/>
        <w:spacing w:after="0" w:line="277" w:lineRule="auto"/>
        <w:tabs>
          <w:tab w:leader="none" w:pos="2143"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In connection with any Underwritten Offering contemplated by </w:t>
      </w:r>
      <w:r>
        <w:rPr>
          <w:rFonts w:ascii="Arial" w:cs="Arial" w:eastAsia="Arial" w:hAnsi="Arial"/>
          <w:sz w:val="19"/>
          <w:szCs w:val="19"/>
          <w:u w:val="single" w:color="auto"/>
          <w:color w:val="auto"/>
        </w:rPr>
        <w:t>Section 3.2</w:t>
      </w:r>
      <w:r>
        <w:rPr>
          <w:rFonts w:ascii="Arial" w:cs="Arial" w:eastAsia="Arial" w:hAnsi="Arial"/>
          <w:sz w:val="19"/>
          <w:szCs w:val="19"/>
          <w:color w:val="auto"/>
        </w:rPr>
        <w:t>, the underwriting agreement into which such Shareholder and the Company shall enter into shall contain such representations, covenants, indemnities and other rights and obligations as are customary in Underwritten Offerings of securities by the Company, and the Company shall be entitled to designate counsel for the Underwriters. Such Shareholder shall not be required to make any representations or warranties to or agreements with the Company or the Underwriters other than representations, warranties or agreements regarding such Shareholder’s authority to enter into such underwriting agreement and to sell, and its ownership of, the securities being registered on its behalf, its intended method of distribution, and any other representation required by law.</w:t>
      </w:r>
    </w:p>
    <w:p>
      <w:pPr>
        <w:spacing w:after="0" w:line="178" w:lineRule="exact"/>
        <w:rPr>
          <w:rFonts w:ascii="Arial" w:cs="Arial" w:eastAsia="Arial" w:hAnsi="Arial"/>
          <w:sz w:val="19"/>
          <w:szCs w:val="19"/>
          <w:color w:val="auto"/>
        </w:rPr>
      </w:pPr>
    </w:p>
    <w:p>
      <w:pPr>
        <w:jc w:val="both"/>
        <w:ind w:firstLine="1304"/>
        <w:spacing w:after="0" w:line="279" w:lineRule="auto"/>
        <w:tabs>
          <w:tab w:leader="none" w:pos="2277"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If requested by any Underwriter, and so long as a Shareholder beneficially owns at least 5% of the Common Stock, such Shareholder agrees, and shall cause any directors, officers and Affiliates of such Shareholder to agree to be bound by reasonable and customary “lock-up” agreements with such Underwriters restricting the ability to dispose of the Common Stock for the period of time requested by the Underwriter;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period shall in no event exceed any such period that applies to a director or “executive officer” (as defined under Section 16 of the Exchange Act) or any other shareholder of the Company with respect to such Underwritten Offering and shall in no event exceed 60 days.</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Registration Procedures</w:t>
      </w:r>
      <w:r>
        <w:rPr>
          <w:rFonts w:ascii="Arial" w:cs="Arial" w:eastAsia="Arial" w:hAnsi="Arial"/>
          <w:sz w:val="16"/>
          <w:szCs w:val="16"/>
          <w:color w:val="auto"/>
        </w:rPr>
        <w:t>.</w:t>
      </w:r>
    </w:p>
    <w:p>
      <w:pPr>
        <w:spacing w:after="0" w:line="218" w:lineRule="exact"/>
        <w:rPr>
          <w:sz w:val="20"/>
          <w:szCs w:val="20"/>
          <w:color w:val="auto"/>
        </w:rPr>
      </w:pPr>
    </w:p>
    <w:p>
      <w:pPr>
        <w:ind w:firstLine="1304"/>
        <w:spacing w:after="0" w:line="274" w:lineRule="auto"/>
        <w:tabs>
          <w:tab w:leader="none" w:pos="2184"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 connection with its obligations under this Article III, the Company will take all reasonably necessary action to facilitate and effect the transactions contemplated thereby, including, but not limited to, the following:</w:t>
      </w:r>
    </w:p>
    <w:p>
      <w:pPr>
        <w:spacing w:after="0" w:line="177" w:lineRule="exact"/>
        <w:rPr>
          <w:rFonts w:ascii="Arial" w:cs="Arial" w:eastAsia="Arial" w:hAnsi="Arial"/>
          <w:sz w:val="21"/>
          <w:szCs w:val="21"/>
          <w:color w:val="auto"/>
        </w:rPr>
      </w:pPr>
    </w:p>
    <w:p>
      <w:pPr>
        <w:jc w:val="both"/>
        <w:ind w:left="660" w:firstLine="1292"/>
        <w:spacing w:after="0" w:line="282" w:lineRule="auto"/>
        <w:tabs>
          <w:tab w:leader="none" w:pos="2902" w:val="left"/>
        </w:tabs>
        <w:numPr>
          <w:ilvl w:val="1"/>
          <w:numId w:val="22"/>
        </w:numPr>
        <w:rPr>
          <w:rFonts w:ascii="Arial" w:cs="Arial" w:eastAsia="Arial" w:hAnsi="Arial"/>
          <w:sz w:val="19"/>
          <w:szCs w:val="19"/>
          <w:color w:val="auto"/>
        </w:rPr>
      </w:pPr>
      <w:r>
        <w:rPr>
          <w:rFonts w:ascii="Arial" w:cs="Arial" w:eastAsia="Arial" w:hAnsi="Arial"/>
          <w:sz w:val="19"/>
          <w:szCs w:val="19"/>
          <w:color w:val="auto"/>
        </w:rPr>
        <w:t>promptly prepare and file with the Commission such amendments and supplements to such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such Shareholder thereof set forth in such Registration Statement;</w:t>
      </w:r>
    </w:p>
    <w:p>
      <w:pPr>
        <w:spacing w:after="0" w:line="174" w:lineRule="exact"/>
        <w:rPr>
          <w:rFonts w:ascii="Arial" w:cs="Arial" w:eastAsia="Arial" w:hAnsi="Arial"/>
          <w:sz w:val="19"/>
          <w:szCs w:val="19"/>
          <w:color w:val="auto"/>
        </w:rPr>
      </w:pPr>
    </w:p>
    <w:p>
      <w:pPr>
        <w:jc w:val="both"/>
        <w:ind w:left="660" w:firstLine="1292"/>
        <w:spacing w:after="0" w:line="235" w:lineRule="auto"/>
        <w:tabs>
          <w:tab w:leader="none" w:pos="2571" w:val="left"/>
        </w:tabs>
        <w:numPr>
          <w:ilvl w:val="1"/>
          <w:numId w:val="22"/>
        </w:numPr>
        <w:rPr>
          <w:rFonts w:ascii="Arial" w:cs="Arial" w:eastAsia="Arial" w:hAnsi="Arial"/>
          <w:sz w:val="22"/>
          <w:szCs w:val="22"/>
          <w:color w:val="auto"/>
        </w:rPr>
      </w:pPr>
      <w:r>
        <w:rPr>
          <w:rFonts w:ascii="Arial" w:cs="Arial" w:eastAsia="Arial" w:hAnsi="Arial"/>
          <w:sz w:val="22"/>
          <w:szCs w:val="22"/>
          <w:color w:val="auto"/>
        </w:rPr>
        <w:t>furnish to such Shareholder, without charge, such number of conformed copies of such Registration Statement and of each such amendment and supplement thereto (in each case including, without limitation, all exhibits), such number of copies of the prospectus contained in such Registration Statement (including without limitation each preliminary prospectus and any summary prospectus) and any other prospectus filed under Rule 424 under the Securities Act, in conformity with the requirements of the Securities Act, and such other documents, as such Shareholder may reasonably request;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left="-460" w:firstLine="1292"/>
        <w:spacing w:after="0" w:line="275" w:lineRule="auto"/>
        <w:tabs>
          <w:tab w:leader="none" w:pos="1457"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applicable, use its commercially reasonable efforts to register or qualify all Registrable Securities and other securities covered by such Registration Statement under such other securities or blue sky laws of such jurisdictions as such Shareholder thereof shall reasonably request, to keep such registration or qualification in effect for so long as such Registration Statement remains in effect, and to take any other action which may be reasonably necessary or advisable to enable such Shareholder to consummate the disposition in such jurisdictions of the securities owned by such Shareholder, except that the Company shall not for any such purpose be required to qualify generally to do business as a foreign corporation in any jurisdiction wherein it would not but for the requirements of this clause (iii) be obligated to be so qualified or to consent to general service of process in any such jurisdiction;</w:t>
      </w:r>
    </w:p>
    <w:p>
      <w:pPr>
        <w:spacing w:after="0" w:line="184" w:lineRule="exact"/>
        <w:rPr>
          <w:rFonts w:ascii="Arial" w:cs="Arial" w:eastAsia="Arial" w:hAnsi="Arial"/>
          <w:sz w:val="19"/>
          <w:szCs w:val="19"/>
          <w:color w:val="auto"/>
        </w:rPr>
      </w:pPr>
    </w:p>
    <w:p>
      <w:pPr>
        <w:ind w:left="-460" w:firstLine="1292"/>
        <w:spacing w:after="0" w:line="328" w:lineRule="auto"/>
        <w:tabs>
          <w:tab w:leader="none" w:pos="1553" w:val="left"/>
        </w:tabs>
        <w:numPr>
          <w:ilvl w:val="0"/>
          <w:numId w:val="23"/>
        </w:numPr>
        <w:rPr>
          <w:rFonts w:ascii="Arial" w:cs="Arial" w:eastAsia="Arial" w:hAnsi="Arial"/>
          <w:sz w:val="19"/>
          <w:szCs w:val="19"/>
          <w:color w:val="auto"/>
        </w:rPr>
      </w:pPr>
      <w:r>
        <w:rPr>
          <w:rFonts w:ascii="Arial" w:cs="Arial" w:eastAsia="Arial" w:hAnsi="Arial"/>
          <w:sz w:val="19"/>
          <w:szCs w:val="19"/>
          <w:color w:val="auto"/>
        </w:rPr>
        <w:t>use its commercially reasonable efforts to provide to such Shareholder and any Underwriters any customary auditor “comfort” letters, legal opinions or reports of the Company relating to Company’s business;</w:t>
      </w:r>
    </w:p>
    <w:p>
      <w:pPr>
        <w:spacing w:after="0" w:line="131" w:lineRule="exact"/>
        <w:rPr>
          <w:rFonts w:ascii="Arial" w:cs="Arial" w:eastAsia="Arial" w:hAnsi="Arial"/>
          <w:sz w:val="19"/>
          <w:szCs w:val="19"/>
          <w:color w:val="auto"/>
        </w:rPr>
      </w:pPr>
    </w:p>
    <w:p>
      <w:pPr>
        <w:jc w:val="both"/>
        <w:ind w:left="-460" w:firstLine="1292"/>
        <w:spacing w:after="0" w:line="244" w:lineRule="auto"/>
        <w:tabs>
          <w:tab w:leader="none" w:pos="1479" w:val="left"/>
        </w:tabs>
        <w:numPr>
          <w:ilvl w:val="0"/>
          <w:numId w:val="23"/>
        </w:numPr>
        <w:rPr>
          <w:rFonts w:ascii="Arial" w:cs="Arial" w:eastAsia="Arial" w:hAnsi="Arial"/>
          <w:sz w:val="21"/>
          <w:szCs w:val="21"/>
          <w:color w:val="auto"/>
        </w:rPr>
      </w:pPr>
      <w:r>
        <w:rPr>
          <w:rFonts w:ascii="Arial" w:cs="Arial" w:eastAsia="Arial" w:hAnsi="Arial"/>
          <w:sz w:val="21"/>
          <w:szCs w:val="21"/>
          <w:color w:val="auto"/>
        </w:rPr>
        <w:t>promptly notify such Shareholder,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promptly prepare and file or furnish to such Shareholder a reasonable number of copies of a supplement 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215" w:lineRule="exact"/>
        <w:rPr>
          <w:rFonts w:ascii="Arial" w:cs="Arial" w:eastAsia="Arial" w:hAnsi="Arial"/>
          <w:sz w:val="21"/>
          <w:szCs w:val="21"/>
          <w:color w:val="auto"/>
        </w:rPr>
      </w:pPr>
    </w:p>
    <w:p>
      <w:pPr>
        <w:jc w:val="both"/>
        <w:ind w:left="-460" w:firstLine="1292"/>
        <w:spacing w:after="0" w:line="287" w:lineRule="auto"/>
        <w:tabs>
          <w:tab w:leader="none" w:pos="1512" w:val="left"/>
        </w:tabs>
        <w:numPr>
          <w:ilvl w:val="0"/>
          <w:numId w:val="23"/>
        </w:numPr>
        <w:rPr>
          <w:rFonts w:ascii="Arial" w:cs="Arial" w:eastAsia="Arial" w:hAnsi="Arial"/>
          <w:sz w:val="19"/>
          <w:szCs w:val="19"/>
          <w:color w:val="auto"/>
        </w:rPr>
      </w:pPr>
      <w:r>
        <w:rPr>
          <w:rFonts w:ascii="Arial" w:cs="Arial" w:eastAsia="Arial" w:hAnsi="Arial"/>
          <w:sz w:val="19"/>
          <w:szCs w:val="19"/>
          <w:color w:val="auto"/>
        </w:rPr>
        <w:t>otherwise comply with all applicable rules and regulations of the Commission, and make available to its security holders, as soon as reasonably practicable, an earnings statement, which earnings statement shall satisfy the provisions of Section 11(a) of the Securities Act, and shall furnish to such Shareholder at least the Business Day prior to the filing thereof a copy of any amendment or supplement to such Registration Statement or prospectus;</w:t>
      </w:r>
    </w:p>
    <w:p>
      <w:pPr>
        <w:spacing w:after="0" w:line="169" w:lineRule="exact"/>
        <w:rPr>
          <w:rFonts w:ascii="Arial" w:cs="Arial" w:eastAsia="Arial" w:hAnsi="Arial"/>
          <w:sz w:val="19"/>
          <w:szCs w:val="19"/>
          <w:color w:val="auto"/>
        </w:rPr>
      </w:pPr>
    </w:p>
    <w:p>
      <w:pPr>
        <w:jc w:val="both"/>
        <w:ind w:left="-460" w:firstLine="1292"/>
        <w:spacing w:after="0"/>
        <w:tabs>
          <w:tab w:leader="none" w:pos="1613"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213" w:lineRule="exact"/>
        <w:rPr>
          <w:rFonts w:ascii="Arial" w:cs="Arial" w:eastAsia="Arial" w:hAnsi="Arial"/>
          <w:sz w:val="22"/>
          <w:szCs w:val="22"/>
          <w:color w:val="auto"/>
        </w:rPr>
      </w:pPr>
    </w:p>
    <w:p>
      <w:pPr>
        <w:jc w:val="both"/>
        <w:ind w:left="-460" w:firstLine="1292"/>
        <w:spacing w:after="0" w:line="272" w:lineRule="auto"/>
        <w:tabs>
          <w:tab w:leader="none" w:pos="1686"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connection with the preparation and filing of any Registration Statement or any sale of Registrable Securities in connection therewith, the Company will give such Shareholder, any Underwriters, and their respective counsel a reasonable opportunity to review and provide comments on such Registration Statement, each prospectus included therein or filed with the Commission, and each amendment thereof or supplement thereto (other than amendments or supplements that do not make any material change in the information related to the Company) (provided that the Company shall not file any such Registration Statement including Registrable Securities or an amendment thereto or any related prospectus or any supplement thereto to which such Shareholder or any Underwriter shall reasonably object in writing), and give each of them, together with any Underwriter, broker, dealer or sales agent involved therewith, such access to its books and records and such opportunities to discuss the business of the Company and its subsidiaries with its officers, its counsel, the independent public accountants who have certified its financial statements, in the opinion of such Shareholder’s and such Underwriters’ (or broker’s, dealer’s or sales agent’s, as the case may be) respective counsel, to conduct a reasonable due diligence investigation within the meaning of the Securities Act;</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7" w:name="page28"/>
    <w:bookmarkEnd w:id="27"/>
    <w:p>
      <w:pPr>
        <w:jc w:val="both"/>
        <w:ind w:left="4" w:firstLine="1292"/>
        <w:spacing w:after="0" w:line="238" w:lineRule="auto"/>
        <w:tabs>
          <w:tab w:leader="none" w:pos="2111" w:val="left"/>
        </w:tabs>
        <w:numPr>
          <w:ilvl w:val="1"/>
          <w:numId w:val="24"/>
        </w:numPr>
        <w:rPr>
          <w:rFonts w:ascii="Arial" w:cs="Arial" w:eastAsia="Arial" w:hAnsi="Arial"/>
          <w:sz w:val="22"/>
          <w:szCs w:val="22"/>
          <w:color w:val="auto"/>
        </w:rPr>
      </w:pPr>
      <w:r>
        <w:rPr>
          <w:rFonts w:ascii="Arial" w:cs="Arial" w:eastAsia="Arial" w:hAnsi="Arial"/>
          <w:sz w:val="22"/>
          <w:szCs w:val="22"/>
          <w:color w:val="auto"/>
        </w:rPr>
        <w:t>use its commercially reasonable efforts to prevent the issuance of any order suspending the effectiveness of the Registration Statement, and, if any such order suspending the effectiveness of such Registration Statement is issued, shall promptly use its commercially reasonable efforts to obtain the withdrawal of such order at the earliest possible moment;</w:t>
      </w:r>
    </w:p>
    <w:p>
      <w:pPr>
        <w:spacing w:after="0" w:line="212" w:lineRule="exact"/>
        <w:rPr>
          <w:rFonts w:ascii="Arial" w:cs="Arial" w:eastAsia="Arial" w:hAnsi="Arial"/>
          <w:sz w:val="22"/>
          <w:szCs w:val="22"/>
          <w:color w:val="auto"/>
        </w:rPr>
      </w:pPr>
    </w:p>
    <w:p>
      <w:pPr>
        <w:jc w:val="both"/>
        <w:ind w:left="4" w:firstLine="1292"/>
        <w:spacing w:after="0" w:line="276" w:lineRule="auto"/>
        <w:tabs>
          <w:tab w:leader="none" w:pos="2227" w:val="left"/>
        </w:tabs>
        <w:numPr>
          <w:ilvl w:val="1"/>
          <w:numId w:val="24"/>
        </w:numPr>
        <w:rPr>
          <w:rFonts w:ascii="Arial" w:cs="Arial" w:eastAsia="Arial" w:hAnsi="Arial"/>
          <w:sz w:val="19"/>
          <w:szCs w:val="19"/>
          <w:color w:val="auto"/>
        </w:rPr>
      </w:pPr>
      <w:r>
        <w:rPr>
          <w:rFonts w:ascii="Arial" w:cs="Arial" w:eastAsia="Arial" w:hAnsi="Arial"/>
          <w:sz w:val="19"/>
          <w:szCs w:val="19"/>
          <w:color w:val="auto"/>
        </w:rPr>
        <w:t>promptly notify such Shareholder (i) of the issuance by the Commission of any stop order suspending the effectiveness of the Registration Statement or the initiation or threat of any proceedings for that purpose,</w:t>
      </w:r>
    </w:p>
    <w:p>
      <w:pPr>
        <w:spacing w:after="0" w:line="1" w:lineRule="exact"/>
        <w:rPr>
          <w:rFonts w:ascii="Arial" w:cs="Arial" w:eastAsia="Arial" w:hAnsi="Arial"/>
          <w:sz w:val="19"/>
          <w:szCs w:val="19"/>
          <w:color w:val="auto"/>
        </w:rPr>
      </w:pPr>
    </w:p>
    <w:p>
      <w:pPr>
        <w:jc w:val="both"/>
        <w:ind w:left="4" w:hanging="4"/>
        <w:spacing w:after="0" w:line="233" w:lineRule="auto"/>
        <w:tabs>
          <w:tab w:leader="none" w:pos="322" w:val="left"/>
        </w:tabs>
        <w:numPr>
          <w:ilvl w:val="0"/>
          <w:numId w:val="25"/>
        </w:numPr>
        <w:rPr>
          <w:rFonts w:ascii="Arial" w:cs="Arial" w:eastAsia="Arial" w:hAnsi="Arial"/>
          <w:sz w:val="22"/>
          <w:szCs w:val="22"/>
          <w:color w:val="auto"/>
        </w:rPr>
      </w:pPr>
      <w:r>
        <w:rPr>
          <w:rFonts w:ascii="Arial" w:cs="Arial" w:eastAsia="Arial" w:hAnsi="Arial"/>
          <w:sz w:val="22"/>
          <w:szCs w:val="22"/>
          <w:color w:val="auto"/>
        </w:rPr>
        <w:t>of any delisting or pending delisting of the Common Stock by any national securities exchange or market on which the Common Stock are then listed or quoted, and (iii) of the receipt by the Company of any notification with respect to the suspension of the qualification of any Registrable Securities for sale under the securities or “blue sky” laws of any jurisdiction or the initiation of any proceeding for such purpose;</w:t>
      </w:r>
    </w:p>
    <w:p>
      <w:pPr>
        <w:spacing w:after="0" w:line="214" w:lineRule="exact"/>
        <w:rPr>
          <w:rFonts w:ascii="Arial" w:cs="Arial" w:eastAsia="Arial" w:hAnsi="Arial"/>
          <w:sz w:val="22"/>
          <w:szCs w:val="22"/>
          <w:color w:val="auto"/>
        </w:rPr>
      </w:pPr>
    </w:p>
    <w:p>
      <w:pPr>
        <w:ind w:left="4" w:right="20" w:firstLine="1292"/>
        <w:spacing w:after="0" w:line="250" w:lineRule="auto"/>
        <w:tabs>
          <w:tab w:leader="none" w:pos="2192" w:val="left"/>
        </w:tabs>
        <w:numPr>
          <w:ilvl w:val="1"/>
          <w:numId w:val="25"/>
        </w:numPr>
        <w:rPr>
          <w:rFonts w:ascii="Arial" w:cs="Arial" w:eastAsia="Arial" w:hAnsi="Arial"/>
          <w:sz w:val="22"/>
          <w:szCs w:val="22"/>
          <w:color w:val="auto"/>
        </w:rPr>
      </w:pPr>
      <w:r>
        <w:rPr>
          <w:rFonts w:ascii="Arial" w:cs="Arial" w:eastAsia="Arial" w:hAnsi="Arial"/>
          <w:sz w:val="22"/>
          <w:szCs w:val="22"/>
          <w:color w:val="auto"/>
        </w:rPr>
        <w:t>cause all Registrable Securities covered by such Registration Statement to be listed on any securities exchange on which the Common Stock is then listed;</w:t>
      </w:r>
    </w:p>
    <w:p>
      <w:pPr>
        <w:spacing w:after="0" w:line="201" w:lineRule="exact"/>
        <w:rPr>
          <w:rFonts w:ascii="Arial" w:cs="Arial" w:eastAsia="Arial" w:hAnsi="Arial"/>
          <w:sz w:val="22"/>
          <w:szCs w:val="22"/>
          <w:color w:val="auto"/>
        </w:rPr>
      </w:pPr>
    </w:p>
    <w:p>
      <w:pPr>
        <w:jc w:val="both"/>
        <w:ind w:left="4" w:firstLine="1292"/>
        <w:spacing w:after="0" w:line="282" w:lineRule="auto"/>
        <w:tabs>
          <w:tab w:leader="none" w:pos="1928"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use its commercially reasonable efforts to maintain the listing of the Common Stock on Nasdaq or other securities exchange, and following the listing of all Registrable Securities on Nasdaq or other securities exchange, use its commercially reasonable efforts to maintain the listing of such Registrable Securities on Nasdaq or other securities exchange until each Shareholder has sold all of its Registrable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Company from consummating a transaction in which the Common Stock ceases to be listed on a securities exchange;</w:t>
      </w:r>
    </w:p>
    <w:p>
      <w:pPr>
        <w:spacing w:after="0" w:line="174" w:lineRule="exact"/>
        <w:rPr>
          <w:rFonts w:ascii="Arial" w:cs="Arial" w:eastAsia="Arial" w:hAnsi="Arial"/>
          <w:sz w:val="19"/>
          <w:szCs w:val="19"/>
          <w:color w:val="auto"/>
        </w:rPr>
      </w:pPr>
    </w:p>
    <w:p>
      <w:pPr>
        <w:jc w:val="both"/>
        <w:ind w:left="4" w:firstLine="1292"/>
        <w:spacing w:after="0" w:line="257" w:lineRule="auto"/>
        <w:tabs>
          <w:tab w:leader="none" w:pos="1948" w:val="left"/>
        </w:tabs>
        <w:numPr>
          <w:ilvl w:val="1"/>
          <w:numId w:val="25"/>
        </w:numPr>
        <w:rPr>
          <w:rFonts w:ascii="Arial" w:cs="Arial" w:eastAsia="Arial" w:hAnsi="Arial"/>
          <w:sz w:val="21"/>
          <w:szCs w:val="21"/>
          <w:color w:val="auto"/>
        </w:rPr>
      </w:pPr>
      <w:r>
        <w:rPr>
          <w:rFonts w:ascii="Arial" w:cs="Arial" w:eastAsia="Arial" w:hAnsi="Arial"/>
          <w:sz w:val="21"/>
          <w:szCs w:val="21"/>
          <w:color w:val="auto"/>
        </w:rPr>
        <w:t>cooperate with each Shareholder and each underwriter or agent participating in the disposition of the Registrable Securities and their respective counsel in connection with any filings required to be made with FINRA and in performance of any FINRA-related due diligence investigations by any Underwriter;</w:t>
      </w:r>
    </w:p>
    <w:p>
      <w:pPr>
        <w:spacing w:after="0" w:line="196" w:lineRule="exact"/>
        <w:rPr>
          <w:rFonts w:ascii="Arial" w:cs="Arial" w:eastAsia="Arial" w:hAnsi="Arial"/>
          <w:sz w:val="21"/>
          <w:szCs w:val="21"/>
          <w:color w:val="auto"/>
        </w:rPr>
      </w:pPr>
    </w:p>
    <w:p>
      <w:pPr>
        <w:jc w:val="both"/>
        <w:ind w:left="4" w:firstLine="1292"/>
        <w:spacing w:after="0" w:line="235" w:lineRule="auto"/>
        <w:tabs>
          <w:tab w:leader="none" w:pos="1990"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enter into such customary agreements, including but not limited to lock-up agreements by the Company (and, if reasonably requested by the Managing Underwriter(s), the Company’s directors and “executive officers” (as defined under Section 16 of the Exchange Act)) that extend through 60 days following the entrance into the corresponding underwriting agreement or such shorter period pursuant to </w:t>
      </w:r>
      <w:r>
        <w:rPr>
          <w:rFonts w:ascii="Arial" w:cs="Arial" w:eastAsia="Arial" w:hAnsi="Arial"/>
          <w:sz w:val="22"/>
          <w:szCs w:val="22"/>
          <w:u w:val="single" w:color="auto"/>
          <w:color w:val="auto"/>
        </w:rPr>
        <w:t>Section 3.4(b)</w:t>
      </w:r>
      <w:r>
        <w:rPr>
          <w:rFonts w:ascii="Arial" w:cs="Arial" w:eastAsia="Arial" w:hAnsi="Arial"/>
          <w:sz w:val="22"/>
          <w:szCs w:val="22"/>
          <w:color w:val="auto"/>
        </w:rPr>
        <w:t>, and to take such other actions as such Shareholder shall reasonably request in order to expedite or facilitate the disposition of such Registrable Securities; and</w:t>
      </w:r>
    </w:p>
    <w:p>
      <w:pPr>
        <w:spacing w:after="0" w:line="39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28" w:name="page29"/>
    <w:bookmarkEnd w:id="28"/>
    <w:p>
      <w:pPr>
        <w:jc w:val="both"/>
        <w:ind w:left="660" w:firstLine="1292"/>
        <w:spacing w:after="0" w:line="287" w:lineRule="auto"/>
        <w:tabs>
          <w:tab w:leader="none" w:pos="2748"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cause its officers to use their commercially reasonable efforts to support the marketing of the Registrable Securities covered by the Registration Statement (including, without limitation, participation in electronic or telephonic “road shows”);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in no event shall the officers of the Company be required to participate in more than two “road shows” in the aggregate under this Agreement.</w:t>
      </w:r>
    </w:p>
    <w:p>
      <w:pPr>
        <w:spacing w:after="0" w:line="170" w:lineRule="exact"/>
        <w:rPr>
          <w:rFonts w:ascii="Arial" w:cs="Arial" w:eastAsia="Arial" w:hAnsi="Arial"/>
          <w:sz w:val="19"/>
          <w:szCs w:val="19"/>
          <w:color w:val="auto"/>
        </w:rPr>
      </w:pPr>
    </w:p>
    <w:p>
      <w:pPr>
        <w:jc w:val="both"/>
        <w:ind w:firstLine="1304"/>
        <w:spacing w:after="0" w:line="275" w:lineRule="auto"/>
        <w:tabs>
          <w:tab w:leader="none" w:pos="2101"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Shareholders agree by acquisition of such Registrable Securities that upon receipt of any notice from the Company of the happening of any event of the kind described in </w:t>
      </w:r>
      <w:r>
        <w:rPr>
          <w:rFonts w:ascii="Arial" w:cs="Arial" w:eastAsia="Arial" w:hAnsi="Arial"/>
          <w:sz w:val="19"/>
          <w:szCs w:val="19"/>
          <w:u w:val="single" w:color="auto"/>
          <w:color w:val="auto"/>
        </w:rPr>
        <w:t>Section 3.5(a)(v)</w:t>
      </w:r>
      <w:r>
        <w:rPr>
          <w:rFonts w:ascii="Arial" w:cs="Arial" w:eastAsia="Arial" w:hAnsi="Arial"/>
          <w:sz w:val="19"/>
          <w:szCs w:val="19"/>
          <w:color w:val="auto"/>
        </w:rPr>
        <w:t xml:space="preserve">, the Shareholders will forthwith discontinue such Shareholder’s disposition of Registrable Securities pursuant to the Registration Statement until the Shareholder’s receipt of the copies of the supplemented or amended prospectus contemplated by </w:t>
      </w:r>
      <w:r>
        <w:rPr>
          <w:rFonts w:ascii="Arial" w:cs="Arial" w:eastAsia="Arial" w:hAnsi="Arial"/>
          <w:sz w:val="19"/>
          <w:szCs w:val="19"/>
          <w:u w:val="single" w:color="auto"/>
          <w:color w:val="auto"/>
        </w:rPr>
        <w:t>Section 3.5(a)(v)</w:t>
      </w:r>
      <w:r>
        <w:rPr>
          <w:rFonts w:ascii="Arial" w:cs="Arial" w:eastAsia="Arial" w:hAnsi="Arial"/>
          <w:sz w:val="19"/>
          <w:szCs w:val="19"/>
          <w:color w:val="auto"/>
        </w:rPr>
        <w:t xml:space="preserve"> as filed with the Commission or until it is advised in writing by the Company that the use of such Registration Statement may be resumed, and, if so directed by the Company, will deliver to the Company (at the Company’s expense) all copies, other than permanent file copies, then in such Shareholder’s possession of the prospectus relating to such Registrable Securities current at the time of receipt of such notice. The Company may provide appropriate stop orders to enforce the provisions of this </w:t>
      </w:r>
      <w:r>
        <w:rPr>
          <w:rFonts w:ascii="Arial" w:cs="Arial" w:eastAsia="Arial" w:hAnsi="Arial"/>
          <w:sz w:val="19"/>
          <w:szCs w:val="19"/>
          <w:u w:val="single" w:color="auto"/>
          <w:color w:val="auto"/>
        </w:rPr>
        <w:t>Section 3.5(b)</w:t>
      </w:r>
      <w:r>
        <w:rPr>
          <w:rFonts w:ascii="Arial" w:cs="Arial" w:eastAsia="Arial" w:hAnsi="Arial"/>
          <w:sz w:val="19"/>
          <w:szCs w:val="19"/>
          <w:color w:val="auto"/>
        </w:rPr>
        <w: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Cooperation by the Shareholders</w:t>
      </w:r>
      <w:r>
        <w:rPr>
          <w:rFonts w:ascii="Arial" w:cs="Arial" w:eastAsia="Arial" w:hAnsi="Arial"/>
          <w:sz w:val="18"/>
          <w:szCs w:val="18"/>
          <w:color w:val="auto"/>
        </w:rPr>
        <w:t>. The Company shall have no obligation to include Registrable Securities of each Shareholder in any Registration Statement or Underwritten Offering if such Shareholder has failed to timely furnish such information as the Company may, from time to time, reasonably request in writing regarding the Shareholders and the distribution of such Registrable Securities that the Company determines, after consultation with its counsel, is reasonably required in order for any Registration Statement or prospectus supplement, as applicable, to comply with the Securities Act.</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245" w:lineRule="exact"/>
        <w:rPr>
          <w:sz w:val="20"/>
          <w:szCs w:val="20"/>
          <w:color w:val="auto"/>
        </w:rPr>
      </w:pPr>
    </w:p>
    <w:p>
      <w:pPr>
        <w:jc w:val="both"/>
        <w:ind w:firstLine="1304"/>
        <w:spacing w:after="0" w:line="277" w:lineRule="auto"/>
        <w:tabs>
          <w:tab w:leader="none" w:pos="2184"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only after the Lock-Up Period, at any time and from time to time when an effective Shelf Registration Statement is on file with the SEC, if a Shareholder wishes to engage in a Block Trade, then such Shareholder only needs to provide written notice to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Shareholder shall use commercially reasonable efforts to work with the Company and any Underwriters prior to making such request in order to facilitate preparation of the registration statement, prospectus and other offering documentation related to the Block Trade.</w:t>
      </w:r>
    </w:p>
    <w:p>
      <w:pPr>
        <w:spacing w:after="0" w:line="178" w:lineRule="exact"/>
        <w:rPr>
          <w:rFonts w:ascii="Arial" w:cs="Arial" w:eastAsia="Arial" w:hAnsi="Arial"/>
          <w:sz w:val="19"/>
          <w:szCs w:val="19"/>
          <w:color w:val="auto"/>
        </w:rPr>
      </w:pPr>
    </w:p>
    <w:p>
      <w:pPr>
        <w:jc w:val="both"/>
        <w:ind w:firstLine="1304"/>
        <w:spacing w:after="0" w:line="235" w:lineRule="auto"/>
        <w:tabs>
          <w:tab w:leader="none" w:pos="2101" w:val="left"/>
        </w:tabs>
        <w:numPr>
          <w:ilvl w:val="0"/>
          <w:numId w:val="28"/>
        </w:numPr>
        <w:rPr>
          <w:rFonts w:ascii="Arial" w:cs="Arial" w:eastAsia="Arial" w:hAnsi="Arial"/>
          <w:sz w:val="22"/>
          <w:szCs w:val="22"/>
          <w:color w:val="auto"/>
        </w:rPr>
      </w:pPr>
      <w:r>
        <w:rPr>
          <w:rFonts w:ascii="Arial" w:cs="Arial" w:eastAsia="Arial" w:hAnsi="Arial"/>
          <w:sz w:val="22"/>
          <w:szCs w:val="22"/>
          <w:color w:val="auto"/>
        </w:rPr>
        <w:t>Prior to the filing of the applicable “red herring” prospectus or prospectus supplement used in connection with a Block Trade, such Shareholder shall have the right to submit a written notice to the Company and the Underwriter or Underwriters (if any) of its intention to withdraw from such Block Trade. Notwithstanding anything to the contrary in this Agreement, such Shareholder shall reimburse the Company for any outside legal and accounting expenses incurred by the Company and reasonably allocable to such Shareholder in connection with such Block Trade and prior to its withdrawal under this Section 3.7(b).</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firstLine="1304"/>
        <w:spacing w:after="0"/>
        <w:tabs>
          <w:tab w:leader="none" w:pos="213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The holders of a majority of the shares of Common Stock to be included in such Block Trade shall have the right to select the Underwriters;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Underwriters shall be reasonably acceptable to the Company. The Company shall have the right to designate counsel for the Underwriters for such Block Trade.</w:t>
      </w:r>
    </w:p>
    <w:p>
      <w:pPr>
        <w:spacing w:after="0" w:line="213" w:lineRule="exact"/>
        <w:rPr>
          <w:rFonts w:ascii="Arial" w:cs="Arial" w:eastAsia="Arial" w:hAnsi="Arial"/>
          <w:sz w:val="22"/>
          <w:szCs w:val="22"/>
          <w:color w:val="auto"/>
        </w:rPr>
      </w:pPr>
    </w:p>
    <w:p>
      <w:pPr>
        <w:ind w:firstLine="1304"/>
        <w:spacing w:after="0" w:line="250" w:lineRule="auto"/>
        <w:tabs>
          <w:tab w:leader="none" w:pos="21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For the avoidance of doubt, Block Trades shall be subject to the limitations and requirements set forth in the other provisions of this Article III that are applicable to Underwritten Shelf Offerings.</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provided herein, the Company shall be responsible for all Registration Expenses incident to its performance of or compliance with its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Each Shareholder shall pay its pro rata share of the Selling Expenses in connection with any sale of its Registrable Securities hereunder.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RULE 144</w:t>
      </w:r>
    </w:p>
    <w:p>
      <w:pPr>
        <w:spacing w:after="0" w:line="1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Rule 144</w:t>
      </w:r>
      <w:r>
        <w:rPr>
          <w:rFonts w:ascii="Arial" w:cs="Arial" w:eastAsia="Arial" w:hAnsi="Arial"/>
          <w:sz w:val="16"/>
          <w:szCs w:val="16"/>
          <w:color w:val="auto"/>
        </w:rPr>
        <w:t>.</w:t>
      </w:r>
    </w:p>
    <w:p>
      <w:pPr>
        <w:spacing w:after="0" w:line="202" w:lineRule="exact"/>
        <w:rPr>
          <w:sz w:val="20"/>
          <w:szCs w:val="20"/>
          <w:color w:val="auto"/>
        </w:rPr>
      </w:pPr>
    </w:p>
    <w:p>
      <w:pPr>
        <w:jc w:val="both"/>
        <w:ind w:right="20" w:firstLine="1304"/>
        <w:spacing w:after="0"/>
        <w:tabs>
          <w:tab w:leader="none" w:pos="2089" w:val="left"/>
        </w:tabs>
        <w:numPr>
          <w:ilvl w:val="0"/>
          <w:numId w:val="30"/>
        </w:numPr>
        <w:rPr>
          <w:rFonts w:ascii="Arial" w:cs="Arial" w:eastAsia="Arial" w:hAnsi="Arial"/>
          <w:sz w:val="22"/>
          <w:szCs w:val="22"/>
          <w:color w:val="auto"/>
        </w:rPr>
      </w:pPr>
      <w:r>
        <w:rPr>
          <w:rFonts w:ascii="Arial" w:cs="Arial" w:eastAsia="Arial" w:hAnsi="Arial"/>
          <w:sz w:val="22"/>
          <w:szCs w:val="22"/>
          <w:color w:val="auto"/>
        </w:rPr>
        <w:t>With a view to making available the benefits of certain rules and regulations of the Commission that may permit the resale of the Registrable Securities without registration, for so long as each Shareholder holds Registrable Securities, the Company agrees to use its commercially reasonable efforts to:</w:t>
      </w:r>
    </w:p>
    <w:p>
      <w:pPr>
        <w:spacing w:after="0" w:line="213" w:lineRule="exact"/>
        <w:rPr>
          <w:rFonts w:ascii="Arial" w:cs="Arial" w:eastAsia="Arial" w:hAnsi="Arial"/>
          <w:sz w:val="22"/>
          <w:szCs w:val="22"/>
          <w:color w:val="auto"/>
        </w:rPr>
      </w:pPr>
    </w:p>
    <w:p>
      <w:pPr>
        <w:ind w:left="660" w:firstLine="1292"/>
        <w:spacing w:after="0" w:line="250" w:lineRule="auto"/>
        <w:tabs>
          <w:tab w:leader="none" w:pos="2619" w:val="left"/>
        </w:tabs>
        <w:numPr>
          <w:ilvl w:val="1"/>
          <w:numId w:val="30"/>
        </w:numPr>
        <w:rPr>
          <w:rFonts w:ascii="Arial" w:cs="Arial" w:eastAsia="Arial" w:hAnsi="Arial"/>
          <w:sz w:val="22"/>
          <w:szCs w:val="22"/>
          <w:color w:val="auto"/>
        </w:rPr>
      </w:pPr>
      <w:r>
        <w:rPr>
          <w:rFonts w:ascii="Arial" w:cs="Arial" w:eastAsia="Arial" w:hAnsi="Arial"/>
          <w:sz w:val="22"/>
          <w:szCs w:val="22"/>
          <w:color w:val="auto"/>
        </w:rPr>
        <w:t>make and keep public information regarding the Company available, as those terms are understood and defined in Rule 144 under the Securities Act, at all times from and after the date hereof;</w:t>
      </w:r>
    </w:p>
    <w:p>
      <w:pPr>
        <w:spacing w:after="0" w:line="201" w:lineRule="exact"/>
        <w:rPr>
          <w:rFonts w:ascii="Arial" w:cs="Arial" w:eastAsia="Arial" w:hAnsi="Arial"/>
          <w:sz w:val="22"/>
          <w:szCs w:val="22"/>
          <w:color w:val="auto"/>
        </w:rPr>
      </w:pPr>
    </w:p>
    <w:p>
      <w:pPr>
        <w:ind w:left="660" w:right="20" w:firstLine="1292"/>
        <w:spacing w:after="0" w:line="274" w:lineRule="auto"/>
        <w:tabs>
          <w:tab w:leader="none" w:pos="2800" w:val="left"/>
        </w:tabs>
        <w:numPr>
          <w:ilvl w:val="1"/>
          <w:numId w:val="30"/>
        </w:numPr>
        <w:rPr>
          <w:rFonts w:ascii="Arial" w:cs="Arial" w:eastAsia="Arial" w:hAnsi="Arial"/>
          <w:sz w:val="21"/>
          <w:szCs w:val="21"/>
          <w:color w:val="auto"/>
        </w:rPr>
      </w:pPr>
      <w:r>
        <w:rPr>
          <w:rFonts w:ascii="Arial" w:cs="Arial" w:eastAsia="Arial" w:hAnsi="Arial"/>
          <w:sz w:val="21"/>
          <w:szCs w:val="21"/>
          <w:color w:val="auto"/>
        </w:rPr>
        <w:t>file with the Commission in a timely manner all reports and other documents required of the Company under the Securities Act and the Exchange Act at all times from and after the date hereof; and</w:t>
      </w:r>
    </w:p>
    <w:p>
      <w:pPr>
        <w:spacing w:after="0" w:line="177" w:lineRule="exact"/>
        <w:rPr>
          <w:rFonts w:ascii="Arial" w:cs="Arial" w:eastAsia="Arial" w:hAnsi="Arial"/>
          <w:sz w:val="21"/>
          <w:szCs w:val="21"/>
          <w:color w:val="auto"/>
        </w:rPr>
      </w:pPr>
    </w:p>
    <w:p>
      <w:pPr>
        <w:jc w:val="both"/>
        <w:ind w:left="660" w:firstLine="1292"/>
        <w:spacing w:after="0" w:line="235" w:lineRule="auto"/>
        <w:tabs>
          <w:tab w:leader="none" w:pos="2563" w:val="left"/>
        </w:tabs>
        <w:numPr>
          <w:ilvl w:val="1"/>
          <w:numId w:val="30"/>
        </w:numPr>
        <w:rPr>
          <w:rFonts w:ascii="Arial" w:cs="Arial" w:eastAsia="Arial" w:hAnsi="Arial"/>
          <w:sz w:val="22"/>
          <w:szCs w:val="22"/>
          <w:color w:val="auto"/>
        </w:rPr>
      </w:pPr>
      <w:r>
        <w:rPr>
          <w:rFonts w:ascii="Arial" w:cs="Arial" w:eastAsia="Arial" w:hAnsi="Arial"/>
          <w:sz w:val="22"/>
          <w:szCs w:val="22"/>
          <w:color w:val="auto"/>
        </w:rPr>
        <w:t>furnish (i) to the extent accurate, forthwith upon request, a written statement of the Company that it has complied with the reporting requirements of Rule 144 under the Securities Act and (ii) unless otherwise available via the Commission’s EDGAR filing system, to a Shareholder forthwith upon request a copy of the most recent annual or quarterly report of the Company, and such other reports and documents so filed as such Shareholder may reasonably request in availing itself of any rule or regulation of the Commission allowing such Shareholder to sell any such securities without registration.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ARTICLE V</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will indemnify and hold harmless each Shareholder, its officers, directors and agents and each Person (if any) that controls such Shareholder within the meaning of either Section 15 of the Securities Act or Section 20 of the Exchange Act from and against any and all losses, claims, damages, liabilities, costs (including costs of preparation and attorneys’ fees and any legal or other fees or expenses incurred by such Person in connection with any investigation or Proceeding), expenses, judgments, fines, penalties, charges and amounts paid in settlement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any filing made in connection with the qualifications of the offering under the securities or other blue sky laws of any jurisdiction in which Registrable Securities are offered, or any other offering document (including any related notification, or the like) incident to any such registration, qualification, or compliance, or based on any omission or alleged omission to state therein a material fact required to be stated therein or necessary to make the statements therein not misleading (in the case of any prospectus, in the light of the circumstances under which such statement is made), or any violation by the Company of this Agreement, the Securities Act or the Exchange Act, or any rule or regulation thereunder applicable to the Company and relating to action or inaction required of the Company in connection with any such registration, qualification, or compliance;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Shareholder expressly for use therein.</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Indemnification by the Shareholders</w:t>
      </w:r>
      <w:r>
        <w:rPr>
          <w:rFonts w:ascii="Arial" w:cs="Arial" w:eastAsia="Arial" w:hAnsi="Arial"/>
          <w:sz w:val="16"/>
          <w:szCs w:val="16"/>
          <w:color w:val="auto"/>
        </w:rPr>
        <w:t>. Each Shareholder agrees to, severally and not jointly, indemnify and hold harmless the Company, its officers, directors and agents and each Person (if any) that controls the Company within the meaning of either Section 15 of the Securities Act or Section 20 of the Exchange Act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contained in any information furnished in writing by or on behalf of such Shareholder to the Company expressly for use therein.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ind w:firstLine="648"/>
        <w:spacing w:after="0" w:line="267"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5.2</w:t>
      </w:r>
      <w:r>
        <w:rPr>
          <w:rFonts w:ascii="Arial" w:cs="Arial" w:eastAsia="Arial" w:hAnsi="Arial"/>
          <w:sz w:val="17"/>
          <w:szCs w:val="17"/>
          <w:color w:val="auto"/>
        </w:rPr>
        <w:t>, such Person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shall promptly notify the Person against whom such indemnity may be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(provided that the failure of the Indemnified Party to give notice as provided herein shall not relieve the Indemnifying Party of its obligations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except to the extent the Indemnifying Party is actually and materially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and documented costs of investigation;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Indemnifying Party fails to assume the defense or employ counsel reasonably satisfactory to the Indemnified Party, (ii) if such Indemnified Party who is a defendant in any action or Proceeding that is also brought against the Indemnifying Party reasonably shall have concluded that there may be one or more legal defenses available to such Indemnified Party that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concluded that there may be legal defenses available to such party or parties that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18" w:lineRule="exact"/>
        <w:rPr>
          <w:sz w:val="20"/>
          <w:szCs w:val="20"/>
          <w:color w:val="auto"/>
        </w:rPr>
      </w:pPr>
    </w:p>
    <w:p>
      <w:pPr>
        <w:jc w:val="both"/>
        <w:ind w:firstLine="1304"/>
        <w:spacing w:after="0" w:line="274" w:lineRule="auto"/>
        <w:tabs>
          <w:tab w:leader="none" w:pos="2157"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Shareholder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firstLine="1304"/>
        <w:spacing w:after="0" w:line="244" w:lineRule="auto"/>
        <w:tabs>
          <w:tab w:leader="none" w:pos="2115"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The Company and each Shareholder agree that it would not be just and equitable if contribution pursuant to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were determined by pro rata allocation or by any other method of allocation that does not take account of the equitable considerations referred to in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The amount paid or payable by an Indemnified Party as a result of the losses, claims, damages or liabilities referred to in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neither Shareholder shall be liable for indemnification or contribution pursuant to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for any amount in excess of the net proceeds of the offering received by such Shareholder, less the amount of any damages that such Shareholder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TRANSFER OR ASSIGNMENT OF RIGHTS</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The rights to cause the Company to register Registrable Securities under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this Agreement may be transferred or assigned by each Shareholder to no more than one Transferee of Registrable Securities and only if such Transferee is a Permitted Transferee;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Transferee shall be required to coordinate with and exercise any rights hereunder through such Shareholder who transferred such rights and (ii) any notices to or from the Company under this Agreement shall be provided by or to the Shareholder who transferred such rights (and not the Transferee).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(except with respect to the rights and obligations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which shall not be terminable) shall terminate as to a Shareholder upon the earliest to occur of (a) such Shareholder ceasing to own any Registrable Securities or (b) the mutual written consent of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Article V and Article VIII shall survive any termination of this Agreement.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Adjustments Affecting Registrable Securities</w:t>
      </w:r>
      <w:r>
        <w:rPr>
          <w:rFonts w:ascii="Arial" w:cs="Arial" w:eastAsia="Arial" w:hAnsi="Arial"/>
          <w:sz w:val="18"/>
          <w:szCs w:val="18"/>
          <w:color w:val="auto"/>
        </w:rPr>
        <w:t>. The provisions of this Agreement shall apply to any and all shares of capital stock of the Company or any successor or assignee of the Company (whether by merger, consolidation, sale of assets or otherwise) that may be issued in respect of, in exchange for or in substitution for the Registrable Securities,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ind w:firstLine="648"/>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personally delivered, sent by nationally recognized overnight courier, mailed by registered or certified mail or be sent by facsimile or electronic mail to such party at the address set forth below (or such other address as shall be specified by like notice). Notices will be deemed to have been duly given hereunder if (a) personally delivered, when received, (b) sent by nationally recognized overnight courier, one business day after deposit with the nationally recognized overnight courier, (c) mailed by registered or certified mail, five business days after the date on which it is so mailed, and (d) sent by facsimile or electronic mail, on the date sent so long as such communication is transmitted before 5:00 p.m. in the time zone of the receiving party on a business day and the receiving party affirmatively acknowledges receipt, otherwise, on the next business day.</w:t>
      </w:r>
    </w:p>
    <w:p>
      <w:pPr>
        <w:spacing w:after="0" w:line="177" w:lineRule="exact"/>
        <w:rPr>
          <w:sz w:val="20"/>
          <w:szCs w:val="20"/>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Fortress Energy Inc.</w:t>
      </w:r>
    </w:p>
    <w:p>
      <w:pPr>
        <w:ind w:left="1960"/>
        <w:spacing w:after="0" w:line="238" w:lineRule="auto"/>
        <w:rPr>
          <w:sz w:val="20"/>
          <w:szCs w:val="20"/>
          <w:color w:val="auto"/>
        </w:rPr>
      </w:pPr>
      <w:r>
        <w:rPr>
          <w:rFonts w:ascii="Arial" w:cs="Arial" w:eastAsia="Arial" w:hAnsi="Arial"/>
          <w:sz w:val="22"/>
          <w:szCs w:val="22"/>
          <w:color w:val="auto"/>
        </w:rPr>
        <w:t>111 W. 19th Street, 8th Floor</w:t>
      </w:r>
    </w:p>
    <w:p>
      <w:pPr>
        <w:ind w:left="1960"/>
        <w:spacing w:after="0"/>
        <w:rPr>
          <w:sz w:val="20"/>
          <w:szCs w:val="20"/>
          <w:color w:val="auto"/>
        </w:rPr>
      </w:pPr>
      <w:r>
        <w:rPr>
          <w:rFonts w:ascii="Arial" w:cs="Arial" w:eastAsia="Arial" w:hAnsi="Arial"/>
          <w:sz w:val="22"/>
          <w:szCs w:val="22"/>
          <w:color w:val="auto"/>
        </w:rPr>
        <w:t>New York, New York 10011</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w:t>
      </w:r>
    </w:p>
    <w:p>
      <w:pPr>
        <w:ind w:left="196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Cameron D. MacDougall</w:t>
      </w:r>
    </w:p>
    <w:p>
      <w:pPr>
        <w:spacing w:after="0"/>
        <w:rPr>
          <w:sz w:val="20"/>
          <w:szCs w:val="20"/>
          <w:color w:val="auto"/>
        </w:rPr>
      </w:pPr>
      <w:r>
        <w:rPr>
          <w:rFonts w:ascii="Arial" w:cs="Arial" w:eastAsia="Arial" w:hAnsi="Arial"/>
          <w:sz w:val="16"/>
          <w:szCs w:val="16"/>
          <w:color w:val="auto"/>
        </w:rPr>
        <w:t>cmacdougall@fortress.com</w:t>
      </w:r>
    </w:p>
    <w:p>
      <w:pPr>
        <w:spacing w:after="0" w:line="211" w:lineRule="exact"/>
        <w:rPr>
          <w:sz w:val="20"/>
          <w:szCs w:val="20"/>
          <w:color w:val="auto"/>
        </w:rPr>
      </w:pPr>
    </w:p>
    <w:p>
      <w:pPr>
        <w:sectPr>
          <w:pgSz w:w="11900" w:h="16838" w:orient="portrait"/>
          <w:cols w:equalWidth="0" w:num="2">
            <w:col w:w="2440" w:space="640"/>
            <w:col w:w="8160"/>
          </w:cols>
          <w:pgMar w:left="320" w:top="125" w:right="339" w:bottom="1440" w:gutter="0" w:footer="0" w:header="0"/>
          <w:type w:val="continuous"/>
        </w:sectPr>
      </w:pPr>
    </w:p>
    <w:p>
      <w:pPr>
        <w:spacing w:after="0" w:line="49" w:lineRule="exact"/>
        <w:rPr>
          <w:sz w:val="20"/>
          <w:szCs w:val="20"/>
          <w:color w:val="auto"/>
        </w:rPr>
      </w:pPr>
    </w:p>
    <w:p>
      <w:pPr>
        <w:ind w:left="1960" w:hanging="656"/>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to the Shareholder A, to:</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Golar LNG Limited</w:t>
      </w:r>
    </w:p>
    <w:p>
      <w:pPr>
        <w:ind w:left="1960"/>
        <w:spacing w:after="0" w:line="180" w:lineRule="auto"/>
        <w:rPr>
          <w:sz w:val="20"/>
          <w:szCs w:val="20"/>
          <w:color w:val="auto"/>
        </w:rPr>
      </w:pPr>
      <w:r>
        <w:rPr>
          <w:rFonts w:ascii="Arial" w:cs="Arial" w:eastAsia="Arial" w:hAnsi="Arial"/>
          <w:sz w:val="19"/>
          <w:szCs w:val="19"/>
          <w:color w:val="auto"/>
        </w:rPr>
        <w:t>2</w:t>
      </w:r>
      <w:r>
        <w:rPr>
          <w:rFonts w:ascii="Arial" w:cs="Arial" w:eastAsia="Arial" w:hAnsi="Arial"/>
          <w:sz w:val="29"/>
          <w:szCs w:val="29"/>
          <w:color w:val="auto"/>
          <w:vertAlign w:val="superscript"/>
        </w:rPr>
        <w:t>nd</w:t>
      </w:r>
      <w:r>
        <w:rPr>
          <w:rFonts w:ascii="Arial" w:cs="Arial" w:eastAsia="Arial" w:hAnsi="Arial"/>
          <w:sz w:val="19"/>
          <w:szCs w:val="19"/>
          <w:color w:val="auto"/>
        </w:rPr>
        <w:t xml:space="preserve"> Floor S.E. Pearman Building</w:t>
      </w:r>
    </w:p>
    <w:p>
      <w:pPr>
        <w:ind w:left="1960"/>
        <w:spacing w:after="0" w:line="231" w:lineRule="auto"/>
        <w:rPr>
          <w:sz w:val="20"/>
          <w:szCs w:val="20"/>
          <w:color w:val="auto"/>
        </w:rPr>
      </w:pPr>
      <w:r>
        <w:rPr>
          <w:rFonts w:ascii="Arial" w:cs="Arial" w:eastAsia="Arial" w:hAnsi="Arial"/>
          <w:sz w:val="22"/>
          <w:szCs w:val="22"/>
          <w:color w:val="auto"/>
        </w:rPr>
        <w:t>9 Par-la-Ville Road</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Hamilton HM 11 Bermuda</w:t>
      </w:r>
    </w:p>
    <w:p>
      <w:pPr>
        <w:sectPr>
          <w:pgSz w:w="11900" w:h="16838" w:orient="portrait"/>
          <w:cols w:equalWidth="0" w:num="1">
            <w:col w:w="11240"/>
          </w:cols>
          <w:pgMar w:left="320" w:top="125" w:right="339" w:bottom="1440" w:gutter="0" w:footer="0" w:header="0"/>
          <w:type w:val="continuous"/>
        </w:sectPr>
      </w:pPr>
    </w:p>
    <w:p>
      <w:pPr>
        <w:spacing w:after="0" w:line="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Attention:</w:t>
      </w:r>
    </w:p>
    <w:p>
      <w:pPr>
        <w:spacing w:after="0" w:line="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Karl Staubo</w:t>
      </w:r>
    </w:p>
    <w:p>
      <w:pPr>
        <w:spacing w:after="0"/>
        <w:rPr>
          <w:sz w:val="20"/>
          <w:szCs w:val="20"/>
          <w:color w:val="auto"/>
        </w:rPr>
      </w:pPr>
      <w:r>
        <w:rPr>
          <w:rFonts w:ascii="Arial" w:cs="Arial" w:eastAsia="Arial" w:hAnsi="Arial"/>
          <w:sz w:val="16"/>
          <w:szCs w:val="16"/>
          <w:color w:val="auto"/>
        </w:rPr>
        <w:t>karl.staubo@golar.com</w:t>
      </w:r>
    </w:p>
    <w:p>
      <w:pPr>
        <w:spacing w:after="0" w:line="31" w:lineRule="exact"/>
        <w:rPr>
          <w:sz w:val="20"/>
          <w:szCs w:val="20"/>
          <w:color w:val="auto"/>
        </w:rPr>
      </w:pPr>
    </w:p>
    <w:p>
      <w:pPr>
        <w:sectPr>
          <w:pgSz w:w="11900" w:h="16838" w:orient="portrait"/>
          <w:cols w:equalWidth="0" w:num="2">
            <w:col w:w="2680" w:space="400"/>
            <w:col w:w="8160"/>
          </w:cols>
          <w:pgMar w:left="320" w:top="125" w:right="339" w:bottom="1440" w:gutter="0" w:footer="0" w:header="0"/>
          <w:type w:val="continuous"/>
        </w:sectPr>
      </w:pPr>
    </w:p>
    <w:p>
      <w:pPr>
        <w:ind w:left="3080"/>
        <w:spacing w:after="0"/>
        <w:rPr>
          <w:sz w:val="20"/>
          <w:szCs w:val="20"/>
          <w:color w:val="auto"/>
        </w:rPr>
      </w:pPr>
      <w:r>
        <w:rPr>
          <w:rFonts w:ascii="Arial" w:cs="Arial" w:eastAsia="Arial" w:hAnsi="Arial"/>
          <w:sz w:val="19"/>
          <w:szCs w:val="19"/>
          <w:color w:val="auto"/>
        </w:rPr>
        <w:t>GMLLegal@golar.com</w:t>
      </w:r>
    </w:p>
    <w:p>
      <w:pPr>
        <w:sectPr>
          <w:pgSz w:w="11900" w:h="16838" w:orient="portrait"/>
          <w:cols w:equalWidth="0" w:num="1">
            <w:col w:w="11240"/>
          </w:cols>
          <w:pgMar w:left="320" w:top="125" w:right="339" w:bottom="1440" w:gutter="0" w:footer="0" w:header="0"/>
          <w:type w:val="continuous"/>
        </w:sectPr>
      </w:pPr>
    </w:p>
    <w:p>
      <w:pPr>
        <w:spacing w:after="0" w:line="246"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With copies (which shall not constitute notice) to:</w:t>
      </w:r>
    </w:p>
    <w:p>
      <w:pPr>
        <w:spacing w:after="0" w:line="2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Vinson &amp; Elkins L.L.P.</w:t>
      </w:r>
    </w:p>
    <w:p>
      <w:pPr>
        <w:ind w:left="1960"/>
        <w:spacing w:after="0" w:line="238" w:lineRule="auto"/>
        <w:rPr>
          <w:sz w:val="20"/>
          <w:szCs w:val="20"/>
          <w:color w:val="auto"/>
        </w:rPr>
      </w:pPr>
      <w:r>
        <w:rPr>
          <w:rFonts w:ascii="Arial" w:cs="Arial" w:eastAsia="Arial" w:hAnsi="Arial"/>
          <w:sz w:val="22"/>
          <w:szCs w:val="22"/>
          <w:color w:val="auto"/>
        </w:rPr>
        <w:t>1001 Fannin Street, Suite 2500</w:t>
      </w:r>
    </w:p>
    <w:p>
      <w:pPr>
        <w:ind w:left="1960"/>
        <w:spacing w:after="0" w:line="235" w:lineRule="auto"/>
        <w:rPr>
          <w:sz w:val="20"/>
          <w:szCs w:val="20"/>
          <w:color w:val="auto"/>
        </w:rPr>
      </w:pPr>
      <w:r>
        <w:rPr>
          <w:rFonts w:ascii="Arial" w:cs="Arial" w:eastAsia="Arial" w:hAnsi="Arial"/>
          <w:sz w:val="22"/>
          <w:szCs w:val="22"/>
          <w:color w:val="auto"/>
        </w:rPr>
        <w:t>Houston, Texas 77002</w:t>
      </w:r>
    </w:p>
    <w:p>
      <w:pPr>
        <w:spacing w:after="0" w:line="1"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P. Oelman</w:t>
      </w:r>
    </w:p>
    <w:p>
      <w:pPr>
        <w:ind w:left="3080"/>
        <w:spacing w:after="0"/>
        <w:rPr>
          <w:sz w:val="20"/>
          <w:szCs w:val="20"/>
          <w:color w:val="auto"/>
        </w:rPr>
      </w:pPr>
      <w:r>
        <w:rPr>
          <w:rFonts w:ascii="Arial" w:cs="Arial" w:eastAsia="Arial" w:hAnsi="Arial"/>
          <w:sz w:val="22"/>
          <w:szCs w:val="22"/>
          <w:color w:val="auto"/>
        </w:rPr>
        <w:t>Lande A. Spottswood</w:t>
      </w:r>
    </w:p>
    <w:p>
      <w:pPr>
        <w:ind w:left="1960"/>
        <w:spacing w:after="0"/>
        <w:tabs>
          <w:tab w:leader="none" w:pos="3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doelman@velaw.com</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lspottswood@velaw.com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ind w:left="1960" w:hanging="656"/>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to the Shareholder B, to:</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Stonepeak Infrastructure Fund II Cayman (G) Ltd.</w:t>
      </w:r>
    </w:p>
    <w:p>
      <w:pPr>
        <w:ind w:left="1960"/>
        <w:spacing w:after="0" w:line="230" w:lineRule="auto"/>
        <w:rPr>
          <w:sz w:val="20"/>
          <w:szCs w:val="20"/>
          <w:color w:val="auto"/>
        </w:rPr>
      </w:pPr>
      <w:r>
        <w:rPr>
          <w:rFonts w:ascii="Arial" w:cs="Arial" w:eastAsia="Arial" w:hAnsi="Arial"/>
          <w:sz w:val="22"/>
          <w:szCs w:val="22"/>
          <w:color w:val="auto"/>
        </w:rPr>
        <w:t>55 Hudson yards</w:t>
      </w:r>
    </w:p>
    <w:p>
      <w:pPr>
        <w:ind w:left="1960"/>
        <w:spacing w:after="0" w:line="181" w:lineRule="auto"/>
        <w:rPr>
          <w:sz w:val="20"/>
          <w:szCs w:val="20"/>
          <w:color w:val="auto"/>
        </w:rPr>
      </w:pPr>
      <w:r>
        <w:rPr>
          <w:rFonts w:ascii="Arial" w:cs="Arial" w:eastAsia="Arial" w:hAnsi="Arial"/>
          <w:sz w:val="19"/>
          <w:szCs w:val="19"/>
          <w:color w:val="auto"/>
        </w:rPr>
        <w:t>550 W 34</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Street, 48</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ind w:left="1960"/>
        <w:spacing w:after="0" w:line="235" w:lineRule="auto"/>
        <w:rPr>
          <w:sz w:val="20"/>
          <w:szCs w:val="20"/>
          <w:color w:val="auto"/>
        </w:rPr>
      </w:pPr>
      <w:r>
        <w:rPr>
          <w:rFonts w:ascii="Arial" w:cs="Arial" w:eastAsia="Arial" w:hAnsi="Arial"/>
          <w:sz w:val="22"/>
          <w:szCs w:val="22"/>
          <w:color w:val="auto"/>
        </w:rPr>
        <w:t>New York, NY 10001</w:t>
      </w:r>
    </w:p>
    <w:p>
      <w:pPr>
        <w:spacing w:after="0" w:line="1"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Adrienne Saunders</w:t>
      </w:r>
    </w:p>
    <w:p>
      <w:pPr>
        <w:ind w:left="3080"/>
        <w:spacing w:after="0"/>
        <w:rPr>
          <w:sz w:val="20"/>
          <w:szCs w:val="20"/>
          <w:color w:val="auto"/>
        </w:rPr>
      </w:pPr>
      <w:r>
        <w:rPr>
          <w:rFonts w:ascii="Arial" w:cs="Arial" w:eastAsia="Arial" w:hAnsi="Arial"/>
          <w:sz w:val="22"/>
          <w:szCs w:val="22"/>
          <w:color w:val="auto"/>
        </w:rPr>
        <w:t>James Wyper</w:t>
      </w:r>
    </w:p>
    <w:p>
      <w:pPr>
        <w:ind w:left="1960"/>
        <w:spacing w:after="0"/>
        <w:tabs>
          <w:tab w:leader="none" w:pos="3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saunders@stonepeakpartners.com</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wyper@stonepeakpartners.com</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copies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Simpson Thacher &amp; Bartlett LLP</w:t>
      </w:r>
    </w:p>
    <w:p>
      <w:pPr>
        <w:ind w:left="1960"/>
        <w:spacing w:after="0" w:line="238" w:lineRule="auto"/>
        <w:rPr>
          <w:sz w:val="20"/>
          <w:szCs w:val="20"/>
          <w:color w:val="auto"/>
        </w:rPr>
      </w:pPr>
      <w:r>
        <w:rPr>
          <w:rFonts w:ascii="Arial" w:cs="Arial" w:eastAsia="Arial" w:hAnsi="Arial"/>
          <w:sz w:val="22"/>
          <w:szCs w:val="22"/>
          <w:color w:val="auto"/>
        </w:rPr>
        <w:t>425 Lexington Avenue</w:t>
      </w:r>
    </w:p>
    <w:p>
      <w:pPr>
        <w:ind w:left="1960"/>
        <w:spacing w:after="0" w:line="235" w:lineRule="auto"/>
        <w:rPr>
          <w:sz w:val="20"/>
          <w:szCs w:val="20"/>
          <w:color w:val="auto"/>
        </w:rPr>
      </w:pPr>
      <w:r>
        <w:rPr>
          <w:rFonts w:ascii="Arial" w:cs="Arial" w:eastAsia="Arial" w:hAnsi="Arial"/>
          <w:sz w:val="22"/>
          <w:szCs w:val="22"/>
          <w:color w:val="auto"/>
        </w:rPr>
        <w:t>New York, NY 10019</w:t>
      </w:r>
    </w:p>
    <w:p>
      <w:pPr>
        <w:spacing w:after="0" w:line="1"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Lieberman</w:t>
      </w:r>
    </w:p>
    <w:p>
      <w:pPr>
        <w:ind w:left="3080"/>
        <w:spacing w:after="0"/>
        <w:rPr>
          <w:sz w:val="20"/>
          <w:szCs w:val="20"/>
          <w:color w:val="auto"/>
        </w:rPr>
      </w:pPr>
      <w:r>
        <w:rPr>
          <w:rFonts w:ascii="Arial" w:cs="Arial" w:eastAsia="Arial" w:hAnsi="Arial"/>
          <w:sz w:val="22"/>
          <w:szCs w:val="22"/>
          <w:color w:val="auto"/>
        </w:rPr>
        <w:t>Kenneth B. Wallach</w:t>
      </w:r>
    </w:p>
    <w:p>
      <w:pPr>
        <w:ind w:left="1960"/>
        <w:spacing w:after="0"/>
        <w:tabs>
          <w:tab w:leader="none" w:pos="3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dlieberman@stblaw.com</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kwallach@stblaw.com</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taken together, shall be considered one and the same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(a) constitutes the entire agreement and supersedes all other prior agreements, both written and oral, among the parties hereto with respect to the subject matter hereof and (b) is not intended to confer upon any Person, other than the parties hereto, any rights or remedies hereunder.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660"/>
        <w:spacing w:after="0"/>
        <w:tabs>
          <w:tab w:leader="none" w:pos="198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18" w:lineRule="exact"/>
        <w:rPr>
          <w:sz w:val="20"/>
          <w:szCs w:val="20"/>
          <w:color w:val="auto"/>
        </w:rPr>
      </w:pPr>
    </w:p>
    <w:p>
      <w:pPr>
        <w:jc w:val="both"/>
        <w:ind w:firstLine="1304"/>
        <w:spacing w:after="0"/>
        <w:tabs>
          <w:tab w:leader="none" w:pos="23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Each party hereto shall execute, deliver, acknowledge and file such other documents and take such further actions as may be reasonably requested from time to time by the other parties hereto to give effect to and carry out the transactions contemplated herein.</w:t>
      </w:r>
    </w:p>
    <w:p>
      <w:pPr>
        <w:spacing w:after="0" w:line="213" w:lineRule="exact"/>
        <w:rPr>
          <w:rFonts w:ascii="Arial" w:cs="Arial" w:eastAsia="Arial" w:hAnsi="Arial"/>
          <w:sz w:val="22"/>
          <w:szCs w:val="22"/>
          <w:color w:val="auto"/>
        </w:rPr>
      </w:pPr>
    </w:p>
    <w:p>
      <w:pPr>
        <w:jc w:val="both"/>
        <w:ind w:firstLine="1304"/>
        <w:spacing w:after="0" w:line="287" w:lineRule="auto"/>
        <w:tabs>
          <w:tab w:leader="none" w:pos="2425"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that the Company or any of its successors or permitted assigns engage in a merger, consolidation, equity security exchange or similar transaction in which the Common Stock is converted into or exchanged for equity securities in another entity, the Company (or such successor or permitted assign) shall cause such other entity to enter into an agreement with each Shareholder that provides such Shareholder with rights substantially similar to those provided hereunder.</w:t>
      </w:r>
    </w:p>
    <w:p>
      <w:pPr>
        <w:spacing w:after="0" w:line="169" w:lineRule="exact"/>
        <w:rPr>
          <w:rFonts w:ascii="Arial" w:cs="Arial" w:eastAsia="Arial" w:hAnsi="Arial"/>
          <w:sz w:val="19"/>
          <w:szCs w:val="19"/>
          <w:color w:val="auto"/>
        </w:rPr>
      </w:pPr>
    </w:p>
    <w:p>
      <w:pPr>
        <w:ind w:right="20" w:firstLine="1304"/>
        <w:spacing w:after="0" w:line="274" w:lineRule="auto"/>
        <w:tabs>
          <w:tab w:leader="none" w:pos="2413" w:val="left"/>
        </w:tabs>
        <w:numPr>
          <w:ilvl w:val="0"/>
          <w:numId w:val="36"/>
        </w:numPr>
        <w:rPr>
          <w:rFonts w:ascii="Arial" w:cs="Arial" w:eastAsia="Arial" w:hAnsi="Arial"/>
          <w:sz w:val="21"/>
          <w:szCs w:val="21"/>
          <w:color w:val="auto"/>
        </w:rPr>
      </w:pPr>
      <w:r>
        <w:rPr>
          <w:rFonts w:ascii="Arial" w:cs="Arial" w:eastAsia="Arial" w:hAnsi="Arial"/>
          <w:sz w:val="21"/>
          <w:szCs w:val="21"/>
          <w:color w:val="auto"/>
        </w:rPr>
        <w:t>Each Shareholder agrees, if requested in writing, to represent to the Company the total number of Registrable Securities held by such Shareholder in order for the Company to make determinations hereunder.</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Governing Law; Equitable Remedies; Waiver of Jury Trial</w:t>
      </w:r>
      <w:r>
        <w:rPr>
          <w:rFonts w:ascii="Arial" w:cs="Arial" w:eastAsia="Arial" w:hAnsi="Arial"/>
          <w:sz w:val="16"/>
          <w:szCs w:val="16"/>
          <w:color w:val="auto"/>
        </w:rPr>
        <w:t>.</w:t>
      </w:r>
    </w:p>
    <w:p>
      <w:pPr>
        <w:spacing w:after="0" w:line="218" w:lineRule="exact"/>
        <w:rPr>
          <w:sz w:val="20"/>
          <w:szCs w:val="20"/>
          <w:color w:val="auto"/>
        </w:rPr>
      </w:pPr>
    </w:p>
    <w:p>
      <w:pPr>
        <w:jc w:val="both"/>
        <w:ind w:firstLine="1304"/>
        <w:spacing w:after="0" w:line="270" w:lineRule="auto"/>
        <w:tabs>
          <w:tab w:leader="none" w:pos="218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DELAWARE (WITHOUT GIVING EFFECT TO CONFLICT OF LAWS PRINCIPLES THEREOF). The parties hereto agree that irreparable damage would occur in the event that any of the provisions of this Agreement 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any of the Selected Courts (as defined below), this being in addition to any other remedy to which they are entitled at Law or in equity. Any requirements for the securing or posting of any bond with respect to such remedy are hereby waived by each of the parties hereto. Each party hereto further agrees that, in the event of any action for an injunction or other equitable remedy in respect of such breach or enforcement of specific performance, it will not assert the defense that a remedy at Law would be adequate. Any suit, action or proceeding seeking to enforce any provision of, or based on any matter arising out of or in relation to or in connection with, this Agreement may only be brought in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court sitting of the State of Delaware in New Castle County) and any appellate court from any of such courts (in any case, the “</w:t>
      </w:r>
      <w:r>
        <w:rPr>
          <w:rFonts w:ascii="Arial" w:cs="Arial" w:eastAsia="Arial" w:hAnsi="Arial"/>
          <w:sz w:val="19"/>
          <w:szCs w:val="19"/>
          <w:u w:val="single" w:color="auto"/>
          <w:color w:val="auto"/>
        </w:rPr>
        <w:t>Selected Court</w:t>
      </w:r>
      <w:r>
        <w:rPr>
          <w:rFonts w:ascii="Arial" w:cs="Arial" w:eastAsia="Arial" w:hAnsi="Arial"/>
          <w:sz w:val="19"/>
          <w:szCs w:val="19"/>
          <w:color w:val="auto"/>
        </w:rPr>
        <w:t>”), and each of the parties hereby irrevocably consents to the exclusive jurisdiction of the Selected Courts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of the Selected Courts.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firstLine="1304"/>
        <w:spacing w:after="0" w:line="248" w:lineRule="auto"/>
        <w:tabs>
          <w:tab w:leader="none" w:pos="2574"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PARTIES HEREBY WAIVE TRIAL BY JURY IN ANY ACTION, PROCEEDING OR COUNTERCLAIM BROUGHT BY ANY PARTY AGAINST ANOTHER IN ANY MATTER WHATSOEVER ARISING OUT OF OR IN RELATION TO OR IN CONNECTION WITH THIS AGREEMENT. FURTHER, NOTHING HEREIN SHALL DIVEST A COURT OF COMPETENT JURISDICTION OF THE RIGHT AND POWER TO GRANT A TEMPORARY RESTRAINING ORDER, TO GRANT TEMPORARY INJUNCTIVE RELIEF, OR TO COMPEL SPECIFIC PERFORMANCE OF ANY DECISION OF AN ARBITRAL TRIBUNAL MADE PURSUANT TO THIS PROVISION.</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Amendments; Waivers</w:t>
      </w:r>
      <w:r>
        <w:rPr>
          <w:rFonts w:ascii="Arial" w:cs="Arial" w:eastAsia="Arial" w:hAnsi="Arial"/>
          <w:sz w:val="16"/>
          <w:szCs w:val="16"/>
          <w:color w:val="auto"/>
        </w:rPr>
        <w:t>.</w:t>
      </w:r>
    </w:p>
    <w:p>
      <w:pPr>
        <w:spacing w:after="0" w:line="218" w:lineRule="exact"/>
        <w:rPr>
          <w:sz w:val="20"/>
          <w:szCs w:val="20"/>
          <w:color w:val="auto"/>
        </w:rPr>
      </w:pPr>
    </w:p>
    <w:p>
      <w:pPr>
        <w:jc w:val="both"/>
        <w:ind w:firstLine="1304"/>
        <w:spacing w:after="0"/>
        <w:tabs>
          <w:tab w:leader="none" w:pos="2292"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provision of this Agreement may be amended or waived unless such amendment or waiver is in writing and signed (i) in the case of an amendment, by each of the parties hereto, and (ii) in the case of a waiver, by each of the parties against whom the waiver is to be effective.</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2223"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Assignment</w:t>
      </w:r>
      <w:r>
        <w:rPr>
          <w:rFonts w:ascii="Arial" w:cs="Arial" w:eastAsia="Arial" w:hAnsi="Arial"/>
          <w:sz w:val="17"/>
          <w:szCs w:val="17"/>
          <w:color w:val="auto"/>
        </w:rPr>
        <w:t>. Except as expressly permitted under and in accordance with Article VI, neither this Agreement nor any of the rights or obligations hereunder shall be assigned by any of the parties hereto without the prior written consent of the other parties. This Agreement will be binding upon, inure to the benefit of, and be enforceable by the parties and their respective successors and permitted assigns. For the avoidance of doubt, any MIS Participant that receives any Issued Shares from Shareholder B shall not be deemed as Shareholder B’s successor or assign under this Agreement and shall not be bound by or entitled to the benefits of any provision hereof, and any such Issued Shares transferred to any MIS Participant shall no longer be considered Registrable Securities for purposes of this Agreement.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Shareholder shall hold, and cause its Affiliates and its and their respective directors, managers, officers, employees, agents, consultants, auditors, attorneys, financial advisors, financing sources and other consultants and advisors (“</w:t>
      </w:r>
      <w:r>
        <w:rPr>
          <w:rFonts w:ascii="Arial" w:cs="Arial" w:eastAsia="Arial" w:hAnsi="Arial"/>
          <w:sz w:val="16"/>
          <w:szCs w:val="16"/>
          <w:b w:val="1"/>
          <w:bCs w:val="1"/>
          <w:i w:val="1"/>
          <w:iCs w:val="1"/>
          <w:u w:val="single" w:color="auto"/>
          <w:color w:val="auto"/>
        </w:rPr>
        <w:t>Representatives</w:t>
      </w:r>
      <w:r>
        <w:rPr>
          <w:rFonts w:ascii="Arial" w:cs="Arial" w:eastAsia="Arial" w:hAnsi="Arial"/>
          <w:sz w:val="16"/>
          <w:szCs w:val="16"/>
          <w:color w:val="auto"/>
        </w:rPr>
        <w:t>”) to hold, in strict confidence, unless disclosure to a regulatory authority is necessary in connection with any necessary regulatory approval, examination or inspection or unless disclosure is required by judicial or administrative process or by other requirement of law or the applicable requirements of any regulatory agency or relevant stock exchange (in which case, other than in connection with a disclosure in connection with a routine audit or examination by, or document request from, a regulatory or self-regulatory authority, bank examiner or auditor, the party disclosing such information shall provide the other party with prior written notice of such permitted disclosure), all nonpublic records, books, contracts, instruments, computer data and other data and information (collectively, “</w:t>
      </w:r>
      <w:r>
        <w:rPr>
          <w:rFonts w:ascii="Arial" w:cs="Arial" w:eastAsia="Arial" w:hAnsi="Arial"/>
          <w:sz w:val="16"/>
          <w:szCs w:val="16"/>
          <w:b w:val="1"/>
          <w:bCs w:val="1"/>
          <w:i w:val="1"/>
          <w:iCs w:val="1"/>
          <w:u w:val="single" w:color="auto"/>
          <w:color w:val="auto"/>
        </w:rPr>
        <w:t>Information</w:t>
      </w:r>
      <w:r>
        <w:rPr>
          <w:rFonts w:ascii="Arial" w:cs="Arial" w:eastAsia="Arial" w:hAnsi="Arial"/>
          <w:sz w:val="16"/>
          <w:szCs w:val="16"/>
          <w:color w:val="auto"/>
        </w:rPr>
        <w:t xml:space="preserve">”) concerning the Company or any its respective subsidiaries furnished to it by or on behalf of the Company or any of its respective subsidiaries (except to the extent that such information can be shown by the party receiving such Information to have been (a) previously known by such party from other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was not known by such party to be bound by a contractual, legal or fiduciary obligation of confidentiality to the other party, (b) in the public domain through no violation of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by such party or (c) later lawfully acquired from other sources by the party to which it was furnished), and no such party shall release or disclose such Information to any other person, except its Representatives, or use such Information other than in connection with evaluating and taking actions with respect to such Person’s ownership interest in the Company.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ind w:firstLine="648"/>
        <w:spacing w:after="0" w:line="277"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Tax Statement</w:t>
      </w:r>
      <w:r>
        <w:rPr>
          <w:rFonts w:ascii="Arial" w:cs="Arial" w:eastAsia="Arial" w:hAnsi="Arial"/>
          <w:sz w:val="19"/>
          <w:szCs w:val="19"/>
          <w:color w:val="auto"/>
        </w:rPr>
        <w:t>. Upon the reasonable request of either Shareholder in connection with a proposed disposition of some or all of such Shareholder’s interest in the Company, the Company shall (i) provide to such Shareholder a statement described in U.S. Treasury Regulation Section 1.897-2(g)(1)(ii) certifying that the Shareholder’s interest in the Company was not a “United States real property interest” as of the date specified by such Shareholder, (ii) provide a notice to the U.S. Internal Revenue Service in accordance with U.S. Treasury Regulation Section 1.897-2(h)(2) and (iii) provide such Shareholder with a copy of such notice, in each case only to the extent such a statement or notice, as applicable, can be provided under applicable Law taking into consideration all relevant facts as reasonably determined by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23495</wp:posOffset>
            </wp:positionV>
            <wp:extent cx="26314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Chief Financial Offier</w:t>
      </w:r>
    </w:p>
    <w:p>
      <w:pPr>
        <w:spacing w:after="0" w:line="23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Shareholders’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118745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39" w:name="page40"/>
    <w:bookmarkEnd w:id="39"/>
    <w:p>
      <w:pPr>
        <w:ind w:left="5640"/>
        <w:spacing w:after="0"/>
        <w:rPr>
          <w:sz w:val="20"/>
          <w:szCs w:val="20"/>
          <w:color w:val="auto"/>
        </w:rPr>
      </w:pPr>
      <w:r>
        <w:rPr>
          <w:rFonts w:ascii="Arial" w:cs="Arial" w:eastAsia="Arial" w:hAnsi="Arial"/>
          <w:sz w:val="18"/>
          <w:szCs w:val="18"/>
          <w:b w:val="1"/>
          <w:bCs w:val="1"/>
          <w:color w:val="auto"/>
        </w:rPr>
        <w:t>GOLAR LNG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6314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Shareholders’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5640"/>
        <w:spacing w:after="0"/>
        <w:rPr>
          <w:sz w:val="20"/>
          <w:szCs w:val="20"/>
          <w:color w:val="auto"/>
        </w:rPr>
      </w:pPr>
      <w:r>
        <w:rPr>
          <w:rFonts w:ascii="Arial" w:cs="Arial" w:eastAsia="Arial" w:hAnsi="Arial"/>
          <w:sz w:val="18"/>
          <w:szCs w:val="18"/>
          <w:b w:val="1"/>
          <w:bCs w:val="1"/>
          <w:color w:val="auto"/>
        </w:rPr>
        <w:t>STONEPEAK INFRASTRUCTURE FUND II CAYMAN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 LTD.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Luke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6314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Luke Taylor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Managing Director</w:t>
      </w:r>
    </w:p>
    <w:p>
      <w:pPr>
        <w:spacing w:after="0" w:line="200" w:lineRule="exact"/>
        <w:rPr>
          <w:sz w:val="20"/>
          <w:szCs w:val="20"/>
          <w:color w:val="auto"/>
        </w:rPr>
      </w:pPr>
    </w:p>
    <w:p>
      <w:pPr>
        <w:spacing w:after="0" w:line="274"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Shareholders’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CREDIT AGREEMENT</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among</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NEW FORTRESS ENERGY INC.,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the Borrower,</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The Guarantors from Time to Time Party Hereto</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The Several Lenders and Issuing Banks</w:t>
      </w:r>
    </w:p>
    <w:p>
      <w:pPr>
        <w:jc w:val="center"/>
        <w:ind w:right="1100"/>
        <w:spacing w:after="0"/>
        <w:rPr>
          <w:sz w:val="20"/>
          <w:szCs w:val="20"/>
          <w:color w:val="auto"/>
        </w:rPr>
      </w:pPr>
      <w:r>
        <w:rPr>
          <w:rFonts w:ascii="Arial" w:cs="Arial" w:eastAsia="Arial" w:hAnsi="Arial"/>
          <w:sz w:val="22"/>
          <w:szCs w:val="22"/>
          <w:b w:val="1"/>
          <w:bCs w:val="1"/>
          <w:color w:val="auto"/>
        </w:rPr>
        <w:t>from Time to Time Party Hereto</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MORGAN STANLEY SENIOR FUNDING, INC.,</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as Administrative Agent and Collateral Agent,</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Dated as of April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165100</wp:posOffset>
            </wp:positionV>
            <wp:extent cx="25031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MORGAN STANLEY SENIOR FUNDING, INC.,</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jc w:val="center"/>
        <w:ind w:right="1100"/>
        <w:spacing w:after="0" w:line="230" w:lineRule="auto"/>
        <w:rPr>
          <w:sz w:val="20"/>
          <w:szCs w:val="20"/>
          <w:color w:val="auto"/>
        </w:rPr>
      </w:pPr>
      <w:r>
        <w:rPr>
          <w:rFonts w:ascii="Arial" w:cs="Arial" w:eastAsia="Arial" w:hAnsi="Arial"/>
          <w:sz w:val="22"/>
          <w:szCs w:val="22"/>
          <w:b w:val="1"/>
          <w:bCs w:val="1"/>
          <w:color w:val="auto"/>
        </w:rPr>
        <w:t>GOLDMAN SACHS BANK USA,</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283210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8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1220" w:type="dxa"/>
            <w:vAlign w:val="bottom"/>
          </w:tcPr>
          <w:p>
            <w:pPr>
              <w:spacing w:after="0"/>
              <w:rPr>
                <w:sz w:val="20"/>
                <w:szCs w:val="20"/>
                <w:color w:val="auto"/>
              </w:rPr>
            </w:pPr>
            <w:r>
              <w:rPr>
                <w:rFonts w:ascii="Arial" w:cs="Arial" w:eastAsia="Arial" w:hAnsi="Arial"/>
                <w:sz w:val="18"/>
                <w:szCs w:val="18"/>
                <w:color w:val="auto"/>
              </w:rPr>
              <w:t>SECTION 1.</w:t>
            </w:r>
          </w:p>
        </w:tc>
        <w:tc>
          <w:tcPr>
            <w:tcW w:w="75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Defined Terms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w:t>
            </w:r>
          </w:p>
        </w:tc>
        <w:tc>
          <w:tcPr>
            <w:tcW w:w="7500" w:type="dxa"/>
            <w:vAlign w:val="bottom"/>
          </w:tcPr>
          <w:p>
            <w:pPr>
              <w:ind w:left="260"/>
              <w:spacing w:after="0"/>
              <w:rPr>
                <w:sz w:val="20"/>
                <w:szCs w:val="20"/>
                <w:color w:val="auto"/>
              </w:rPr>
            </w:pPr>
            <w:r>
              <w:rPr>
                <w:rFonts w:ascii="Arial" w:cs="Arial" w:eastAsia="Arial" w:hAnsi="Arial"/>
                <w:sz w:val="18"/>
                <w:szCs w:val="18"/>
                <w:color w:val="auto"/>
              </w:rPr>
              <w:t>Other Definitional Provisions; Rules of Construction.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Accounting Terms and Principles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1.4</w:t>
            </w:r>
          </w:p>
        </w:tc>
        <w:tc>
          <w:tcPr>
            <w:tcW w:w="7500" w:type="dxa"/>
            <w:vAlign w:val="bottom"/>
          </w:tcPr>
          <w:p>
            <w:pPr>
              <w:ind w:left="260"/>
              <w:spacing w:after="0"/>
              <w:rPr>
                <w:sz w:val="20"/>
                <w:szCs w:val="20"/>
                <w:color w:val="auto"/>
              </w:rPr>
            </w:pPr>
            <w:r>
              <w:rPr>
                <w:rFonts w:ascii="Arial" w:cs="Arial" w:eastAsia="Arial" w:hAnsi="Arial"/>
                <w:sz w:val="18"/>
                <w:szCs w:val="18"/>
                <w:color w:val="auto"/>
              </w:rPr>
              <w:t>Timing of Payment or Performance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Currency Equivalents Generally</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1.6</w:t>
            </w:r>
          </w:p>
        </w:tc>
        <w:tc>
          <w:tcPr>
            <w:tcW w:w="7500" w:type="dxa"/>
            <w:vAlign w:val="bottom"/>
          </w:tcPr>
          <w:p>
            <w:pPr>
              <w:ind w:left="260"/>
              <w:spacing w:after="0"/>
              <w:rPr>
                <w:sz w:val="20"/>
                <w:szCs w:val="20"/>
                <w:color w:val="auto"/>
              </w:rPr>
            </w:pPr>
            <w:r>
              <w:rPr>
                <w:rFonts w:ascii="Arial" w:cs="Arial" w:eastAsia="Arial" w:hAnsi="Arial"/>
                <w:sz w:val="18"/>
                <w:szCs w:val="18"/>
                <w:color w:val="auto"/>
              </w:rPr>
              <w:t>Limited Condition Transactions.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1.7</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Compliance Determinations.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LOANS</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w:t>
            </w:r>
          </w:p>
        </w:tc>
        <w:tc>
          <w:tcPr>
            <w:tcW w:w="7500" w:type="dxa"/>
            <w:vAlign w:val="bottom"/>
          </w:tcPr>
          <w:p>
            <w:pPr>
              <w:ind w:left="260"/>
              <w:spacing w:after="0"/>
              <w:rPr>
                <w:sz w:val="20"/>
                <w:szCs w:val="20"/>
                <w:color w:val="auto"/>
              </w:rPr>
            </w:pPr>
            <w:r>
              <w:rPr>
                <w:rFonts w:ascii="Arial" w:cs="Arial" w:eastAsia="Arial" w:hAnsi="Arial"/>
                <w:sz w:val="18"/>
                <w:szCs w:val="18"/>
                <w:color w:val="auto"/>
              </w:rPr>
              <w:t>Loans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2.2</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 Rata Shares; Availability of Funds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2.3</w:t>
            </w:r>
          </w:p>
        </w:tc>
        <w:tc>
          <w:tcPr>
            <w:tcW w:w="7500" w:type="dxa"/>
            <w:vAlign w:val="bottom"/>
          </w:tcPr>
          <w:p>
            <w:pPr>
              <w:ind w:left="260"/>
              <w:spacing w:after="0"/>
              <w:rPr>
                <w:sz w:val="20"/>
                <w:szCs w:val="20"/>
                <w:color w:val="auto"/>
              </w:rPr>
            </w:pPr>
            <w:r>
              <w:rPr>
                <w:rFonts w:ascii="Arial" w:cs="Arial" w:eastAsia="Arial" w:hAnsi="Arial"/>
                <w:sz w:val="18"/>
                <w:szCs w:val="18"/>
                <w:color w:val="auto"/>
              </w:rPr>
              <w:t>Letters of Credit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2.4</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Evidence of Debt; Register; Lenders’ Books and Records; Loan Notes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2.5</w:t>
            </w:r>
          </w:p>
        </w:tc>
        <w:tc>
          <w:tcPr>
            <w:tcW w:w="7500" w:type="dxa"/>
            <w:vAlign w:val="bottom"/>
          </w:tcPr>
          <w:p>
            <w:pPr>
              <w:ind w:left="260"/>
              <w:spacing w:after="0"/>
              <w:rPr>
                <w:sz w:val="20"/>
                <w:szCs w:val="20"/>
                <w:color w:val="auto"/>
              </w:rPr>
            </w:pPr>
            <w:r>
              <w:rPr>
                <w:rFonts w:ascii="Arial" w:cs="Arial" w:eastAsia="Arial" w:hAnsi="Arial"/>
                <w:sz w:val="18"/>
                <w:szCs w:val="18"/>
                <w:color w:val="auto"/>
              </w:rPr>
              <w:t>Interest on Loans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2.6</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Conversion/Continuation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2.7</w:t>
            </w:r>
          </w:p>
        </w:tc>
        <w:tc>
          <w:tcPr>
            <w:tcW w:w="7500" w:type="dxa"/>
            <w:vAlign w:val="bottom"/>
          </w:tcPr>
          <w:p>
            <w:pPr>
              <w:ind w:left="260"/>
              <w:spacing w:after="0"/>
              <w:rPr>
                <w:sz w:val="20"/>
                <w:szCs w:val="20"/>
                <w:color w:val="auto"/>
              </w:rPr>
            </w:pPr>
            <w:r>
              <w:rPr>
                <w:rFonts w:ascii="Arial" w:cs="Arial" w:eastAsia="Arial" w:hAnsi="Arial"/>
                <w:sz w:val="18"/>
                <w:szCs w:val="18"/>
                <w:color w:val="auto"/>
              </w:rPr>
              <w:t>Default Interest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2.8</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2.9</w:t>
            </w:r>
          </w:p>
        </w:tc>
        <w:tc>
          <w:tcPr>
            <w:tcW w:w="7500" w:type="dxa"/>
            <w:vAlign w:val="bottom"/>
          </w:tcPr>
          <w:p>
            <w:pPr>
              <w:ind w:left="260"/>
              <w:spacing w:after="0"/>
              <w:rPr>
                <w:sz w:val="20"/>
                <w:szCs w:val="20"/>
                <w:color w:val="auto"/>
              </w:rPr>
            </w:pPr>
            <w:r>
              <w:rPr>
                <w:rFonts w:ascii="Arial" w:cs="Arial" w:eastAsia="Arial" w:hAnsi="Arial"/>
                <w:sz w:val="18"/>
                <w:szCs w:val="18"/>
                <w:color w:val="auto"/>
              </w:rPr>
              <w:t>Termination and Reduction of Commitments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2.10</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Voluntary and Mandatory Prepayments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2.11</w:t>
            </w:r>
          </w:p>
        </w:tc>
        <w:tc>
          <w:tcPr>
            <w:tcW w:w="750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2.12</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Benchmark Replacement Setting</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2.13</w:t>
            </w:r>
          </w:p>
        </w:tc>
        <w:tc>
          <w:tcPr>
            <w:tcW w:w="7500" w:type="dxa"/>
            <w:vAlign w:val="bottom"/>
          </w:tcPr>
          <w:p>
            <w:pPr>
              <w:ind w:left="260"/>
              <w:spacing w:after="0"/>
              <w:rPr>
                <w:sz w:val="20"/>
                <w:szCs w:val="20"/>
                <w:color w:val="auto"/>
              </w:rPr>
            </w:pPr>
            <w:r>
              <w:rPr>
                <w:rFonts w:ascii="Arial" w:cs="Arial" w:eastAsia="Arial" w:hAnsi="Arial"/>
                <w:sz w:val="18"/>
                <w:szCs w:val="18"/>
                <w:color w:val="auto"/>
              </w:rPr>
              <w:t>General Provisions Regarding Payments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2.14</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Ratable Sharing</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2.15</w:t>
            </w:r>
          </w:p>
        </w:tc>
        <w:tc>
          <w:tcPr>
            <w:tcW w:w="7500" w:type="dxa"/>
            <w:vAlign w:val="bottom"/>
          </w:tcPr>
          <w:p>
            <w:pPr>
              <w:ind w:left="260"/>
              <w:spacing w:after="0"/>
              <w:rPr>
                <w:sz w:val="20"/>
                <w:szCs w:val="20"/>
                <w:color w:val="auto"/>
              </w:rPr>
            </w:pPr>
            <w:r>
              <w:rPr>
                <w:rFonts w:ascii="Arial" w:cs="Arial" w:eastAsia="Arial" w:hAnsi="Arial"/>
                <w:sz w:val="18"/>
                <w:szCs w:val="18"/>
                <w:color w:val="auto"/>
              </w:rPr>
              <w:t>Making or Maintaining Eurodollar Rate Loans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2.16</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 Costs; Capital Requirements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2.17</w:t>
            </w:r>
          </w:p>
        </w:tc>
        <w:tc>
          <w:tcPr>
            <w:tcW w:w="7500" w:type="dxa"/>
            <w:vAlign w:val="bottom"/>
          </w:tcPr>
          <w:p>
            <w:pPr>
              <w:ind w:left="260"/>
              <w:spacing w:after="0"/>
              <w:rPr>
                <w:sz w:val="20"/>
                <w:szCs w:val="20"/>
                <w:color w:val="auto"/>
              </w:rPr>
            </w:pPr>
            <w:r>
              <w:rPr>
                <w:rFonts w:ascii="Arial" w:cs="Arial" w:eastAsia="Arial" w:hAnsi="Arial"/>
                <w:sz w:val="18"/>
                <w:szCs w:val="18"/>
                <w:color w:val="auto"/>
              </w:rPr>
              <w:t>Taxes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2.18</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Obligation to Mitigate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2.19</w:t>
            </w:r>
          </w:p>
        </w:tc>
        <w:tc>
          <w:tcPr>
            <w:tcW w:w="7500" w:type="dxa"/>
            <w:vAlign w:val="bottom"/>
          </w:tcPr>
          <w:p>
            <w:pPr>
              <w:ind w:left="260"/>
              <w:spacing w:after="0"/>
              <w:rPr>
                <w:sz w:val="20"/>
                <w:szCs w:val="20"/>
                <w:color w:val="auto"/>
              </w:rPr>
            </w:pPr>
            <w:r>
              <w:rPr>
                <w:rFonts w:ascii="Arial" w:cs="Arial" w:eastAsia="Arial" w:hAnsi="Arial"/>
                <w:sz w:val="18"/>
                <w:szCs w:val="18"/>
                <w:color w:val="auto"/>
              </w:rPr>
              <w:t>Removal or Replacement of a Lender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2.20</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Defaulting Lenders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2.21</w:t>
            </w:r>
          </w:p>
        </w:tc>
        <w:tc>
          <w:tcPr>
            <w:tcW w:w="7500" w:type="dxa"/>
            <w:vAlign w:val="bottom"/>
          </w:tcPr>
          <w:p>
            <w:pPr>
              <w:ind w:left="260"/>
              <w:spacing w:after="0"/>
              <w:rPr>
                <w:sz w:val="20"/>
                <w:szCs w:val="20"/>
                <w:color w:val="auto"/>
              </w:rPr>
            </w:pPr>
            <w:r>
              <w:rPr>
                <w:rFonts w:ascii="Arial" w:cs="Arial" w:eastAsia="Arial" w:hAnsi="Arial"/>
                <w:sz w:val="18"/>
                <w:szCs w:val="18"/>
                <w:color w:val="auto"/>
              </w:rPr>
              <w:t>Extension of Stated Maturity Date.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2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w:t>
            </w:r>
          </w:p>
        </w:tc>
        <w:tc>
          <w:tcPr>
            <w:tcW w:w="750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Condition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3.2</w:t>
            </w:r>
          </w:p>
        </w:tc>
        <w:tc>
          <w:tcPr>
            <w:tcW w:w="7500" w:type="dxa"/>
            <w:vAlign w:val="bottom"/>
          </w:tcPr>
          <w:p>
            <w:pPr>
              <w:ind w:left="260"/>
              <w:spacing w:after="0"/>
              <w:rPr>
                <w:sz w:val="20"/>
                <w:szCs w:val="20"/>
                <w:color w:val="auto"/>
              </w:rPr>
            </w:pPr>
            <w:r>
              <w:rPr>
                <w:rFonts w:ascii="Arial" w:cs="Arial" w:eastAsia="Arial" w:hAnsi="Arial"/>
                <w:sz w:val="18"/>
                <w:szCs w:val="18"/>
                <w:color w:val="auto"/>
              </w:rPr>
              <w:t>No Change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Existence; Compliance with Law</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3.4</w:t>
            </w:r>
          </w:p>
        </w:tc>
        <w:tc>
          <w:tcPr>
            <w:tcW w:w="7500" w:type="dxa"/>
            <w:vAlign w:val="bottom"/>
          </w:tcPr>
          <w:p>
            <w:pPr>
              <w:ind w:left="260"/>
              <w:spacing w:after="0"/>
              <w:rPr>
                <w:sz w:val="20"/>
                <w:szCs w:val="20"/>
                <w:color w:val="auto"/>
              </w:rPr>
            </w:pPr>
            <w:r>
              <w:rPr>
                <w:rFonts w:ascii="Arial" w:cs="Arial" w:eastAsia="Arial" w:hAnsi="Arial"/>
                <w:sz w:val="18"/>
                <w:szCs w:val="18"/>
                <w:color w:val="auto"/>
              </w:rPr>
              <w:t>Power; Authorization; Enforceable Obligations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3.5</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Legal Bar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3.6</w:t>
            </w:r>
          </w:p>
        </w:tc>
        <w:tc>
          <w:tcPr>
            <w:tcW w:w="7500" w:type="dxa"/>
            <w:vAlign w:val="bottom"/>
          </w:tcPr>
          <w:p>
            <w:pPr>
              <w:ind w:left="260"/>
              <w:spacing w:after="0"/>
              <w:rPr>
                <w:sz w:val="20"/>
                <w:szCs w:val="20"/>
                <w:color w:val="auto"/>
              </w:rPr>
            </w:pPr>
            <w:r>
              <w:rPr>
                <w:rFonts w:ascii="Arial" w:cs="Arial" w:eastAsia="Arial" w:hAnsi="Arial"/>
                <w:sz w:val="18"/>
                <w:szCs w:val="18"/>
                <w:color w:val="auto"/>
              </w:rPr>
              <w:t>No Material Litigation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3.7</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Default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3.8</w:t>
            </w:r>
          </w:p>
        </w:tc>
        <w:tc>
          <w:tcPr>
            <w:tcW w:w="7500" w:type="dxa"/>
            <w:vAlign w:val="bottom"/>
          </w:tcPr>
          <w:p>
            <w:pPr>
              <w:ind w:left="260"/>
              <w:spacing w:after="0"/>
              <w:rPr>
                <w:sz w:val="20"/>
                <w:szCs w:val="20"/>
                <w:color w:val="auto"/>
              </w:rPr>
            </w:pPr>
            <w:r>
              <w:rPr>
                <w:rFonts w:ascii="Arial" w:cs="Arial" w:eastAsia="Arial" w:hAnsi="Arial"/>
                <w:sz w:val="18"/>
                <w:szCs w:val="18"/>
                <w:color w:val="auto"/>
              </w:rPr>
              <w:t>Ownership of Property; Liens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3.9</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IP Rights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3.10</w:t>
            </w:r>
          </w:p>
        </w:tc>
        <w:tc>
          <w:tcPr>
            <w:tcW w:w="7500" w:type="dxa"/>
            <w:vAlign w:val="bottom"/>
          </w:tcPr>
          <w:p>
            <w:pPr>
              <w:ind w:left="260"/>
              <w:spacing w:after="0"/>
              <w:rPr>
                <w:sz w:val="20"/>
                <w:szCs w:val="20"/>
                <w:color w:val="auto"/>
              </w:rPr>
            </w:pPr>
            <w:r>
              <w:rPr>
                <w:rFonts w:ascii="Arial" w:cs="Arial" w:eastAsia="Arial" w:hAnsi="Arial"/>
                <w:sz w:val="18"/>
                <w:szCs w:val="18"/>
                <w:color w:val="auto"/>
              </w:rPr>
              <w:t>Taxes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 Regulations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3.12</w:t>
            </w:r>
          </w:p>
        </w:tc>
        <w:tc>
          <w:tcPr>
            <w:tcW w:w="7500" w:type="dxa"/>
            <w:vAlign w:val="bottom"/>
          </w:tcPr>
          <w:p>
            <w:pPr>
              <w:ind w:left="260"/>
              <w:spacing w:after="0"/>
              <w:rPr>
                <w:sz w:val="20"/>
                <w:szCs w:val="20"/>
                <w:color w:val="auto"/>
              </w:rPr>
            </w:pPr>
            <w:r>
              <w:rPr>
                <w:rFonts w:ascii="Arial" w:cs="Arial" w:eastAsia="Arial" w:hAnsi="Arial"/>
                <w:sz w:val="18"/>
                <w:szCs w:val="18"/>
                <w:color w:val="auto"/>
              </w:rPr>
              <w:t>Labor Matters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ERISA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426"/>
        </w:trPr>
        <w:tc>
          <w:tcPr>
            <w:tcW w:w="12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3.14</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 Company Act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3.15</w:t>
            </w:r>
          </w:p>
        </w:tc>
        <w:tc>
          <w:tcPr>
            <w:tcW w:w="850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3.16</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Use of Proceeds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3.17</w:t>
            </w:r>
          </w:p>
        </w:tc>
        <w:tc>
          <w:tcPr>
            <w:tcW w:w="85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3.18</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Accuracy of Information, Etc.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3.19</w:t>
            </w:r>
          </w:p>
        </w:tc>
        <w:tc>
          <w:tcPr>
            <w:tcW w:w="8500" w:type="dxa"/>
            <w:vAlign w:val="bottom"/>
          </w:tcPr>
          <w:p>
            <w:pPr>
              <w:ind w:left="260"/>
              <w:spacing w:after="0"/>
              <w:rPr>
                <w:sz w:val="20"/>
                <w:szCs w:val="20"/>
                <w:color w:val="auto"/>
              </w:rPr>
            </w:pPr>
            <w:r>
              <w:rPr>
                <w:rFonts w:ascii="Arial" w:cs="Arial" w:eastAsia="Arial" w:hAnsi="Arial"/>
                <w:sz w:val="18"/>
                <w:szCs w:val="18"/>
                <w:color w:val="auto"/>
              </w:rPr>
              <w:t>Security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3.20</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Solvency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3.21</w:t>
            </w:r>
          </w:p>
        </w:tc>
        <w:tc>
          <w:tcPr>
            <w:tcW w:w="8500" w:type="dxa"/>
            <w:vAlign w:val="bottom"/>
          </w:tcPr>
          <w:p>
            <w:pPr>
              <w:ind w:left="26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3.22</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Anti-Money Laundering and Anti-Corruption Laws; Sanctions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3.23</w:t>
            </w:r>
          </w:p>
        </w:tc>
        <w:tc>
          <w:tcPr>
            <w:tcW w:w="85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2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w:t>
            </w:r>
          </w:p>
        </w:tc>
        <w:tc>
          <w:tcPr>
            <w:tcW w:w="8500" w:type="dxa"/>
            <w:vAlign w:val="bottom"/>
          </w:tcPr>
          <w:p>
            <w:pPr>
              <w:ind w:left="260"/>
              <w:spacing w:after="0"/>
              <w:rPr>
                <w:sz w:val="20"/>
                <w:szCs w:val="20"/>
                <w:color w:val="auto"/>
              </w:rPr>
            </w:pPr>
            <w:r>
              <w:rPr>
                <w:rFonts w:ascii="Arial" w:cs="Arial" w:eastAsia="Arial" w:hAnsi="Arial"/>
                <w:sz w:val="18"/>
                <w:szCs w:val="18"/>
                <w:color w:val="auto"/>
              </w:rPr>
              <w:t>CONDITIONS PRECEDENT</w:t>
            </w:r>
          </w:p>
        </w:tc>
        <w:tc>
          <w:tcPr>
            <w:tcW w:w="152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Closing Date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4.2</w:t>
            </w:r>
          </w:p>
        </w:tc>
        <w:tc>
          <w:tcPr>
            <w:tcW w:w="8500" w:type="dxa"/>
            <w:vAlign w:val="bottom"/>
          </w:tcPr>
          <w:p>
            <w:pPr>
              <w:ind w:left="260"/>
              <w:spacing w:after="0"/>
              <w:rPr>
                <w:sz w:val="20"/>
                <w:szCs w:val="20"/>
                <w:color w:val="auto"/>
              </w:rPr>
            </w:pPr>
            <w:r>
              <w:rPr>
                <w:rFonts w:ascii="Arial" w:cs="Arial" w:eastAsia="Arial" w:hAnsi="Arial"/>
                <w:sz w:val="18"/>
                <w:szCs w:val="18"/>
                <w:color w:val="auto"/>
              </w:rPr>
              <w:t>Each Credit Event</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2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w:t>
            </w:r>
          </w:p>
        </w:tc>
        <w:tc>
          <w:tcPr>
            <w:tcW w:w="8500" w:type="dxa"/>
            <w:vAlign w:val="bottom"/>
          </w:tcPr>
          <w:p>
            <w:pPr>
              <w:ind w:left="260"/>
              <w:spacing w:after="0"/>
              <w:rPr>
                <w:sz w:val="20"/>
                <w:szCs w:val="20"/>
                <w:color w:val="auto"/>
              </w:rPr>
            </w:pPr>
            <w:r>
              <w:rPr>
                <w:rFonts w:ascii="Arial" w:cs="Arial" w:eastAsia="Arial" w:hAnsi="Arial"/>
                <w:sz w:val="18"/>
                <w:szCs w:val="18"/>
                <w:color w:val="auto"/>
              </w:rPr>
              <w:t>AFFIRMATIVE COVENANTS</w:t>
            </w:r>
          </w:p>
        </w:tc>
        <w:tc>
          <w:tcPr>
            <w:tcW w:w="152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5.2</w:t>
            </w:r>
          </w:p>
        </w:tc>
        <w:tc>
          <w:tcPr>
            <w:tcW w:w="8500" w:type="dxa"/>
            <w:vAlign w:val="bottom"/>
          </w:tcPr>
          <w:p>
            <w:pPr>
              <w:ind w:left="260"/>
              <w:spacing w:after="0"/>
              <w:rPr>
                <w:sz w:val="20"/>
                <w:szCs w:val="20"/>
                <w:color w:val="auto"/>
              </w:rPr>
            </w:pPr>
            <w:r>
              <w:rPr>
                <w:rFonts w:ascii="Arial" w:cs="Arial" w:eastAsia="Arial" w:hAnsi="Arial"/>
                <w:sz w:val="18"/>
                <w:szCs w:val="18"/>
                <w:color w:val="auto"/>
              </w:rPr>
              <w:t>Certificates; 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Taxes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5.4</w:t>
            </w:r>
          </w:p>
        </w:tc>
        <w:tc>
          <w:tcPr>
            <w:tcW w:w="8500" w:type="dxa"/>
            <w:vAlign w:val="bottom"/>
          </w:tcPr>
          <w:p>
            <w:pPr>
              <w:ind w:left="260"/>
              <w:spacing w:after="0"/>
              <w:rPr>
                <w:sz w:val="20"/>
                <w:szCs w:val="20"/>
                <w:color w:val="auto"/>
              </w:rPr>
            </w:pPr>
            <w:r>
              <w:rPr>
                <w:rFonts w:ascii="Arial" w:cs="Arial" w:eastAsia="Arial" w:hAnsi="Arial"/>
                <w:sz w:val="18"/>
                <w:szCs w:val="18"/>
                <w:color w:val="auto"/>
              </w:rPr>
              <w:t>Conduct of Business and Maintenance of Existence; Compliance with Law</w:t>
            </w: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5.5</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Maintenance of Property; 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5.6</w:t>
            </w:r>
          </w:p>
        </w:tc>
        <w:tc>
          <w:tcPr>
            <w:tcW w:w="8500" w:type="dxa"/>
            <w:vAlign w:val="bottom"/>
          </w:tcPr>
          <w:p>
            <w:pPr>
              <w:ind w:left="260"/>
              <w:spacing w:after="0"/>
              <w:rPr>
                <w:sz w:val="20"/>
                <w:szCs w:val="20"/>
                <w:color w:val="auto"/>
              </w:rPr>
            </w:pPr>
            <w:r>
              <w:rPr>
                <w:rFonts w:ascii="Arial" w:cs="Arial" w:eastAsia="Arial" w:hAnsi="Arial"/>
                <w:sz w:val="18"/>
                <w:szCs w:val="18"/>
                <w:color w:val="auto"/>
              </w:rPr>
              <w:t>Inspection of Property; Books and Records; Discussions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5.7</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5.8</w:t>
            </w:r>
          </w:p>
        </w:tc>
        <w:tc>
          <w:tcPr>
            <w:tcW w:w="8500" w:type="dxa"/>
            <w:vAlign w:val="bottom"/>
          </w:tcPr>
          <w:p>
            <w:pPr>
              <w:ind w:left="260"/>
              <w:spacing w:after="0"/>
              <w:rPr>
                <w:sz w:val="20"/>
                <w:szCs w:val="20"/>
                <w:color w:val="auto"/>
              </w:rPr>
            </w:pPr>
            <w:r>
              <w:rPr>
                <w:rFonts w:ascii="Arial" w:cs="Arial" w:eastAsia="Arial" w:hAnsi="Arial"/>
                <w:sz w:val="18"/>
                <w:szCs w:val="18"/>
                <w:color w:val="auto"/>
              </w:rPr>
              <w:t>Environmental Laws</w:t>
            </w: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5.9</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Plan Compliance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5.10</w:t>
            </w:r>
          </w:p>
        </w:tc>
        <w:tc>
          <w:tcPr>
            <w:tcW w:w="8500" w:type="dxa"/>
            <w:vAlign w:val="bottom"/>
          </w:tcPr>
          <w:p>
            <w:pPr>
              <w:ind w:left="260"/>
              <w:spacing w:after="0"/>
              <w:rPr>
                <w:sz w:val="20"/>
                <w:szCs w:val="20"/>
                <w:color w:val="auto"/>
              </w:rPr>
            </w:pPr>
            <w:r>
              <w:rPr>
                <w:rFonts w:ascii="Arial" w:cs="Arial" w:eastAsia="Arial" w:hAnsi="Arial"/>
                <w:sz w:val="18"/>
                <w:szCs w:val="18"/>
                <w:color w:val="auto"/>
              </w:rPr>
              <w:t>Additional Guarantors; Additional Collateral, Collateral Limitations.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5.11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Further Assurances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5.12</w:t>
            </w:r>
          </w:p>
        </w:tc>
        <w:tc>
          <w:tcPr>
            <w:tcW w:w="8500" w:type="dxa"/>
            <w:vAlign w:val="bottom"/>
          </w:tcPr>
          <w:p>
            <w:pPr>
              <w:ind w:left="260"/>
              <w:spacing w:after="0"/>
              <w:rPr>
                <w:sz w:val="20"/>
                <w:szCs w:val="20"/>
                <w:color w:val="auto"/>
              </w:rPr>
            </w:pPr>
            <w:r>
              <w:rPr>
                <w:rFonts w:ascii="Arial" w:cs="Arial" w:eastAsia="Arial" w:hAnsi="Arial"/>
                <w:sz w:val="18"/>
                <w:szCs w:val="18"/>
                <w:color w:val="auto"/>
              </w:rPr>
              <w:t>Post-Closing Covenants</w:t>
            </w:r>
          </w:p>
        </w:tc>
        <w:tc>
          <w:tcPr>
            <w:tcW w:w="1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5.13</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Use of Proceeds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5.14</w:t>
            </w:r>
          </w:p>
        </w:tc>
        <w:tc>
          <w:tcPr>
            <w:tcW w:w="8500" w:type="dxa"/>
            <w:vAlign w:val="bottom"/>
          </w:tcPr>
          <w:p>
            <w:pPr>
              <w:ind w:left="260"/>
              <w:spacing w:after="0"/>
              <w:rPr>
                <w:sz w:val="20"/>
                <w:szCs w:val="20"/>
                <w:color w:val="auto"/>
              </w:rPr>
            </w:pPr>
            <w:r>
              <w:rPr>
                <w:rFonts w:ascii="Arial" w:cs="Arial" w:eastAsia="Arial" w:hAnsi="Arial"/>
                <w:sz w:val="18"/>
                <w:szCs w:val="18"/>
                <w:color w:val="auto"/>
              </w:rPr>
              <w:t>Commodity Exchange Act Keepwell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w:t>
            </w:r>
          </w:p>
        </w:tc>
        <w:tc>
          <w:tcPr>
            <w:tcW w:w="8500" w:type="dxa"/>
            <w:vAlign w:val="bottom"/>
          </w:tcPr>
          <w:p>
            <w:pPr>
              <w:ind w:left="260"/>
              <w:spacing w:after="0"/>
              <w:rPr>
                <w:sz w:val="20"/>
                <w:szCs w:val="20"/>
                <w:color w:val="auto"/>
              </w:rPr>
            </w:pPr>
            <w:r>
              <w:rPr>
                <w:rFonts w:ascii="Arial" w:cs="Arial" w:eastAsia="Arial" w:hAnsi="Arial"/>
                <w:sz w:val="18"/>
                <w:szCs w:val="18"/>
                <w:color w:val="auto"/>
              </w:rPr>
              <w:t>NEGATIVE COVENANTS</w:t>
            </w:r>
          </w:p>
        </w:tc>
        <w:tc>
          <w:tcPr>
            <w:tcW w:w="152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Limitation on Restricted Payments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6.2</w:t>
            </w:r>
          </w:p>
        </w:tc>
        <w:tc>
          <w:tcPr>
            <w:tcW w:w="8500" w:type="dxa"/>
            <w:vAlign w:val="bottom"/>
          </w:tcPr>
          <w:p>
            <w:pPr>
              <w:ind w:left="26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6.4</w:t>
            </w:r>
          </w:p>
        </w:tc>
        <w:tc>
          <w:tcPr>
            <w:tcW w:w="8500" w:type="dxa"/>
            <w:vAlign w:val="bottom"/>
          </w:tcPr>
          <w:p>
            <w:pPr>
              <w:ind w:left="260"/>
              <w:spacing w:after="0"/>
              <w:rPr>
                <w:sz w:val="20"/>
                <w:szCs w:val="20"/>
                <w:color w:val="auto"/>
              </w:rPr>
            </w:pPr>
            <w:r>
              <w:rPr>
                <w:rFonts w:ascii="Arial" w:cs="Arial" w:eastAsia="Arial" w:hAnsi="Arial"/>
                <w:sz w:val="18"/>
                <w:szCs w:val="18"/>
                <w:color w:val="auto"/>
              </w:rPr>
              <w:t>Asset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6.5</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Transactions with Affiliates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6.6</w:t>
            </w:r>
          </w:p>
        </w:tc>
        <w:tc>
          <w:tcPr>
            <w:tcW w:w="8500" w:type="dxa"/>
            <w:vAlign w:val="bottom"/>
          </w:tcPr>
          <w:p>
            <w:pPr>
              <w:ind w:left="260"/>
              <w:spacing w:after="0"/>
              <w:rPr>
                <w:sz w:val="20"/>
                <w:szCs w:val="20"/>
                <w:color w:val="auto"/>
              </w:rPr>
            </w:pPr>
            <w:r>
              <w:rPr>
                <w:rFonts w:ascii="Arial" w:cs="Arial" w:eastAsia="Arial" w:hAnsi="Arial"/>
                <w:sz w:val="18"/>
                <w:szCs w:val="18"/>
                <w:color w:val="auto"/>
              </w:rPr>
              <w:t>Liens</w:t>
            </w: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6.7</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[Reserved].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6.8</w:t>
            </w:r>
          </w:p>
        </w:tc>
        <w:tc>
          <w:tcPr>
            <w:tcW w:w="8500" w:type="dxa"/>
            <w:vAlign w:val="bottom"/>
          </w:tcPr>
          <w:p>
            <w:pPr>
              <w:ind w:left="26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6.9</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 Consolidation or Sale of All or Substantially All Assets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6.10</w:t>
            </w:r>
          </w:p>
        </w:tc>
        <w:tc>
          <w:tcPr>
            <w:tcW w:w="8500" w:type="dxa"/>
            <w:vAlign w:val="bottom"/>
          </w:tcPr>
          <w:p>
            <w:pPr>
              <w:ind w:left="260"/>
              <w:spacing w:after="0"/>
              <w:rPr>
                <w:sz w:val="20"/>
                <w:szCs w:val="20"/>
                <w:color w:val="auto"/>
              </w:rPr>
            </w:pPr>
            <w:r>
              <w:rPr>
                <w:rFonts w:ascii="Arial" w:cs="Arial" w:eastAsia="Arial" w:hAnsi="Arial"/>
                <w:sz w:val="18"/>
                <w:szCs w:val="18"/>
                <w:color w:val="auto"/>
              </w:rPr>
              <w:t>Financial Covenants</w:t>
            </w: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22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w:t>
            </w:r>
          </w:p>
        </w:tc>
        <w:tc>
          <w:tcPr>
            <w:tcW w:w="850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152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7.1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Events of Default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7.2</w:t>
            </w:r>
          </w:p>
        </w:tc>
        <w:tc>
          <w:tcPr>
            <w:tcW w:w="8500" w:type="dxa"/>
            <w:vAlign w:val="bottom"/>
          </w:tcPr>
          <w:p>
            <w:pPr>
              <w:ind w:left="260"/>
              <w:spacing w:after="0"/>
              <w:rPr>
                <w:sz w:val="20"/>
                <w:szCs w:val="20"/>
                <w:color w:val="auto"/>
              </w:rPr>
            </w:pPr>
            <w:r>
              <w:rPr>
                <w:rFonts w:ascii="Arial" w:cs="Arial" w:eastAsia="Arial" w:hAnsi="Arial"/>
                <w:sz w:val="18"/>
                <w:szCs w:val="18"/>
                <w:color w:val="auto"/>
              </w:rPr>
              <w:t>Application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2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w:t>
            </w:r>
          </w:p>
        </w:tc>
        <w:tc>
          <w:tcPr>
            <w:tcW w:w="8500" w:type="dxa"/>
            <w:vAlign w:val="bottom"/>
          </w:tcPr>
          <w:p>
            <w:pPr>
              <w:ind w:left="260"/>
              <w:spacing w:after="0"/>
              <w:rPr>
                <w:sz w:val="20"/>
                <w:szCs w:val="20"/>
                <w:color w:val="auto"/>
              </w:rPr>
            </w:pPr>
            <w:r>
              <w:rPr>
                <w:rFonts w:ascii="Arial" w:cs="Arial" w:eastAsia="Arial" w:hAnsi="Arial"/>
                <w:sz w:val="18"/>
                <w:szCs w:val="18"/>
                <w:color w:val="auto"/>
              </w:rPr>
              <w:t>THE ADMINISTRATIVE AGENT AND THE COLLATERAL AGENT.</w:t>
            </w:r>
          </w:p>
        </w:tc>
        <w:tc>
          <w:tcPr>
            <w:tcW w:w="152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Appointment and Authority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8.2</w:t>
            </w:r>
          </w:p>
        </w:tc>
        <w:tc>
          <w:tcPr>
            <w:tcW w:w="8500" w:type="dxa"/>
            <w:vAlign w:val="bottom"/>
          </w:tcPr>
          <w:p>
            <w:pPr>
              <w:ind w:left="260"/>
              <w:spacing w:after="0"/>
              <w:rPr>
                <w:sz w:val="20"/>
                <w:szCs w:val="20"/>
                <w:color w:val="auto"/>
              </w:rPr>
            </w:pPr>
            <w:r>
              <w:rPr>
                <w:rFonts w:ascii="Arial" w:cs="Arial" w:eastAsia="Arial" w:hAnsi="Arial"/>
                <w:sz w:val="18"/>
                <w:szCs w:val="18"/>
                <w:color w:val="auto"/>
              </w:rPr>
              <w:t>Rights as a Lender</w:t>
            </w:r>
          </w:p>
        </w:tc>
        <w:tc>
          <w:tcPr>
            <w:tcW w:w="152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Exculpatory Provisions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8.4</w:t>
            </w:r>
          </w:p>
        </w:tc>
        <w:tc>
          <w:tcPr>
            <w:tcW w:w="7900" w:type="dxa"/>
            <w:vAlign w:val="bottom"/>
          </w:tcPr>
          <w:p>
            <w:pPr>
              <w:ind w:left="400"/>
              <w:spacing w:after="0"/>
              <w:rPr>
                <w:sz w:val="20"/>
                <w:szCs w:val="20"/>
                <w:color w:val="auto"/>
              </w:rPr>
            </w:pPr>
            <w:r>
              <w:rPr>
                <w:rFonts w:ascii="Arial" w:cs="Arial" w:eastAsia="Arial" w:hAnsi="Arial"/>
                <w:sz w:val="18"/>
                <w:szCs w:val="18"/>
                <w:color w:val="auto"/>
              </w:rPr>
              <w:t>Reliance by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8.5</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Delegation of Duties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8.6</w:t>
            </w:r>
          </w:p>
        </w:tc>
        <w:tc>
          <w:tcPr>
            <w:tcW w:w="7900" w:type="dxa"/>
            <w:vAlign w:val="bottom"/>
          </w:tcPr>
          <w:p>
            <w:pPr>
              <w:ind w:left="400"/>
              <w:spacing w:after="0"/>
              <w:rPr>
                <w:sz w:val="20"/>
                <w:szCs w:val="20"/>
                <w:color w:val="auto"/>
              </w:rPr>
            </w:pPr>
            <w:r>
              <w:rPr>
                <w:rFonts w:ascii="Arial" w:cs="Arial" w:eastAsia="Arial" w:hAnsi="Arial"/>
                <w:sz w:val="18"/>
                <w:szCs w:val="18"/>
                <w:color w:val="auto"/>
              </w:rPr>
              <w:t>Resignation of the Agents</w:t>
            </w:r>
          </w:p>
        </w:tc>
        <w:tc>
          <w:tcPr>
            <w:tcW w:w="22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8.7</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Non-Reliance on the Agents and Other Lenders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8.8</w:t>
            </w:r>
          </w:p>
        </w:tc>
        <w:tc>
          <w:tcPr>
            <w:tcW w:w="7900" w:type="dxa"/>
            <w:vAlign w:val="bottom"/>
          </w:tcPr>
          <w:p>
            <w:pPr>
              <w:ind w:left="400"/>
              <w:spacing w:after="0"/>
              <w:rPr>
                <w:sz w:val="20"/>
                <w:szCs w:val="20"/>
                <w:color w:val="auto"/>
              </w:rPr>
            </w:pPr>
            <w:r>
              <w:rPr>
                <w:rFonts w:ascii="Arial" w:cs="Arial" w:eastAsia="Arial" w:hAnsi="Arial"/>
                <w:sz w:val="18"/>
                <w:szCs w:val="18"/>
                <w:color w:val="auto"/>
              </w:rPr>
              <w:t>No Other Duties, Etc.</w:t>
            </w:r>
          </w:p>
        </w:tc>
        <w:tc>
          <w:tcPr>
            <w:tcW w:w="22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8.9</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Agent May File Proofs of Claim</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8.10</w:t>
            </w:r>
          </w:p>
        </w:tc>
        <w:tc>
          <w:tcPr>
            <w:tcW w:w="7900" w:type="dxa"/>
            <w:vAlign w:val="bottom"/>
          </w:tcPr>
          <w:p>
            <w:pPr>
              <w:ind w:left="400"/>
              <w:spacing w:after="0"/>
              <w:rPr>
                <w:sz w:val="20"/>
                <w:szCs w:val="20"/>
                <w:color w:val="auto"/>
              </w:rPr>
            </w:pPr>
            <w:r>
              <w:rPr>
                <w:rFonts w:ascii="Arial" w:cs="Arial" w:eastAsia="Arial" w:hAnsi="Arial"/>
                <w:sz w:val="18"/>
                <w:szCs w:val="18"/>
                <w:color w:val="auto"/>
              </w:rPr>
              <w:t>Collateral and Guaranty Matters; Rights Under Hedge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8.11</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Withholding Taxes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8.12</w:t>
            </w:r>
          </w:p>
        </w:tc>
        <w:tc>
          <w:tcPr>
            <w:tcW w:w="7900" w:type="dxa"/>
            <w:vAlign w:val="bottom"/>
          </w:tcPr>
          <w:p>
            <w:pPr>
              <w:ind w:left="400"/>
              <w:spacing w:after="0"/>
              <w:rPr>
                <w:sz w:val="20"/>
                <w:szCs w:val="20"/>
                <w:color w:val="auto"/>
              </w:rPr>
            </w:pPr>
            <w:r>
              <w:rPr>
                <w:rFonts w:ascii="Arial" w:cs="Arial" w:eastAsia="Arial" w:hAnsi="Arial"/>
                <w:sz w:val="18"/>
                <w:szCs w:val="18"/>
                <w:color w:val="auto"/>
              </w:rPr>
              <w:t>Intercreditor and Subordination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8.13</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Bidding</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8.14</w:t>
            </w:r>
          </w:p>
        </w:tc>
        <w:tc>
          <w:tcPr>
            <w:tcW w:w="7900" w:type="dxa"/>
            <w:vAlign w:val="bottom"/>
          </w:tcPr>
          <w:p>
            <w:pPr>
              <w:ind w:left="400"/>
              <w:spacing w:after="0"/>
              <w:rPr>
                <w:sz w:val="20"/>
                <w:szCs w:val="20"/>
                <w:color w:val="auto"/>
              </w:rPr>
            </w:pPr>
            <w:r>
              <w:rPr>
                <w:rFonts w:ascii="Arial" w:cs="Arial" w:eastAsia="Arial" w:hAnsi="Arial"/>
                <w:sz w:val="18"/>
                <w:szCs w:val="18"/>
                <w:color w:val="auto"/>
              </w:rPr>
              <w:t>Return of Certain Payments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0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7900" w:type="dxa"/>
            <w:vAlign w:val="bottom"/>
          </w:tcPr>
          <w:p>
            <w:pPr>
              <w:ind w:left="400"/>
              <w:spacing w:after="0"/>
              <w:rPr>
                <w:sz w:val="20"/>
                <w:szCs w:val="20"/>
                <w:color w:val="auto"/>
              </w:rPr>
            </w:pPr>
            <w:r>
              <w:rPr>
                <w:rFonts w:ascii="Arial" w:cs="Arial" w:eastAsia="Arial" w:hAnsi="Arial"/>
                <w:sz w:val="18"/>
                <w:szCs w:val="18"/>
                <w:color w:val="auto"/>
              </w:rPr>
              <w:t>MISCELLANEOUS</w:t>
            </w:r>
          </w:p>
        </w:tc>
        <w:tc>
          <w:tcPr>
            <w:tcW w:w="22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Amendments and Waivers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w:t>
            </w:r>
          </w:p>
        </w:tc>
        <w:tc>
          <w:tcPr>
            <w:tcW w:w="7900" w:type="dxa"/>
            <w:vAlign w:val="bottom"/>
          </w:tcPr>
          <w:p>
            <w:pPr>
              <w:ind w:left="400"/>
              <w:spacing w:after="0"/>
              <w:rPr>
                <w:sz w:val="20"/>
                <w:szCs w:val="20"/>
                <w:color w:val="auto"/>
              </w:rPr>
            </w:pPr>
            <w:r>
              <w:rPr>
                <w:rFonts w:ascii="Arial" w:cs="Arial" w:eastAsia="Arial" w:hAnsi="Arial"/>
                <w:sz w:val="18"/>
                <w:szCs w:val="18"/>
                <w:color w:val="auto"/>
              </w:rPr>
              <w:t>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9.3</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Waiver; Cumulative Remedies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9.4</w:t>
            </w:r>
          </w:p>
        </w:tc>
        <w:tc>
          <w:tcPr>
            <w:tcW w:w="7900" w:type="dxa"/>
            <w:vAlign w:val="bottom"/>
          </w:tcPr>
          <w:p>
            <w:pPr>
              <w:ind w:left="400"/>
              <w:spacing w:after="0"/>
              <w:rPr>
                <w:sz w:val="20"/>
                <w:szCs w:val="20"/>
                <w:color w:val="auto"/>
              </w:rPr>
            </w:pPr>
            <w:r>
              <w:rPr>
                <w:rFonts w:ascii="Arial" w:cs="Arial" w:eastAsia="Arial" w:hAnsi="Arial"/>
                <w:sz w:val="18"/>
                <w:szCs w:val="18"/>
                <w:color w:val="auto"/>
              </w:rPr>
              <w:t>Survival of Representations and Warranties</w:t>
            </w:r>
          </w:p>
        </w:tc>
        <w:tc>
          <w:tcPr>
            <w:tcW w:w="22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9.5</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Expenses; Indemnification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9.6</w:t>
            </w:r>
          </w:p>
        </w:tc>
        <w:tc>
          <w:tcPr>
            <w:tcW w:w="7900" w:type="dxa"/>
            <w:vAlign w:val="bottom"/>
          </w:tcPr>
          <w:p>
            <w:pPr>
              <w:ind w:left="400"/>
              <w:spacing w:after="0"/>
              <w:rPr>
                <w:sz w:val="20"/>
                <w:szCs w:val="20"/>
                <w:color w:val="auto"/>
              </w:rPr>
            </w:pPr>
            <w:r>
              <w:rPr>
                <w:rFonts w:ascii="Arial" w:cs="Arial" w:eastAsia="Arial" w:hAnsi="Arial"/>
                <w:sz w:val="18"/>
                <w:szCs w:val="18"/>
                <w:color w:val="auto"/>
              </w:rPr>
              <w:t>Successors and Assigns; Participations and Assignments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9.7</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Set-off</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9.8</w:t>
            </w:r>
          </w:p>
        </w:tc>
        <w:tc>
          <w:tcPr>
            <w:tcW w:w="790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9.9</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Severability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9.10</w:t>
            </w:r>
          </w:p>
        </w:tc>
        <w:tc>
          <w:tcPr>
            <w:tcW w:w="7900" w:type="dxa"/>
            <w:vAlign w:val="bottom"/>
          </w:tcPr>
          <w:p>
            <w:pPr>
              <w:ind w:left="400"/>
              <w:spacing w:after="0"/>
              <w:rPr>
                <w:sz w:val="20"/>
                <w:szCs w:val="20"/>
                <w:color w:val="auto"/>
              </w:rPr>
            </w:pPr>
            <w:r>
              <w:rPr>
                <w:rFonts w:ascii="Arial" w:cs="Arial" w:eastAsia="Arial" w:hAnsi="Arial"/>
                <w:sz w:val="18"/>
                <w:szCs w:val="18"/>
                <w:color w:val="auto"/>
              </w:rPr>
              <w:t>Integration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9.11</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GOVERNING LAW</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9.12</w:t>
            </w:r>
          </w:p>
        </w:tc>
        <w:tc>
          <w:tcPr>
            <w:tcW w:w="7900" w:type="dxa"/>
            <w:vAlign w:val="bottom"/>
          </w:tcPr>
          <w:p>
            <w:pPr>
              <w:ind w:left="400"/>
              <w:spacing w:after="0"/>
              <w:rPr>
                <w:sz w:val="20"/>
                <w:szCs w:val="20"/>
                <w:color w:val="auto"/>
              </w:rPr>
            </w:pPr>
            <w:r>
              <w:rPr>
                <w:rFonts w:ascii="Arial" w:cs="Arial" w:eastAsia="Arial" w:hAnsi="Arial"/>
                <w:sz w:val="18"/>
                <w:szCs w:val="18"/>
                <w:color w:val="auto"/>
              </w:rPr>
              <w:t>Submission To Jurisdiction; Waivers</w:t>
            </w:r>
          </w:p>
        </w:tc>
        <w:tc>
          <w:tcPr>
            <w:tcW w:w="22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9.13</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Acknowledgments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9.14</w:t>
            </w:r>
          </w:p>
        </w:tc>
        <w:tc>
          <w:tcPr>
            <w:tcW w:w="7900" w:type="dxa"/>
            <w:vAlign w:val="bottom"/>
          </w:tcPr>
          <w:p>
            <w:pPr>
              <w:ind w:left="400"/>
              <w:spacing w:after="0"/>
              <w:rPr>
                <w:sz w:val="20"/>
                <w:szCs w:val="20"/>
                <w:color w:val="auto"/>
              </w:rPr>
            </w:pPr>
            <w:r>
              <w:rPr>
                <w:rFonts w:ascii="Arial" w:cs="Arial" w:eastAsia="Arial" w:hAnsi="Arial"/>
                <w:sz w:val="18"/>
                <w:szCs w:val="18"/>
                <w:color w:val="auto"/>
              </w:rPr>
              <w:t>Confidentiality</w:t>
            </w:r>
          </w:p>
        </w:tc>
        <w:tc>
          <w:tcPr>
            <w:tcW w:w="22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9.15</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Section 9.16</w:t>
            </w:r>
          </w:p>
        </w:tc>
        <w:tc>
          <w:tcPr>
            <w:tcW w:w="7900" w:type="dxa"/>
            <w:vAlign w:val="bottom"/>
          </w:tcPr>
          <w:p>
            <w:pPr>
              <w:ind w:left="400"/>
              <w:spacing w:after="0"/>
              <w:rPr>
                <w:sz w:val="20"/>
                <w:szCs w:val="20"/>
                <w:color w:val="auto"/>
              </w:rPr>
            </w:pPr>
            <w:r>
              <w:rPr>
                <w:rFonts w:ascii="Arial" w:cs="Arial" w:eastAsia="Arial" w:hAnsi="Arial"/>
                <w:sz w:val="18"/>
                <w:szCs w:val="18"/>
                <w:b w:val="1"/>
                <w:bCs w:val="1"/>
                <w:color w:val="auto"/>
              </w:rPr>
              <w:t>WAIVERS OF JURY TRIAL</w:t>
            </w:r>
          </w:p>
        </w:tc>
        <w:tc>
          <w:tcPr>
            <w:tcW w:w="22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9.17</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 of Currencies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9.18</w:t>
            </w:r>
          </w:p>
        </w:tc>
        <w:tc>
          <w:tcPr>
            <w:tcW w:w="7900" w:type="dxa"/>
            <w:vAlign w:val="bottom"/>
          </w:tcPr>
          <w:p>
            <w:pPr>
              <w:ind w:left="400"/>
              <w:spacing w:after="0"/>
              <w:rPr>
                <w:sz w:val="20"/>
                <w:szCs w:val="20"/>
                <w:color w:val="auto"/>
              </w:rPr>
            </w:pPr>
            <w:r>
              <w:rPr>
                <w:rFonts w:ascii="Arial" w:cs="Arial" w:eastAsia="Arial" w:hAnsi="Arial"/>
                <w:sz w:val="18"/>
                <w:szCs w:val="18"/>
                <w:color w:val="auto"/>
              </w:rPr>
              <w:t>USA PATRIOT ACT</w:t>
            </w:r>
          </w:p>
        </w:tc>
        <w:tc>
          <w:tcPr>
            <w:tcW w:w="22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9.19</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Set Aside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9.20</w:t>
            </w:r>
          </w:p>
        </w:tc>
        <w:tc>
          <w:tcPr>
            <w:tcW w:w="7900" w:type="dxa"/>
            <w:vAlign w:val="bottom"/>
          </w:tcPr>
          <w:p>
            <w:pPr>
              <w:ind w:left="400"/>
              <w:spacing w:after="0"/>
              <w:rPr>
                <w:sz w:val="20"/>
                <w:szCs w:val="20"/>
                <w:color w:val="auto"/>
              </w:rPr>
            </w:pPr>
            <w:r>
              <w:rPr>
                <w:rFonts w:ascii="Arial" w:cs="Arial" w:eastAsia="Arial" w:hAnsi="Arial"/>
                <w:sz w:val="18"/>
                <w:szCs w:val="18"/>
                <w:color w:val="auto"/>
              </w:rPr>
              <w:t>Releases of Collateral and Guarantees</w:t>
            </w:r>
          </w:p>
        </w:tc>
        <w:tc>
          <w:tcPr>
            <w:tcW w:w="22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9.21</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9.22</w:t>
            </w:r>
          </w:p>
        </w:tc>
        <w:tc>
          <w:tcPr>
            <w:tcW w:w="7900" w:type="dxa"/>
            <w:vAlign w:val="bottom"/>
          </w:tcPr>
          <w:p>
            <w:pPr>
              <w:ind w:left="400"/>
              <w:spacing w:after="0"/>
              <w:rPr>
                <w:sz w:val="20"/>
                <w:szCs w:val="20"/>
                <w:color w:val="auto"/>
              </w:rPr>
            </w:pPr>
            <w:r>
              <w:rPr>
                <w:rFonts w:ascii="Arial" w:cs="Arial" w:eastAsia="Arial" w:hAnsi="Arial"/>
                <w:sz w:val="18"/>
                <w:szCs w:val="18"/>
                <w:color w:val="auto"/>
              </w:rPr>
              <w:t>Acknowledgment Regarding Any Supported QFCs.</w:t>
            </w:r>
          </w:p>
        </w:tc>
        <w:tc>
          <w:tcPr>
            <w:tcW w:w="22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9.23</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Intercreditor Agreement.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9.24</w:t>
            </w:r>
          </w:p>
        </w:tc>
        <w:tc>
          <w:tcPr>
            <w:tcW w:w="7900" w:type="dxa"/>
            <w:vAlign w:val="bottom"/>
          </w:tcPr>
          <w:p>
            <w:pPr>
              <w:ind w:left="400"/>
              <w:spacing w:after="0"/>
              <w:rPr>
                <w:sz w:val="20"/>
                <w:szCs w:val="20"/>
                <w:color w:val="auto"/>
              </w:rPr>
            </w:pPr>
            <w:r>
              <w:rPr>
                <w:rFonts w:ascii="Arial" w:cs="Arial" w:eastAsia="Arial" w:hAnsi="Arial"/>
                <w:sz w:val="18"/>
                <w:szCs w:val="18"/>
                <w:color w:val="auto"/>
              </w:rPr>
              <w:t>No Fiduciary Duty.</w:t>
            </w:r>
          </w:p>
        </w:tc>
        <w:tc>
          <w:tcPr>
            <w:tcW w:w="22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9.25</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 Limitation.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0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10.</w:t>
            </w: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GUARANTEES</w:t>
            </w:r>
          </w:p>
        </w:tc>
        <w:tc>
          <w:tcPr>
            <w:tcW w:w="2260" w:type="dxa"/>
            <w:vAlign w:val="bottom"/>
            <w:shd w:val="clear" w:color="auto" w:fill="CCEEFF"/>
          </w:tcPr>
          <w:p>
            <w:pPr>
              <w:spacing w:after="0"/>
              <w:rPr>
                <w:sz w:val="18"/>
                <w:szCs w:val="18"/>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226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1.1A</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w:t>
            </w:r>
          </w:p>
        </w:tc>
        <w:tc>
          <w:tcPr>
            <w:tcW w:w="226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3.15</w:t>
            </w:r>
          </w:p>
        </w:tc>
        <w:tc>
          <w:tcPr>
            <w:tcW w:w="790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2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3.19</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Filing Jurisdictions</w:t>
            </w:r>
          </w:p>
        </w:tc>
        <w:tc>
          <w:tcPr>
            <w:tcW w:w="226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5.12</w:t>
            </w:r>
          </w:p>
        </w:tc>
        <w:tc>
          <w:tcPr>
            <w:tcW w:w="7900" w:type="dxa"/>
            <w:vAlign w:val="bottom"/>
          </w:tcPr>
          <w:p>
            <w:pPr>
              <w:ind w:left="60"/>
              <w:spacing w:after="0"/>
              <w:rPr>
                <w:sz w:val="20"/>
                <w:szCs w:val="20"/>
                <w:color w:val="auto"/>
              </w:rPr>
            </w:pPr>
            <w:r>
              <w:rPr>
                <w:rFonts w:ascii="Arial" w:cs="Arial" w:eastAsia="Arial" w:hAnsi="Arial"/>
                <w:sz w:val="18"/>
                <w:szCs w:val="18"/>
                <w:color w:val="auto"/>
              </w:rPr>
              <w:t>Post-Closing Matters</w:t>
            </w:r>
          </w:p>
        </w:tc>
        <w:tc>
          <w:tcPr>
            <w:tcW w:w="22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Appendix A</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Addresses</w:t>
            </w:r>
          </w:p>
        </w:tc>
        <w:tc>
          <w:tcPr>
            <w:tcW w:w="2260" w:type="dxa"/>
            <w:vAlign w:val="bottom"/>
            <w:shd w:val="clear" w:color="auto" w:fill="CCEEFF"/>
          </w:tcPr>
          <w:p>
            <w:pPr>
              <w:spacing w:after="0"/>
              <w:rPr>
                <w:sz w:val="18"/>
                <w:szCs w:val="18"/>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of Assignment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of Loan Note</w:t>
      </w:r>
    </w:p>
    <w:p>
      <w:pPr>
        <w:spacing w:after="0" w:line="9"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of Solvency Certificate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Form of Funding Notice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Conversion/Continuation Notice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F-1</w:t>
      </w:r>
      <w:r>
        <w:rPr>
          <w:rFonts w:ascii="Arial" w:cs="Arial" w:eastAsia="Arial" w:hAnsi="Arial"/>
          <w:sz w:val="16"/>
          <w:szCs w:val="16"/>
          <w:color w:val="auto"/>
        </w:rPr>
        <w:t>Form of U.S. Tax Compliance Certificate (For Foreign Lenders that are Not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F-2</w:t>
      </w:r>
      <w:r>
        <w:rPr>
          <w:rFonts w:ascii="Arial" w:cs="Arial" w:eastAsia="Arial" w:hAnsi="Arial"/>
          <w:sz w:val="16"/>
          <w:szCs w:val="16"/>
          <w:color w:val="auto"/>
        </w:rPr>
        <w:t>Form of U.S. Tax Compliance Certificate (For Foreign Participants that are Not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F-3</w:t>
      </w:r>
      <w:r>
        <w:rPr>
          <w:rFonts w:ascii="Arial" w:cs="Arial" w:eastAsia="Arial" w:hAnsi="Arial"/>
          <w:sz w:val="16"/>
          <w:szCs w:val="16"/>
          <w:color w:val="auto"/>
        </w:rPr>
        <w:t>Form of U.S. Tax Compliance Certificate (For Foreign Participants that are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F-4</w:t>
      </w:r>
      <w:r>
        <w:rPr>
          <w:rFonts w:ascii="Arial" w:cs="Arial" w:eastAsia="Arial" w:hAnsi="Arial"/>
          <w:sz w:val="16"/>
          <w:szCs w:val="16"/>
          <w:color w:val="auto"/>
        </w:rPr>
        <w:t>Form of U.S. Tax Compliance Certificate (For Foreign Lenders that are Partnerships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sectPr>
      </w:pPr>
    </w:p>
    <w:bookmarkStart w:id="46" w:name="page47"/>
    <w:bookmarkEnd w:id="46"/>
    <w:p>
      <w:pPr>
        <w:jc w:val="both"/>
        <w:ind w:firstLine="648"/>
        <w:spacing w:after="0" w:line="235" w:lineRule="auto"/>
        <w:rPr>
          <w:sz w:val="20"/>
          <w:szCs w:val="20"/>
          <w:color w:val="auto"/>
        </w:rPr>
      </w:pPr>
      <w:r>
        <w:rPr>
          <w:rFonts w:ascii="Arial" w:cs="Arial" w:eastAsia="Arial" w:hAnsi="Arial"/>
          <w:sz w:val="22"/>
          <w:szCs w:val="22"/>
          <w:color w:val="auto"/>
        </w:rPr>
        <w:t>CREDIT AGREEMENT, dated as of April 15, 2021 among NEW FORTRESS ENERGY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Guarantors (as defined herein) from time to time party hereto, the Lenders (as defined herein), the Issuing Banks (as defined herein) and MORGAN STANLEY SENIOR FUNDING, INC. (“</w:t>
      </w:r>
      <w:r>
        <w:rPr>
          <w:rFonts w:ascii="Arial" w:cs="Arial" w:eastAsia="Arial" w:hAnsi="Arial"/>
          <w:sz w:val="22"/>
          <w:szCs w:val="22"/>
          <w:u w:val="single" w:color="auto"/>
          <w:color w:val="auto"/>
        </w:rPr>
        <w:t>MSSF</w:t>
      </w:r>
      <w:r>
        <w:rPr>
          <w:rFonts w:ascii="Arial" w:cs="Arial" w:eastAsia="Arial" w:hAnsi="Arial"/>
          <w:sz w:val="22"/>
          <w:szCs w:val="22"/>
          <w:color w:val="auto"/>
        </w:rPr>
        <w:t>”), as administrative agent for the Lenders (in such capacity, together with any successor appointed in accordance with Section 8.6,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as collateral agent for the Secured Parties (in such capacity, together with any successor appointed in accordance with Section 8.6,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capitalized terms used in these recitals and not otherwise defined shall have the respective meanings set forth for such terms in Section 1.1;</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$200,000,000 at any time (the “</w:t>
      </w:r>
      <w:r>
        <w:rPr>
          <w:rFonts w:ascii="Arial" w:cs="Arial" w:eastAsia="Arial" w:hAnsi="Arial"/>
          <w:sz w:val="19"/>
          <w:szCs w:val="19"/>
          <w:u w:val="single" w:color="auto"/>
          <w:color w:val="auto"/>
        </w:rPr>
        <w:t>Revolving Loan Facility</w:t>
      </w:r>
      <w:r>
        <w:rPr>
          <w:rFonts w:ascii="Arial" w:cs="Arial" w:eastAsia="Arial" w:hAnsi="Arial"/>
          <w:sz w:val="19"/>
          <w:szCs w:val="19"/>
          <w:color w:val="auto"/>
        </w:rPr>
        <w:t>”); and</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(i) the proceeds of the Loans will be used for working capital and other general corporate purposes (including permitted acquisitions and other investments, including the Hygo Acquisition and the Golar Acquisition) and (ii) the Letters of Credit will be used for general corporate purposes.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in consideration of the premises and mutual agreements contained herein, the parties hereto agree as follows: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DEFINITIONS</w:t>
      </w:r>
    </w:p>
    <w:p>
      <w:pPr>
        <w:spacing w:after="0" w:line="233"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terms listed in this Section 1.1 shall have the respective meanings set forth in this Section 1.1.</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2025 Additional Notes</w:t>
      </w:r>
      <w:r>
        <w:rPr>
          <w:rFonts w:ascii="Arial" w:cs="Arial" w:eastAsia="Arial" w:hAnsi="Arial"/>
          <w:sz w:val="22"/>
          <w:szCs w:val="22"/>
          <w:color w:val="auto"/>
        </w:rPr>
        <w:t>”: 2025 Notes (other than the Initial Notes, as defined in the 2025 Notes Indenture) issued from time to time under the 2025 Notes Indenture in accordance with Sections 2.01, 4.09 and 4.12 thereof, as part of the same series as the Initial Notes.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2025 Note Guarantee</w:t>
      </w:r>
      <w:r>
        <w:rPr>
          <w:rFonts w:ascii="Arial" w:cs="Arial" w:eastAsia="Arial" w:hAnsi="Arial"/>
          <w:sz w:val="22"/>
          <w:szCs w:val="22"/>
          <w:color w:val="auto"/>
        </w:rPr>
        <w:t>”: a “Note Guarantee” as defined in the 2025 Notes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2025 Notes</w:t>
      </w:r>
      <w:r>
        <w:rPr>
          <w:rFonts w:ascii="Arial" w:cs="Arial" w:eastAsia="Arial" w:hAnsi="Arial"/>
          <w:sz w:val="22"/>
          <w:szCs w:val="22"/>
          <w:color w:val="auto"/>
        </w:rPr>
        <w:t>”: the “Notes” as defined in the 2025 Notes Indenture.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2025 Notes Indenture</w:t>
      </w:r>
      <w:r>
        <w:rPr>
          <w:rFonts w:ascii="Arial" w:cs="Arial" w:eastAsia="Arial" w:hAnsi="Arial"/>
          <w:sz w:val="22"/>
          <w:szCs w:val="22"/>
          <w:color w:val="auto"/>
        </w:rPr>
        <w:t>”: that certain Indenture, dated as of September 2, 2020, by and between the Borrower, as issuer, the Guarantors from time to time party thereto and U.S. Bank National Association, as trustee and notes collateral agent, as in effect on the Closing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2025 Secured Notes Obligations</w:t>
      </w:r>
      <w:r>
        <w:rPr>
          <w:rFonts w:ascii="Arial" w:cs="Arial" w:eastAsia="Arial" w:hAnsi="Arial"/>
          <w:sz w:val="22"/>
          <w:szCs w:val="22"/>
          <w:color w:val="auto"/>
        </w:rPr>
        <w:t>”: the “Secured Notes Obligations” as defined in the 2025 Notes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2025 Secured Notes Secured Parties</w:t>
      </w:r>
      <w:r>
        <w:rPr>
          <w:rFonts w:ascii="Arial" w:cs="Arial" w:eastAsia="Arial" w:hAnsi="Arial"/>
          <w:sz w:val="19"/>
          <w:szCs w:val="19"/>
          <w:color w:val="auto"/>
        </w:rPr>
        <w:t>”: the “Secured Notes Secured Parties” as defined in the 2025 Notes Indenture.</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Additional Notes</w:t>
      </w:r>
      <w:r>
        <w:rPr>
          <w:rFonts w:ascii="Arial" w:cs="Arial" w:eastAsia="Arial" w:hAnsi="Arial"/>
          <w:sz w:val="22"/>
          <w:szCs w:val="22"/>
          <w:color w:val="auto"/>
        </w:rPr>
        <w:t>”: 2026 Notes (other than the Initial Notes, as defined in the 2026 Notes Indenture) issued from time to time under the 2026 Notes Indenture in accordance with Sections 2.01, 4.09 and 4.12 thereof, as part of the same series as the Initial Notes.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Note Guarantee</w:t>
      </w:r>
      <w:r>
        <w:rPr>
          <w:rFonts w:ascii="Arial" w:cs="Arial" w:eastAsia="Arial" w:hAnsi="Arial"/>
          <w:sz w:val="22"/>
          <w:szCs w:val="22"/>
          <w:color w:val="auto"/>
        </w:rPr>
        <w:t>”: a “Note Guarantee” as defined in the 2026 Notes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Notes</w:t>
      </w:r>
      <w:r>
        <w:rPr>
          <w:rFonts w:ascii="Arial" w:cs="Arial" w:eastAsia="Arial" w:hAnsi="Arial"/>
          <w:sz w:val="22"/>
          <w:szCs w:val="22"/>
          <w:color w:val="auto"/>
        </w:rPr>
        <w:t>”: the “Notes” as defined in the 2026 Notes Indenture.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Notes Indenture</w:t>
      </w:r>
      <w:r>
        <w:rPr>
          <w:rFonts w:ascii="Arial" w:cs="Arial" w:eastAsia="Arial" w:hAnsi="Arial"/>
          <w:sz w:val="22"/>
          <w:szCs w:val="22"/>
          <w:color w:val="auto"/>
        </w:rPr>
        <w:t>”: that certain Indenture, dated as of April 12, 2021, by and between the Borrower, as issuer, the Guarantors from time to time party thereto and U.S. Bank National Association, as trustee and notes collateral agent, as in effect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Secured Notes Obligations</w:t>
      </w:r>
      <w:r>
        <w:rPr>
          <w:rFonts w:ascii="Arial" w:cs="Arial" w:eastAsia="Arial" w:hAnsi="Arial"/>
          <w:sz w:val="22"/>
          <w:szCs w:val="22"/>
          <w:color w:val="auto"/>
        </w:rPr>
        <w:t>”: the “Secured Notes Obligations” as defined in the 2026 Notes Indenture.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2026 Secured Notes Secured Parties</w:t>
      </w:r>
      <w:r>
        <w:rPr>
          <w:rFonts w:ascii="Arial" w:cs="Arial" w:eastAsia="Arial" w:hAnsi="Arial"/>
          <w:sz w:val="19"/>
          <w:szCs w:val="19"/>
          <w:color w:val="auto"/>
        </w:rPr>
        <w:t>”: the “Secured Notes Secured Parties” as defined in the 2026 Notes Indenture.</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Indebtedness</w:t>
      </w:r>
      <w:r>
        <w:rPr>
          <w:rFonts w:ascii="Arial" w:cs="Arial" w:eastAsia="Arial" w:hAnsi="Arial"/>
          <w:sz w:val="22"/>
          <w:szCs w:val="22"/>
          <w:color w:val="auto"/>
        </w:rPr>
        <w:t>”: with respect to any specified Person,</w:t>
      </w:r>
    </w:p>
    <w:p>
      <w:pPr>
        <w:spacing w:after="0" w:line="233" w:lineRule="exact"/>
        <w:rPr>
          <w:sz w:val="20"/>
          <w:szCs w:val="20"/>
          <w:color w:val="auto"/>
        </w:rPr>
      </w:pPr>
    </w:p>
    <w:p>
      <w:pPr>
        <w:jc w:val="both"/>
        <w:ind w:left="1140" w:firstLine="812"/>
        <w:spacing w:after="0" w:line="287" w:lineRule="auto"/>
        <w:tabs>
          <w:tab w:leader="none" w:pos="2674"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w:t>
      </w:r>
    </w:p>
    <w:p>
      <w:pPr>
        <w:spacing w:after="0" w:line="169" w:lineRule="exact"/>
        <w:rPr>
          <w:rFonts w:ascii="Arial" w:cs="Arial" w:eastAsia="Arial" w:hAnsi="Arial"/>
          <w:sz w:val="19"/>
          <w:szCs w:val="19"/>
          <w:color w:val="auto"/>
        </w:rPr>
      </w:pPr>
    </w:p>
    <w:p>
      <w:pPr>
        <w:ind w:left="2580" w:hanging="628"/>
        <w:spacing w:after="0"/>
        <w:tabs>
          <w:tab w:leader="none" w:pos="25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Indebtedness secured by a Lien encumbering any asset acquired by such specified Person.</w:t>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Commitment Lender</w:t>
      </w:r>
      <w:r>
        <w:rPr>
          <w:rFonts w:ascii="Arial" w:cs="Arial" w:eastAsia="Arial" w:hAnsi="Arial"/>
          <w:sz w:val="22"/>
          <w:szCs w:val="22"/>
          <w:color w:val="auto"/>
        </w:rPr>
        <w:t>”: as defined in Section 2.21(d).</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Equal Priority Obligations</w:t>
      </w:r>
      <w:r>
        <w:rPr>
          <w:rFonts w:ascii="Arial" w:cs="Arial" w:eastAsia="Arial" w:hAnsi="Arial"/>
          <w:sz w:val="22"/>
          <w:szCs w:val="22"/>
          <w:color w:val="auto"/>
        </w:rPr>
        <w:t xml:space="preserve">”: the obligations with respect to any Indebtedness having, or intended to have, Equal Lien Priority (but without regard to the control of remedies) relative to the Obligations with respect to the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authorized representative of the holders of such Indebtedness shall have executed an Equal Priority Intercreditor Agreement.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Equal Priority Secured Parties</w:t>
      </w:r>
      <w:r>
        <w:rPr>
          <w:rFonts w:ascii="Arial" w:cs="Arial" w:eastAsia="Arial" w:hAnsi="Arial"/>
          <w:sz w:val="22"/>
          <w:szCs w:val="22"/>
          <w:color w:val="auto"/>
        </w:rPr>
        <w:t>”: the holders of any Additional Equal Priority Obligations and any trustee, authorized representative or agent of such Additional Equal Priority Obligations.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Eurodollar Rate</w:t>
      </w:r>
      <w:r>
        <w:rPr>
          <w:rFonts w:ascii="Arial" w:cs="Arial" w:eastAsia="Arial" w:hAnsi="Arial"/>
          <w:sz w:val="22"/>
          <w:szCs w:val="22"/>
          <w:color w:val="auto"/>
        </w:rPr>
        <w:t xml:space="preserve">”: with respect to any Eurodollar Rate Loan for any Interest Period, an interest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(rounded upwards, if necessary, to the next 1/16 of 1%) equal to (a) the LIBO Rate for such Interest Period multiplied by (b) the Statutory Reserve Rate.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Lender</w:t>
      </w:r>
      <w:r>
        <w:rPr>
          <w:rFonts w:ascii="Arial" w:cs="Arial" w:eastAsia="Arial" w:hAnsi="Arial"/>
          <w:sz w:val="22"/>
          <w:szCs w:val="22"/>
          <w:color w:val="auto"/>
        </w:rPr>
        <w:t>”: as defined in Section 2.15(b).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Loans</w:t>
      </w:r>
      <w:r>
        <w:rPr>
          <w:rFonts w:ascii="Arial" w:cs="Arial" w:eastAsia="Arial" w:hAnsi="Arial"/>
          <w:sz w:val="22"/>
          <w:szCs w:val="22"/>
          <w:color w:val="auto"/>
        </w:rPr>
        <w:t>”: as defined in Section 2.15(b).</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as applied to any Person, any other Person directly or indirectly Controlling, Controlled by, or under common Control with, that Person. For purposes of this definition, “</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as defined in Section 6.5(a).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Party</w:t>
      </w:r>
      <w:r>
        <w:rPr>
          <w:rFonts w:ascii="Arial" w:cs="Arial" w:eastAsia="Arial" w:hAnsi="Arial"/>
          <w:sz w:val="22"/>
          <w:szCs w:val="22"/>
          <w:color w:val="auto"/>
        </w:rPr>
        <w:t>”: as defined in Section 9.2.</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the Administrative Agent and the Collateral Agent and any other Person appointed under the Loan Documents to serve in an agent or similar capacity.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Amounts Due</w:t>
      </w:r>
      <w:r>
        <w:rPr>
          <w:rFonts w:ascii="Arial" w:cs="Arial" w:eastAsia="Arial" w:hAnsi="Arial"/>
          <w:sz w:val="22"/>
          <w:szCs w:val="22"/>
          <w:color w:val="auto"/>
        </w:rPr>
        <w:t>”: as defined in Section 2.14.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w:t>
      </w:r>
      <w:r>
        <w:rPr>
          <w:rFonts w:ascii="Arial" w:cs="Arial" w:eastAsia="Arial" w:hAnsi="Arial"/>
          <w:sz w:val="22"/>
          <w:szCs w:val="22"/>
          <w:color w:val="auto"/>
        </w:rPr>
        <w:t>”: the sum of the Commitments of all the Lenders at such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Revolving Exposure</w:t>
      </w:r>
      <w:r>
        <w:rPr>
          <w:rFonts w:ascii="Arial" w:cs="Arial" w:eastAsia="Arial" w:hAnsi="Arial"/>
          <w:sz w:val="22"/>
          <w:szCs w:val="22"/>
          <w:color w:val="auto"/>
        </w:rPr>
        <w:t>”: the sum of the Revolving Exposures of all the Lenders at such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Credit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as defined in Section 9.17(b).</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Annualized EBITDA</w:t>
      </w:r>
      <w:r>
        <w:rPr>
          <w:rFonts w:ascii="Arial" w:cs="Arial" w:eastAsia="Arial" w:hAnsi="Arial"/>
          <w:sz w:val="22"/>
          <w:szCs w:val="22"/>
          <w:color w:val="auto"/>
        </w:rPr>
        <w:t>”: on any date of determination, Consolidated EBITDA for the most recently ended quarterly Test Period multiplied by four.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as defined in Section 3.22(a).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Creditor</w:t>
      </w:r>
      <w:r>
        <w:rPr>
          <w:rFonts w:ascii="Arial" w:cs="Arial" w:eastAsia="Arial" w:hAnsi="Arial"/>
          <w:sz w:val="22"/>
          <w:szCs w:val="22"/>
          <w:color w:val="auto"/>
        </w:rPr>
        <w:t>”: as defined in Section 9.17(b).</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for any day, a rate per annum equal set forth below based on the applicable Revolving Facility Usage on such day:</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80" w:type="dxa"/>
            <w:vAlign w:val="bottom"/>
            <w:tcBorders>
              <w:top w:val="single" w:sz="8" w:color="auto"/>
              <w:left w:val="single" w:sz="8" w:color="auto"/>
            </w:tcBorders>
          </w:tcPr>
          <w:p>
            <w:pPr>
              <w:spacing w:after="0"/>
              <w:rPr>
                <w:sz w:val="17"/>
                <w:szCs w:val="17"/>
                <w:color w:val="auto"/>
              </w:rPr>
            </w:pPr>
          </w:p>
        </w:tc>
        <w:tc>
          <w:tcPr>
            <w:tcW w:w="36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Revolving Facility Usage</w:t>
            </w:r>
          </w:p>
        </w:tc>
        <w:tc>
          <w:tcPr>
            <w:tcW w:w="336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89"/>
              </w:rPr>
              <w:t>Base Rate</w:t>
            </w:r>
          </w:p>
        </w:tc>
        <w:tc>
          <w:tcPr>
            <w:tcW w:w="356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rPr>
              <w:t>LIBOR</w:t>
            </w:r>
          </w:p>
        </w:tc>
      </w:tr>
      <w:tr>
        <w:trPr>
          <w:trHeight w:val="28"/>
        </w:trPr>
        <w:tc>
          <w:tcPr>
            <w:tcW w:w="680" w:type="dxa"/>
            <w:vAlign w:val="bottom"/>
            <w:tcBorders>
              <w:left w:val="single" w:sz="8" w:color="auto"/>
              <w:bottom w:val="single" w:sz="8" w:color="auto"/>
            </w:tcBorders>
          </w:tcPr>
          <w:p>
            <w:pPr>
              <w:spacing w:after="0"/>
              <w:rPr>
                <w:sz w:val="2"/>
                <w:szCs w:val="2"/>
                <w:color w:val="auto"/>
              </w:rPr>
            </w:pPr>
          </w:p>
        </w:tc>
        <w:tc>
          <w:tcPr>
            <w:tcW w:w="1900" w:type="dxa"/>
            <w:vAlign w:val="bottom"/>
            <w:tcBorders>
              <w:top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23"/>
        </w:trPr>
        <w:tc>
          <w:tcPr>
            <w:tcW w:w="680" w:type="dxa"/>
            <w:vAlign w:val="bottom"/>
            <w:tcBorders>
              <w:left w:val="single" w:sz="8" w:color="auto"/>
              <w:bottom w:val="single" w:sz="8" w:color="auto"/>
            </w:tcBorders>
            <w:shd w:val="clear" w:color="auto" w:fill="CCEEFF"/>
          </w:tcPr>
          <w:p>
            <w:pPr>
              <w:spacing w:after="0"/>
              <w:rPr>
                <w:sz w:val="19"/>
                <w:szCs w:val="19"/>
                <w:color w:val="auto"/>
              </w:rPr>
            </w:pPr>
          </w:p>
        </w:tc>
        <w:tc>
          <w:tcPr>
            <w:tcW w:w="36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50%</w:t>
            </w:r>
          </w:p>
        </w:tc>
        <w:tc>
          <w:tcPr>
            <w:tcW w:w="2060" w:type="dxa"/>
            <w:vAlign w:val="bottom"/>
            <w:tcBorders>
              <w:bottom w:val="single" w:sz="8" w:color="auto"/>
            </w:tcBorders>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0"/>
              </w:rPr>
              <w:t>1.50%</w:t>
            </w: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2.50%</w:t>
            </w: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580" w:type="dxa"/>
            <w:vAlign w:val="bottom"/>
            <w:tcBorders>
              <w:left w:val="single" w:sz="8" w:color="auto"/>
              <w:bottom w:val="single" w:sz="8" w:color="auto"/>
            </w:tcBorders>
            <w:gridSpan w:val="2"/>
          </w:tcPr>
          <w:p>
            <w:pPr>
              <w:ind w:left="680"/>
              <w:spacing w:after="0"/>
              <w:rPr>
                <w:sz w:val="20"/>
                <w:szCs w:val="20"/>
                <w:color w:val="auto"/>
              </w:rPr>
            </w:pPr>
            <w:r>
              <w:rPr>
                <w:rFonts w:ascii="Arial" w:cs="Arial" w:eastAsia="Arial" w:hAnsi="Arial"/>
                <w:sz w:val="18"/>
                <w:szCs w:val="18"/>
                <w:color w:val="auto"/>
              </w:rPr>
              <w:t>&gt; 50%</w:t>
            </w:r>
          </w:p>
        </w:tc>
        <w:tc>
          <w:tcPr>
            <w:tcW w:w="174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1190"/>
              <w:spacing w:after="0"/>
              <w:rPr>
                <w:sz w:val="20"/>
                <w:szCs w:val="20"/>
                <w:color w:val="auto"/>
              </w:rPr>
            </w:pPr>
            <w:r>
              <w:rPr>
                <w:rFonts w:ascii="Arial" w:cs="Arial" w:eastAsia="Arial" w:hAnsi="Arial"/>
                <w:sz w:val="18"/>
                <w:szCs w:val="18"/>
                <w:color w:val="auto"/>
                <w:w w:val="90"/>
              </w:rPr>
              <w:t>1.75%</w:t>
            </w:r>
          </w:p>
        </w:tc>
        <w:tc>
          <w:tcPr>
            <w:tcW w:w="130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1390"/>
              <w:spacing w:after="0"/>
              <w:rPr>
                <w:sz w:val="20"/>
                <w:szCs w:val="20"/>
                <w:color w:val="auto"/>
              </w:rPr>
            </w:pPr>
            <w:r>
              <w:rPr>
                <w:rFonts w:ascii="Arial" w:cs="Arial" w:eastAsia="Arial" w:hAnsi="Arial"/>
                <w:sz w:val="18"/>
                <w:szCs w:val="18"/>
                <w:color w:val="auto"/>
                <w:w w:val="90"/>
              </w:rPr>
              <w:t>2.75%</w:t>
            </w:r>
          </w:p>
        </w:tc>
        <w:tc>
          <w:tcPr>
            <w:tcW w:w="1500" w:type="dxa"/>
            <w:vAlign w:val="bottom"/>
            <w:tcBorders>
              <w:bottom w:val="single" w:sz="8" w:color="auto"/>
              <w:right w:val="single" w:sz="8" w:color="auto"/>
            </w:tcBorders>
          </w:tcPr>
          <w:p>
            <w:pPr>
              <w:spacing w:after="0"/>
              <w:rPr>
                <w:sz w:val="19"/>
                <w:szCs w:val="19"/>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Maturity Date</w:t>
      </w:r>
      <w:r>
        <w:rPr>
          <w:rFonts w:ascii="Arial" w:cs="Arial" w:eastAsia="Arial" w:hAnsi="Arial"/>
          <w:sz w:val="22"/>
          <w:szCs w:val="22"/>
          <w:color w:val="auto"/>
        </w:rPr>
        <w:t>”: as defined in Section 2.21(a).</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Reserve Requirement</w:t>
      </w:r>
      <w:r>
        <w:rPr>
          <w:rFonts w:ascii="Arial" w:cs="Arial" w:eastAsia="Arial" w:hAnsi="Arial"/>
          <w:sz w:val="19"/>
          <w:szCs w:val="19"/>
          <w:color w:val="auto"/>
        </w:rPr>
        <w:t>”: at any time, for any Eurodollar Rate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w:t>
      </w:r>
    </w:p>
    <w:p>
      <w:pPr>
        <w:spacing w:after="0" w:line="4" w:lineRule="exact"/>
        <w:rPr>
          <w:sz w:val="20"/>
          <w:szCs w:val="20"/>
          <w:color w:val="auto"/>
        </w:rPr>
      </w:pPr>
    </w:p>
    <w:p>
      <w:pPr>
        <w:jc w:val="both"/>
        <w:ind w:firstLine="8"/>
        <w:spacing w:after="0" w:line="244" w:lineRule="auto"/>
        <w:tabs>
          <w:tab w:leader="none" w:pos="296"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category of liabilities which includes deposits by reference to which the applicable Adjusted Eurodollar Rate or any other interest rate of a Loan is to be determined, or (b) any category of extensions of credit or other assets which include Eurodollar Rate Loans.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MSSF and GS, in their capacities as joint lead arrangers and joint bookrunners.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w:t>
      </w:r>
    </w:p>
    <w:p>
      <w:pPr>
        <w:spacing w:after="0" w:line="233" w:lineRule="exact"/>
        <w:rPr>
          <w:sz w:val="20"/>
          <w:szCs w:val="20"/>
          <w:color w:val="auto"/>
        </w:rPr>
      </w:pPr>
    </w:p>
    <w:p>
      <w:pPr>
        <w:jc w:val="both"/>
        <w:ind w:left="660" w:firstLine="482"/>
        <w:spacing w:after="0"/>
        <w:tabs>
          <w:tab w:leader="none" w:pos="211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sale, conveyance, transfer or other disposition, whether in a single transaction or a series of related transactions, of property or assets (including by way of a Sale and Lease-Back Transaction) of the Borrower or any of its Restricted Subsidiaries (a “</w:t>
      </w:r>
      <w:r>
        <w:rPr>
          <w:rFonts w:ascii="Arial" w:cs="Arial" w:eastAsia="Arial" w:hAnsi="Arial"/>
          <w:sz w:val="22"/>
          <w:szCs w:val="22"/>
          <w:u w:val="single" w:color="auto"/>
          <w:color w:val="auto"/>
        </w:rPr>
        <w:t>Disposition</w:t>
      </w:r>
      <w:r>
        <w:rPr>
          <w:rFonts w:ascii="Arial" w:cs="Arial" w:eastAsia="Arial" w:hAnsi="Arial"/>
          <w:sz w:val="22"/>
          <w:szCs w:val="22"/>
          <w:color w:val="auto"/>
        </w:rPr>
        <w:t>”); or</w:t>
      </w:r>
    </w:p>
    <w:p>
      <w:pPr>
        <w:spacing w:after="0" w:line="213" w:lineRule="exact"/>
        <w:rPr>
          <w:rFonts w:ascii="Arial" w:cs="Arial" w:eastAsia="Arial" w:hAnsi="Arial"/>
          <w:sz w:val="22"/>
          <w:szCs w:val="22"/>
          <w:color w:val="auto"/>
        </w:rPr>
      </w:pPr>
    </w:p>
    <w:p>
      <w:pPr>
        <w:jc w:val="both"/>
        <w:ind w:left="660" w:firstLine="482"/>
        <w:spacing w:after="0"/>
        <w:tabs>
          <w:tab w:leader="none" w:pos="24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w:t>
      </w:r>
    </w:p>
    <w:p>
      <w:pPr>
        <w:spacing w:after="0" w:line="213" w:lineRule="exact"/>
        <w:rPr>
          <w:rFonts w:ascii="Arial" w:cs="Arial" w:eastAsia="Arial" w:hAnsi="Arial"/>
          <w:sz w:val="22"/>
          <w:szCs w:val="22"/>
          <w:color w:val="auto"/>
        </w:rPr>
      </w:pPr>
    </w:p>
    <w:p>
      <w:pPr>
        <w:ind w:firstLine="1952"/>
        <w:spacing w:after="0" w:line="250" w:lineRule="auto"/>
        <w:tabs>
          <w:tab w:leader="none" w:pos="260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Disposition of all or substantially all of the assets of the Borrower or any Restricted Subsidiary in a manner permitted pursuant to Section 6.9;</w:t>
      </w:r>
    </w:p>
    <w:p>
      <w:pPr>
        <w:spacing w:after="0" w:line="201" w:lineRule="exact"/>
        <w:rPr>
          <w:rFonts w:ascii="Arial" w:cs="Arial" w:eastAsia="Arial" w:hAnsi="Arial"/>
          <w:sz w:val="22"/>
          <w:szCs w:val="22"/>
          <w:color w:val="auto"/>
        </w:rPr>
      </w:pPr>
    </w:p>
    <w:p>
      <w:pPr>
        <w:ind w:firstLine="1952"/>
        <w:spacing w:after="0" w:line="250" w:lineRule="auto"/>
        <w:tabs>
          <w:tab w:leader="none" w:pos="2817" w:val="left"/>
        </w:tabs>
        <w:numPr>
          <w:ilvl w:val="1"/>
          <w:numId w:val="47"/>
        </w:numPr>
        <w:rPr>
          <w:rFonts w:ascii="Arial" w:cs="Arial" w:eastAsia="Arial" w:hAnsi="Arial"/>
          <w:sz w:val="22"/>
          <w:szCs w:val="22"/>
          <w:color w:val="auto"/>
        </w:rPr>
      </w:pPr>
      <w:r>
        <w:rPr>
          <w:rFonts w:ascii="Arial" w:cs="Arial" w:eastAsia="Arial" w:hAnsi="Arial"/>
          <w:sz w:val="22"/>
          <w:szCs w:val="22"/>
          <w:color w:val="auto"/>
        </w:rPr>
        <w:t>Dispositions (including of Equity Interests issued by any Restricted Subsidiary) among the Borrower and/or any Restricted Subsidiary (upon voluntary liquidation or otherwise);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both"/>
        <w:ind w:firstLine="1952"/>
        <w:spacing w:after="0" w:line="275" w:lineRule="auto"/>
        <w:tabs>
          <w:tab w:leader="none" w:pos="26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Section 6.1; and (iii) the conversion of the Borrower or any Restricted Subsidiary into another form of entity (and solely with respect to the Borrower, organized in the U.S., any state thereof or the District of Columbia), so long as such conversion does not adversely affect the Guarantees, taken as a whole;</w:t>
      </w:r>
    </w:p>
    <w:p>
      <w:pPr>
        <w:spacing w:after="0" w:line="184" w:lineRule="exact"/>
        <w:rPr>
          <w:rFonts w:ascii="Arial" w:cs="Arial" w:eastAsia="Arial" w:hAnsi="Arial"/>
          <w:sz w:val="19"/>
          <w:szCs w:val="19"/>
          <w:color w:val="auto"/>
        </w:rPr>
      </w:pPr>
    </w:p>
    <w:p>
      <w:pPr>
        <w:jc w:val="both"/>
        <w:ind w:firstLine="1952"/>
        <w:spacing w:after="0" w:line="274" w:lineRule="auto"/>
        <w:tabs>
          <w:tab w:leader="none" w:pos="2628"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spacing w:after="0" w:line="185" w:lineRule="exact"/>
        <w:rPr>
          <w:rFonts w:ascii="Arial" w:cs="Arial" w:eastAsia="Arial" w:hAnsi="Arial"/>
          <w:sz w:val="19"/>
          <w:szCs w:val="19"/>
          <w:color w:val="auto"/>
        </w:rPr>
      </w:pPr>
    </w:p>
    <w:p>
      <w:pPr>
        <w:jc w:val="both"/>
        <w:ind w:firstLine="1952"/>
        <w:spacing w:after="0" w:line="257" w:lineRule="auto"/>
        <w:tabs>
          <w:tab w:leader="none" w:pos="2602" w:val="left"/>
        </w:tabs>
        <w:numPr>
          <w:ilvl w:val="0"/>
          <w:numId w:val="48"/>
        </w:numPr>
        <w:rPr>
          <w:rFonts w:ascii="Arial" w:cs="Arial" w:eastAsia="Arial" w:hAnsi="Arial"/>
          <w:sz w:val="21"/>
          <w:szCs w:val="21"/>
          <w:color w:val="auto"/>
        </w:rPr>
      </w:pPr>
      <w:r>
        <w:rPr>
          <w:rFonts w:ascii="Arial" w:cs="Arial" w:eastAsia="Arial" w:hAnsi="Arial"/>
          <w:sz w:val="21"/>
          <w:szCs w:val="21"/>
          <w:color w:val="auto"/>
        </w:rPr>
        <w:t>Dispositions of surplus, obsolete, damaged, used or worn out property or other property (including IP Rights) that, in the reasonable judgment of the Borrower, is (i) no longer used or useful in its business (or in the business of any Restricted Subsidiary of the Borrower) or (ii) otherwise economically impracticable to maintain;</w:t>
      </w:r>
    </w:p>
    <w:p>
      <w:pPr>
        <w:spacing w:after="0" w:line="196" w:lineRule="exact"/>
        <w:rPr>
          <w:rFonts w:ascii="Arial" w:cs="Arial" w:eastAsia="Arial" w:hAnsi="Arial"/>
          <w:sz w:val="21"/>
          <w:szCs w:val="21"/>
          <w:color w:val="auto"/>
        </w:rPr>
      </w:pPr>
    </w:p>
    <w:p>
      <w:pPr>
        <w:ind w:right="20" w:firstLine="1952"/>
        <w:spacing w:after="0" w:line="250" w:lineRule="auto"/>
        <w:tabs>
          <w:tab w:leader="none" w:pos="2686" w:val="left"/>
        </w:tabs>
        <w:numPr>
          <w:ilvl w:val="0"/>
          <w:numId w:val="48"/>
        </w:numPr>
        <w:rPr>
          <w:rFonts w:ascii="Arial" w:cs="Arial" w:eastAsia="Arial" w:hAnsi="Arial"/>
          <w:sz w:val="22"/>
          <w:szCs w:val="22"/>
          <w:color w:val="auto"/>
        </w:rPr>
      </w:pPr>
      <w:r>
        <w:rPr>
          <w:rFonts w:ascii="Arial" w:cs="Arial" w:eastAsia="Arial" w:hAnsi="Arial"/>
          <w:sz w:val="22"/>
          <w:szCs w:val="22"/>
          <w:color w:val="auto"/>
        </w:rPr>
        <w:t>Dispositions of cash, Cash Equivalents, and/or Investment Grade Assets and/or other assets that were Cash Equivalents or Investment Grade Assets when the relevant original Investment was made;</w:t>
      </w:r>
    </w:p>
    <w:p>
      <w:pPr>
        <w:spacing w:after="0" w:line="201" w:lineRule="exact"/>
        <w:rPr>
          <w:rFonts w:ascii="Arial" w:cs="Arial" w:eastAsia="Arial" w:hAnsi="Arial"/>
          <w:sz w:val="22"/>
          <w:szCs w:val="22"/>
          <w:color w:val="auto"/>
        </w:rPr>
      </w:pPr>
    </w:p>
    <w:p>
      <w:pPr>
        <w:jc w:val="both"/>
        <w:ind w:firstLine="1952"/>
        <w:spacing w:after="0" w:line="297" w:lineRule="auto"/>
        <w:tabs>
          <w:tab w:leader="none" w:pos="2614" w:val="left"/>
        </w:tabs>
        <w:numPr>
          <w:ilvl w:val="0"/>
          <w:numId w:val="48"/>
        </w:numPr>
        <w:rPr>
          <w:rFonts w:ascii="Arial" w:cs="Arial" w:eastAsia="Arial" w:hAnsi="Arial"/>
          <w:sz w:val="19"/>
          <w:szCs w:val="19"/>
          <w:color w:val="auto"/>
        </w:rPr>
      </w:pPr>
      <w:r>
        <w:rPr>
          <w:rFonts w:ascii="Arial" w:cs="Arial" w:eastAsia="Arial" w:hAnsi="Arial"/>
          <w:sz w:val="19"/>
          <w:szCs w:val="19"/>
          <w:color w:val="auto"/>
        </w:rPr>
        <w:t>Dispositions, mergers, amalgamations, consolidations or conveyances that constitute (i) Permitted Investments (other than pursuant to clause (j) of the definition thereof), (ii) Liens not prohibited under this Agreement or (iii) Restricted Payments permitted to be made, and that are made, under Section 6.1 (other than Section 6.1(b)(ix));</w:t>
      </w:r>
    </w:p>
    <w:p>
      <w:pPr>
        <w:spacing w:after="0" w:line="160" w:lineRule="exact"/>
        <w:rPr>
          <w:rFonts w:ascii="Arial" w:cs="Arial" w:eastAsia="Arial" w:hAnsi="Arial"/>
          <w:sz w:val="19"/>
          <w:szCs w:val="19"/>
          <w:color w:val="auto"/>
        </w:rPr>
      </w:pPr>
    </w:p>
    <w:p>
      <w:pPr>
        <w:ind w:left="2520" w:hanging="568"/>
        <w:spacing w:after="0"/>
        <w:tabs>
          <w:tab w:leader="none" w:pos="25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tabs>
          <w:tab w:leader="none" w:pos="27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213" w:lineRule="exact"/>
        <w:rPr>
          <w:rFonts w:ascii="Arial" w:cs="Arial" w:eastAsia="Arial" w:hAnsi="Arial"/>
          <w:sz w:val="22"/>
          <w:szCs w:val="22"/>
          <w:color w:val="auto"/>
        </w:rPr>
      </w:pPr>
    </w:p>
    <w:p>
      <w:pPr>
        <w:jc w:val="both"/>
        <w:ind w:firstLine="1952"/>
        <w:spacing w:after="0"/>
        <w:tabs>
          <w:tab w:leader="none" w:pos="2458" w:val="left"/>
        </w:tabs>
        <w:numPr>
          <w:ilvl w:val="0"/>
          <w:numId w:val="48"/>
        </w:numPr>
        <w:rPr>
          <w:rFonts w:ascii="Arial" w:cs="Arial" w:eastAsia="Arial" w:hAnsi="Arial"/>
          <w:sz w:val="22"/>
          <w:szCs w:val="22"/>
          <w:color w:val="auto"/>
        </w:rPr>
      </w:pPr>
      <w:r>
        <w:rPr>
          <w:rFonts w:ascii="Arial" w:cs="Arial" w:eastAsia="Arial" w:hAnsi="Arial"/>
          <w:sz w:val="22"/>
          <w:szCs w:val="22"/>
          <w:color w:val="auto"/>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spacing w:after="0" w:line="213" w:lineRule="exact"/>
        <w:rPr>
          <w:rFonts w:ascii="Arial" w:cs="Arial" w:eastAsia="Arial" w:hAnsi="Arial"/>
          <w:sz w:val="22"/>
          <w:szCs w:val="22"/>
          <w:color w:val="auto"/>
        </w:rPr>
      </w:pPr>
    </w:p>
    <w:p>
      <w:pPr>
        <w:jc w:val="both"/>
        <w:ind w:firstLine="1952"/>
        <w:spacing w:after="0" w:line="282" w:lineRule="auto"/>
        <w:tabs>
          <w:tab w:leader="none" w:pos="25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spacing w:after="0" w:line="174" w:lineRule="exact"/>
        <w:rPr>
          <w:rFonts w:ascii="Arial" w:cs="Arial" w:eastAsia="Arial" w:hAnsi="Arial"/>
          <w:sz w:val="19"/>
          <w:szCs w:val="19"/>
          <w:color w:val="auto"/>
        </w:rPr>
      </w:pPr>
    </w:p>
    <w:p>
      <w:pPr>
        <w:jc w:val="both"/>
        <w:ind w:firstLine="1952"/>
        <w:spacing w:after="0" w:line="238" w:lineRule="auto"/>
        <w:tabs>
          <w:tab w:leader="none" w:pos="28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both"/>
        <w:ind w:firstLine="1952"/>
        <w:spacing w:after="0" w:line="279" w:lineRule="auto"/>
        <w:tabs>
          <w:tab w:leader="none" w:pos="2526" w:val="left"/>
        </w:tabs>
        <w:numPr>
          <w:ilvl w:val="0"/>
          <w:numId w:val="49"/>
        </w:numPr>
        <w:rPr>
          <w:rFonts w:ascii="Arial" w:cs="Arial" w:eastAsia="Arial" w:hAnsi="Arial"/>
          <w:sz w:val="19"/>
          <w:szCs w:val="19"/>
          <w:color w:val="auto"/>
        </w:rPr>
      </w:pPr>
      <w:r>
        <w:rPr>
          <w:rFonts w:ascii="Arial" w:cs="Arial" w:eastAsia="Arial" w:hAnsi="Arial"/>
          <w:sz w:val="19"/>
          <w:szCs w:val="19"/>
          <w:color w:val="auto"/>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w:t>
      </w:r>
    </w:p>
    <w:p>
      <w:pPr>
        <w:spacing w:after="0" w:line="177" w:lineRule="exact"/>
        <w:rPr>
          <w:rFonts w:ascii="Arial" w:cs="Arial" w:eastAsia="Arial" w:hAnsi="Arial"/>
          <w:sz w:val="19"/>
          <w:szCs w:val="19"/>
          <w:color w:val="auto"/>
        </w:rPr>
      </w:pPr>
    </w:p>
    <w:p>
      <w:pPr>
        <w:jc w:val="both"/>
        <w:ind w:firstLine="1952"/>
        <w:spacing w:after="0" w:line="287" w:lineRule="auto"/>
        <w:tabs>
          <w:tab w:leader="none" w:pos="2533" w:val="left"/>
        </w:tabs>
        <w:numPr>
          <w:ilvl w:val="0"/>
          <w:numId w:val="49"/>
        </w:numPr>
        <w:rPr>
          <w:rFonts w:ascii="Arial" w:cs="Arial" w:eastAsia="Arial" w:hAnsi="Arial"/>
          <w:sz w:val="19"/>
          <w:szCs w:val="19"/>
          <w:color w:val="auto"/>
        </w:rPr>
      </w:pPr>
      <w:r>
        <w:rPr>
          <w:rFonts w:ascii="Arial" w:cs="Arial" w:eastAsia="Arial" w:hAnsi="Arial"/>
          <w:sz w:val="19"/>
          <w:szCs w:val="19"/>
          <w:color w:val="auto"/>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spacing w:after="0" w:line="169" w:lineRule="exact"/>
        <w:rPr>
          <w:rFonts w:ascii="Arial" w:cs="Arial" w:eastAsia="Arial" w:hAnsi="Arial"/>
          <w:sz w:val="19"/>
          <w:szCs w:val="19"/>
          <w:color w:val="auto"/>
        </w:rPr>
      </w:pPr>
    </w:p>
    <w:p>
      <w:pPr>
        <w:jc w:val="both"/>
        <w:ind w:firstLine="1952"/>
        <w:spacing w:after="0"/>
        <w:tabs>
          <w:tab w:leader="none" w:pos="25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213" w:lineRule="exact"/>
        <w:rPr>
          <w:rFonts w:ascii="Arial" w:cs="Arial" w:eastAsia="Arial" w:hAnsi="Arial"/>
          <w:sz w:val="22"/>
          <w:szCs w:val="22"/>
          <w:color w:val="auto"/>
        </w:rPr>
      </w:pPr>
    </w:p>
    <w:p>
      <w:pPr>
        <w:ind w:left="2520" w:hanging="568"/>
        <w:spacing w:after="0"/>
        <w:tabs>
          <w:tab w:leader="none" w:pos="25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520" w:val="left"/>
        </w:tabs>
        <w:numPr>
          <w:ilvl w:val="0"/>
          <w:numId w:val="49"/>
        </w:numPr>
        <w:rPr>
          <w:rFonts w:ascii="Arial" w:cs="Arial" w:eastAsia="Arial" w:hAnsi="Arial"/>
          <w:sz w:val="21"/>
          <w:szCs w:val="21"/>
          <w:color w:val="auto"/>
        </w:rPr>
      </w:pPr>
      <w:r>
        <w:rPr>
          <w:rFonts w:ascii="Arial" w:cs="Arial" w:eastAsia="Arial" w:hAnsi="Arial"/>
          <w:sz w:val="21"/>
          <w:szCs w:val="21"/>
          <w:color w:val="auto"/>
        </w:rPr>
        <w:t>Dispositions of non-core assets (including Equity Interests) and sales of real estate assets acquired in a transaction after the Closing Date that the Borrower determines in good faith will not be used or useful for the continued operation of the Borrower or any of its Restricted Subsidiaries or any of their respective businesses;</w:t>
      </w:r>
    </w:p>
    <w:p>
      <w:pPr>
        <w:spacing w:after="0" w:line="196" w:lineRule="exact"/>
        <w:rPr>
          <w:rFonts w:ascii="Arial" w:cs="Arial" w:eastAsia="Arial" w:hAnsi="Arial"/>
          <w:sz w:val="21"/>
          <w:szCs w:val="21"/>
          <w:color w:val="auto"/>
        </w:rPr>
      </w:pPr>
    </w:p>
    <w:p>
      <w:pPr>
        <w:jc w:val="both"/>
        <w:ind w:firstLine="1952"/>
        <w:spacing w:after="0"/>
        <w:tabs>
          <w:tab w:leader="none" w:pos="2889"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exchanges or swaps, including transactions covered by Section 1031 of the Code (or any comparable provision of any foreign jurisdiction), of assets so long as any such exchange or swap is made for fair value (as reasonably determined by the Borrower) for like assets;</w:t>
      </w:r>
    </w:p>
    <w:p>
      <w:pPr>
        <w:spacing w:after="0" w:line="213" w:lineRule="exact"/>
        <w:rPr>
          <w:rFonts w:ascii="Arial" w:cs="Arial" w:eastAsia="Arial" w:hAnsi="Arial"/>
          <w:sz w:val="22"/>
          <w:szCs w:val="22"/>
          <w:color w:val="auto"/>
        </w:rPr>
      </w:pPr>
    </w:p>
    <w:p>
      <w:pPr>
        <w:ind w:left="2560" w:hanging="608"/>
        <w:spacing w:after="0"/>
        <w:tabs>
          <w:tab w:leader="none" w:pos="25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79" w:lineRule="auto"/>
        <w:tabs>
          <w:tab w:leader="none" w:pos="26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spacing w:after="0" w:line="177" w:lineRule="exact"/>
        <w:rPr>
          <w:rFonts w:ascii="Arial" w:cs="Arial" w:eastAsia="Arial" w:hAnsi="Arial"/>
          <w:sz w:val="19"/>
          <w:szCs w:val="19"/>
          <w:color w:val="auto"/>
        </w:rPr>
      </w:pPr>
    </w:p>
    <w:p>
      <w:pPr>
        <w:ind w:left="2520" w:hanging="568"/>
        <w:spacing w:after="0"/>
        <w:tabs>
          <w:tab w:leader="none" w:pos="25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terminations or unwinds of Derivative Transactions and Banking Services;</w:t>
      </w:r>
    </w:p>
    <w:p>
      <w:pPr>
        <w:spacing w:after="0" w:line="233" w:lineRule="exact"/>
        <w:rPr>
          <w:rFonts w:ascii="Arial" w:cs="Arial" w:eastAsia="Arial" w:hAnsi="Arial"/>
          <w:sz w:val="22"/>
          <w:szCs w:val="22"/>
          <w:color w:val="auto"/>
        </w:rPr>
      </w:pPr>
    </w:p>
    <w:p>
      <w:pPr>
        <w:jc w:val="both"/>
        <w:ind w:firstLine="1952"/>
        <w:spacing w:after="0"/>
        <w:tabs>
          <w:tab w:leader="none" w:pos="254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622"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of real estate assets and related assets in the ordinary course of business, consistent with past practice or consistent with industry norm of the Borrower and/or its Restricted Subsidiaries in connection with relocation activities for directors, officers, employees, members of management, managers, partners or consultants of the Borrower and/or any Restricted Subsidiary;</w:t>
      </w:r>
    </w:p>
    <w:p>
      <w:pPr>
        <w:spacing w:after="0" w:line="211" w:lineRule="exact"/>
        <w:rPr>
          <w:rFonts w:ascii="Arial" w:cs="Arial" w:eastAsia="Arial" w:hAnsi="Arial"/>
          <w:sz w:val="22"/>
          <w:szCs w:val="22"/>
          <w:color w:val="auto"/>
        </w:rPr>
      </w:pPr>
    </w:p>
    <w:p>
      <w:pPr>
        <w:jc w:val="both"/>
        <w:ind w:firstLine="1952"/>
        <w:spacing w:after="0"/>
        <w:tabs>
          <w:tab w:leader="none" w:pos="2722"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both"/>
        <w:ind w:firstLine="1952"/>
        <w:spacing w:after="0" w:line="241" w:lineRule="auto"/>
        <w:tabs>
          <w:tab w:leader="none" w:pos="25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spacing w:after="0" w:line="210" w:lineRule="exact"/>
        <w:rPr>
          <w:rFonts w:ascii="Arial" w:cs="Arial" w:eastAsia="Arial" w:hAnsi="Arial"/>
          <w:sz w:val="22"/>
          <w:szCs w:val="22"/>
          <w:color w:val="auto"/>
        </w:rPr>
      </w:pPr>
    </w:p>
    <w:p>
      <w:pPr>
        <w:ind w:left="2520" w:hanging="568"/>
        <w:spacing w:after="0"/>
        <w:tabs>
          <w:tab w:leader="none" w:pos="25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sale of equipment purchased at the end of an operating lease and resold thereafter;</w:t>
      </w:r>
    </w:p>
    <w:p>
      <w:pPr>
        <w:spacing w:after="0" w:line="233" w:lineRule="exact"/>
        <w:rPr>
          <w:sz w:val="20"/>
          <w:szCs w:val="20"/>
          <w:color w:val="auto"/>
        </w:rPr>
      </w:pPr>
    </w:p>
    <w:p>
      <w:pPr>
        <w:ind w:left="2560" w:hanging="608"/>
        <w:spacing w:after="0"/>
        <w:tabs>
          <w:tab w:leader="none" w:pos="25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520" w:hanging="568"/>
        <w:spacing w:after="0"/>
        <w:tabs>
          <w:tab w:leader="none" w:pos="25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sale of Equity Interests of the Borrower;</w:t>
      </w:r>
    </w:p>
    <w:p>
      <w:pPr>
        <w:spacing w:after="0" w:line="233" w:lineRule="exact"/>
        <w:rPr>
          <w:rFonts w:ascii="Arial" w:cs="Arial" w:eastAsia="Arial" w:hAnsi="Arial"/>
          <w:sz w:val="22"/>
          <w:szCs w:val="22"/>
          <w:color w:val="auto"/>
        </w:rPr>
      </w:pPr>
    </w:p>
    <w:p>
      <w:pPr>
        <w:ind w:left="2560" w:hanging="608"/>
        <w:spacing w:after="0"/>
        <w:tabs>
          <w:tab w:leader="none" w:pos="25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Disposition made in connection with any tax restructuring;</w:t>
      </w:r>
    </w:p>
    <w:p>
      <w:pPr>
        <w:spacing w:after="0" w:line="233" w:lineRule="exact"/>
        <w:rPr>
          <w:rFonts w:ascii="Arial" w:cs="Arial" w:eastAsia="Arial" w:hAnsi="Arial"/>
          <w:sz w:val="22"/>
          <w:szCs w:val="22"/>
          <w:color w:val="auto"/>
        </w:rPr>
      </w:pPr>
    </w:p>
    <w:p>
      <w:pPr>
        <w:jc w:val="both"/>
        <w:ind w:firstLine="1952"/>
        <w:spacing w:after="0"/>
        <w:tabs>
          <w:tab w:leader="none" w:pos="27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financing transaction with respect to property built or acquired by the Borrower or any Restricted Subsidiary after the Closing Date, including Sale and Lease-Back Transactions and asset securitizations permitted hereby;</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6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spacing w:after="0" w:line="214" w:lineRule="exact"/>
        <w:rPr>
          <w:rFonts w:ascii="Arial" w:cs="Arial" w:eastAsia="Arial" w:hAnsi="Arial"/>
          <w:sz w:val="22"/>
          <w:szCs w:val="22"/>
          <w:color w:val="auto"/>
        </w:rPr>
      </w:pPr>
    </w:p>
    <w:p>
      <w:pPr>
        <w:jc w:val="both"/>
        <w:ind w:firstLine="1952"/>
        <w:spacing w:after="0"/>
        <w:tabs>
          <w:tab w:leader="none" w:pos="27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sale of property or assets, if the acquisition of such property or assets was financed with Excluded Contributions and the proceeds of such sale are used to make a Restricted Payment pursuant to clause (2) of Section 6.1(a) or Section 6.1(b)(iii);</w:t>
      </w:r>
    </w:p>
    <w:p>
      <w:pPr>
        <w:spacing w:after="0" w:line="213" w:lineRule="exact"/>
        <w:rPr>
          <w:rFonts w:ascii="Arial" w:cs="Arial" w:eastAsia="Arial" w:hAnsi="Arial"/>
          <w:sz w:val="22"/>
          <w:szCs w:val="22"/>
          <w:color w:val="auto"/>
        </w:rPr>
      </w:pPr>
    </w:p>
    <w:p>
      <w:pPr>
        <w:jc w:val="both"/>
        <w:ind w:right="20" w:firstLine="1952"/>
        <w:spacing w:after="0"/>
        <w:tabs>
          <w:tab w:leader="none" w:pos="2587"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Disposition of non-revenue producing assets to a Person who is providing services related to such assets, the provision of which have been or are to be outsourced by the Borrower or any Restricted Subsidiaries to such Person;</w:t>
      </w:r>
    </w:p>
    <w:p>
      <w:pPr>
        <w:spacing w:after="0" w:line="213" w:lineRule="exact"/>
        <w:rPr>
          <w:rFonts w:ascii="Arial" w:cs="Arial" w:eastAsia="Arial" w:hAnsi="Arial"/>
          <w:sz w:val="22"/>
          <w:szCs w:val="22"/>
          <w:color w:val="auto"/>
        </w:rPr>
      </w:pPr>
    </w:p>
    <w:p>
      <w:pPr>
        <w:jc w:val="both"/>
        <w:ind w:firstLine="1952"/>
        <w:spacing w:after="0"/>
        <w:tabs>
          <w:tab w:leader="none" w:pos="25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other Dispositions (including those of the type otherwise described herein) involving assets having a Fair Market Value of not more than the greater of $20.0 million and 5.0% of Annualized EBITDA of the Borrower and its Restricted Subsidiaries (measured at the time of contractually agreeing to such Disposition);</w:t>
      </w:r>
    </w:p>
    <w:p>
      <w:pPr>
        <w:spacing w:after="0" w:line="213" w:lineRule="exact"/>
        <w:rPr>
          <w:rFonts w:ascii="Arial" w:cs="Arial" w:eastAsia="Arial" w:hAnsi="Arial"/>
          <w:sz w:val="22"/>
          <w:szCs w:val="22"/>
          <w:color w:val="auto"/>
        </w:rPr>
      </w:pPr>
    </w:p>
    <w:p>
      <w:pPr>
        <w:ind w:firstLine="1952"/>
        <w:spacing w:after="0" w:line="250" w:lineRule="auto"/>
        <w:tabs>
          <w:tab w:leader="none" w:pos="26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issuance of directors’ qualifying shares and shares issued to foreign nationals or other third parties as required by applicable law;</w:t>
      </w:r>
    </w:p>
    <w:p>
      <w:pPr>
        <w:spacing w:after="0" w:line="201" w:lineRule="exact"/>
        <w:rPr>
          <w:rFonts w:ascii="Arial" w:cs="Arial" w:eastAsia="Arial" w:hAnsi="Arial"/>
          <w:sz w:val="22"/>
          <w:szCs w:val="22"/>
          <w:color w:val="auto"/>
        </w:rPr>
      </w:pPr>
    </w:p>
    <w:p>
      <w:pPr>
        <w:jc w:val="both"/>
        <w:ind w:firstLine="1952"/>
        <w:spacing w:after="0" w:line="297" w:lineRule="auto"/>
        <w:tabs>
          <w:tab w:leader="none" w:pos="278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any sale, conveyance, transfer or other disposition to effect the formation of any Restricted Subsidiary that has been formed upon the consummation of a Division;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Disposition or other allocation of assets (including any equity interests of such Subsidiary) in connection therewith is otherwise not prohibited under this Agreement; and</w:t>
      </w:r>
    </w:p>
    <w:p>
      <w:pPr>
        <w:spacing w:after="0" w:line="160" w:lineRule="exact"/>
        <w:rPr>
          <w:rFonts w:ascii="Arial" w:cs="Arial" w:eastAsia="Arial" w:hAnsi="Arial"/>
          <w:sz w:val="19"/>
          <w:szCs w:val="19"/>
          <w:color w:val="auto"/>
        </w:rPr>
      </w:pPr>
    </w:p>
    <w:p>
      <w:pPr>
        <w:jc w:val="both"/>
        <w:ind w:firstLine="1952"/>
        <w:spacing w:after="0" w:line="236" w:lineRule="auto"/>
        <w:tabs>
          <w:tab w:leader="none" w:pos="2614"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jc w:val="both"/>
        <w:ind w:firstLine="648"/>
        <w:spacing w:after="0" w:line="280" w:lineRule="auto"/>
        <w:rPr>
          <w:rFonts w:ascii="Arial" w:cs="Arial" w:eastAsia="Arial" w:hAnsi="Arial"/>
          <w:sz w:val="22"/>
          <w:szCs w:val="22"/>
          <w:color w:val="auto"/>
        </w:rPr>
      </w:pPr>
      <w:r>
        <w:rPr>
          <w:rFonts w:ascii="Arial" w:cs="Arial" w:eastAsia="Arial" w:hAnsi="Arial"/>
          <w:sz w:val="19"/>
          <w:szCs w:val="19"/>
          <w:color w:val="auto"/>
        </w:rPr>
        <w:t>In the event that a transaction (or any portion thereof) meets the criteria of a permitted Asset Sale (or constitutes a permitted exception to the definition of “Asset Sale”) and would also be a permitted Restricted Payment or Permitted Investment, the Borrower, in its sole discretion, will be entitled to divide and classify such transaction (or a portion thereof) as an Asset Sale (or a permitted exception thereto) and/or one or more of the types of permitted Restricted Payments or Permitted Investments.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as defined in Section 9.6(c).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Assignor</w:t>
      </w:r>
      <w:r>
        <w:rPr>
          <w:rFonts w:ascii="Arial" w:cs="Arial" w:eastAsia="Arial" w:hAnsi="Arial"/>
          <w:sz w:val="22"/>
          <w:szCs w:val="22"/>
          <w:color w:val="auto"/>
        </w:rPr>
        <w:t>”: as defined in Section 9.6(c).</w:t>
      </w:r>
    </w:p>
    <w:p>
      <w:pPr>
        <w:spacing w:after="0" w:line="23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as of any date of determination and with respect to the then-current Benchmark, (x) if the then-current Benchmark is a term rate, any tenor for such Benchmark or (y) otherwise, any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(d) of Section 2.12.</w:t>
      </w:r>
    </w:p>
    <w:p>
      <w:pPr>
        <w:spacing w:after="0" w:line="205" w:lineRule="exact"/>
        <w:rPr>
          <w:sz w:val="20"/>
          <w:szCs w:val="20"/>
          <w:color w:val="auto"/>
        </w:rPr>
      </w:pPr>
    </w:p>
    <w:p>
      <w:pPr>
        <w:jc w:val="both"/>
        <w:ind w:firstLine="71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w:t>
      </w:r>
      <w:r>
        <w:rPr>
          <w:rFonts w:ascii="Arial" w:cs="Arial" w:eastAsia="Arial" w:hAnsi="Arial"/>
          <w:sz w:val="19"/>
          <w:szCs w:val="19"/>
          <w:color w:val="auto"/>
        </w:rPr>
        <w:t>”: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Title 11 of the United States Code, as amended.</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the Bankruptcy Code and any similar federal, state or foreign law for the relief of debtors.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w:t>
      </w:r>
      <w:r>
        <w:rPr>
          <w:rFonts w:ascii="Arial" w:cs="Arial" w:eastAsia="Arial" w:hAnsi="Arial"/>
          <w:sz w:val="21"/>
          <w:szCs w:val="21"/>
          <w:color w:val="auto"/>
        </w:rPr>
        <w:t>”: for any day, a rate per annum equal to the greatest of (a) the Prime Rate in effect on such day, (b) the Federal Funds Effective Rate in effect on such day plus ½ of 1%, (c) the sum of (i) the Adjusted Eurodollar Rate (after giving effect to any Adjusted Eurodollar Rate “floor”) that would be payable on such day for a Eurodollar Rate Loan with a one-month interest period plus (ii) 1.0%; and (d) 1.0% per annum. Any change in the Base Rate due to a change in the Prime Rate, the Federal Funds Effective Rate or the Adjusted Eurodollar Rate shall be effective on the effective day of such change in the Prime Rate, the Federal Funds Effective Rate or the Adjusted Eurodollar Rate,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Loans</w:t>
      </w:r>
      <w:r>
        <w:rPr>
          <w:rFonts w:ascii="Arial" w:cs="Arial" w:eastAsia="Arial" w:hAnsi="Arial"/>
          <w:sz w:val="22"/>
          <w:szCs w:val="22"/>
          <w:color w:val="auto"/>
        </w:rPr>
        <w:t>”: Loans for which the applicable rate of interest is based on the Base Rate.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initially, the LIBO Screen Rate; provided that, if a Benchmark Transition Event, as the case may be, an Early Opt-in Election and the Benchmark Replacement Date with respect thereto have occurred with respect to the LIBO Screen Rate or the then-current Benchmark, then “Benchmark” means the applicable Benchmark Replacement to the extent that such Benchmark Replacement has replaced such prior benchmark rate pursuant to clause (a) of Section 2.12.</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for any Available Tenor, the first alternative set forth in the order below that can be determined by the Administrative Agent for the applicable Benchmark Replacement Date:</w:t>
      </w:r>
    </w:p>
    <w:p>
      <w:pPr>
        <w:spacing w:after="0" w:line="209" w:lineRule="exact"/>
        <w:rPr>
          <w:sz w:val="20"/>
          <w:szCs w:val="20"/>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 with respect thereto;</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 with respect thereto;</w:t>
      </w:r>
    </w:p>
    <w:p>
      <w:pPr>
        <w:spacing w:after="0" w:line="252" w:lineRule="exact"/>
        <w:rPr>
          <w:rFonts w:ascii="Arial" w:cs="Arial" w:eastAsia="Arial" w:hAnsi="Arial"/>
          <w:sz w:val="18"/>
          <w:szCs w:val="18"/>
          <w:color w:val="auto"/>
        </w:rPr>
      </w:pPr>
    </w:p>
    <w:p>
      <w:pPr>
        <w:jc w:val="both"/>
        <w:ind w:left="1140" w:hanging="484"/>
        <w:spacing w:after="0" w:line="296" w:lineRule="auto"/>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with respect thereto;</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with respect to any replacement of the then-current Benchmark with an Unadjusted Benchmark Replacement for any applicable Interest Period and Available Tenor for any setting of such Unadjusted Benchmark Replacement:</w:t>
      </w:r>
    </w:p>
    <w:p>
      <w:pPr>
        <w:spacing w:after="0" w:line="220" w:lineRule="exact"/>
        <w:rPr>
          <w:sz w:val="20"/>
          <w:szCs w:val="20"/>
          <w:color w:val="auto"/>
        </w:rPr>
      </w:pPr>
    </w:p>
    <w:p>
      <w:pPr>
        <w:ind w:left="1140" w:hanging="484"/>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97" w:lineRule="exact"/>
        <w:rPr>
          <w:rFonts w:ascii="Arial" w:cs="Arial" w:eastAsia="Arial" w:hAnsi="Arial"/>
          <w:sz w:val="18"/>
          <w:szCs w:val="18"/>
          <w:color w:val="auto"/>
        </w:rPr>
      </w:pPr>
    </w:p>
    <w:p>
      <w:pPr>
        <w:jc w:val="both"/>
        <w:ind w:left="1960" w:hanging="818"/>
        <w:spacing w:after="0" w:line="259"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that has been selected or recommended by the Relevant Governmental Body for the replacement of such Available Tenor of such Benchmark with the applicable Unadjusted Benchmark Replacement;</w:t>
      </w:r>
    </w:p>
    <w:p>
      <w:pPr>
        <w:spacing w:after="0" w:line="213" w:lineRule="exact"/>
        <w:rPr>
          <w:rFonts w:ascii="Arial" w:cs="Arial" w:eastAsia="Arial" w:hAnsi="Arial"/>
          <w:sz w:val="18"/>
          <w:szCs w:val="18"/>
          <w:color w:val="auto"/>
        </w:rPr>
      </w:pPr>
    </w:p>
    <w:p>
      <w:pPr>
        <w:jc w:val="both"/>
        <w:ind w:left="1960" w:right="20" w:hanging="818"/>
        <w:spacing w:after="0" w:line="286" w:lineRule="auto"/>
        <w:tabs>
          <w:tab w:leader="none" w:pos="1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that would apply to the fallback rate for a derivative transaction referencing the ISDA Definitions to be effective upon an index cessation event with respect to such Benchmark for the applicable Corresponding Tenor; and</w:t>
      </w:r>
    </w:p>
    <w:p>
      <w:pPr>
        <w:spacing w:after="0" w:line="192" w:lineRule="exact"/>
        <w:rPr>
          <w:rFonts w:ascii="Arial" w:cs="Arial" w:eastAsia="Arial" w:hAnsi="Arial"/>
          <w:sz w:val="17"/>
          <w:szCs w:val="17"/>
          <w:color w:val="auto"/>
        </w:rPr>
      </w:pPr>
    </w:p>
    <w:p>
      <w:pPr>
        <w:jc w:val="both"/>
        <w:ind w:left="1140" w:hanging="484"/>
        <w:spacing w:after="0" w:line="271" w:lineRule="auto"/>
        <w:tabs>
          <w:tab w:leader="none" w:pos="11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Available Tenor of such Benchmark with the applicable Unadjusted Benchmark Replacement for U.S. dollar-denominated syndicated credit facilities;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the case of clause (1) above, such adjustment is displayed on a screen or other information service that publishes such Benchmark Replacement Adjustment from time to time as selected by the Administrative Agent in its reasonable discretion and (y) if the then-current Benchmark is a term rate, more than one tenor of such Benchmark is available as of the applicable Benchmark Replacement Date and the applicable Unadjusted Benchmark Replacement that will replace such Benchmark in accordance with Section 2.12 will not be a term rate, the Available Tenor of such Benchmark for purposes of this definition of “Benchmark Replacement Adjustment” shall be deemed to be, with respect to each Unadjusted Benchmark Replacement having a payment period for interest calculated with reference thereto, the Available Tenor that has approximately the same length (disregarding business day adjustments) as such payment period.</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275" w:lineRule="exact"/>
        <w:rPr>
          <w:sz w:val="20"/>
          <w:szCs w:val="20"/>
          <w:color w:val="auto"/>
        </w:rPr>
      </w:pPr>
    </w:p>
    <w:p>
      <w:pPr>
        <w:jc w:val="both"/>
        <w:ind w:left="1140" w:hanging="484"/>
        <w:spacing w:after="0" w:line="259"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13"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 or</w:t>
      </w:r>
    </w:p>
    <w:p>
      <w:pPr>
        <w:spacing w:after="0" w:line="197"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both"/>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the occurrence of one or more of the following events with respect to the then-current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22" w:lineRule="exact"/>
        <w:rPr>
          <w:sz w:val="20"/>
          <w:szCs w:val="20"/>
          <w:color w:val="auto"/>
        </w:rPr>
      </w:pPr>
    </w:p>
    <w:p>
      <w:pPr>
        <w:jc w:val="both"/>
        <w:ind w:left="1140" w:hanging="484"/>
        <w:spacing w:after="0" w:line="279" w:lineRule="auto"/>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8" w:lineRule="exact"/>
        <w:rPr>
          <w:rFonts w:ascii="Arial" w:cs="Arial" w:eastAsia="Arial" w:hAnsi="Arial"/>
          <w:sz w:val="17"/>
          <w:szCs w:val="17"/>
          <w:color w:val="auto"/>
        </w:rPr>
      </w:pPr>
    </w:p>
    <w:p>
      <w:pPr>
        <w:jc w:val="both"/>
        <w:ind w:left="1140" w:hanging="484"/>
        <w:spacing w:after="0" w:line="254"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18"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2.12 and (y) ending at the time that a Benchmark Replacement has replaced the then-current Benchmark for all purposes hereunder and under any Loan Document in accordance with Section 2.12.</w:t>
      </w:r>
    </w:p>
    <w:p>
      <w:pPr>
        <w:spacing w:after="0" w:line="21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individual beneficial ownership solely to the extent required by 31 C.F.R. §1010.230.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as defined in Section 9.22(b).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the Board of Governors of the Federal Reserve System of the United States (or any successor).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as defined in Section 9.2.</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Obligations</w:t>
      </w:r>
      <w:r>
        <w:rPr>
          <w:rFonts w:ascii="Arial" w:cs="Arial" w:eastAsia="Arial" w:hAnsi="Arial"/>
          <w:sz w:val="21"/>
          <w:szCs w:val="21"/>
          <w:color w:val="auto"/>
        </w:rPr>
        <w:t>”: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any Issuing Bank, any Lender or any Lender Counterparty, whether direct or indirect, absolute or contingent, due or to become due, or now existing or hereafter incurred, which arise under, out of, or in connection with, this Agreement, the Security Documents or the other Loan Documents, any Secured Hedge Agreement, any Secured Cash Management Agreement or any other document made, delivered or given in connection therewith, in each case whether on account of principal, interest, reimbursement obligations, fees, indemnities, costs, expenses or otherwise, excluding, in each case, Excluded Swap Obligations.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Loans of the same Type made, converted or continued on the same date and, in the case of Eurodollar Rate Loans, as to which a single Interest Period is in effect.</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(a) any day excluding Saturday, Sunday and any day which is a legal holiday under the laws of the State of New York or is a day on which banking institutions located in such state are authorized or required by law or other governmental action to close and (b) with respect to all notices, determinations, fundings and payments in connection with the Adjusted Eurodollar Rate or any Eurodollar Rate Loans, the term “Business Day” means any day which is a Business Day described in clause (a) and which is also a day for trading by and between banks in Dollar deposits in the London interbank market.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w:t>
      </w:r>
    </w:p>
    <w:p>
      <w:pPr>
        <w:spacing w:after="0" w:line="240" w:lineRule="exact"/>
        <w:rPr>
          <w:sz w:val="20"/>
          <w:szCs w:val="20"/>
          <w:color w:val="auto"/>
        </w:rPr>
      </w:pPr>
    </w:p>
    <w:p>
      <w:pPr>
        <w:ind w:left="1960" w:hanging="818"/>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52" w:lineRule="exact"/>
        <w:rPr>
          <w:rFonts w:ascii="Arial" w:cs="Arial" w:eastAsia="Arial" w:hAnsi="Arial"/>
          <w:sz w:val="18"/>
          <w:szCs w:val="18"/>
          <w:color w:val="auto"/>
        </w:rPr>
      </w:pPr>
    </w:p>
    <w:p>
      <w:pPr>
        <w:ind w:left="1960" w:hanging="818"/>
        <w:spacing w:after="0" w:line="277"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97" w:lineRule="exact"/>
        <w:rPr>
          <w:rFonts w:ascii="Arial" w:cs="Arial" w:eastAsia="Arial" w:hAnsi="Arial"/>
          <w:sz w:val="18"/>
          <w:szCs w:val="18"/>
          <w:color w:val="auto"/>
        </w:rPr>
      </w:pPr>
    </w:p>
    <w:p>
      <w:pPr>
        <w:ind w:left="1960" w:hanging="818"/>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or membership interests (whether general or limited); and</w:t>
      </w:r>
    </w:p>
    <w:p>
      <w:pPr>
        <w:spacing w:after="0" w:line="275" w:lineRule="exact"/>
        <w:rPr>
          <w:rFonts w:ascii="Arial" w:cs="Arial" w:eastAsia="Arial" w:hAnsi="Arial"/>
          <w:sz w:val="16"/>
          <w:szCs w:val="16"/>
          <w:color w:val="auto"/>
        </w:rPr>
      </w:pPr>
    </w:p>
    <w:p>
      <w:pPr>
        <w:ind w:left="1960" w:hanging="818"/>
        <w:spacing w:after="0" w:line="277"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Software Expenditures</w:t>
      </w:r>
      <w:r>
        <w:rPr>
          <w:rFonts w:ascii="Arial" w:cs="Arial" w:eastAsia="Arial" w:hAnsi="Arial"/>
          <w:sz w:val="22"/>
          <w:szCs w:val="22"/>
          <w:color w:val="auto"/>
        </w:rPr>
        <w:t>”: for any period, the aggregate of all expenditures (whether paid in cash or accrued as liabilities) by the Borrower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 Subsidiaries.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Subsidiary</w:t>
      </w:r>
      <w:r>
        <w:rPr>
          <w:rFonts w:ascii="Arial" w:cs="Arial" w:eastAsia="Arial" w:hAnsi="Arial"/>
          <w:sz w:val="22"/>
          <w:szCs w:val="22"/>
          <w:color w:val="auto"/>
        </w:rPr>
        <w:t>”: any Restricted Subsidiary of the Borrower that is subject to regulation as an insurance company (and any Restricted Subsidiary thereof).</w:t>
      </w:r>
    </w:p>
    <w:p>
      <w:pPr>
        <w:sectPr>
          <w:pgSz w:w="11900" w:h="16838" w:orient="portrait"/>
          <w:cols w:equalWidth="0" w:num="1">
            <w:col w:w="11240"/>
          </w:cols>
          <w:pgMar w:left="320" w:top="118"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as at any date of determination,</w:t>
      </w:r>
    </w:p>
    <w:p>
      <w:pPr>
        <w:spacing w:after="0" w:line="234" w:lineRule="exact"/>
        <w:rPr>
          <w:sz w:val="20"/>
          <w:szCs w:val="20"/>
          <w:color w:val="auto"/>
        </w:rPr>
      </w:pPr>
    </w:p>
    <w:p>
      <w:pPr>
        <w:jc w:val="both"/>
        <w:ind w:firstLine="1952"/>
        <w:spacing w:after="0" w:line="238" w:lineRule="auto"/>
        <w:tabs>
          <w:tab w:leader="none" w:pos="2656"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w:t>
      </w:r>
    </w:p>
    <w:p>
      <w:pPr>
        <w:spacing w:after="0" w:line="211" w:lineRule="exact"/>
        <w:rPr>
          <w:rFonts w:ascii="Arial" w:cs="Arial" w:eastAsia="Arial" w:hAnsi="Arial"/>
          <w:sz w:val="22"/>
          <w:szCs w:val="22"/>
          <w:color w:val="auto"/>
        </w:rPr>
      </w:pPr>
    </w:p>
    <w:p>
      <w:pPr>
        <w:jc w:val="both"/>
        <w:ind w:firstLine="1952"/>
        <w:spacing w:after="0" w:line="274" w:lineRule="auto"/>
        <w:tabs>
          <w:tab w:leader="none" w:pos="25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185" w:lineRule="exact"/>
        <w:rPr>
          <w:rFonts w:ascii="Arial" w:cs="Arial" w:eastAsia="Arial" w:hAnsi="Arial"/>
          <w:sz w:val="19"/>
          <w:szCs w:val="19"/>
          <w:color w:val="auto"/>
        </w:rPr>
      </w:pPr>
    </w:p>
    <w:p>
      <w:pPr>
        <w:jc w:val="both"/>
        <w:ind w:firstLine="1952"/>
        <w:spacing w:after="0" w:line="235" w:lineRule="auto"/>
        <w:tabs>
          <w:tab w:leader="none" w:pos="2508"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spacing w:after="0" w:line="214" w:lineRule="exact"/>
        <w:rPr>
          <w:rFonts w:ascii="Arial" w:cs="Arial" w:eastAsia="Arial" w:hAnsi="Arial"/>
          <w:sz w:val="22"/>
          <w:szCs w:val="22"/>
          <w:color w:val="auto"/>
        </w:rPr>
      </w:pPr>
    </w:p>
    <w:p>
      <w:pPr>
        <w:jc w:val="both"/>
        <w:ind w:firstLine="1952"/>
        <w:spacing w:after="0" w:line="236" w:lineRule="auto"/>
        <w:tabs>
          <w:tab w:leader="none" w:pos="2587"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214" w:lineRule="exact"/>
        <w:rPr>
          <w:rFonts w:ascii="Arial" w:cs="Arial" w:eastAsia="Arial" w:hAnsi="Arial"/>
          <w:sz w:val="22"/>
          <w:szCs w:val="22"/>
          <w:color w:val="auto"/>
        </w:rPr>
      </w:pPr>
    </w:p>
    <w:p>
      <w:pPr>
        <w:jc w:val="both"/>
        <w:ind w:firstLine="1952"/>
        <w:spacing w:after="0" w:line="248" w:lineRule="auto"/>
        <w:tabs>
          <w:tab w:leader="none" w:pos="2832" w:val="left"/>
        </w:tabs>
        <w:numPr>
          <w:ilvl w:val="0"/>
          <w:numId w:val="57"/>
        </w:numPr>
        <w:rPr>
          <w:rFonts w:ascii="Arial" w:cs="Arial" w:eastAsia="Arial" w:hAnsi="Arial"/>
          <w:sz w:val="21"/>
          <w:szCs w:val="21"/>
          <w:color w:val="auto"/>
        </w:rPr>
      </w:pPr>
      <w:r>
        <w:rPr>
          <w:rFonts w:ascii="Arial" w:cs="Arial" w:eastAsia="Arial" w:hAnsi="Arial"/>
          <w:sz w:val="21"/>
          <w:szCs w:val="21"/>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203" w:lineRule="exact"/>
        <w:rPr>
          <w:rFonts w:ascii="Arial" w:cs="Arial" w:eastAsia="Arial" w:hAnsi="Arial"/>
          <w:sz w:val="21"/>
          <w:szCs w:val="21"/>
          <w:color w:val="auto"/>
        </w:rPr>
      </w:pPr>
    </w:p>
    <w:p>
      <w:pPr>
        <w:ind w:right="20" w:firstLine="1952"/>
        <w:spacing w:after="0" w:line="250" w:lineRule="auto"/>
        <w:tabs>
          <w:tab w:leader="none" w:pos="2713"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securities with maturities of six months or less from the date of acquisition backed by standby letters of credit issued by any financial institution meeting the qualifications specified in clause (e) above;</w:t>
      </w:r>
    </w:p>
    <w:p>
      <w:pPr>
        <w:spacing w:after="0" w:line="201" w:lineRule="exact"/>
        <w:rPr>
          <w:rFonts w:ascii="Arial" w:cs="Arial" w:eastAsia="Arial" w:hAnsi="Arial"/>
          <w:sz w:val="22"/>
          <w:szCs w:val="22"/>
          <w:color w:val="auto"/>
        </w:rPr>
      </w:pPr>
    </w:p>
    <w:p>
      <w:pPr>
        <w:jc w:val="both"/>
        <w:ind w:firstLine="1952"/>
        <w:spacing w:after="0"/>
        <w:tabs>
          <w:tab w:leader="none" w:pos="25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65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both"/>
        <w:ind w:firstLine="1952"/>
        <w:spacing w:after="0" w:line="258" w:lineRule="auto"/>
        <w:tabs>
          <w:tab w:leader="none" w:pos="2593"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193" w:lineRule="exact"/>
        <w:rPr>
          <w:rFonts w:ascii="Arial" w:cs="Arial" w:eastAsia="Arial" w:hAnsi="Arial"/>
          <w:sz w:val="21"/>
          <w:szCs w:val="21"/>
          <w:color w:val="auto"/>
        </w:rPr>
      </w:pPr>
    </w:p>
    <w:p>
      <w:pPr>
        <w:jc w:val="both"/>
        <w:ind w:firstLine="1952"/>
        <w:spacing w:after="0" w:line="238" w:lineRule="auto"/>
        <w:tabs>
          <w:tab w:leader="none" w:pos="26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211" w:lineRule="exact"/>
        <w:rPr>
          <w:rFonts w:ascii="Arial" w:cs="Arial" w:eastAsia="Arial" w:hAnsi="Arial"/>
          <w:sz w:val="22"/>
          <w:szCs w:val="22"/>
          <w:color w:val="auto"/>
        </w:rPr>
      </w:pPr>
    </w:p>
    <w:p>
      <w:pPr>
        <w:jc w:val="both"/>
        <w:ind w:firstLine="1952"/>
        <w:spacing w:after="0"/>
        <w:tabs>
          <w:tab w:leader="none" w:pos="2587"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85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spacing w:after="0" w:line="214" w:lineRule="exact"/>
        <w:rPr>
          <w:rFonts w:ascii="Arial" w:cs="Arial" w:eastAsia="Arial" w:hAnsi="Arial"/>
          <w:sz w:val="22"/>
          <w:szCs w:val="22"/>
          <w:color w:val="auto"/>
        </w:rPr>
      </w:pPr>
    </w:p>
    <w:p>
      <w:pPr>
        <w:ind w:left="2600" w:hanging="648"/>
        <w:spacing w:after="0"/>
        <w:tabs>
          <w:tab w:leader="none" w:pos="2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investment funds investing at least 90.0% of their assets in the types of investments referred to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clauses (a) through (l) above;</w:t>
      </w:r>
    </w:p>
    <w:p>
      <w:pPr>
        <w:spacing w:after="0" w:line="215" w:lineRule="exact"/>
        <w:rPr>
          <w:rFonts w:ascii="Arial" w:cs="Arial" w:eastAsia="Arial" w:hAnsi="Arial"/>
          <w:sz w:val="19"/>
          <w:szCs w:val="19"/>
          <w:color w:val="auto"/>
        </w:rPr>
      </w:pPr>
    </w:p>
    <w:p>
      <w:pPr>
        <w:ind w:firstLine="1952"/>
        <w:spacing w:after="0" w:line="250" w:lineRule="auto"/>
        <w:tabs>
          <w:tab w:leader="none" w:pos="2898" w:val="left"/>
        </w:tabs>
        <w:numPr>
          <w:ilvl w:val="0"/>
          <w:numId w:val="58"/>
        </w:numPr>
        <w:rPr>
          <w:rFonts w:ascii="Arial" w:cs="Arial" w:eastAsia="Arial" w:hAnsi="Arial"/>
          <w:sz w:val="22"/>
          <w:szCs w:val="22"/>
          <w:color w:val="auto"/>
        </w:rPr>
      </w:pPr>
      <w:r>
        <w:rPr>
          <w:rFonts w:ascii="Arial" w:cs="Arial" w:eastAsia="Arial" w:hAnsi="Arial"/>
          <w:sz w:val="22"/>
          <w:szCs w:val="22"/>
          <w:color w:val="auto"/>
        </w:rPr>
        <w:t>solely with respect to any Captive Insurance Subsidiary, any investment that such Captive Insurance Subsidiary is not prohibited to make in accordance with applicable law; and</w:t>
      </w:r>
    </w:p>
    <w:p>
      <w:pPr>
        <w:spacing w:after="0" w:line="201" w:lineRule="exact"/>
        <w:rPr>
          <w:rFonts w:ascii="Arial" w:cs="Arial" w:eastAsia="Arial" w:hAnsi="Arial"/>
          <w:sz w:val="22"/>
          <w:szCs w:val="22"/>
          <w:color w:val="auto"/>
        </w:rPr>
      </w:pPr>
    </w:p>
    <w:p>
      <w:pPr>
        <w:jc w:val="both"/>
        <w:ind w:firstLine="1952"/>
        <w:spacing w:after="0" w:line="282" w:lineRule="auto"/>
        <w:tabs>
          <w:tab w:leader="none" w:pos="27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any agreement relating to treasury, depositary or cash management services provided to the Borrower or any Restricted Subsidiary.</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occurrence of one or more of the following events after the Closing Date:</w:t>
      </w:r>
    </w:p>
    <w:p>
      <w:pPr>
        <w:spacing w:after="0" w:line="233" w:lineRule="exact"/>
        <w:rPr>
          <w:sz w:val="20"/>
          <w:szCs w:val="20"/>
          <w:color w:val="auto"/>
        </w:rPr>
      </w:pPr>
    </w:p>
    <w:p>
      <w:pPr>
        <w:ind w:left="660" w:firstLine="482"/>
        <w:spacing w:after="0" w:line="328" w:lineRule="auto"/>
        <w:tabs>
          <w:tab w:leader="none" w:pos="215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sale, lease or transfer, in one or a series of related transactions, of all or substantially all of the assets of the Borrower and its Subsidiaries, taken as a whole, to any Person other than one or more Permitted Holders; or</w:t>
      </w:r>
    </w:p>
    <w:p>
      <w:pPr>
        <w:spacing w:after="0" w:line="131" w:lineRule="exact"/>
        <w:rPr>
          <w:rFonts w:ascii="Arial" w:cs="Arial" w:eastAsia="Arial" w:hAnsi="Arial"/>
          <w:sz w:val="19"/>
          <w:szCs w:val="19"/>
          <w:color w:val="auto"/>
        </w:rPr>
      </w:pPr>
    </w:p>
    <w:p>
      <w:pPr>
        <w:jc w:val="both"/>
        <w:ind w:left="660" w:firstLine="482"/>
        <w:spacing w:after="0" w:line="245" w:lineRule="auto"/>
        <w:tabs>
          <w:tab w:leader="none" w:pos="2194"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9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w:t>
      </w:r>
      <w:r>
        <w:rPr>
          <w:rFonts w:ascii="Arial" w:cs="Arial" w:eastAsia="Arial" w:hAnsi="Arial"/>
          <w:sz w:val="22"/>
          <w:szCs w:val="22"/>
          <w:color w:val="auto"/>
        </w:rPr>
        <w:t>”: any fee, loss, charge, expense, cost, accrual or reserve of any kind (in each case, if applicable, as defined under GAAP).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the date on which the conditions specified in Section 4.1 are satisfied (or waived).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assets and property of the Borrower or any Guarantor, whether real, personal or mixed, securing or purported to secure any Obligations, other than Excluded Assets.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as defined in the preamble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 time pursuant to assignments by or to such Lender pursuant to Section 9.6; and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means such commitments of all Lenders in the aggregate. The initial amount of each Lender’s Commitment is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or in the Assignment and Acceptance pursuant to which such Lender shall have assumed its Commitment, as applicable. The aggregate amount of the Commitments as of the Closing Date is $200,000,000.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the Commodity Exchange Act (7 U.S.C. § 1 </w:t>
      </w:r>
      <w:r>
        <w:rPr>
          <w:rFonts w:ascii="Arial" w:cs="Arial" w:eastAsia="Arial" w:hAnsi="Arial"/>
          <w:sz w:val="22"/>
          <w:szCs w:val="22"/>
          <w:u w:val="single" w:color="auto"/>
          <w:color w:val="auto"/>
        </w:rPr>
        <w:t>et seq</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Representative</w:t>
      </w:r>
      <w:r>
        <w:rPr>
          <w:rFonts w:ascii="Arial" w:cs="Arial" w:eastAsia="Arial" w:hAnsi="Arial"/>
          <w:sz w:val="22"/>
          <w:szCs w:val="22"/>
          <w:color w:val="auto"/>
        </w:rPr>
        <w:t>”: as defined in the Equal Priority Intercreditor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a certificate duly executed by a Responsible Officer of the Borrower,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Other Connection Taxes that are imposed on or measured by net income (however denominated) or that are franchise Taxes or branch profits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with respect to any Person for any Test Period, the sum of:</w:t>
      </w:r>
    </w:p>
    <w:p>
      <w:pPr>
        <w:spacing w:after="0" w:line="233" w:lineRule="exact"/>
        <w:rPr>
          <w:sz w:val="20"/>
          <w:szCs w:val="20"/>
          <w:color w:val="auto"/>
        </w:rPr>
      </w:pPr>
    </w:p>
    <w:p>
      <w:pPr>
        <w:ind w:left="2560" w:hanging="608"/>
        <w:spacing w:after="0"/>
        <w:tabs>
          <w:tab w:leader="none" w:pos="25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Consolidated Net Income of such Person for such period; plus</w:t>
      </w:r>
    </w:p>
    <w:p>
      <w:pPr>
        <w:spacing w:after="0" w:line="233" w:lineRule="exact"/>
        <w:rPr>
          <w:rFonts w:ascii="Arial" w:cs="Arial" w:eastAsia="Arial" w:hAnsi="Arial"/>
          <w:sz w:val="22"/>
          <w:szCs w:val="22"/>
          <w:color w:val="auto"/>
        </w:rPr>
      </w:pPr>
    </w:p>
    <w:p>
      <w:pPr>
        <w:jc w:val="both"/>
        <w:ind w:firstLine="1952"/>
        <w:spacing w:after="0"/>
        <w:tabs>
          <w:tab w:leader="none" w:pos="25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spacing w:after="0" w:line="213" w:lineRule="exact"/>
        <w:rPr>
          <w:rFonts w:ascii="Arial" w:cs="Arial" w:eastAsia="Arial" w:hAnsi="Arial"/>
          <w:sz w:val="22"/>
          <w:szCs w:val="22"/>
          <w:color w:val="auto"/>
        </w:rPr>
      </w:pPr>
    </w:p>
    <w:p>
      <w:pPr>
        <w:jc w:val="both"/>
        <w:ind w:left="660" w:firstLine="1778"/>
        <w:spacing w:after="0" w:line="287" w:lineRule="auto"/>
        <w:tabs>
          <w:tab w:leader="none" w:pos="32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(n) thereof;</w:t>
      </w:r>
    </w:p>
    <w:p>
      <w:pPr>
        <w:spacing w:after="0" w:line="169" w:lineRule="exact"/>
        <w:rPr>
          <w:rFonts w:ascii="Arial" w:cs="Arial" w:eastAsia="Arial" w:hAnsi="Arial"/>
          <w:sz w:val="19"/>
          <w:szCs w:val="19"/>
          <w:color w:val="auto"/>
        </w:rPr>
      </w:pPr>
    </w:p>
    <w:p>
      <w:pPr>
        <w:jc w:val="both"/>
        <w:ind w:left="660" w:firstLine="1778"/>
        <w:spacing w:after="0" w:line="279" w:lineRule="auto"/>
        <w:tabs>
          <w:tab w:leader="none" w:pos="3367" w:val="left"/>
        </w:tabs>
        <w:numPr>
          <w:ilvl w:val="1"/>
          <w:numId w:val="60"/>
        </w:numPr>
        <w:rPr>
          <w:rFonts w:ascii="Arial" w:cs="Arial" w:eastAsia="Arial" w:hAnsi="Arial"/>
          <w:sz w:val="19"/>
          <w:szCs w:val="19"/>
          <w:color w:val="auto"/>
        </w:rPr>
      </w:pPr>
      <w:r>
        <w:rPr>
          <w:rFonts w:ascii="Arial" w:cs="Arial" w:eastAsia="Arial" w:hAnsi="Arial"/>
          <w:sz w:val="19"/>
          <w:szCs w:val="19"/>
          <w:color w:val="auto"/>
        </w:rPr>
        <w:t>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w:t>
      </w:r>
    </w:p>
    <w:p>
      <w:pPr>
        <w:spacing w:after="0" w:line="177" w:lineRule="exact"/>
        <w:rPr>
          <w:rFonts w:ascii="Arial" w:cs="Arial" w:eastAsia="Arial" w:hAnsi="Arial"/>
          <w:sz w:val="19"/>
          <w:szCs w:val="19"/>
          <w:color w:val="auto"/>
        </w:rPr>
      </w:pPr>
    </w:p>
    <w:p>
      <w:pPr>
        <w:jc w:val="both"/>
        <w:ind w:left="660" w:firstLine="1778"/>
        <w:spacing w:after="0" w:line="277" w:lineRule="auto"/>
        <w:tabs>
          <w:tab w:leader="none" w:pos="3414" w:val="left"/>
        </w:tabs>
        <w:numPr>
          <w:ilvl w:val="1"/>
          <w:numId w:val="60"/>
        </w:numPr>
        <w:rPr>
          <w:rFonts w:ascii="Arial" w:cs="Arial" w:eastAsia="Arial" w:hAnsi="Arial"/>
          <w:sz w:val="19"/>
          <w:szCs w:val="19"/>
          <w:color w:val="auto"/>
        </w:rPr>
      </w:pPr>
      <w:r>
        <w:rPr>
          <w:rFonts w:ascii="Arial" w:cs="Arial" w:eastAsia="Arial" w:hAnsi="Arial"/>
          <w:sz w:val="19"/>
          <w:szCs w:val="19"/>
          <w:color w:val="auto"/>
        </w:rPr>
        <w:t>(A)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both"/>
        <w:ind w:firstLine="1778"/>
        <w:spacing w:after="0" w:line="277" w:lineRule="auto"/>
        <w:tabs>
          <w:tab w:leader="none" w:pos="289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w:t>
      </w:r>
    </w:p>
    <w:p>
      <w:pPr>
        <w:spacing w:after="0" w:line="179" w:lineRule="exact"/>
        <w:rPr>
          <w:rFonts w:ascii="Arial" w:cs="Arial" w:eastAsia="Arial" w:hAnsi="Arial"/>
          <w:sz w:val="19"/>
          <w:szCs w:val="19"/>
          <w:color w:val="auto"/>
        </w:rPr>
      </w:pPr>
    </w:p>
    <w:p>
      <w:pPr>
        <w:jc w:val="both"/>
        <w:ind w:firstLine="1778"/>
        <w:spacing w:after="0" w:line="273" w:lineRule="auto"/>
        <w:tabs>
          <w:tab w:leader="none" w:pos="266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w:t>
      </w:r>
    </w:p>
    <w:p>
      <w:pPr>
        <w:spacing w:after="0" w:line="187" w:lineRule="exact"/>
        <w:rPr>
          <w:rFonts w:ascii="Arial" w:cs="Arial" w:eastAsia="Arial" w:hAnsi="Arial"/>
          <w:sz w:val="19"/>
          <w:szCs w:val="19"/>
          <w:color w:val="auto"/>
        </w:rPr>
      </w:pPr>
    </w:p>
    <w:p>
      <w:pPr>
        <w:ind w:left="2620" w:hanging="842"/>
        <w:spacing w:after="0"/>
        <w:tabs>
          <w:tab w:leader="none" w:pos="26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778"/>
        <w:spacing w:after="0"/>
        <w:tabs>
          <w:tab w:leader="none" w:pos="280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spacing w:after="0" w:line="213" w:lineRule="exact"/>
        <w:rPr>
          <w:rFonts w:ascii="Arial" w:cs="Arial" w:eastAsia="Arial" w:hAnsi="Arial"/>
          <w:sz w:val="22"/>
          <w:szCs w:val="22"/>
          <w:color w:val="auto"/>
        </w:rPr>
      </w:pPr>
    </w:p>
    <w:p>
      <w:pPr>
        <w:ind w:left="2780" w:hanging="1002"/>
        <w:spacing w:after="0"/>
        <w:tabs>
          <w:tab w:leader="none" w:pos="27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amount of any contingent payments in connection with the licensing of intellectual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property or other assets;</w:t>
      </w:r>
    </w:p>
    <w:p>
      <w:pPr>
        <w:spacing w:after="0" w:line="215" w:lineRule="exact"/>
        <w:rPr>
          <w:rFonts w:ascii="Arial" w:cs="Arial" w:eastAsia="Arial" w:hAnsi="Arial"/>
          <w:sz w:val="19"/>
          <w:szCs w:val="19"/>
          <w:color w:val="auto"/>
        </w:rPr>
      </w:pPr>
    </w:p>
    <w:p>
      <w:pPr>
        <w:ind w:left="2580" w:hanging="802"/>
        <w:spacing w:after="0"/>
        <w:tabs>
          <w:tab w:leader="none" w:pos="25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560" w:hanging="782"/>
        <w:spacing w:after="0"/>
        <w:tabs>
          <w:tab w:leader="none" w:pos="25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amount of fees, Charges, expense reimbursements and indemnities paid to directors;</w:t>
      </w:r>
    </w:p>
    <w:p>
      <w:pPr>
        <w:spacing w:after="0" w:line="267" w:lineRule="exact"/>
        <w:rPr>
          <w:rFonts w:ascii="Arial" w:cs="Arial" w:eastAsia="Arial" w:hAnsi="Arial"/>
          <w:sz w:val="19"/>
          <w:szCs w:val="19"/>
          <w:color w:val="auto"/>
        </w:rPr>
      </w:pPr>
    </w:p>
    <w:p>
      <w:pPr>
        <w:ind w:firstLine="1778"/>
        <w:spacing w:after="0" w:line="250" w:lineRule="auto"/>
        <w:tabs>
          <w:tab w:leader="none" w:pos="267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amount of any Charge incurred or accrued in connection with sales of receivables and related assets in connection with any Permitted Receivables Financing;</w:t>
      </w:r>
    </w:p>
    <w:p>
      <w:pPr>
        <w:spacing w:after="0" w:line="201" w:lineRule="exact"/>
        <w:rPr>
          <w:rFonts w:ascii="Arial" w:cs="Arial" w:eastAsia="Arial" w:hAnsi="Arial"/>
          <w:sz w:val="22"/>
          <w:szCs w:val="22"/>
          <w:color w:val="auto"/>
        </w:rPr>
      </w:pPr>
    </w:p>
    <w:p>
      <w:pPr>
        <w:jc w:val="both"/>
        <w:ind w:firstLine="1778"/>
        <w:spacing w:after="0" w:line="252" w:lineRule="auto"/>
        <w:tabs>
          <w:tab w:leader="none" w:pos="2842"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spacing w:after="0" w:line="200" w:lineRule="exact"/>
        <w:rPr>
          <w:rFonts w:ascii="Arial" w:cs="Arial" w:eastAsia="Arial" w:hAnsi="Arial"/>
          <w:sz w:val="21"/>
          <w:szCs w:val="21"/>
          <w:color w:val="auto"/>
        </w:rPr>
      </w:pPr>
    </w:p>
    <w:p>
      <w:pPr>
        <w:ind w:left="2580" w:hanging="802"/>
        <w:spacing w:after="0"/>
        <w:tabs>
          <w:tab w:leader="none" w:pos="25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adjustments permitted or required by Article 11 of Regulation S-X of the Securities Act;</w:t>
      </w:r>
    </w:p>
    <w:p>
      <w:pPr>
        <w:spacing w:after="0" w:line="267" w:lineRule="exact"/>
        <w:rPr>
          <w:rFonts w:ascii="Arial" w:cs="Arial" w:eastAsia="Arial" w:hAnsi="Arial"/>
          <w:sz w:val="19"/>
          <w:szCs w:val="19"/>
          <w:color w:val="auto"/>
        </w:rPr>
      </w:pPr>
    </w:p>
    <w:p>
      <w:pPr>
        <w:ind w:right="20" w:firstLine="1778"/>
        <w:spacing w:after="0" w:line="328" w:lineRule="auto"/>
        <w:tabs>
          <w:tab w:leader="none" w:pos="2728" w:val="left"/>
        </w:tabs>
        <w:numPr>
          <w:ilvl w:val="0"/>
          <w:numId w:val="61"/>
        </w:numPr>
        <w:rPr>
          <w:rFonts w:ascii="Arial" w:cs="Arial" w:eastAsia="Arial" w:hAnsi="Arial"/>
          <w:sz w:val="19"/>
          <w:szCs w:val="19"/>
          <w:color w:val="auto"/>
        </w:rPr>
      </w:pPr>
      <w:r>
        <w:rPr>
          <w:rFonts w:ascii="Arial" w:cs="Arial" w:eastAsia="Arial" w:hAnsi="Arial"/>
          <w:sz w:val="19"/>
          <w:szCs w:val="19"/>
          <w:color w:val="auto"/>
        </w:rPr>
        <w:t>expenses consisting of internal software development costs that are expensed during the period but could have been capitalized under alternative accounting policies in accordance with GAAP; and</w:t>
      </w:r>
    </w:p>
    <w:p>
      <w:pPr>
        <w:spacing w:after="0" w:line="310"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62" w:name="page63"/>
    <w:bookmarkEnd w:id="62"/>
    <w:p>
      <w:pPr>
        <w:jc w:val="both"/>
        <w:ind w:left="660" w:firstLine="1778"/>
        <w:spacing w:after="0" w:line="277" w:lineRule="auto"/>
        <w:tabs>
          <w:tab w:leader="none" w:pos="3234" w:val="left"/>
        </w:tabs>
        <w:numPr>
          <w:ilvl w:val="2"/>
          <w:numId w:val="62"/>
        </w:numPr>
        <w:rPr>
          <w:rFonts w:ascii="Arial" w:cs="Arial" w:eastAsia="Arial" w:hAnsi="Arial"/>
          <w:sz w:val="19"/>
          <w:szCs w:val="19"/>
          <w:color w:val="auto"/>
        </w:rPr>
      </w:pPr>
      <w:r>
        <w:rPr>
          <w:rFonts w:ascii="Arial" w:cs="Arial" w:eastAsia="Arial" w:hAnsi="Arial"/>
          <w:sz w:val="19"/>
          <w:szCs w:val="19"/>
          <w:color w:val="auto"/>
        </w:rPr>
        <w:t>with respect to any joint venture that is not a Subsidiary of the Borrower or that is accounted for by the equity method of accounting, an amount equal to the proportion of those items described in clauses (i), (ii) and</w:t>
      </w:r>
    </w:p>
    <w:p>
      <w:pPr>
        <w:jc w:val="both"/>
        <w:ind w:left="660" w:hanging="4"/>
        <w:spacing w:after="0" w:line="287" w:lineRule="auto"/>
        <w:tabs>
          <w:tab w:leader="none" w:pos="10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plus</w:t>
      </w:r>
    </w:p>
    <w:p>
      <w:pPr>
        <w:spacing w:after="0" w:line="170" w:lineRule="exact"/>
        <w:rPr>
          <w:rFonts w:ascii="Arial" w:cs="Arial" w:eastAsia="Arial" w:hAnsi="Arial"/>
          <w:sz w:val="19"/>
          <w:szCs w:val="19"/>
          <w:color w:val="auto"/>
        </w:rPr>
      </w:pPr>
    </w:p>
    <w:p>
      <w:pPr>
        <w:jc w:val="both"/>
        <w:ind w:firstLine="1952"/>
        <w:spacing w:after="0" w:line="252" w:lineRule="auto"/>
        <w:tabs>
          <w:tab w:leader="none" w:pos="2521" w:val="left"/>
        </w:tabs>
        <w:numPr>
          <w:ilvl w:val="1"/>
          <w:numId w:val="63"/>
        </w:numPr>
        <w:rPr>
          <w:rFonts w:ascii="Arial" w:cs="Arial" w:eastAsia="Arial" w:hAnsi="Arial"/>
          <w:sz w:val="21"/>
          <w:szCs w:val="21"/>
          <w:color w:val="auto"/>
        </w:rPr>
      </w:pPr>
      <w:r>
        <w:rPr>
          <w:rFonts w:ascii="Arial" w:cs="Arial" w:eastAsia="Arial" w:hAnsi="Arial"/>
          <w:sz w:val="21"/>
          <w:szCs w:val="21"/>
          <w:color w:val="auto"/>
        </w:rPr>
        <w:t>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plus</w:t>
      </w:r>
    </w:p>
    <w:p>
      <w:pPr>
        <w:spacing w:after="0" w:line="200" w:lineRule="exact"/>
        <w:rPr>
          <w:rFonts w:ascii="Arial" w:cs="Arial" w:eastAsia="Arial" w:hAnsi="Arial"/>
          <w:sz w:val="21"/>
          <w:szCs w:val="21"/>
          <w:color w:val="auto"/>
        </w:rPr>
      </w:pPr>
    </w:p>
    <w:p>
      <w:pPr>
        <w:jc w:val="both"/>
        <w:ind w:firstLine="1952"/>
        <w:spacing w:after="0" w:line="270" w:lineRule="auto"/>
        <w:tabs>
          <w:tab w:leader="none" w:pos="2560" w:val="left"/>
        </w:tabs>
        <w:numPr>
          <w:ilvl w:val="1"/>
          <w:numId w:val="63"/>
        </w:numPr>
        <w:rPr>
          <w:rFonts w:ascii="Arial" w:cs="Arial" w:eastAsia="Arial" w:hAnsi="Arial"/>
          <w:sz w:val="19"/>
          <w:szCs w:val="19"/>
          <w:color w:val="auto"/>
        </w:rPr>
      </w:pPr>
      <w:r>
        <w:rPr>
          <w:rFonts w:ascii="Arial" w:cs="Arial" w:eastAsia="Arial" w:hAnsi="Arial"/>
          <w:sz w:val="19"/>
          <w:szCs w:val="19"/>
          <w:color w:val="auto"/>
        </w:rPr>
        <w:t>without duplication, the amount of “run rate” cost savings, operating expense reductions, synergies and operating improvements (including the entry into or termination of material contracts (including Customer Contracts) and arrangements) (collectively, “</w:t>
      </w:r>
      <w:r>
        <w:rPr>
          <w:rFonts w:ascii="Arial" w:cs="Arial" w:eastAsia="Arial" w:hAnsi="Arial"/>
          <w:sz w:val="19"/>
          <w:szCs w:val="19"/>
          <w:b w:val="1"/>
          <w:bCs w:val="1"/>
          <w:color w:val="auto"/>
        </w:rPr>
        <w:t>Run Rate Benefits</w:t>
      </w:r>
      <w:r>
        <w:rPr>
          <w:rFonts w:ascii="Arial" w:cs="Arial" w:eastAsia="Arial" w:hAnsi="Arial"/>
          <w:sz w:val="19"/>
          <w:szCs w:val="19"/>
          <w:color w:val="auto"/>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Arial" w:cs="Arial" w:eastAsia="Arial" w:hAnsi="Arial"/>
          <w:sz w:val="19"/>
          <w:szCs w:val="19"/>
          <w:b w:val="1"/>
          <w:bCs w:val="1"/>
          <w:color w:val="auto"/>
        </w:rPr>
        <w:t>Run Rate Initiative</w:t>
      </w:r>
      <w:r>
        <w:rPr>
          <w:rFonts w:ascii="Arial" w:cs="Arial" w:eastAsia="Arial" w:hAnsi="Arial"/>
          <w:sz w:val="19"/>
          <w:szCs w:val="19"/>
          <w:color w:val="auto"/>
        </w:rPr>
        <w:t>”) projected by the Borrower in good faith, including as a result of any alternative arrangements projected by the Borrower in good faith to be available, to be realized as a result of actions that have been taken or initiated (or with respect to which substantial steps have been taken or initiated) or are expected to be taken (in the good faith determination of the Borrower), including any cost savings, expenses and Charges (including restructuring and integration charges) in connection with, or incurred by or on behalf of, the Borrower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provided that (A) such cost savings are reasonably identifiable (for the avoidance of doubt, whether or 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“run rate” shall mean the full recurring benefit that is associated with any action taken or initiated or that is expected to be taken); plus</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firstLine="1952"/>
        <w:spacing w:after="0" w:line="233" w:lineRule="auto"/>
        <w:tabs>
          <w:tab w:leader="none" w:pos="2602" w:val="left"/>
        </w:tabs>
        <w:numPr>
          <w:ilvl w:val="1"/>
          <w:numId w:val="63"/>
        </w:numPr>
        <w:rPr>
          <w:rFonts w:ascii="Arial" w:cs="Arial" w:eastAsia="Arial" w:hAnsi="Arial"/>
          <w:sz w:val="22"/>
          <w:szCs w:val="22"/>
          <w:color w:val="auto"/>
        </w:rPr>
      </w:pPr>
      <w:r>
        <w:rPr>
          <w:rFonts w:ascii="Arial" w:cs="Arial" w:eastAsia="Arial" w:hAnsi="Arial"/>
          <w:sz w:val="22"/>
          <w:szCs w:val="22"/>
          <w:color w:val="auto"/>
        </w:rPr>
        <w:t>(i)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during the entire Test Period, less (ii) any actual income earned under any Customer Contract that was cancelled or otherwise terminated in accordance with its terms during such period, or for which the Borrower has received notice that such cancellation or termination will occur; minus</w:t>
      </w:r>
    </w:p>
    <w:p>
      <w:pPr>
        <w:spacing w:after="0" w:line="219" w:lineRule="exact"/>
        <w:rPr>
          <w:rFonts w:ascii="Arial" w:cs="Arial" w:eastAsia="Arial" w:hAnsi="Arial"/>
          <w:sz w:val="22"/>
          <w:szCs w:val="22"/>
          <w:color w:val="auto"/>
        </w:rPr>
      </w:pPr>
    </w:p>
    <w:p>
      <w:pPr>
        <w:jc w:val="both"/>
        <w:ind w:firstLine="1952"/>
        <w:spacing w:after="0" w:line="287" w:lineRule="auto"/>
        <w:tabs>
          <w:tab w:leader="none" w:pos="2673" w:val="left"/>
        </w:tabs>
        <w:numPr>
          <w:ilvl w:val="1"/>
          <w:numId w:val="63"/>
        </w:numPr>
        <w:rPr>
          <w:rFonts w:ascii="Arial" w:cs="Arial" w:eastAsia="Arial" w:hAnsi="Arial"/>
          <w:sz w:val="19"/>
          <w:szCs w:val="19"/>
          <w:color w:val="auto"/>
        </w:rPr>
      </w:pPr>
      <w:r>
        <w:rPr>
          <w:rFonts w:ascii="Arial" w:cs="Arial" w:eastAsia="Arial" w:hAnsi="Arial"/>
          <w:sz w:val="19"/>
          <w:szCs w:val="19"/>
          <w:color w:val="auto"/>
        </w:rPr>
        <w:t>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ind w:firstLine="1952"/>
        <w:spacing w:after="0" w:line="238" w:lineRule="auto"/>
        <w:tabs>
          <w:tab w:leader="none" w:pos="2641"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without duplication, the amount of any cash payment made during such period in respect of any non-cash accrual, reserve or other non-cash Charge that is accounted for in a prior period and that was added to Consolidated Net Income of the Borrower to determine Consolidated EBITDA of the Borrower for such prior period and that does not otherwise reduce such Consolidated Net Income for the current period.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Consolidated EBITDA of the Borrower and its Restricted Subsidiaries for any period shall be calculated on a pro forma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basis.</w:t>
      </w:r>
    </w:p>
    <w:p>
      <w:pPr>
        <w:spacing w:after="0" w:line="215"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First Lien Debt</w:t>
      </w:r>
      <w:r>
        <w:rPr>
          <w:rFonts w:ascii="Arial" w:cs="Arial" w:eastAsia="Arial" w:hAnsi="Arial"/>
          <w:sz w:val="19"/>
          <w:szCs w:val="19"/>
          <w:color w:val="auto"/>
        </w:rPr>
        <w:t>”: as to any Person at any date of determination, the aggregate principal amount of Consolidated Total Debt of such Person outstanding on such date (a) that constitutes Obligations or Secured Notes Obligations or</w:t>
      </w:r>
    </w:p>
    <w:p>
      <w:pPr>
        <w:spacing w:after="0" w:line="1" w:lineRule="exact"/>
        <w:rPr>
          <w:sz w:val="20"/>
          <w:szCs w:val="20"/>
          <w:color w:val="auto"/>
        </w:rPr>
      </w:pPr>
    </w:p>
    <w:p>
      <w:pPr>
        <w:jc w:val="both"/>
        <w:ind w:firstLine="8"/>
        <w:spacing w:after="0" w:line="234" w:lineRule="auto"/>
        <w:tabs>
          <w:tab w:leader="none" w:pos="324"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that is secured by a Lien on the Collateral that does not rank junior to the Liens on the Collateral securing the Obligations (excluding, for the avoidance of doubt, any obligation with respect to a Financing Lease of the Borrower or any Restricted Subsidiary secured by Liens on the assets subject thereto).</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First Lien Debt Ratio</w:t>
      </w:r>
      <w:r>
        <w:rPr>
          <w:rFonts w:ascii="Arial" w:cs="Arial" w:eastAsia="Arial" w:hAnsi="Arial"/>
          <w:sz w:val="22"/>
          <w:szCs w:val="22"/>
          <w:color w:val="auto"/>
        </w:rPr>
        <w:t>”: the ratio, as of any date of determination, of (a) Consolidated First Lien Debt as of the last day of the Test Period then most recently ended on or prior to such date of determination to (b) Annualized EBITDA, in each case of the Borrower and its Restricted Subsidiaries on a consolidated basis.</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cash interest expense (including that attributable to Financing Leases), net of cash interest income of the Borrower and the Restricted Subsidiaries with respect to all outstanding Indebtedness of the Borrower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w:t>
      </w:r>
    </w:p>
    <w:p>
      <w:pPr>
        <w:spacing w:after="0" w:line="4" w:lineRule="exact"/>
        <w:rPr>
          <w:sz w:val="20"/>
          <w:szCs w:val="20"/>
          <w:color w:val="auto"/>
        </w:rPr>
      </w:pPr>
    </w:p>
    <w:p>
      <w:pPr>
        <w:jc w:val="both"/>
        <w:ind w:firstLine="8"/>
        <w:spacing w:after="0" w:line="243" w:lineRule="auto"/>
        <w:tabs>
          <w:tab w:leader="none" w:pos="273" w:val="left"/>
        </w:tabs>
        <w:numPr>
          <w:ilvl w:val="0"/>
          <w:numId w:val="66"/>
        </w:numPr>
        <w:rPr>
          <w:rFonts w:ascii="Arial" w:cs="Arial" w:eastAsia="Arial" w:hAnsi="Arial"/>
          <w:sz w:val="21"/>
          <w:szCs w:val="21"/>
          <w:color w:val="auto"/>
        </w:rPr>
      </w:pPr>
      <w:r>
        <w:rPr>
          <w:rFonts w:ascii="Arial" w:cs="Arial" w:eastAsia="Arial" w:hAnsi="Arial"/>
          <w:sz w:val="21"/>
          <w:szCs w:val="21"/>
          <w:color w:val="auto"/>
        </w:rPr>
        <w:t>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(m) any lease, rental or other expense, in connection with Non-Financing Lease Obligations or (n) annual agency or similar fees paid to the administrative agents, collateral agents and other agents under any Credit Facility.</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with respect to any Person (the “</w:t>
      </w:r>
      <w:r>
        <w:rPr>
          <w:rFonts w:ascii="Arial" w:cs="Arial" w:eastAsia="Arial" w:hAnsi="Arial"/>
          <w:sz w:val="22"/>
          <w:szCs w:val="22"/>
          <w:u w:val="single" w:color="auto"/>
          <w:color w:val="auto"/>
        </w:rPr>
        <w:t>Subject Person</w:t>
      </w:r>
      <w:r>
        <w:rPr>
          <w:rFonts w:ascii="Arial" w:cs="Arial" w:eastAsia="Arial" w:hAnsi="Arial"/>
          <w:sz w:val="22"/>
          <w:szCs w:val="22"/>
          <w:color w:val="auto"/>
        </w:rPr>
        <w:t>”) for any Test Period, an amount equal to the net income (loss), determined in accordance with GAAP, attributable to such Person and its Restricted Subsidiaries on a consolidated basis, but excluding (and excluding the effect of), without duplication:</w:t>
      </w:r>
    </w:p>
    <w:p>
      <w:pPr>
        <w:spacing w:after="0" w:line="210" w:lineRule="exact"/>
        <w:rPr>
          <w:sz w:val="20"/>
          <w:szCs w:val="20"/>
          <w:color w:val="auto"/>
        </w:rPr>
      </w:pPr>
    </w:p>
    <w:p>
      <w:pPr>
        <w:jc w:val="both"/>
        <w:ind w:firstLine="1952"/>
        <w:spacing w:after="0" w:line="275" w:lineRule="auto"/>
        <w:tabs>
          <w:tab w:leader="none" w:pos="2521" w:val="left"/>
        </w:tabs>
        <w:numPr>
          <w:ilvl w:val="0"/>
          <w:numId w:val="67"/>
        </w:numPr>
        <w:rPr>
          <w:rFonts w:ascii="Arial" w:cs="Arial" w:eastAsia="Arial" w:hAnsi="Arial"/>
          <w:sz w:val="19"/>
          <w:szCs w:val="19"/>
          <w:color w:val="auto"/>
        </w:rPr>
      </w:pPr>
      <w:r>
        <w:rPr>
          <w:rFonts w:ascii="Arial" w:cs="Arial" w:eastAsia="Arial" w:hAnsi="Arial"/>
          <w:sz w:val="19"/>
          <w:szCs w:val="19"/>
          <w:color w:val="auto"/>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spacing w:after="0" w:line="184" w:lineRule="exact"/>
        <w:rPr>
          <w:rFonts w:ascii="Arial" w:cs="Arial" w:eastAsia="Arial" w:hAnsi="Arial"/>
          <w:sz w:val="19"/>
          <w:szCs w:val="19"/>
          <w:color w:val="auto"/>
        </w:rPr>
      </w:pPr>
    </w:p>
    <w:p>
      <w:pPr>
        <w:ind w:left="2520" w:hanging="568"/>
        <w:spacing w:after="0"/>
        <w:tabs>
          <w:tab w:leader="none" w:pos="25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38" w:lineRule="auto"/>
        <w:tabs>
          <w:tab w:leader="none" w:pos="25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spacing w:after="0" w:line="211" w:lineRule="exact"/>
        <w:rPr>
          <w:rFonts w:ascii="Arial" w:cs="Arial" w:eastAsia="Arial" w:hAnsi="Arial"/>
          <w:sz w:val="22"/>
          <w:szCs w:val="22"/>
          <w:color w:val="auto"/>
        </w:rPr>
      </w:pPr>
    </w:p>
    <w:p>
      <w:pPr>
        <w:jc w:val="both"/>
        <w:ind w:firstLine="1952"/>
        <w:spacing w:after="0" w:line="271" w:lineRule="auto"/>
        <w:tabs>
          <w:tab w:leader="none" w:pos="2587"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w:t>
      </w:r>
    </w:p>
    <w:p>
      <w:pPr>
        <w:spacing w:after="0" w:line="183" w:lineRule="exact"/>
        <w:rPr>
          <w:rFonts w:ascii="Arial" w:cs="Arial" w:eastAsia="Arial" w:hAnsi="Arial"/>
          <w:sz w:val="19"/>
          <w:szCs w:val="19"/>
          <w:color w:val="auto"/>
        </w:rPr>
      </w:pPr>
    </w:p>
    <w:p>
      <w:pPr>
        <w:ind w:left="2560" w:hanging="608"/>
        <w:spacing w:after="0"/>
        <w:tabs>
          <w:tab w:leader="none" w:pos="25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Transaction Costs;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ind w:firstLine="1952"/>
        <w:spacing w:after="0" w:line="272" w:lineRule="auto"/>
        <w:tabs>
          <w:tab w:leader="none" w:pos="2646"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spacing w:after="0" w:line="183" w:lineRule="exact"/>
        <w:rPr>
          <w:rFonts w:ascii="Arial" w:cs="Arial" w:eastAsia="Arial" w:hAnsi="Arial"/>
          <w:sz w:val="19"/>
          <w:szCs w:val="19"/>
          <w:color w:val="auto"/>
        </w:rPr>
      </w:pPr>
    </w:p>
    <w:p>
      <w:pPr>
        <w:jc w:val="both"/>
        <w:ind w:firstLine="1952"/>
        <w:spacing w:after="0" w:line="282" w:lineRule="auto"/>
        <w:tabs>
          <w:tab w:leader="none" w:pos="25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the amount of any Charge that is actually reimbursed (or reimbursable by one or more third parties pursuant to indemnification or reimbursement provisions or similar agreements or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74" w:lineRule="exact"/>
        <w:rPr>
          <w:rFonts w:ascii="Arial" w:cs="Arial" w:eastAsia="Arial" w:hAnsi="Arial"/>
          <w:sz w:val="19"/>
          <w:szCs w:val="19"/>
          <w:color w:val="auto"/>
        </w:rPr>
      </w:pPr>
    </w:p>
    <w:p>
      <w:pPr>
        <w:jc w:val="both"/>
        <w:ind w:firstLine="1952"/>
        <w:spacing w:after="0" w:line="276" w:lineRule="auto"/>
        <w:tabs>
          <w:tab w:leader="none" w:pos="2722"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net gain or Charge (less all fees and expenses chargeable thereto) with respect to (i) any disposed, abandoned, divested and/or discontinued asset, property or operation (including asset retirement costs, but other than</w:t>
      </w:r>
    </w:p>
    <w:p>
      <w:pPr>
        <w:spacing w:after="0" w:line="1" w:lineRule="exact"/>
        <w:rPr>
          <w:rFonts w:ascii="Arial" w:cs="Arial" w:eastAsia="Arial" w:hAnsi="Arial"/>
          <w:sz w:val="19"/>
          <w:szCs w:val="19"/>
          <w:color w:val="auto"/>
        </w:rPr>
      </w:pPr>
    </w:p>
    <w:p>
      <w:pPr>
        <w:jc w:val="both"/>
        <w:ind w:right="20" w:firstLine="8"/>
        <w:spacing w:after="0" w:line="248" w:lineRule="auto"/>
        <w:tabs>
          <w:tab w:leader="none" w:pos="401" w:val="left"/>
        </w:tabs>
        <w:numPr>
          <w:ilvl w:val="0"/>
          <w:numId w:val="69"/>
        </w:numPr>
        <w:rPr>
          <w:rFonts w:ascii="Arial" w:cs="Arial" w:eastAsia="Arial" w:hAnsi="Arial"/>
          <w:sz w:val="21"/>
          <w:szCs w:val="21"/>
          <w:color w:val="auto"/>
        </w:rPr>
      </w:pPr>
      <w:r>
        <w:rPr>
          <w:rFonts w:ascii="Arial" w:cs="Arial" w:eastAsia="Arial" w:hAnsi="Arial"/>
          <w:sz w:val="21"/>
          <w:szCs w:val="21"/>
          <w:color w:val="auto"/>
        </w:rPr>
        <w:t>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spacing w:after="0" w:line="205" w:lineRule="exact"/>
        <w:rPr>
          <w:rFonts w:ascii="Arial" w:cs="Arial" w:eastAsia="Arial" w:hAnsi="Arial"/>
          <w:sz w:val="21"/>
          <w:szCs w:val="21"/>
          <w:color w:val="auto"/>
        </w:rPr>
      </w:pPr>
    </w:p>
    <w:p>
      <w:pPr>
        <w:jc w:val="both"/>
        <w:ind w:firstLine="1952"/>
        <w:spacing w:after="0"/>
        <w:tabs>
          <w:tab w:leader="none" w:pos="2485"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spacing w:after="0" w:line="213" w:lineRule="exact"/>
        <w:rPr>
          <w:rFonts w:ascii="Arial" w:cs="Arial" w:eastAsia="Arial" w:hAnsi="Arial"/>
          <w:sz w:val="22"/>
          <w:szCs w:val="22"/>
          <w:color w:val="auto"/>
        </w:rPr>
      </w:pPr>
    </w:p>
    <w:p>
      <w:pPr>
        <w:jc w:val="both"/>
        <w:ind w:firstLine="1952"/>
        <w:spacing w:after="0" w:line="297" w:lineRule="auto"/>
        <w:tabs>
          <w:tab w:leader="none" w:pos="2593"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Charge that is established, adjusted or incurred, as applicable, within 24 months of the closing of any acquisition or other Investment, in each case, in accordance with GAAP (including any adjustment of estimated payouts on existing earn-outs) or changes as a result of the adoption or modification of accounting policies during such period;</w:t>
      </w:r>
    </w:p>
    <w:p>
      <w:pPr>
        <w:spacing w:after="0" w:line="160" w:lineRule="exact"/>
        <w:rPr>
          <w:rFonts w:ascii="Arial" w:cs="Arial" w:eastAsia="Arial" w:hAnsi="Arial"/>
          <w:sz w:val="19"/>
          <w:szCs w:val="19"/>
          <w:color w:val="auto"/>
        </w:rPr>
      </w:pPr>
    </w:p>
    <w:p>
      <w:pPr>
        <w:jc w:val="both"/>
        <w:ind w:firstLine="1952"/>
        <w:spacing w:after="0" w:line="273" w:lineRule="auto"/>
        <w:tabs>
          <w:tab w:leader="none" w:pos="2493" w:val="left"/>
        </w:tabs>
        <w:numPr>
          <w:ilvl w:val="1"/>
          <w:numId w:val="69"/>
        </w:numPr>
        <w:rPr>
          <w:rFonts w:ascii="Arial" w:cs="Arial" w:eastAsia="Arial" w:hAnsi="Arial"/>
          <w:sz w:val="19"/>
          <w:szCs w:val="19"/>
          <w:color w:val="auto"/>
        </w:rPr>
      </w:pPr>
      <w:r>
        <w:rPr>
          <w:rFonts w:ascii="Arial" w:cs="Arial" w:eastAsia="Arial" w:hAnsi="Arial"/>
          <w:sz w:val="19"/>
          <w:szCs w:val="19"/>
          <w:color w:val="auto"/>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firstLine="1952"/>
        <w:spacing w:after="0" w:line="244" w:lineRule="auto"/>
        <w:tabs>
          <w:tab w:leader="none" w:pos="2823" w:val="left"/>
        </w:tabs>
        <w:numPr>
          <w:ilvl w:val="0"/>
          <w:numId w:val="70"/>
        </w:numPr>
        <w:rPr>
          <w:rFonts w:ascii="Arial" w:cs="Arial" w:eastAsia="Arial" w:hAnsi="Arial"/>
          <w:sz w:val="21"/>
          <w:szCs w:val="21"/>
          <w:color w:val="auto"/>
        </w:rPr>
      </w:pPr>
      <w:r>
        <w:rPr>
          <w:rFonts w:ascii="Arial" w:cs="Arial" w:eastAsia="Arial" w:hAnsi="Arial"/>
          <w:sz w:val="21"/>
          <w:szCs w:val="21"/>
          <w:color w:val="auto"/>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w:t>
      </w:r>
    </w:p>
    <w:p>
      <w:pPr>
        <w:spacing w:after="0" w:line="210" w:lineRule="exact"/>
        <w:rPr>
          <w:rFonts w:ascii="Arial" w:cs="Arial" w:eastAsia="Arial" w:hAnsi="Arial"/>
          <w:sz w:val="21"/>
          <w:szCs w:val="21"/>
          <w:color w:val="auto"/>
        </w:rPr>
      </w:pPr>
    </w:p>
    <w:p>
      <w:pPr>
        <w:ind w:left="2540" w:hanging="588"/>
        <w:spacing w:after="0"/>
        <w:tabs>
          <w:tab w:leader="none" w:pos="25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amortization of intangible assets;</w:t>
      </w:r>
    </w:p>
    <w:p>
      <w:pPr>
        <w:spacing w:after="0" w:line="233" w:lineRule="exact"/>
        <w:rPr>
          <w:rFonts w:ascii="Arial" w:cs="Arial" w:eastAsia="Arial" w:hAnsi="Arial"/>
          <w:sz w:val="22"/>
          <w:szCs w:val="22"/>
          <w:color w:val="auto"/>
        </w:rPr>
      </w:pPr>
    </w:p>
    <w:p>
      <w:pPr>
        <w:ind w:firstLine="1952"/>
        <w:spacing w:after="0" w:line="274" w:lineRule="auto"/>
        <w:tabs>
          <w:tab w:leader="none" w:pos="2722"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impairment charge or asset write-off or write-down (including related to intangible assets (including goodwill), long-lived assets, leased right of use assets and investments in debt and equity securities);</w:t>
      </w:r>
    </w:p>
    <w:p>
      <w:pPr>
        <w:spacing w:after="0" w:line="177" w:lineRule="exact"/>
        <w:rPr>
          <w:rFonts w:ascii="Arial" w:cs="Arial" w:eastAsia="Arial" w:hAnsi="Arial"/>
          <w:sz w:val="21"/>
          <w:szCs w:val="21"/>
          <w:color w:val="auto"/>
        </w:rPr>
      </w:pPr>
    </w:p>
    <w:p>
      <w:pPr>
        <w:jc w:val="both"/>
        <w:ind w:firstLine="1952"/>
        <w:spacing w:after="0" w:line="244" w:lineRule="auto"/>
        <w:tabs>
          <w:tab w:leader="none" w:pos="2520" w:val="left"/>
        </w:tabs>
        <w:numPr>
          <w:ilvl w:val="0"/>
          <w:numId w:val="70"/>
        </w:numPr>
        <w:rPr>
          <w:rFonts w:ascii="Arial" w:cs="Arial" w:eastAsia="Arial" w:hAnsi="Arial"/>
          <w:sz w:val="21"/>
          <w:szCs w:val="21"/>
          <w:color w:val="auto"/>
        </w:rPr>
      </w:pPr>
      <w:r>
        <w:rPr>
          <w:rFonts w:ascii="Arial" w:cs="Arial" w:eastAsia="Arial" w:hAnsi="Arial"/>
          <w:sz w:val="21"/>
          <w:szCs w:val="21"/>
          <w:color w:val="auto"/>
        </w:rPr>
        <w:t>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Agreement, similar restrictions (or other customary restrictions, as determined in good faith by the Borrower) set forth in any Credit Facilities or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any Credit Facilities or other Indebtedness contemplated by the preceding clause (B) (as determined by the Borrower in good faith)); it being understood and agreed that Consolidated Net Income will be increased by the amount of any payments made in cash (or converted into cash) or in Cash Equivalents to the Borrower or any Restricted Subsidiary (other than the Restricted Subsidiary that is subject to the relevant restriction) in respect of any such income;</w:t>
      </w:r>
    </w:p>
    <w:p>
      <w:pPr>
        <w:spacing w:after="0" w:line="207" w:lineRule="exact"/>
        <w:rPr>
          <w:rFonts w:ascii="Arial" w:cs="Arial" w:eastAsia="Arial" w:hAnsi="Arial"/>
          <w:sz w:val="21"/>
          <w:szCs w:val="21"/>
          <w:color w:val="auto"/>
        </w:rPr>
      </w:pPr>
    </w:p>
    <w:p>
      <w:pPr>
        <w:jc w:val="both"/>
        <w:ind w:firstLine="1952"/>
        <w:spacing w:after="0" w:line="277" w:lineRule="auto"/>
        <w:tabs>
          <w:tab w:leader="none" w:pos="2682" w:val="left"/>
        </w:tabs>
        <w:numPr>
          <w:ilvl w:val="0"/>
          <w:numId w:val="70"/>
        </w:numPr>
        <w:rPr>
          <w:rFonts w:ascii="Arial" w:cs="Arial" w:eastAsia="Arial" w:hAnsi="Arial"/>
          <w:sz w:val="19"/>
          <w:szCs w:val="19"/>
          <w:color w:val="auto"/>
        </w:rPr>
      </w:pPr>
      <w:r>
        <w:rPr>
          <w:rFonts w:ascii="Arial" w:cs="Arial" w:eastAsia="Arial" w:hAnsi="Arial"/>
          <w:sz w:val="19"/>
          <w:szCs w:val="19"/>
          <w:color w:val="auto"/>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spacing w:after="0" w:line="178" w:lineRule="exact"/>
        <w:rPr>
          <w:rFonts w:ascii="Arial" w:cs="Arial" w:eastAsia="Arial" w:hAnsi="Arial"/>
          <w:sz w:val="19"/>
          <w:szCs w:val="19"/>
          <w:color w:val="auto"/>
        </w:rPr>
      </w:pPr>
    </w:p>
    <w:p>
      <w:pPr>
        <w:ind w:firstLine="1952"/>
        <w:spacing w:after="0" w:line="250" w:lineRule="auto"/>
        <w:tabs>
          <w:tab w:leader="none" w:pos="257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deferred tax expense associated with any tax deduction or net operating loss arising as a result of the Transactions, or the release of any valuation allowance related to any such item;</w:t>
      </w:r>
    </w:p>
    <w:p>
      <w:pPr>
        <w:spacing w:after="0" w:line="201" w:lineRule="exact"/>
        <w:rPr>
          <w:rFonts w:ascii="Arial" w:cs="Arial" w:eastAsia="Arial" w:hAnsi="Arial"/>
          <w:sz w:val="22"/>
          <w:szCs w:val="22"/>
          <w:color w:val="auto"/>
        </w:rPr>
      </w:pPr>
    </w:p>
    <w:p>
      <w:pPr>
        <w:jc w:val="both"/>
        <w:ind w:firstLine="1952"/>
        <w:spacing w:after="0" w:line="287" w:lineRule="auto"/>
        <w:tabs>
          <w:tab w:leader="none" w:pos="2713"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ind w:firstLine="1952"/>
        <w:spacing w:after="0" w:line="241" w:lineRule="auto"/>
        <w:tabs>
          <w:tab w:leader="none" w:pos="26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210" w:lineRule="exact"/>
        <w:rPr>
          <w:rFonts w:ascii="Arial" w:cs="Arial" w:eastAsia="Arial" w:hAnsi="Arial"/>
          <w:sz w:val="22"/>
          <w:szCs w:val="22"/>
          <w:color w:val="auto"/>
        </w:rPr>
      </w:pPr>
    </w:p>
    <w:p>
      <w:pPr>
        <w:ind w:left="2540" w:hanging="588"/>
        <w:spacing w:after="0"/>
        <w:tabs>
          <w:tab w:leader="none" w:pos="25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net income or Charge attributable to deferred compensation plans or trusts;</w:t>
      </w:r>
    </w:p>
    <w:p>
      <w:pPr>
        <w:spacing w:after="0" w:line="233" w:lineRule="exact"/>
        <w:rPr>
          <w:rFonts w:ascii="Arial" w:cs="Arial" w:eastAsia="Arial" w:hAnsi="Arial"/>
          <w:sz w:val="22"/>
          <w:szCs w:val="22"/>
          <w:color w:val="auto"/>
        </w:rPr>
      </w:pPr>
    </w:p>
    <w:p>
      <w:pPr>
        <w:ind w:firstLine="1952"/>
        <w:spacing w:after="0" w:line="328" w:lineRule="auto"/>
        <w:tabs>
          <w:tab w:leader="none" w:pos="2655"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income or expense related to changes in the fair value of contingent liability in connection with earn-out obligations, purchase price adjustments and similar liabilities in connection with any acquisition or Investment;</w:t>
      </w:r>
    </w:p>
    <w:p>
      <w:pPr>
        <w:spacing w:after="0" w:line="131" w:lineRule="exact"/>
        <w:rPr>
          <w:rFonts w:ascii="Arial" w:cs="Arial" w:eastAsia="Arial" w:hAnsi="Arial"/>
          <w:sz w:val="19"/>
          <w:szCs w:val="19"/>
          <w:color w:val="auto"/>
        </w:rPr>
      </w:pPr>
    </w:p>
    <w:p>
      <w:pPr>
        <w:ind w:firstLine="1952"/>
        <w:spacing w:after="0" w:line="250" w:lineRule="auto"/>
        <w:tabs>
          <w:tab w:leader="none" w:pos="25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non-cash interest expense or non-cash interest income, in each case, to the extent that there is no associated cash disbursement or receipt; and</w:t>
      </w:r>
    </w:p>
    <w:p>
      <w:pPr>
        <w:spacing w:after="0" w:line="201" w:lineRule="exact"/>
        <w:rPr>
          <w:rFonts w:ascii="Arial" w:cs="Arial" w:eastAsia="Arial" w:hAnsi="Arial"/>
          <w:sz w:val="22"/>
          <w:szCs w:val="22"/>
          <w:color w:val="auto"/>
        </w:rPr>
      </w:pPr>
    </w:p>
    <w:p>
      <w:pPr>
        <w:ind w:right="20" w:firstLine="1952"/>
        <w:spacing w:after="0" w:line="328" w:lineRule="auto"/>
        <w:tabs>
          <w:tab w:leader="none" w:pos="27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effects of adjustments to accruals and reserves during a period relating to any change in the methodology of calculating reserves for returns, rebates and other chargebacks (including government program rebates).</w:t>
      </w:r>
    </w:p>
    <w:p>
      <w:pPr>
        <w:spacing w:after="0" w:line="13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Secured Debt</w:t>
      </w:r>
      <w:r>
        <w:rPr>
          <w:rFonts w:ascii="Arial" w:cs="Arial" w:eastAsia="Arial" w:hAnsi="Arial"/>
          <w:sz w:val="22"/>
          <w:szCs w:val="22"/>
          <w:color w:val="auto"/>
        </w:rPr>
        <w:t>”: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Borrower or any Restricted Subsidiary secured by Liens on the assets subject thereto).</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Secured Debt Ratio</w:t>
      </w:r>
      <w:r>
        <w:rPr>
          <w:rFonts w:ascii="Arial" w:cs="Arial" w:eastAsia="Arial" w:hAnsi="Arial"/>
          <w:sz w:val="22"/>
          <w:szCs w:val="22"/>
          <w:color w:val="auto"/>
        </w:rPr>
        <w:t>”: the ratio, as of any date of determination, of (a) Consolidated Secured Debt as of the last day of the Test Period then most recently ended on or prior to such date of determination to (b) Annualized EBITDA, in each case of the Borrower and its Restricted Subsidiaries on a consolidated basis.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w:t>
      </w:r>
    </w:p>
    <w:p>
      <w:pPr>
        <w:spacing w:after="0" w:line="2" w:lineRule="exact"/>
        <w:rPr>
          <w:sz w:val="20"/>
          <w:szCs w:val="20"/>
          <w:color w:val="auto"/>
        </w:rPr>
      </w:pPr>
    </w:p>
    <w:p>
      <w:pPr>
        <w:jc w:val="both"/>
        <w:ind w:firstLine="8"/>
        <w:spacing w:after="0" w:line="269" w:lineRule="auto"/>
        <w:tabs>
          <w:tab w:leader="none" w:pos="36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 management of such Person.</w:t>
      </w:r>
    </w:p>
    <w:p>
      <w:pPr>
        <w:spacing w:after="0" w:line="200" w:lineRule="exact"/>
        <w:rPr>
          <w:sz w:val="20"/>
          <w:szCs w:val="20"/>
          <w:color w:val="auto"/>
        </w:rPr>
      </w:pPr>
    </w:p>
    <w:p>
      <w:pPr>
        <w:spacing w:after="0" w:line="23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Debt Ratio</w:t>
      </w:r>
      <w:r>
        <w:rPr>
          <w:rFonts w:ascii="Arial" w:cs="Arial" w:eastAsia="Arial" w:hAnsi="Arial"/>
          <w:sz w:val="22"/>
          <w:szCs w:val="22"/>
          <w:color w:val="auto"/>
        </w:rPr>
        <w:t>”: the ratio, as of any date of determination, of (a) Consolidated Total Debt outstanding as of the last day of the Test Period then most recently ended on or prior to such date of determination to (b) Annualized EBITDA, in each case of the Borrower and its Restricted Subsidiaries on a consolidated basis.</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with respect to any Person, any obligation of such Person guaranteeing any leases, dividends or other obligations that do not constitute Indebtedness (the “</w:t>
      </w:r>
      <w:r>
        <w:rPr>
          <w:rFonts w:ascii="Arial" w:cs="Arial" w:eastAsia="Arial" w:hAnsi="Arial"/>
          <w:sz w:val="19"/>
          <w:szCs w:val="19"/>
          <w:u w:val="single" w:color="auto"/>
          <w:color w:val="auto"/>
        </w:rPr>
        <w:t>primary obligation</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including any obligation of such Person, whether or not contingent:</w:t>
      </w:r>
    </w:p>
    <w:p>
      <w:pPr>
        <w:spacing w:after="0" w:line="161" w:lineRule="exact"/>
        <w:rPr>
          <w:sz w:val="20"/>
          <w:szCs w:val="20"/>
          <w:color w:val="auto"/>
        </w:rPr>
      </w:pPr>
    </w:p>
    <w:p>
      <w:pPr>
        <w:ind w:left="2100" w:hanging="958"/>
        <w:spacing w:after="0"/>
        <w:tabs>
          <w:tab w:leader="none" w:pos="21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purchase any such primary obligation or any property constituting direct or indirect security therefor;</w:t>
      </w:r>
    </w:p>
    <w:p>
      <w:pPr>
        <w:spacing w:after="0" w:line="267" w:lineRule="exact"/>
        <w:rPr>
          <w:rFonts w:ascii="Arial" w:cs="Arial" w:eastAsia="Arial" w:hAnsi="Arial"/>
          <w:sz w:val="19"/>
          <w:szCs w:val="19"/>
          <w:color w:val="auto"/>
        </w:rPr>
      </w:pPr>
    </w:p>
    <w:p>
      <w:pPr>
        <w:ind w:left="2100" w:hanging="958"/>
        <w:spacing w:after="0"/>
        <w:tabs>
          <w:tab w:leader="none" w:pos="21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233" w:lineRule="exact"/>
        <w:rPr>
          <w:rFonts w:ascii="Arial" w:cs="Arial" w:eastAsia="Arial" w:hAnsi="Arial"/>
          <w:sz w:val="22"/>
          <w:szCs w:val="22"/>
          <w:color w:val="auto"/>
        </w:rPr>
      </w:pPr>
    </w:p>
    <w:p>
      <w:pPr>
        <w:ind w:left="3280" w:hanging="842"/>
        <w:spacing w:after="0"/>
        <w:tabs>
          <w:tab w:leader="none" w:pos="32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33" w:lineRule="exact"/>
        <w:rPr>
          <w:rFonts w:ascii="Arial" w:cs="Arial" w:eastAsia="Arial" w:hAnsi="Arial"/>
          <w:sz w:val="22"/>
          <w:szCs w:val="22"/>
          <w:color w:val="auto"/>
        </w:rPr>
      </w:pPr>
    </w:p>
    <w:p>
      <w:pPr>
        <w:ind w:left="1140" w:firstLine="1298"/>
        <w:spacing w:after="0" w:line="250" w:lineRule="auto"/>
        <w:tabs>
          <w:tab w:leader="none" w:pos="3264" w:val="left"/>
        </w:tabs>
        <w:numPr>
          <w:ilvl w:val="1"/>
          <w:numId w:val="73"/>
        </w:numPr>
        <w:rPr>
          <w:rFonts w:ascii="Arial" w:cs="Arial" w:eastAsia="Arial" w:hAnsi="Arial"/>
          <w:sz w:val="22"/>
          <w:szCs w:val="22"/>
          <w:color w:val="auto"/>
        </w:rPr>
      </w:pPr>
      <w:r>
        <w:rPr>
          <w:rFonts w:ascii="Arial" w:cs="Arial" w:eastAsia="Arial" w:hAnsi="Arial"/>
          <w:sz w:val="22"/>
          <w:szCs w:val="22"/>
          <w:color w:val="auto"/>
        </w:rPr>
        <w:t>to maintain working capital or equity capital of the primary obligor or otherwise to maintain the net worth or solvency of the primary obligor; or</w:t>
      </w:r>
    </w:p>
    <w:p>
      <w:pPr>
        <w:spacing w:after="0" w:line="201" w:lineRule="exact"/>
        <w:rPr>
          <w:rFonts w:ascii="Arial" w:cs="Arial" w:eastAsia="Arial" w:hAnsi="Arial"/>
          <w:sz w:val="22"/>
          <w:szCs w:val="22"/>
          <w:color w:val="auto"/>
        </w:rPr>
      </w:pPr>
    </w:p>
    <w:p>
      <w:pPr>
        <w:jc w:val="both"/>
        <w:ind w:firstLine="1142"/>
        <w:spacing w:after="0"/>
        <w:tabs>
          <w:tab w:leader="none" w:pos="220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213" w:lineRule="exact"/>
        <w:rPr>
          <w:sz w:val="20"/>
          <w:szCs w:val="20"/>
          <w:color w:val="auto"/>
        </w:rPr>
      </w:pPr>
    </w:p>
    <w:p>
      <w:pPr>
        <w:ind w:right="740" w:firstLine="113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as defined in the definition of Affiliate.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48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Investment Affiliate</w:t>
      </w:r>
      <w:r>
        <w:rPr>
          <w:rFonts w:ascii="Arial" w:cs="Arial" w:eastAsia="Arial" w:hAnsi="Arial"/>
          <w:sz w:val="22"/>
          <w:szCs w:val="22"/>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Authorized Representative</w:t>
      </w:r>
      <w:r>
        <w:rPr>
          <w:rFonts w:ascii="Arial" w:cs="Arial" w:eastAsia="Arial" w:hAnsi="Arial"/>
          <w:sz w:val="22"/>
          <w:szCs w:val="22"/>
          <w:color w:val="auto"/>
        </w:rPr>
        <w:t>”: as defined in the Equal Priority Intercreditor Agreement.</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Conversion/Continuation Date</w:t>
      </w:r>
      <w:r>
        <w:rPr>
          <w:rFonts w:ascii="Arial" w:cs="Arial" w:eastAsia="Arial" w:hAnsi="Arial"/>
          <w:sz w:val="22"/>
          <w:szCs w:val="22"/>
          <w:color w:val="auto"/>
        </w:rPr>
        <w:t>”: the effective date of a continuation or conversion, as the case may be, as set forth in the applicable Conversion/Continuation Notice.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Conversion/Continuation Notice</w:t>
      </w:r>
      <w:r>
        <w:rPr>
          <w:rFonts w:ascii="Arial" w:cs="Arial" w:eastAsia="Arial" w:hAnsi="Arial"/>
          <w:sz w:val="21"/>
          <w:szCs w:val="21"/>
          <w:color w:val="auto"/>
        </w:rPr>
        <w:t xml:space="preserve">”: a Conversion/Continuation Notice substantially in the form of </w:t>
      </w:r>
      <w:r>
        <w:rPr>
          <w:rFonts w:ascii="Arial" w:cs="Arial" w:eastAsia="Arial" w:hAnsi="Arial"/>
          <w:sz w:val="21"/>
          <w:szCs w:val="21"/>
          <w:u w:val="single" w:color="auto"/>
          <w:color w:val="auto"/>
        </w:rPr>
        <w:t>Exhibit E-2</w:t>
      </w:r>
      <w:r>
        <w:rPr>
          <w:rFonts w:ascii="Arial" w:cs="Arial" w:eastAsia="Arial" w:hAnsi="Arial"/>
          <w:sz w:val="21"/>
          <w:szCs w:val="21"/>
          <w:color w:val="auto"/>
        </w:rPr>
        <w:t>.</w:t>
      </w:r>
    </w:p>
    <w:p>
      <w:pPr>
        <w:spacing w:after="0" w:line="245"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as defined in Section 9.22(b).</w:t>
      </w:r>
    </w:p>
    <w:p>
      <w:pPr>
        <w:spacing w:after="0" w:line="23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as defined in Section 9.22(b).</w:t>
      </w:r>
    </w:p>
    <w:p>
      <w:pPr>
        <w:spacing w:after="0" w:line="2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with respect to the Borrower or any of its Restricted Subsidiaries, one or more debt facilities or other financing arrangements (including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 financing arrangement that increases the amount permitted to be borrowed or issued thereunder or alters the maturity thereof (provided that such increase in borrowings or issuance is permitted under Section 6.3) or adds Restricted Subsidiaries as additional borrowers or guarantors thereunder and whether by the same or any other agent, trustee, lender or group of lenders, investors, holders or otherwise.</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Party</w:t>
      </w:r>
      <w:r>
        <w:rPr>
          <w:rFonts w:ascii="Arial" w:cs="Arial" w:eastAsia="Arial" w:hAnsi="Arial"/>
          <w:sz w:val="21"/>
          <w:szCs w:val="21"/>
          <w:color w:val="auto"/>
        </w:rPr>
        <w:t>”: the Administrative Agent, the Collateral Agent, each Issuing Bank and each other Lender.</w:t>
      </w:r>
    </w:p>
    <w:p>
      <w:pPr>
        <w:spacing w:after="0" w:line="245"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Customer Contracts</w:t>
      </w:r>
      <w:r>
        <w:rPr>
          <w:rFonts w:ascii="Arial" w:cs="Arial" w:eastAsia="Arial" w:hAnsi="Arial"/>
          <w:sz w:val="19"/>
          <w:szCs w:val="19"/>
          <w:color w:val="auto"/>
        </w:rPr>
        <w:t>”: contracts entered into by the Borrower or any of its Restricted Subsidiaries for the sale, lease and/or other provision of products, goods and services by the Borrower or any such Restricted Subsidiary.</w:t>
      </w:r>
    </w:p>
    <w:p>
      <w:pPr>
        <w:spacing w:after="0" w:line="13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xml:space="preserve">”: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determination</w:t>
      </w:r>
      <w:r>
        <w:rPr>
          <w:rFonts w:ascii="Arial" w:cs="Arial" w:eastAsia="Arial" w:hAnsi="Arial"/>
          <w:sz w:val="21"/>
          <w:szCs w:val="21"/>
          <w:color w:val="auto"/>
        </w:rPr>
        <w:t>”: the applicable date of determination for the specified ratio, amount or percentage.</w:t>
      </w:r>
    </w:p>
    <w:p>
      <w:pPr>
        <w:spacing w:after="0" w:line="24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to Total Capitalization Ratio</w:t>
      </w:r>
      <w:r>
        <w:rPr>
          <w:rFonts w:ascii="Arial" w:cs="Arial" w:eastAsia="Arial" w:hAnsi="Arial"/>
          <w:sz w:val="19"/>
          <w:szCs w:val="19"/>
          <w:color w:val="auto"/>
        </w:rPr>
        <w:t>”: as of any date of determination for the Borrower and the Restricted Subsidiaries, the ratio of (x) Consolidated Total Debt to (y) the greater of (i) total capitalization calculated in accordance with GAAP and (ii) total capitalization calculated based on then-current stock trading price of the Borrower.</w:t>
      </w: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0" w:name="page71"/>
    <w:bookmarkEnd w:id="70"/>
    <w:p>
      <w:pPr>
        <w:jc w:val="both"/>
        <w:ind w:left="660" w:firstLine="48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any event that is, or after notice or lapse of time or both would become,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as defined in Section 9.22(b).</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any Lender that:</w:t>
      </w:r>
    </w:p>
    <w:p>
      <w:pPr>
        <w:spacing w:after="0" w:line="233" w:lineRule="exact"/>
        <w:rPr>
          <w:sz w:val="20"/>
          <w:szCs w:val="20"/>
          <w:color w:val="auto"/>
        </w:rPr>
      </w:pPr>
    </w:p>
    <w:p>
      <w:pPr>
        <w:jc w:val="both"/>
        <w:ind w:firstLine="1952"/>
        <w:spacing w:after="0" w:line="282" w:lineRule="auto"/>
        <w:tabs>
          <w:tab w:leader="none" w:pos="2724" w:val="left"/>
        </w:tabs>
        <w:numPr>
          <w:ilvl w:val="0"/>
          <w:numId w:val="74"/>
        </w:numPr>
        <w:rPr>
          <w:rFonts w:ascii="Arial" w:cs="Arial" w:eastAsia="Arial" w:hAnsi="Arial"/>
          <w:sz w:val="19"/>
          <w:szCs w:val="19"/>
          <w:color w:val="auto"/>
        </w:rPr>
      </w:pPr>
      <w:r>
        <w:rPr>
          <w:rFonts w:ascii="Arial" w:cs="Arial" w:eastAsia="Arial" w:hAnsi="Arial"/>
          <w:sz w:val="19"/>
          <w:szCs w:val="19"/>
          <w:color w:val="auto"/>
        </w:rPr>
        <w:t>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174" w:lineRule="exact"/>
        <w:rPr>
          <w:rFonts w:ascii="Arial" w:cs="Arial" w:eastAsia="Arial" w:hAnsi="Arial"/>
          <w:sz w:val="19"/>
          <w:szCs w:val="19"/>
          <w:color w:val="auto"/>
        </w:rPr>
      </w:pPr>
    </w:p>
    <w:p>
      <w:pPr>
        <w:jc w:val="both"/>
        <w:ind w:firstLine="1952"/>
        <w:spacing w:after="0" w:line="249" w:lineRule="auto"/>
        <w:tabs>
          <w:tab w:leader="none" w:pos="2668" w:val="left"/>
        </w:tabs>
        <w:numPr>
          <w:ilvl w:val="0"/>
          <w:numId w:val="74"/>
        </w:numPr>
        <w:rPr>
          <w:rFonts w:ascii="Arial" w:cs="Arial" w:eastAsia="Arial" w:hAnsi="Arial"/>
          <w:sz w:val="21"/>
          <w:szCs w:val="21"/>
          <w:color w:val="auto"/>
        </w:rPr>
      </w:pPr>
      <w:r>
        <w:rPr>
          <w:rFonts w:ascii="Arial" w:cs="Arial" w:eastAsia="Arial" w:hAnsi="Arial"/>
          <w:sz w:val="21"/>
          <w:szCs w:val="21"/>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spacing w:after="0" w:line="205" w:lineRule="exact"/>
        <w:rPr>
          <w:rFonts w:ascii="Arial" w:cs="Arial" w:eastAsia="Arial" w:hAnsi="Arial"/>
          <w:sz w:val="21"/>
          <w:szCs w:val="21"/>
          <w:color w:val="auto"/>
        </w:rPr>
      </w:pPr>
    </w:p>
    <w:p>
      <w:pPr>
        <w:jc w:val="both"/>
        <w:ind w:firstLine="1952"/>
        <w:spacing w:after="0" w:line="236" w:lineRule="auto"/>
        <w:tabs>
          <w:tab w:leader="none" w:pos="25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Lender shall cease to be a Defaulting Lender pursuant to this clause (c) upon such Credit Party’s receipt of such certification in form and substance satisfactory to it and the Administrative Agent, or</w:t>
      </w:r>
    </w:p>
    <w:p>
      <w:pPr>
        <w:spacing w:after="0" w:line="214" w:lineRule="exact"/>
        <w:rPr>
          <w:rFonts w:ascii="Arial" w:cs="Arial" w:eastAsia="Arial" w:hAnsi="Arial"/>
          <w:sz w:val="22"/>
          <w:szCs w:val="22"/>
          <w:color w:val="auto"/>
        </w:rPr>
      </w:pPr>
    </w:p>
    <w:p>
      <w:pPr>
        <w:ind w:left="2580" w:hanging="628"/>
        <w:spacing w:after="0"/>
        <w:tabs>
          <w:tab w:leader="none" w:pos="25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has, or has a direct or indirect parent company that has, become the subject of a Bankruptcy Event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Bail-In Action.</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each Issuing Bank and each other Lender.</w:t>
      </w:r>
    </w:p>
    <w:p>
      <w:pPr>
        <w:spacing w:after="0" w:line="212" w:lineRule="exact"/>
        <w:rPr>
          <w:sz w:val="20"/>
          <w:szCs w:val="20"/>
          <w:color w:val="auto"/>
        </w:rPr>
      </w:pPr>
    </w:p>
    <w:p>
      <w:pPr>
        <w:jc w:val="both"/>
        <w:ind w:firstLine="715"/>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Deferred Revenue</w:t>
      </w:r>
      <w:r>
        <w:rPr>
          <w:rFonts w:ascii="Arial" w:cs="Arial" w:eastAsia="Arial" w:hAnsi="Arial"/>
          <w:sz w:val="21"/>
          <w:szCs w:val="21"/>
          <w:color w:val="auto"/>
        </w:rPr>
        <w:t xml:space="preserve">”: at any date, the amount set forth opposite the caption “deferred revenue” (or any like caption or included in any other caption, including current and non-current designations) on a consolidated balance sheet at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balance shall be determined excluding the effects of acquisition method accounting.</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a demand, time, savings, passbook or like account with a bank, excluding, for the avoidance of doubt, any investment property (within the meaning of the UCC) or any account evidenced by an instrument (within the meaning of the UCC).</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Derivative Transaction</w:t>
      </w:r>
      <w:r>
        <w:rPr>
          <w:rFonts w:ascii="Arial" w:cs="Arial" w:eastAsia="Arial" w:hAnsi="Arial"/>
          <w:sz w:val="21"/>
          <w:szCs w:val="21"/>
          <w:color w:val="auto"/>
        </w:rPr>
        <w:t>”: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w:t>
      </w:r>
    </w:p>
    <w:p>
      <w:pPr>
        <w:sectPr>
          <w:pgSz w:w="11900" w:h="16838" w:orient="portrait"/>
          <w:cols w:equalWidth="0" w:num="1">
            <w:col w:w="11240"/>
          </w:cols>
          <w:pgMar w:left="320" w:top="118"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the Fair Market Value of non-cash consideration received by the Borrower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Section 6.4.</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Preferred Stock</w:t>
      </w:r>
      <w:r>
        <w:rPr>
          <w:rFonts w:ascii="Arial" w:cs="Arial" w:eastAsia="Arial" w:hAnsi="Arial"/>
          <w:sz w:val="22"/>
          <w:szCs w:val="22"/>
          <w:color w:val="auto"/>
        </w:rPr>
        <w:t>”: Preferred Stock of the Borrower (other than Disqualified Stock) that is issued for cash (other than to the Borrower or a Restricted Subsidiary or an employee stock ownership plan or trust established by the Borrower or any of its Subsidiaries) and is so designated as Designated Preferred Stock, the cash proceeds of which shall be excluded from the calculation set forth in clause (2) of Section 6.1(a).</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Designs</w:t>
      </w:r>
      <w:r>
        <w:rPr>
          <w:rFonts w:ascii="Arial" w:cs="Arial" w:eastAsia="Arial" w:hAnsi="Arial"/>
          <w:sz w:val="19"/>
          <w:szCs w:val="19"/>
          <w:color w:val="auto"/>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has the meaning set forth in the definition of Asset Sale.</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Institutions</w:t>
      </w:r>
      <w:r>
        <w:rPr>
          <w:rFonts w:ascii="Arial" w:cs="Arial" w:eastAsia="Arial" w:hAnsi="Arial"/>
          <w:sz w:val="21"/>
          <w:szCs w:val="21"/>
          <w:color w:val="auto"/>
        </w:rPr>
        <w:t>”: (i) such Persons that have been specified in writing to the Administrative Agent prior to the Closing Date as being “Disqualified Institutions”, (ii) any Person who is a bona fide competitor of the Borrower, the Golar Target, the Hygo Target, or their respective Subsidiaries identified in writing to the Administrative Agent prior to the Closing Date,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paragraph).</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Stated Maturity Date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Stated Maturity Date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at the time such Capital Stock is issued (it being understood that if any such repurchase obligation is in part, only such part coming into effect prior to the date that is 91 days following the Stated Maturity Date shall constitute Disqualified Stock) or (d) provides for the scheduled payments of dividends in cash on or prior to the date that is 91 days following the Stated Maturity Date at the time such Capital Stock is issued; provided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both"/>
        <w:ind w:firstLine="648"/>
        <w:spacing w:after="0" w:line="273" w:lineRule="auto"/>
        <w:rPr>
          <w:sz w:val="20"/>
          <w:szCs w:val="20"/>
          <w:color w:val="auto"/>
        </w:rPr>
      </w:pPr>
      <w:r>
        <w:rPr>
          <w:rFonts w:ascii="Arial" w:cs="Arial" w:eastAsia="Arial" w:hAnsi="Arial"/>
          <w:sz w:val="19"/>
          <w:szCs w:val="19"/>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w:t>
      </w:r>
      <w:r>
        <w:rPr>
          <w:rFonts w:ascii="Arial" w:cs="Arial" w:eastAsia="Arial" w:hAnsi="Arial"/>
          <w:sz w:val="22"/>
          <w:szCs w:val="22"/>
          <w:color w:val="auto"/>
        </w:rPr>
        <w:t>”: the division of the assets, liabilities and/or obligations of a Person (the “</w:t>
      </w:r>
      <w:r>
        <w:rPr>
          <w:rFonts w:ascii="Arial" w:cs="Arial" w:eastAsia="Arial" w:hAnsi="Arial"/>
          <w:sz w:val="22"/>
          <w:szCs w:val="22"/>
          <w:u w:val="single" w:color="auto"/>
          <w:color w:val="auto"/>
        </w:rPr>
        <w:t>Dividing Person</w:t>
      </w:r>
      <w:r>
        <w:rPr>
          <w:rFonts w:ascii="Arial" w:cs="Arial" w:eastAsia="Arial" w:hAnsi="Arial"/>
          <w:sz w:val="22"/>
          <w:szCs w:val="22"/>
          <w:color w:val="auto"/>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 of America.</w:t>
      </w:r>
    </w:p>
    <w:p>
      <w:pPr>
        <w:spacing w:after="0" w:line="233" w:lineRule="exact"/>
        <w:rPr>
          <w:sz w:val="20"/>
          <w:szCs w:val="20"/>
          <w:color w:val="auto"/>
        </w:rPr>
      </w:pPr>
    </w:p>
    <w:p>
      <w:pPr>
        <w:jc w:val="both"/>
        <w:ind w:right="20" w:firstLine="71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any Restricted Subsidiary (other than a Foreign Subsidiary) that is organized or existing under the laws of the United States, any state thereof or the District of Columbia.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if the then-current Benchmark is the LIBO Screen Rate, the occurrence of:</w:t>
      </w:r>
    </w:p>
    <w:p>
      <w:pPr>
        <w:spacing w:after="0" w:line="233" w:lineRule="exact"/>
        <w:rPr>
          <w:sz w:val="20"/>
          <w:szCs w:val="20"/>
          <w:color w:val="auto"/>
        </w:rPr>
      </w:pPr>
    </w:p>
    <w:p>
      <w:pPr>
        <w:jc w:val="both"/>
        <w:ind w:firstLine="656"/>
        <w:spacing w:after="0" w:line="236" w:lineRule="auto"/>
        <w:tabs>
          <w:tab w:leader="none" w:pos="14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14" w:lineRule="exact"/>
        <w:rPr>
          <w:rFonts w:ascii="Arial" w:cs="Arial" w:eastAsia="Arial" w:hAnsi="Arial"/>
          <w:sz w:val="22"/>
          <w:szCs w:val="22"/>
          <w:color w:val="auto"/>
        </w:rPr>
      </w:pPr>
    </w:p>
    <w:p>
      <w:pPr>
        <w:ind w:firstLine="656"/>
        <w:spacing w:after="0" w:line="250" w:lineRule="auto"/>
        <w:tabs>
          <w:tab w:leader="none" w:pos="12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the LIBO Screen Rate and the provision by the Administrative Agent of written notice of such election to the Lenders.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(a) any of the member states of the European Union, (b) Iceland, (c) Liechtenstein and (d) Norway.</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Elected Amount</w:t>
      </w:r>
      <w:r>
        <w:rPr>
          <w:rFonts w:ascii="Arial" w:cs="Arial" w:eastAsia="Arial" w:hAnsi="Arial"/>
          <w:sz w:val="22"/>
          <w:szCs w:val="22"/>
          <w:color w:val="auto"/>
        </w:rPr>
        <w:t>”: as set forth in Section 1.7(h).</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Signature</w:t>
      </w:r>
      <w:r>
        <w:rPr>
          <w:rFonts w:ascii="Arial" w:cs="Arial" w:eastAsia="Arial" w:hAnsi="Arial"/>
          <w:sz w:val="22"/>
          <w:szCs w:val="22"/>
          <w:color w:val="auto"/>
        </w:rPr>
        <w:t>”: an electronic sound, symbol, or process attached to, or associated with, a contract or other record and adopted by a person with the intent to sign, authenticate or accept such contract or record.</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ambient air, indoor air, surface water, drinking water, groundwater, land surface, subsurface strata, sediments and natural resources such as wetlands, flora and fauna.</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any and all Permits required under, or issued pursuant to, any Environmental Law and including the common law insofar as it relates to any of the foregoing.</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Lien Priority</w:t>
      </w:r>
      <w:r>
        <w:rPr>
          <w:rFonts w:ascii="Arial" w:cs="Arial" w:eastAsia="Arial" w:hAnsi="Arial"/>
          <w:sz w:val="22"/>
          <w:szCs w:val="22"/>
          <w:color w:val="auto"/>
        </w:rPr>
        <w:t>”: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 the Equal Priority Intercreditor Agreement, taken as a whole).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Equal Priority Collateral Agent</w:t>
      </w:r>
      <w:r>
        <w:rPr>
          <w:rFonts w:ascii="Arial" w:cs="Arial" w:eastAsia="Arial" w:hAnsi="Arial"/>
          <w:sz w:val="19"/>
          <w:szCs w:val="19"/>
          <w:color w:val="auto"/>
        </w:rPr>
        <w:t>”: the Equal Priority Representative for the holders of the Equal Priority Obligations.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Equal Priority Intercreditor Agreement</w:t>
      </w:r>
      <w:r>
        <w:rPr>
          <w:rFonts w:ascii="Arial" w:cs="Arial" w:eastAsia="Arial" w:hAnsi="Arial"/>
          <w:sz w:val="21"/>
          <w:szCs w:val="21"/>
          <w:color w:val="auto"/>
        </w:rPr>
        <w:t>”: that certain intercreditor agreement with respect to the Collateral, dated as of April 12, 2021, among U.S. Bank National Association, as 2025 Notes Collateral Agent, U.S. Bank National Association, as 2026 Notes Collateral Agent, U.S. Bank National Association, as Initial Common Representative, the Collateral Agent, as the Credit Facility Agent, each Additional Common Representative from time to time party thereto, and each additional Authorized Representative from time to time party thereto, and acknowledged by each Loan Party.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Obligations</w:t>
      </w:r>
      <w:r>
        <w:rPr>
          <w:rFonts w:ascii="Arial" w:cs="Arial" w:eastAsia="Arial" w:hAnsi="Arial"/>
          <w:sz w:val="22"/>
          <w:szCs w:val="22"/>
          <w:color w:val="auto"/>
        </w:rPr>
        <w:t>”: collectively, (1) the Obligations, (2) the 2025 Secured Notes Obligations (3) the 2026 Secured Notes Obligations and (4) each Series of Additional Equal Priority Obligations.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Representative</w:t>
      </w:r>
      <w:r>
        <w:rPr>
          <w:rFonts w:ascii="Arial" w:cs="Arial" w:eastAsia="Arial" w:hAnsi="Arial"/>
          <w:sz w:val="22"/>
          <w:szCs w:val="22"/>
          <w:color w:val="auto"/>
        </w:rPr>
        <w:t>”: any “Authorized Representative” as defined in the Equal Priority Intercreditor Agreement.</w:t>
      </w:r>
    </w:p>
    <w:p>
      <w:pPr>
        <w:sectPr>
          <w:pgSz w:w="11900" w:h="16838" w:orient="portrait"/>
          <w:cols w:equalWidth="0" w:num="1">
            <w:col w:w="11240"/>
          </w:cols>
          <w:pgMar w:left="320" w:top="118"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Secured Parties</w:t>
      </w:r>
      <w:r>
        <w:rPr>
          <w:rFonts w:ascii="Arial" w:cs="Arial" w:eastAsia="Arial" w:hAnsi="Arial"/>
          <w:sz w:val="22"/>
          <w:szCs w:val="22"/>
          <w:color w:val="auto"/>
        </w:rPr>
        <w:t>”: collectively, (1) the 2025 Secured Notes Secured Parties, (2) the 2026 Secured Notes Secured Parties, (3) the Secured Parties and (4) any Additional Equal Priority Secured Parties.</w:t>
      </w:r>
    </w:p>
    <w:p>
      <w:pPr>
        <w:spacing w:after="0" w:line="20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Capital Stock and all warrants, options or other rights to acquire Capital Stock, but excluding any debt security that is convertible into, or exchangeable for, Capital Stock.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Loan</w:t>
      </w:r>
      <w:r>
        <w:rPr>
          <w:rFonts w:ascii="Arial" w:cs="Arial" w:eastAsia="Arial" w:hAnsi="Arial"/>
          <w:sz w:val="19"/>
          <w:szCs w:val="19"/>
          <w:color w:val="auto"/>
        </w:rPr>
        <w:t>”: a Loan bearing interest at a rate determined by reference to the Adjusted Eurodollar Rate.</w:t>
      </w:r>
    </w:p>
    <w:p>
      <w:pPr>
        <w:spacing w:after="0" w:line="26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or conditions specified in Section 7.1(a);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the Securities Exchange Act of 1934, and the rules and regulations of the SEC promulgated thereunder.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the following:</w:t>
      </w:r>
    </w:p>
    <w:p>
      <w:pPr>
        <w:spacing w:after="0" w:line="233" w:lineRule="exact"/>
        <w:rPr>
          <w:sz w:val="20"/>
          <w:szCs w:val="20"/>
          <w:color w:val="auto"/>
        </w:rPr>
      </w:pPr>
    </w:p>
    <w:p>
      <w:pPr>
        <w:jc w:val="both"/>
        <w:ind w:firstLine="1952"/>
        <w:spacing w:after="0" w:line="270" w:lineRule="auto"/>
        <w:tabs>
          <w:tab w:leader="none" w:pos="2575"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952"/>
        <w:spacing w:after="0"/>
        <w:tabs>
          <w:tab w:leader="none" w:pos="2587"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Equity Interests of any (A) Captive Insurance Subsidiary, (B) Unrestricted Subsidiary, (C) not-for-profit or special purpose Subsidiary, (D) Receivables Subsidiary, (E) Qualified Liquefaction Development Entity or (F) Immaterial Subsidiary (other than NFE Shannon Holdings Limited);</w:t>
      </w:r>
    </w:p>
    <w:p>
      <w:pPr>
        <w:spacing w:after="0" w:line="213" w:lineRule="exact"/>
        <w:rPr>
          <w:rFonts w:ascii="Arial" w:cs="Arial" w:eastAsia="Arial" w:hAnsi="Arial"/>
          <w:sz w:val="22"/>
          <w:szCs w:val="22"/>
          <w:color w:val="auto"/>
        </w:rPr>
      </w:pPr>
    </w:p>
    <w:p>
      <w:pPr>
        <w:ind w:firstLine="1952"/>
        <w:spacing w:after="0" w:line="250" w:lineRule="auto"/>
        <w:tabs>
          <w:tab w:leader="none" w:pos="288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intent-to-use (or similar) trademark application prior to the filing and acceptance of a “Statement of Use” or “Amendment to Allege Use” notice and/or filing with respect thereto;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ind w:firstLine="1952"/>
        <w:spacing w:after="0" w:line="272" w:lineRule="auto"/>
        <w:tabs>
          <w:tab w:leader="none" w:pos="266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asset, the grant of a security interest in which would (i) require any governmental consent, approval, license, permit or authorization (collectively, “Governmental Consents”) that has not been obtained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Borrower’s port lease in San Juan, Puerto Rico and the concession in respect of the Borrower’s LNG regasification terminal at the Puerto Pichilingue in Baja California Sur, Mexico (the “La Paz Facility Concession”),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52"/>
        <w:spacing w:after="0" w:line="234" w:lineRule="auto"/>
        <w:tabs>
          <w:tab w:leader="none" w:pos="25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 any leasehold real property interests (other than the leasehold of property located at 6800 NW 72nd Street, Miami, Florida, or the leasehold interest relating to the LNG storage and regasification facility at the Port of Montego Bay, Jamaica) or concessions (provided that, in the case of the port lease in San Juan, Puerto Rico and the La Paz Facility Concession, the Borrower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w:t>
      </w:r>
    </w:p>
    <w:p>
      <w:pPr>
        <w:spacing w:after="0" w:line="217" w:lineRule="exact"/>
        <w:rPr>
          <w:rFonts w:ascii="Arial" w:cs="Arial" w:eastAsia="Arial" w:hAnsi="Arial"/>
          <w:sz w:val="22"/>
          <w:szCs w:val="22"/>
          <w:color w:val="auto"/>
        </w:rPr>
      </w:pPr>
    </w:p>
    <w:p>
      <w:pPr>
        <w:jc w:val="both"/>
        <w:ind w:firstLine="1952"/>
        <w:spacing w:after="0" w:line="246" w:lineRule="auto"/>
        <w:tabs>
          <w:tab w:leader="none" w:pos="2754" w:val="left"/>
        </w:tabs>
        <w:numPr>
          <w:ilvl w:val="0"/>
          <w:numId w:val="77"/>
        </w:numPr>
        <w:rPr>
          <w:rFonts w:ascii="Arial" w:cs="Arial" w:eastAsia="Arial" w:hAnsi="Arial"/>
          <w:sz w:val="21"/>
          <w:szCs w:val="21"/>
          <w:color w:val="auto"/>
        </w:rPr>
      </w:pPr>
      <w:r>
        <w:rPr>
          <w:rFonts w:ascii="Arial" w:cs="Arial" w:eastAsia="Arial" w:hAnsi="Arial"/>
          <w:sz w:val="21"/>
          <w:szCs w:val="21"/>
          <w:color w:val="auto"/>
        </w:rPr>
        <w:t>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w:t>
      </w:r>
    </w:p>
    <w:p>
      <w:pPr>
        <w:spacing w:after="0" w:line="211" w:lineRule="exact"/>
        <w:rPr>
          <w:rFonts w:ascii="Arial" w:cs="Arial" w:eastAsia="Arial" w:hAnsi="Arial"/>
          <w:sz w:val="21"/>
          <w:szCs w:val="21"/>
          <w:color w:val="auto"/>
        </w:rPr>
      </w:pPr>
    </w:p>
    <w:p>
      <w:pPr>
        <w:jc w:val="both"/>
        <w:ind w:firstLine="1952"/>
        <w:spacing w:after="0" w:line="282" w:lineRule="auto"/>
        <w:tabs>
          <w:tab w:leader="none" w:pos="2547"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w:t>
      </w:r>
    </w:p>
    <w:p>
      <w:pPr>
        <w:spacing w:after="0" w:line="174" w:lineRule="exact"/>
        <w:rPr>
          <w:rFonts w:ascii="Arial" w:cs="Arial" w:eastAsia="Arial" w:hAnsi="Arial"/>
          <w:sz w:val="19"/>
          <w:szCs w:val="19"/>
          <w:color w:val="auto"/>
        </w:rPr>
      </w:pPr>
    </w:p>
    <w:p>
      <w:pPr>
        <w:ind w:left="2520" w:hanging="568"/>
        <w:spacing w:after="0"/>
        <w:tabs>
          <w:tab w:leader="none" w:pos="25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margin stock;</w:t>
      </w:r>
    </w:p>
    <w:p>
      <w:pPr>
        <w:spacing w:after="0" w:line="233" w:lineRule="exact"/>
        <w:rPr>
          <w:rFonts w:ascii="Arial" w:cs="Arial" w:eastAsia="Arial" w:hAnsi="Arial"/>
          <w:sz w:val="22"/>
          <w:szCs w:val="22"/>
          <w:color w:val="auto"/>
        </w:rPr>
      </w:pPr>
    </w:p>
    <w:p>
      <w:pPr>
        <w:jc w:val="both"/>
        <w:ind w:firstLine="1952"/>
        <w:spacing w:after="0"/>
        <w:tabs>
          <w:tab w:leader="none" w:pos="28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cash or Cash Equivalents, Deposit Account, commodities account or securities account (including securities entitlements and related assets but excluding cash and Cash Equivalents representing the proceeds of assets otherwise constituting Collateral);</w:t>
      </w:r>
    </w:p>
    <w:p>
      <w:pPr>
        <w:spacing w:after="0" w:line="213" w:lineRule="exact"/>
        <w:rPr>
          <w:rFonts w:ascii="Arial" w:cs="Arial" w:eastAsia="Arial" w:hAnsi="Arial"/>
          <w:sz w:val="22"/>
          <w:szCs w:val="22"/>
          <w:color w:val="auto"/>
        </w:rPr>
      </w:pPr>
    </w:p>
    <w:p>
      <w:pPr>
        <w:jc w:val="both"/>
        <w:ind w:firstLine="1952"/>
        <w:spacing w:after="0" w:line="274" w:lineRule="auto"/>
        <w:tabs>
          <w:tab w:leader="none" w:pos="252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expressly deemed to be effective under the UCC or any other applicable Requirements of Law notwithstanding the relevant requirement or prohibition;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both"/>
        <w:ind w:firstLine="1952"/>
        <w:spacing w:after="0" w:line="287" w:lineRule="auto"/>
        <w:tabs>
          <w:tab w:leader="none" w:pos="2601"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asset with respect to which the Borrower and the Collateral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spacing w:after="0" w:line="170" w:lineRule="exact"/>
        <w:rPr>
          <w:rFonts w:ascii="Arial" w:cs="Arial" w:eastAsia="Arial" w:hAnsi="Arial"/>
          <w:sz w:val="19"/>
          <w:szCs w:val="19"/>
          <w:color w:val="auto"/>
        </w:rPr>
      </w:pPr>
    </w:p>
    <w:p>
      <w:pPr>
        <w:jc w:val="both"/>
        <w:ind w:firstLine="1952"/>
        <w:spacing w:after="0"/>
        <w:tabs>
          <w:tab w:leader="none" w:pos="25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w:t>
      </w: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Contribution</w:t>
      </w:r>
      <w:r>
        <w:rPr>
          <w:rFonts w:ascii="Arial" w:cs="Arial" w:eastAsia="Arial" w:hAnsi="Arial"/>
          <w:sz w:val="22"/>
          <w:szCs w:val="22"/>
          <w:color w:val="auto"/>
        </w:rPr>
        <w:t>”: the aggregate amount of cash or Cash Equivalents or the Fair Market Value of other assets received by the Borrower or any of its Restricted Subsidiaries after the Issue Date from:</w:t>
      </w:r>
    </w:p>
    <w:p>
      <w:pPr>
        <w:spacing w:after="0" w:line="202" w:lineRule="exact"/>
        <w:rPr>
          <w:sz w:val="20"/>
          <w:szCs w:val="20"/>
          <w:color w:val="auto"/>
        </w:rPr>
      </w:pPr>
    </w:p>
    <w:p>
      <w:pPr>
        <w:ind w:firstLine="656"/>
        <w:spacing w:after="0" w:line="250" w:lineRule="auto"/>
        <w:tabs>
          <w:tab w:leader="none" w:pos="1278" w:val="left"/>
        </w:tabs>
        <w:numPr>
          <w:ilvl w:val="0"/>
          <w:numId w:val="79"/>
        </w:numPr>
        <w:rPr>
          <w:rFonts w:ascii="Arial" w:cs="Arial" w:eastAsia="Arial" w:hAnsi="Arial"/>
          <w:sz w:val="22"/>
          <w:szCs w:val="22"/>
          <w:color w:val="auto"/>
        </w:rPr>
      </w:pPr>
      <w:r>
        <w:rPr>
          <w:rFonts w:ascii="Arial" w:cs="Arial" w:eastAsia="Arial" w:hAnsi="Arial"/>
          <w:sz w:val="22"/>
          <w:szCs w:val="22"/>
          <w:color w:val="auto"/>
        </w:rPr>
        <w:t>contributions in respect of Qualified Capital Stock of the Borrower or any of its Restricted Subsidiaries (other than any amounts received from the Borrower or any of its Restricted Subsidiaries),</w:t>
      </w:r>
    </w:p>
    <w:p>
      <w:pPr>
        <w:spacing w:after="0" w:line="201" w:lineRule="exact"/>
        <w:rPr>
          <w:rFonts w:ascii="Arial" w:cs="Arial" w:eastAsia="Arial" w:hAnsi="Arial"/>
          <w:sz w:val="22"/>
          <w:szCs w:val="22"/>
          <w:color w:val="auto"/>
        </w:rPr>
      </w:pPr>
    </w:p>
    <w:p>
      <w:pPr>
        <w:jc w:val="both"/>
        <w:ind w:firstLine="656"/>
        <w:spacing w:after="0" w:line="234" w:lineRule="auto"/>
        <w:tabs>
          <w:tab w:leader="none" w:pos="123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 or to make a Restricted Payment pursuant to Section 6.1(b)(ii)(2) or 6.1(b) (xxix)(1), and</w:t>
      </w:r>
    </w:p>
    <w:p>
      <w:pPr>
        <w:spacing w:after="0" w:line="217" w:lineRule="exact"/>
        <w:rPr>
          <w:rFonts w:ascii="Arial" w:cs="Arial" w:eastAsia="Arial" w:hAnsi="Arial"/>
          <w:sz w:val="22"/>
          <w:szCs w:val="22"/>
          <w:color w:val="auto"/>
        </w:rPr>
      </w:pPr>
    </w:p>
    <w:p>
      <w:pPr>
        <w:ind w:firstLine="656"/>
        <w:spacing w:after="0" w:line="250" w:lineRule="auto"/>
        <w:tabs>
          <w:tab w:leader="none" w:pos="1511" w:val="left"/>
        </w:tabs>
        <w:numPr>
          <w:ilvl w:val="0"/>
          <w:numId w:val="79"/>
        </w:numPr>
        <w:rPr>
          <w:rFonts w:ascii="Arial" w:cs="Arial" w:eastAsia="Arial" w:hAnsi="Arial"/>
          <w:sz w:val="22"/>
          <w:szCs w:val="22"/>
          <w:color w:val="auto"/>
        </w:rPr>
      </w:pPr>
      <w:r>
        <w:rPr>
          <w:rFonts w:ascii="Arial" w:cs="Arial" w:eastAsia="Arial" w:hAnsi="Arial"/>
          <w:sz w:val="22"/>
          <w:szCs w:val="22"/>
          <w:color w:val="auto"/>
        </w:rPr>
        <w:t>dividends, distributions, other Returns, fees and other payments from any Unrestricted Subsidiaries or joint ventures or Investments in entities that are not Restricted Subsidiaries.</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with respect to any Guarantor, any obligation (a “</w:t>
      </w:r>
      <w:r>
        <w:rPr>
          <w:rFonts w:ascii="Arial" w:cs="Arial" w:eastAsia="Arial" w:hAnsi="Arial"/>
          <w:sz w:val="19"/>
          <w:szCs w:val="19"/>
          <w:u w:val="single" w:color="auto"/>
          <w:color w:val="auto"/>
        </w:rPr>
        <w:t>Swap Obligation</w:t>
      </w:r>
      <w:r>
        <w:rPr>
          <w:rFonts w:ascii="Arial" w:cs="Arial" w:eastAsia="Arial" w:hAnsi="Arial"/>
          <w:sz w:val="19"/>
          <w:szCs w:val="19"/>
          <w:color w:val="auto"/>
        </w:rPr>
        <w:t>”)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If any Obligation in respect of any Swap Agreement arises under a master agreement governing more than one swap, such exclusion shall apply only to the portion of such Obligation in respect of any Swap Agreement that is attributable to swaps for which such guarantee or security interest is or becomes illegal.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w:t>
      </w:r>
      <w:r>
        <w:rPr>
          <w:rFonts w:ascii="Arial" w:cs="Arial" w:eastAsia="Arial" w:hAnsi="Arial"/>
          <w:sz w:val="22"/>
          <w:szCs w:val="22"/>
          <w:color w:val="auto"/>
        </w:rPr>
        <w:t>”: collectively, the 2025 Notes and the 2026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Indentures</w:t>
      </w:r>
      <w:r>
        <w:rPr>
          <w:rFonts w:ascii="Arial" w:cs="Arial" w:eastAsia="Arial" w:hAnsi="Arial"/>
          <w:sz w:val="22"/>
          <w:szCs w:val="22"/>
          <w:color w:val="auto"/>
        </w:rPr>
        <w:t>”: collectively, the 2025 Indenture and the 2026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 Guarantees”</w:t>
      </w:r>
      <w:r>
        <w:rPr>
          <w:rFonts w:ascii="Arial" w:cs="Arial" w:eastAsia="Arial" w:hAnsi="Arial"/>
          <w:sz w:val="22"/>
          <w:szCs w:val="22"/>
          <w:color w:val="auto"/>
        </w:rPr>
        <w:t>: collectively, the 2025 Note Guarantees and the 2026 Note Guarantees.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Maturity Date</w:t>
      </w:r>
      <w:r>
        <w:rPr>
          <w:rFonts w:ascii="Arial" w:cs="Arial" w:eastAsia="Arial" w:hAnsi="Arial"/>
          <w:sz w:val="22"/>
          <w:szCs w:val="22"/>
          <w:color w:val="auto"/>
        </w:rPr>
        <w:t>”: as defined in Section 2.21(a).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as defined in Section 2.21(b).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Date</w:t>
      </w:r>
      <w:r>
        <w:rPr>
          <w:rFonts w:ascii="Arial" w:cs="Arial" w:eastAsia="Arial" w:hAnsi="Arial"/>
          <w:sz w:val="22"/>
          <w:szCs w:val="22"/>
          <w:color w:val="auto"/>
        </w:rPr>
        <w:t>”: as defined in Section 2.21(a).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w:t>
      </w:r>
      <w:r>
        <w:rPr>
          <w:rFonts w:ascii="Arial" w:cs="Arial" w:eastAsia="Arial" w:hAnsi="Arial"/>
          <w:sz w:val="22"/>
          <w:szCs w:val="22"/>
          <w:color w:val="auto"/>
        </w:rPr>
        <w:t>”: the Financial Accounting Standards Board of the American Institute of Certified Public Accountants.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as defined in Section 2.17(a).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as defined in Section 3.22(b).</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21"/>
          <w:szCs w:val="21"/>
          <w:u w:val="single" w:color="auto"/>
          <w:color w:val="auto"/>
        </w:rPr>
        <w:t>provided</w:t>
      </w:r>
      <w:r>
        <w:rPr>
          <w:rFonts w:ascii="Arial" w:cs="Arial" w:eastAsia="Arial" w:hAnsi="Arial"/>
          <w:sz w:val="21"/>
          <w:szCs w:val="21"/>
          <w:color w:val="auto"/>
        </w:rPr>
        <w: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the Administrative Agent on such day on such transactions as determined by the Administrative Agent.</w:t>
      </w:r>
    </w:p>
    <w:p>
      <w:pPr>
        <w:spacing w:after="0" w:line="211" w:lineRule="exact"/>
        <w:rPr>
          <w:sz w:val="20"/>
          <w:szCs w:val="20"/>
          <w:color w:val="auto"/>
        </w:rPr>
      </w:pPr>
    </w:p>
    <w:p>
      <w:pPr>
        <w:jc w:val="both"/>
        <w:ind w:firstLine="702"/>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Financing Lease</w:t>
      </w:r>
      <w:r>
        <w:rPr>
          <w:rFonts w:ascii="Arial" w:cs="Arial" w:eastAsia="Arial" w:hAnsi="Arial"/>
          <w:sz w:val="21"/>
          <w:szCs w:val="21"/>
          <w:color w:val="auto"/>
        </w:rPr>
        <w:t>”: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Fitch Ratings or any of its successors or assigns that is a nationally recognized statistical rating organization within the meaning of Rule 3(a)(62) under the Exchange Act.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Amount</w:t>
      </w:r>
      <w:r>
        <w:rPr>
          <w:rFonts w:ascii="Arial" w:cs="Arial" w:eastAsia="Arial" w:hAnsi="Arial"/>
          <w:sz w:val="22"/>
          <w:szCs w:val="22"/>
          <w:color w:val="auto"/>
        </w:rPr>
        <w:t>”: as defined in Section 1.7(c).</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means, as of any date of determination, the ratio of (a) Annualized EBITDA to (b) Fixed Charges for the period of four consecutive fiscal quarters then most recently ended, as of the last day of the Test Period then most recently ended, in each case of the Borrower and its Restricted Subsidiaries on a consolidated basis.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as to the Borrower and its Restricted Subsidiaries at any date of determination, on a consolidated basis, for any period, the sum of (without duplication):</w:t>
      </w:r>
    </w:p>
    <w:p>
      <w:pPr>
        <w:spacing w:after="0" w:line="202" w:lineRule="exact"/>
        <w:rPr>
          <w:sz w:val="20"/>
          <w:szCs w:val="20"/>
          <w:color w:val="auto"/>
        </w:rPr>
      </w:pPr>
    </w:p>
    <w:p>
      <w:pPr>
        <w:ind w:left="2100" w:hanging="958"/>
        <w:spacing w:after="0"/>
        <w:tabs>
          <w:tab w:leader="none" w:pos="21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Consolidated Interest Expense for such period;</w:t>
      </w:r>
    </w:p>
    <w:p>
      <w:pPr>
        <w:spacing w:after="0" w:line="233" w:lineRule="exact"/>
        <w:rPr>
          <w:rFonts w:ascii="Arial" w:cs="Arial" w:eastAsia="Arial" w:hAnsi="Arial"/>
          <w:sz w:val="22"/>
          <w:szCs w:val="22"/>
          <w:color w:val="auto"/>
        </w:rPr>
      </w:pPr>
    </w:p>
    <w:p>
      <w:pPr>
        <w:ind w:left="660" w:right="20" w:firstLine="482"/>
        <w:spacing w:after="0" w:line="250" w:lineRule="auto"/>
        <w:tabs>
          <w:tab w:leader="none" w:pos="2194"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the Borrower and its Restricted Subsidiaries made during such period; and</w:t>
      </w:r>
    </w:p>
    <w:p>
      <w:pPr>
        <w:spacing w:after="0" w:line="201" w:lineRule="exact"/>
        <w:rPr>
          <w:rFonts w:ascii="Arial" w:cs="Arial" w:eastAsia="Arial" w:hAnsi="Arial"/>
          <w:sz w:val="22"/>
          <w:szCs w:val="22"/>
          <w:color w:val="auto"/>
        </w:rPr>
      </w:pPr>
    </w:p>
    <w:p>
      <w:pPr>
        <w:ind w:left="660" w:right="20" w:firstLine="482"/>
        <w:spacing w:after="0" w:line="250" w:lineRule="auto"/>
        <w:tabs>
          <w:tab w:leader="none" w:pos="2194"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of the Borrower and its Restricted Subsidiaries made during such period.</w:t>
      </w:r>
    </w:p>
    <w:p>
      <w:pPr>
        <w:spacing w:after="0" w:line="20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the benchmark rate floor provided in this Agreement initially (as of the execution of this Agreement, the modification, amendment or renewal of this Agreement or otherwise) with respect to the LIBO Screen 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both"/>
        <w:ind w:firstLine="702"/>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Employee Benefit Plan</w:t>
      </w:r>
      <w:r>
        <w:rPr>
          <w:rFonts w:ascii="Arial" w:cs="Arial" w:eastAsia="Arial" w:hAnsi="Arial"/>
          <w:sz w:val="22"/>
          <w:szCs w:val="22"/>
          <w:color w:val="auto"/>
        </w:rPr>
        <w:t>”: any employee benefit plan as defined in Section 3(3) of ERISA which is maintained or contributed to for the benefit of the employees of the Borrower and its Subsidiaries, but which is not covered by ERISA pursuant to ERISA Section 4(b)(4).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as defined in Section 2.17(g).</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any Restricted Subsidiary that is not organized under the laws of the United States of America, any state thereof or the District of Columbia and any Restricted Subsidiary of such Foreign Subsidiary.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Fortress</w:t>
      </w:r>
      <w:r>
        <w:rPr>
          <w:rFonts w:ascii="Arial" w:cs="Arial" w:eastAsia="Arial" w:hAnsi="Arial"/>
          <w:sz w:val="22"/>
          <w:szCs w:val="22"/>
          <w:color w:val="auto"/>
        </w:rPr>
        <w:t>”: Fortress Investment Group LLC.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Notice</w:t>
      </w:r>
      <w:r>
        <w:rPr>
          <w:rFonts w:ascii="Arial" w:cs="Arial" w:eastAsia="Arial" w:hAnsi="Arial"/>
          <w:sz w:val="22"/>
          <w:szCs w:val="22"/>
          <w:color w:val="auto"/>
        </w:rPr>
        <w:t xml:space="preserve">”: a notice substantially in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at the election of the Borrower, (i) the accounting standards and interpretations adopted by the International Accounting Standards Board, as in effect from time to time (“</w:t>
      </w:r>
      <w:r>
        <w:rPr>
          <w:rFonts w:ascii="Arial" w:cs="Arial" w:eastAsia="Arial" w:hAnsi="Arial"/>
          <w:sz w:val="19"/>
          <w:szCs w:val="19"/>
          <w:u w:val="single" w:color="auto"/>
          <w:color w:val="auto"/>
        </w:rPr>
        <w:t>IFRS</w:t>
      </w:r>
      <w:r>
        <w:rPr>
          <w:rFonts w:ascii="Arial" w:cs="Arial" w:eastAsia="Arial" w:hAnsi="Arial"/>
          <w:sz w:val="19"/>
          <w:szCs w:val="19"/>
          <w:color w:val="auto"/>
        </w:rPr>
        <w:t>”)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Golar Acquisition</w:t>
      </w:r>
      <w:r>
        <w:rPr>
          <w:rFonts w:ascii="Arial" w:cs="Arial" w:eastAsia="Arial" w:hAnsi="Arial"/>
          <w:sz w:val="22"/>
          <w:szCs w:val="22"/>
          <w:color w:val="auto"/>
        </w:rPr>
        <w:t>”: the acquisition, directly or indirectly, of all of the outstanding common equity interests of the Golar Target pursuant to the Golar Acquisition Agreement.</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Golar Acquisition Agreement</w:t>
      </w:r>
      <w:r>
        <w:rPr>
          <w:rFonts w:ascii="Arial" w:cs="Arial" w:eastAsia="Arial" w:hAnsi="Arial"/>
          <w:sz w:val="22"/>
          <w:szCs w:val="22"/>
          <w:color w:val="auto"/>
        </w:rPr>
        <w:t>”: that certain Agreement and Plan of Merger, dated as of January 13, 2021, among the Borrower, as buyer, the Golar Target, as the company, Golar GP LLC, a Marshall Islands limited liability company, as general partner, and Lobos Acquisition LLC, a Marshall Islands limited liability company (together with all exhibits, schedules and disclosure letters thereto).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Golar Target</w:t>
      </w:r>
      <w:r>
        <w:rPr>
          <w:rFonts w:ascii="Arial" w:cs="Arial" w:eastAsia="Arial" w:hAnsi="Arial"/>
          <w:sz w:val="22"/>
          <w:szCs w:val="22"/>
          <w:color w:val="auto"/>
        </w:rPr>
        <w:t>”: Golar LNG Partners LP, a Marshall Islands limited partnership.</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Granting Lender</w:t>
      </w:r>
      <w:r>
        <w:rPr>
          <w:rFonts w:ascii="Arial" w:cs="Arial" w:eastAsia="Arial" w:hAnsi="Arial"/>
          <w:sz w:val="22"/>
          <w:szCs w:val="22"/>
          <w:color w:val="auto"/>
        </w:rPr>
        <w:t>”: as defined in Section 9.6(g).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w:t>
      </w:r>
      <w:r>
        <w:rPr>
          <w:rFonts w:ascii="Arial" w:cs="Arial" w:eastAsia="Arial" w:hAnsi="Arial"/>
          <w:sz w:val="22"/>
          <w:szCs w:val="22"/>
          <w:color w:val="auto"/>
        </w:rPr>
        <w:t>”: Goldman Sachs Bank USA.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the guarantee by any Guarantor of the Obligations.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each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 Obligations</w:t>
      </w:r>
      <w:r>
        <w:rPr>
          <w:rFonts w:ascii="Arial" w:cs="Arial" w:eastAsia="Arial" w:hAnsi="Arial"/>
          <w:sz w:val="19"/>
          <w:szCs w:val="19"/>
          <w:color w:val="auto"/>
        </w:rPr>
        <w:t>”: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any other Loan Document, any Secured Hedge Agreement or any Secured Cash Management Agreement, in each case whether on account of principal, interest, guarantee obligations, reimbursement obligations, fees, indemnities, costs, expenses or otherwise, excluding, in each case, Excluded Swap Obligations.</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the obligations of the Borrower, any Guarantor or any Restricted Subsidiary under any Hedge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w:t>
      </w:r>
      <w:r>
        <w:rPr>
          <w:rFonts w:ascii="Arial" w:cs="Arial" w:eastAsia="Arial" w:hAnsi="Arial"/>
          <w:sz w:val="22"/>
          <w:szCs w:val="22"/>
          <w:color w:val="auto"/>
        </w:rPr>
        <w:t>”: Hygo Energy Transition Ltd., a Bermuda exempted company.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 Acquisition</w:t>
      </w:r>
      <w:r>
        <w:rPr>
          <w:rFonts w:ascii="Arial" w:cs="Arial" w:eastAsia="Arial" w:hAnsi="Arial"/>
          <w:sz w:val="22"/>
          <w:szCs w:val="22"/>
          <w:color w:val="auto"/>
        </w:rPr>
        <w:t>” the acquisition, directly or indirectly, of all of the outstanding equity interests of the Hygo Target pursuant to the Hygo Acquisition Agreement.</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 Acquisition Agreement</w:t>
      </w:r>
      <w:r>
        <w:rPr>
          <w:rFonts w:ascii="Arial" w:cs="Arial" w:eastAsia="Arial" w:hAnsi="Arial"/>
          <w:sz w:val="22"/>
          <w:szCs w:val="22"/>
          <w:color w:val="auto"/>
        </w:rPr>
        <w:t>”: that certain Agreement and Plan of Merger, dated as of January 13, 2021, among the Borrower, as buyer, Hygo, as the company, Golar LNG Limited, a Bermuda exempted company, Stonepeak Infrastructure Fund II Cayman (G) Ltd., a Cayman Islands exempted company, and Lobos Acquisition Ltd., a Bermuda exempted company, together with all exhibits, schedules and disclosure letters thereto.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as defined in Section 1.5.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as defined in the definition of GAAP.</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both"/>
        <w:ind w:firstLine="71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as of any date of determination, any Restricted Subsidiary of the Borrower (a) the assets of which (on a standalone basis, when combined with the assets of such Restricted Subsidiary’s subsidiaries attributable to such Restricted Subsidiary’s economic interest therein) do not exceed 3.0% of Consolidated Total Assets of the Borrower and (b) the contribution to Annualized EBITDA of which (on a standalone basis, when combined with the contribution to Annualized EBITDA of such Restricted Subsidiary’s subsidiaries, after intercompany eliminations) does not exceed 3.0% of the Annualized EBITDA of the Borrower, in each case, as of the last day of or for the most recently ended Test Period on or prior to such date of determination.</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Immediate Family Member</w:t>
      </w:r>
      <w:r>
        <w:rPr>
          <w:rFonts w:ascii="Arial" w:cs="Arial" w:eastAsia="Arial" w:hAnsi="Arial"/>
          <w:sz w:val="19"/>
          <w:szCs w:val="19"/>
          <w:color w:val="auto"/>
        </w:rPr>
        <w:t>”: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w:t>
      </w:r>
      <w:r>
        <w:rPr>
          <w:rFonts w:ascii="Arial" w:cs="Arial" w:eastAsia="Arial" w:hAnsi="Arial"/>
          <w:sz w:val="22"/>
          <w:szCs w:val="22"/>
          <w:color w:val="auto"/>
        </w:rPr>
        <w:t>”: as defined in Section 6.6(c).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Cost Lender</w:t>
      </w:r>
      <w:r>
        <w:rPr>
          <w:rFonts w:ascii="Arial" w:cs="Arial" w:eastAsia="Arial" w:hAnsi="Arial"/>
          <w:sz w:val="22"/>
          <w:szCs w:val="22"/>
          <w:color w:val="auto"/>
        </w:rPr>
        <w:t>”: as defined in Section 2.19.</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Incurrence-Based Amounts</w:t>
      </w:r>
      <w:r>
        <w:rPr>
          <w:rFonts w:ascii="Arial" w:cs="Arial" w:eastAsia="Arial" w:hAnsi="Arial"/>
          <w:sz w:val="22"/>
          <w:szCs w:val="22"/>
          <w:color w:val="auto"/>
        </w:rPr>
        <w:t>”: as defined in Section 1.7(c).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as applied to any Person means, without duplication:</w:t>
      </w:r>
    </w:p>
    <w:p>
      <w:pPr>
        <w:spacing w:after="0" w:line="233" w:lineRule="exact"/>
        <w:rPr>
          <w:sz w:val="20"/>
          <w:szCs w:val="20"/>
          <w:color w:val="auto"/>
        </w:rPr>
      </w:pPr>
    </w:p>
    <w:p>
      <w:pPr>
        <w:ind w:left="2560" w:hanging="608"/>
        <w:spacing w:after="0"/>
        <w:tabs>
          <w:tab w:leader="none" w:pos="25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indebtedness for borrowed money;</w:t>
      </w:r>
    </w:p>
    <w:p>
      <w:pPr>
        <w:spacing w:after="0" w:line="233" w:lineRule="exact"/>
        <w:rPr>
          <w:rFonts w:ascii="Arial" w:cs="Arial" w:eastAsia="Arial" w:hAnsi="Arial"/>
          <w:sz w:val="22"/>
          <w:szCs w:val="22"/>
          <w:color w:val="auto"/>
        </w:rPr>
      </w:pPr>
    </w:p>
    <w:p>
      <w:pPr>
        <w:ind w:left="2520" w:hanging="568"/>
        <w:spacing w:after="0"/>
        <w:tabs>
          <w:tab w:leader="none" w:pos="25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obligations with respect to Financing Leases;</w:t>
      </w:r>
    </w:p>
    <w:p>
      <w:pPr>
        <w:spacing w:after="0" w:line="233" w:lineRule="exact"/>
        <w:rPr>
          <w:rFonts w:ascii="Arial" w:cs="Arial" w:eastAsia="Arial" w:hAnsi="Arial"/>
          <w:sz w:val="22"/>
          <w:szCs w:val="22"/>
          <w:color w:val="auto"/>
        </w:rPr>
      </w:pPr>
    </w:p>
    <w:p>
      <w:pPr>
        <w:ind w:left="2560" w:hanging="608"/>
        <w:spacing w:after="0"/>
        <w:tabs>
          <w:tab w:leader="none" w:pos="2560" w:val="left"/>
        </w:tabs>
        <w:numPr>
          <w:ilvl w:val="1"/>
          <w:numId w:val="81"/>
        </w:numPr>
        <w:rPr>
          <w:rFonts w:ascii="Arial" w:cs="Arial" w:eastAsia="Arial" w:hAnsi="Arial"/>
          <w:sz w:val="21"/>
          <w:szCs w:val="21"/>
          <w:color w:val="auto"/>
        </w:rPr>
      </w:pPr>
      <w:r>
        <w:rPr>
          <w:rFonts w:ascii="Arial" w:cs="Arial" w:eastAsia="Arial" w:hAnsi="Arial"/>
          <w:sz w:val="21"/>
          <w:szCs w:val="21"/>
          <w:color w:val="auto"/>
        </w:rPr>
        <w:t>all obligations of such Person evidenced by bonds, debentures, notes or similar instruments;</w:t>
      </w:r>
    </w:p>
    <w:p>
      <w:pPr>
        <w:spacing w:after="0" w:line="244" w:lineRule="exact"/>
        <w:rPr>
          <w:rFonts w:ascii="Arial" w:cs="Arial" w:eastAsia="Arial" w:hAnsi="Arial"/>
          <w:sz w:val="21"/>
          <w:szCs w:val="21"/>
          <w:color w:val="auto"/>
        </w:rPr>
      </w:pPr>
    </w:p>
    <w:p>
      <w:pPr>
        <w:ind w:left="2560" w:hanging="608"/>
        <w:spacing w:after="0"/>
        <w:tabs>
          <w:tab w:leader="none" w:pos="25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any obligation of such Person to pay the deferred purchase price of property or services (excluding</w:t>
      </w:r>
    </w:p>
    <w:p>
      <w:pPr>
        <w:spacing w:after="0" w:line="42" w:lineRule="exact"/>
        <w:rPr>
          <w:rFonts w:ascii="Arial" w:cs="Arial" w:eastAsia="Arial" w:hAnsi="Arial"/>
          <w:sz w:val="19"/>
          <w:szCs w:val="19"/>
          <w:color w:val="auto"/>
        </w:rPr>
      </w:pPr>
    </w:p>
    <w:p>
      <w:pPr>
        <w:jc w:val="both"/>
        <w:ind w:firstLine="8"/>
        <w:spacing w:after="0" w:line="266" w:lineRule="auto"/>
        <w:tabs>
          <w:tab w:leader="none" w:pos="271"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earn-out obligation, purchase price adjustment or similar obligation, unless such obligation has not been paid within 60 days after becoming due and payable and becomes a liability on the balance sheet of such Person in accordance with GAAP and</w:t>
      </w:r>
    </w:p>
    <w:p>
      <w:pPr>
        <w:spacing w:after="0" w:line="1" w:lineRule="exact"/>
        <w:rPr>
          <w:rFonts w:ascii="Arial" w:cs="Arial" w:eastAsia="Arial" w:hAnsi="Arial"/>
          <w:sz w:val="19"/>
          <w:szCs w:val="19"/>
          <w:color w:val="auto"/>
        </w:rPr>
      </w:pPr>
    </w:p>
    <w:p>
      <w:pPr>
        <w:ind w:firstLine="8"/>
        <w:spacing w:after="0" w:line="236" w:lineRule="auto"/>
        <w:tabs>
          <w:tab w:leader="none" w:pos="3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such obligations incurred ERISA), which purchase price is (A) due more than 365 days from the date of incurrence of the obligation in respect thereof or (B) evidenced by a note or similar written instrument;</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589"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w:t>
      </w:r>
    </w:p>
    <w:p>
      <w:pPr>
        <w:spacing w:after="0" w:line="214" w:lineRule="exact"/>
        <w:rPr>
          <w:rFonts w:ascii="Arial" w:cs="Arial" w:eastAsia="Arial" w:hAnsi="Arial"/>
          <w:sz w:val="22"/>
          <w:szCs w:val="22"/>
          <w:color w:val="auto"/>
        </w:rPr>
      </w:pPr>
    </w:p>
    <w:p>
      <w:pPr>
        <w:ind w:firstLine="1952"/>
        <w:spacing w:after="0" w:line="250" w:lineRule="auto"/>
        <w:tabs>
          <w:tab w:leader="none" w:pos="2619" w:val="left"/>
        </w:tabs>
        <w:numPr>
          <w:ilvl w:val="1"/>
          <w:numId w:val="82"/>
        </w:numPr>
        <w:rPr>
          <w:rFonts w:ascii="Arial" w:cs="Arial" w:eastAsia="Arial" w:hAnsi="Arial"/>
          <w:sz w:val="22"/>
          <w:szCs w:val="22"/>
          <w:color w:val="auto"/>
        </w:rPr>
      </w:pPr>
      <w:r>
        <w:rPr>
          <w:rFonts w:ascii="Arial" w:cs="Arial" w:eastAsia="Arial" w:hAnsi="Arial"/>
          <w:sz w:val="22"/>
          <w:szCs w:val="22"/>
          <w:color w:val="auto"/>
        </w:rPr>
        <w:t>letters of credit or bankers’ acceptances issued for the account of such Person or as to which such Person is otherwise liable for reimbursement of drawings;</w:t>
      </w:r>
    </w:p>
    <w:p>
      <w:pPr>
        <w:spacing w:after="0" w:line="201" w:lineRule="exact"/>
        <w:rPr>
          <w:rFonts w:ascii="Arial" w:cs="Arial" w:eastAsia="Arial" w:hAnsi="Arial"/>
          <w:sz w:val="22"/>
          <w:szCs w:val="22"/>
          <w:color w:val="auto"/>
        </w:rPr>
      </w:pPr>
    </w:p>
    <w:p>
      <w:pPr>
        <w:jc w:val="both"/>
        <w:ind w:firstLine="1952"/>
        <w:spacing w:after="0" w:line="236" w:lineRule="auto"/>
        <w:tabs>
          <w:tab w:leader="none" w:pos="277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spacing w:after="0" w:line="214" w:lineRule="exact"/>
        <w:rPr>
          <w:rFonts w:ascii="Arial" w:cs="Arial" w:eastAsia="Arial" w:hAnsi="Arial"/>
          <w:sz w:val="22"/>
          <w:szCs w:val="22"/>
          <w:color w:val="auto"/>
        </w:rPr>
      </w:pPr>
    </w:p>
    <w:p>
      <w:pPr>
        <w:ind w:left="2580" w:hanging="628"/>
        <w:spacing w:after="0"/>
        <w:tabs>
          <w:tab w:leader="none" w:pos="25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obligations of such Person in respect of any Disqualified Stock;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both"/>
        <w:ind w:firstLine="1952"/>
        <w:spacing w:after="0" w:line="235" w:lineRule="auto"/>
        <w:tabs>
          <w:tab w:leader="none" w:pos="2607"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Arial" w:cs="Arial" w:eastAsia="Arial" w:hAnsi="Arial"/>
          <w:sz w:val="22"/>
          <w:szCs w:val="22"/>
          <w:u w:val="single" w:color="auto"/>
          <w:color w:val="auto"/>
        </w:rPr>
        <w:t>Specified Hedge Agreement</w:t>
      </w:r>
      <w:r>
        <w:rPr>
          <w:rFonts w:ascii="Arial" w:cs="Arial" w:eastAsia="Arial" w:hAnsi="Arial"/>
          <w:sz w:val="22"/>
          <w:szCs w:val="22"/>
          <w:color w:val="auto"/>
        </w:rPr>
        <w: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each case, to the extent the same would appear as a liability on a balance sheet (excluding the footnotes thereto) of such Person prepared in accordance with GAAP.</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w:t>
      </w:r>
    </w:p>
    <w:p>
      <w:pPr>
        <w:sectPr>
          <w:pgSz w:w="11900" w:h="16838" w:orient="portrait"/>
          <w:cols w:equalWidth="0" w:num="1">
            <w:col w:w="11240"/>
          </w:cols>
          <w:pgMar w:left="320" w:top="118"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2" w:name="page83"/>
    <w:bookmarkEnd w:id="8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as defined in Section 9.5(a) hereto.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as defined in Section 9.5(a) 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Financial Advisor</w:t>
      </w:r>
      <w:r>
        <w:rPr>
          <w:rFonts w:ascii="Arial" w:cs="Arial" w:eastAsia="Arial" w:hAnsi="Arial"/>
          <w:sz w:val="22"/>
          <w:szCs w:val="22"/>
          <w:color w:val="auto"/>
        </w:rPr>
        <w:t>”: an accounting, appraisal or investment banking firm or consultant of nationally recognized standing.</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as defined in Section 9.14 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any Equal Priority Intercreditor Agreement and any Junior Priority Intercreditor Agreement.</w:t>
      </w:r>
    </w:p>
    <w:p>
      <w:pPr>
        <w:spacing w:after="0" w:line="2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with respect to (a) any Loan that is a Base Rate Loan, the last Business Day of March, June, September and December of each year, commencing on the first such date to occur after the Closing Date; and the final maturity date of such Loan; and (b) any Loan that is a Eurodollar Rate Loan, the last day of each Interest Period applicable to such Loan and the final maturity of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in connection with a Eurodollar Rate Loan, an interest period of one, two, three or six months (or, to the extent agreed by the applicable Lenders, any other period), as selected by the Borrower in the applicable Funding Notice or Conversion/Continuation Notice, (a) initially, commencing on the Closing Date or Conversion/Continuation Date thereof, as the case may be; and (b) thereafter, commencing on the day on which the immediately preceding Interest Period expires;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3" w:lineRule="exact"/>
        <w:rPr>
          <w:sz w:val="20"/>
          <w:szCs w:val="20"/>
          <w:color w:val="auto"/>
        </w:rPr>
      </w:pPr>
    </w:p>
    <w:p>
      <w:pPr>
        <w:jc w:val="both"/>
        <w:ind w:firstLine="8"/>
        <w:spacing w:after="0" w:line="275" w:lineRule="auto"/>
        <w:tabs>
          <w:tab w:leader="none" w:pos="268"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an Interest Period would otherwise expire on a day that is not a London Business Day, such Interest Period shall expire on the next succeeding London Business Day unless no further London Business Day occurs in such month, in which case such Interest Period shall expire on the immediately preceding London Business Day; (ii) any Interest Period that begins on the last London Business Day of a calendar month (or on a day for which there is no numerically corresponding day in the calendar month at the end of such Interest Period) shall, subject to clause (iii) of this definition, end on the last London Business Day of a calendar month; and (iii) no Interest Period with respect to any portion of Loans shall extend beyond the Maturity Date.</w:t>
      </w:r>
    </w:p>
    <w:p>
      <w:pPr>
        <w:spacing w:after="0" w:line="181"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Determination Date</w:t>
      </w:r>
      <w:r>
        <w:rPr>
          <w:rFonts w:ascii="Arial" w:cs="Arial" w:eastAsia="Arial" w:hAnsi="Arial"/>
          <w:sz w:val="22"/>
          <w:szCs w:val="22"/>
          <w:color w:val="auto"/>
        </w:rPr>
        <w:t>”: with respect to any Interest Period, the date that is two London Business Days prior to the first day of such Interest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(without duplication of amounts increasing clause (2) of Section 6.1(a)), but without any other adjustment for increases or decreases in value of, or write-ups, write-downs or write-offs with respect to, such Investment after the date of such Investment.</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Grade Assets</w:t>
      </w:r>
      <w:r>
        <w:rPr>
          <w:rFonts w:ascii="Arial" w:cs="Arial" w:eastAsia="Arial" w:hAnsi="Arial"/>
          <w:sz w:val="21"/>
          <w:szCs w:val="21"/>
          <w:color w:val="auto"/>
        </w:rPr>
        <w:t>”: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spacing w:after="0" w:line="21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 Rating</w:t>
      </w:r>
      <w:r>
        <w:rPr>
          <w:rFonts w:ascii="Arial" w:cs="Arial" w:eastAsia="Arial" w:hAnsi="Arial"/>
          <w:sz w:val="19"/>
          <w:szCs w:val="19"/>
          <w:color w:val="auto"/>
        </w:rPr>
        <w:t>”: a rating equal to or higher than Baa3 (or the equivalent) by Moody’s and BBB- (or the equivalent) by S&amp;P or Fitch or the equivalent investment grade credit rating from any other nationally recognized rating agency.</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a license or right to use all rights in Designs, patents, trademarks, domain names, copyrights, software, Trade Secrets and all other intellectual property rights.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ISP</w:t>
      </w:r>
      <w:r>
        <w:rPr>
          <w:rFonts w:ascii="Arial" w:cs="Arial" w:eastAsia="Arial" w:hAnsi="Arial"/>
          <w:sz w:val="21"/>
          <w:szCs w:val="21"/>
          <w:color w:val="auto"/>
        </w:rPr>
        <w:t>”: “International Standby Practices 1998” published by the International Chamber of Commerce Publication No. 590 (or such later version thereof as may be in effect at the time of issuance of such Letter of Credit).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September 2, 2020.</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each of (a) MSSF and GS and (b) each Lender that shall have become an Issuing Bank hereunder as provided in Section 2.3(j) (other than any Person that shall have ceased to be an Issuing Bank as provided in Section 2.3(k) or Section 2.2(l), in each case except as otherwise provided in such Section),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2.3 with respect to such Letters of Credit).</w:t>
      </w:r>
    </w:p>
    <w:p>
      <w:pPr>
        <w:sectPr>
          <w:pgSz w:w="11900" w:h="16838" w:orient="portrait"/>
          <w:cols w:equalWidth="0" w:num="1">
            <w:col w:w="11240"/>
          </w:cols>
          <w:pgMar w:left="320" w:top="118"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4" w:name="page85"/>
    <w:bookmarkEnd w:id="84"/>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a Joinder Agreement,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duly executed by a Subsidiary made a party hereto pursuant to Section 5.10(a).</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as defined in Section 9.17(b) hereto.</w:t>
      </w:r>
    </w:p>
    <w:p>
      <w:pPr>
        <w:spacing w:after="0" w:line="233" w:lineRule="exact"/>
        <w:rPr>
          <w:sz w:val="20"/>
          <w:szCs w:val="20"/>
          <w:color w:val="auto"/>
        </w:rPr>
      </w:pPr>
    </w:p>
    <w:p>
      <w:pPr>
        <w:jc w:val="both"/>
        <w:ind w:firstLine="7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Lien Priority</w:t>
      </w:r>
      <w:r>
        <w:rPr>
          <w:rFonts w:ascii="Arial" w:cs="Arial" w:eastAsia="Arial" w:hAnsi="Arial"/>
          <w:sz w:val="22"/>
          <w:szCs w:val="22"/>
          <w:color w:val="auto"/>
        </w:rPr>
        <w:t>”: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Priority Collateral Agent</w:t>
      </w:r>
      <w:r>
        <w:rPr>
          <w:rFonts w:ascii="Arial" w:cs="Arial" w:eastAsia="Arial" w:hAnsi="Arial"/>
          <w:sz w:val="19"/>
          <w:szCs w:val="19"/>
          <w:color w:val="auto"/>
        </w:rPr>
        <w:t>”: the Junior Priority Representative for the holders of any Junior Priority Obligations.</w:t>
      </w:r>
    </w:p>
    <w:p>
      <w:pPr>
        <w:spacing w:after="0" w:line="2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Intercreditor Agreement</w:t>
      </w:r>
      <w:r>
        <w:rPr>
          <w:rFonts w:ascii="Arial" w:cs="Arial" w:eastAsia="Arial" w:hAnsi="Arial"/>
          <w:sz w:val="22"/>
          <w:szCs w:val="22"/>
          <w:color w:val="auto"/>
        </w:rPr>
        <w:t>”: an intercreditor agreement with respect to the Collateral, entered into by, among others, the Collateral Agent, the applicable Junior Priority Collateral Agent(s) and, if applicable, any other Equal Priority Collateral Agent(s), having substantially the same terms as those described in the “Description of Notes—Security for the Notes —Junior Priority Intercreditor Agreement” section of the Offering Memorandum and other usual or customary terms reasonably acceptable to the Collateral Agent.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Priority Obligations</w:t>
      </w:r>
      <w:r>
        <w:rPr>
          <w:rFonts w:ascii="Arial" w:cs="Arial" w:eastAsia="Arial" w:hAnsi="Arial"/>
          <w:sz w:val="19"/>
          <w:szCs w:val="19"/>
          <w:color w:val="auto"/>
        </w:rPr>
        <w:t>”: the obligations with respect to any Indebtedness having Junior Lien Priority relative to the Obligations; provided that such Lien is permitted to be incurred under this Agreement, and provided further, that the holders of such Indebtedness or their Junior Priority Representative shall become party to a Junior Priority Intercreditor Agreement.</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Junior Priority Representative</w:t>
      </w:r>
      <w:r>
        <w:rPr>
          <w:rFonts w:ascii="Arial" w:cs="Arial" w:eastAsia="Arial" w:hAnsi="Arial"/>
          <w:sz w:val="21"/>
          <w:szCs w:val="21"/>
          <w:color w:val="auto"/>
        </w:rPr>
        <w:t>”: any duly authorized representative of any holders of Junior Priority Obligations, which representative is named as such in a Junior Priority Intercreditor Agreement or any joinder thereto.</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with respect to each Issuing Bank, the commitment of such Issuing Bank to issue Letters of Credit hereunder. The initial amount of each Issuing Bank’s LC Commitment is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 or if an Issuing Bank has entered into an Assignment and Acceptance or has been designated in accordance with Section 2.3(j), the amount set forth for such Issuing Bank as its LC Commitment in the Register.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a payment made by an Issuing Bank pursuant to a Letter of Credit.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any time, the sum of (a) the aggregate undrawn amount of all outstanding Letters of Credit at such time and (b) the aggregate amount of all LC Disbursements that have not yet been reimbursed by or on behalf of the Borrower at such time. The LC Exposure of any Lender at any time shall be such Lender’s Pro Rata Share of the aggregate LC Exposure at such time.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Election</w:t>
      </w:r>
      <w:r>
        <w:rPr>
          <w:rFonts w:ascii="Arial" w:cs="Arial" w:eastAsia="Arial" w:hAnsi="Arial"/>
          <w:sz w:val="22"/>
          <w:szCs w:val="22"/>
          <w:color w:val="auto"/>
        </w:rPr>
        <w:t>”: as defined in Section 1.6(a).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Test Date</w:t>
      </w:r>
      <w:r>
        <w:rPr>
          <w:rFonts w:ascii="Arial" w:cs="Arial" w:eastAsia="Arial" w:hAnsi="Arial"/>
          <w:sz w:val="22"/>
          <w:szCs w:val="22"/>
          <w:color w:val="auto"/>
        </w:rPr>
        <w:t>”: as defined in Section 1.6(a).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 Counterparty</w:t>
      </w:r>
      <w:r>
        <w:rPr>
          <w:rFonts w:ascii="Arial" w:cs="Arial" w:eastAsia="Arial" w:hAnsi="Arial"/>
          <w:sz w:val="21"/>
          <w:szCs w:val="21"/>
          <w:color w:val="auto"/>
        </w:rPr>
        <w:t>”: each Lender, the Administrative Agent, the Collateral Agent and each of their respective Affiliates counterparty to a Hedge Agreement or Cash Management Agreement entered into with the Borrower or any Guarantor (on the Closing Date with respect to Hedge Agreements or Cash Management Agreements existing as of the Closing Date or at the time it entered into a Hedge Agreement or Cash Management Agreement and including any Person who is the Administrative Agent or a Lender (or an Affiliate of the Administrative Agent or a Lender) as of the date of entering into such Hedge Agreement or Cash Management Agreement but subsequently ceases to be (or whose Affiliate ceases to be) the Administrative Agent or a Lender, as the case may be).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Notice Date</w:t>
      </w:r>
      <w:r>
        <w:rPr>
          <w:rFonts w:ascii="Arial" w:cs="Arial" w:eastAsia="Arial" w:hAnsi="Arial"/>
          <w:sz w:val="22"/>
          <w:szCs w:val="22"/>
          <w:color w:val="auto"/>
        </w:rPr>
        <w:t>” is defined in Section 2.21(b).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with respect to any Lender, any Person as to which such Lender is, directly or indirectly, a subsidiary.</w:t>
      </w:r>
    </w:p>
    <w:p>
      <w:pPr>
        <w:spacing w:after="0" w:line="268" w:lineRule="exact"/>
        <w:rPr>
          <w:sz w:val="20"/>
          <w:szCs w:val="20"/>
          <w:color w:val="auto"/>
        </w:rPr>
      </w:pPr>
    </w:p>
    <w:p>
      <w:pPr>
        <w:jc w:val="both"/>
        <w:ind w:firstLine="702"/>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the Persons listed on </w:t>
      </w:r>
      <w:r>
        <w:rPr>
          <w:rFonts w:ascii="Arial" w:cs="Arial" w:eastAsia="Arial" w:hAnsi="Arial"/>
          <w:sz w:val="21"/>
          <w:szCs w:val="21"/>
          <w:u w:val="single" w:color="auto"/>
          <w:color w:val="auto"/>
        </w:rPr>
        <w:t>Schedule 1.1A</w:t>
      </w:r>
      <w:r>
        <w:rPr>
          <w:rFonts w:ascii="Arial" w:cs="Arial" w:eastAsia="Arial" w:hAnsi="Arial"/>
          <w:sz w:val="21"/>
          <w:szCs w:val="21"/>
          <w:color w:val="auto"/>
        </w:rPr>
        <w:t xml:space="preserve"> and any other Person that shall have become a party hereto pursuant to an Assignment and Acceptance, other than any such Person that shall have ceased to be a party hereto pursuant to an Assignment and Acceptance;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Section 9.5 shall continue to apply to each such Person that ceases to be a party hereto pursuant to an Assignment and Acceptance as if such Person is a “Lender”.</w:t>
      </w:r>
    </w:p>
    <w:p>
      <w:pPr>
        <w:spacing w:after="0" w:line="201"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any standby letter of credit issued pursuant to this Agreement, other than any such letter of credit that shall have ceased to be a “Letter of Credit” outstanding hereunder pursuant to Section 2.3(o).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with respect to any Eurodollar Rate Loan for any Interest Period, the LIBO Screen Rate at approximately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11:00 a.m., London time, two London Business Days prior to the commencement of such Interest Period.</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Screen Rate</w:t>
      </w:r>
      <w:r>
        <w:rPr>
          <w:rFonts w:ascii="Arial" w:cs="Arial" w:eastAsia="Arial" w:hAnsi="Arial"/>
          <w:sz w:val="22"/>
          <w:szCs w:val="22"/>
          <w:color w:val="auto"/>
        </w:rPr>
        <w:t xml:space="preserve">”: for any day and time, with respect to any Eurodollar Rate Loan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LIBO Screen Rate shall be less than zero, such rate shall be deemed to zero for the purposes of this Agreement.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 Non-Financing Lease Obligation be deemed to constitute a Lien.</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 Transaction</w:t>
      </w:r>
      <w:r>
        <w:rPr>
          <w:rFonts w:ascii="Arial" w:cs="Arial" w:eastAsia="Arial" w:hAnsi="Arial"/>
          <w:sz w:val="19"/>
          <w:szCs w:val="19"/>
          <w:color w:val="auto"/>
        </w:rPr>
        <w:t>”: (i) any acquisition or Investment, including by way of merger, amalgamation, consolidation, Division or similar transaction, not prohibited by this Agreement, in each case whose consummation is not conditioned on the availability of, or on obtaining, third party financing, (ii) 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Liquefaction Development Entity</w:t>
      </w:r>
      <w:r>
        <w:rPr>
          <w:rFonts w:ascii="Arial" w:cs="Arial" w:eastAsia="Arial" w:hAnsi="Arial"/>
          <w:sz w:val="22"/>
          <w:szCs w:val="22"/>
          <w:color w:val="auto"/>
        </w:rPr>
        <w:t>”: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LNG</w:t>
      </w:r>
      <w:r>
        <w:rPr>
          <w:rFonts w:ascii="Arial" w:cs="Arial" w:eastAsia="Arial" w:hAnsi="Arial"/>
          <w:sz w:val="22"/>
          <w:szCs w:val="22"/>
          <w:color w:val="auto"/>
        </w:rPr>
        <w:t>”: natural gas in its liquid state at or below its boiling point at or near atmospheric pressure.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the Security Documents, and the Loan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Note</w:t>
      </w:r>
      <w:r>
        <w:rPr>
          <w:rFonts w:ascii="Arial" w:cs="Arial" w:eastAsia="Arial" w:hAnsi="Arial"/>
          <w:sz w:val="22"/>
          <w:szCs w:val="22"/>
          <w:color w:val="auto"/>
        </w:rPr>
        <w:t xml:space="preserve">”: a promissory note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the collective reference to the Borrower and each Guarantor.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the loans made by the Lenders to the Borrower pursuant to this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Business Day</w:t>
      </w:r>
      <w:r>
        <w:rPr>
          <w:rFonts w:ascii="Arial" w:cs="Arial" w:eastAsia="Arial" w:hAnsi="Arial"/>
          <w:sz w:val="22"/>
          <w:szCs w:val="22"/>
          <w:color w:val="auto"/>
        </w:rPr>
        <w:t>”: any day on which banks are generally open for dealings in dollar deposits in the London interbank market.</w:t>
      </w:r>
    </w:p>
    <w:p>
      <w:pPr>
        <w:spacing w:after="0" w:line="202" w:lineRule="exact"/>
        <w:rPr>
          <w:sz w:val="20"/>
          <w:szCs w:val="20"/>
          <w:color w:val="auto"/>
        </w:rPr>
      </w:pPr>
    </w:p>
    <w:p>
      <w:pPr>
        <w:jc w:val="both"/>
        <w:ind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Investors</w:t>
      </w:r>
      <w:r>
        <w:rPr>
          <w:rFonts w:ascii="Arial" w:cs="Arial" w:eastAsia="Arial" w:hAnsi="Arial"/>
          <w:sz w:val="22"/>
          <w:szCs w:val="22"/>
          <w:color w:val="auto"/>
        </w:rPr>
        <w:t>”: the current, former or future officers, directors, managers and employees (and any Immediate Family Members of the foregoing) of the Borrower or any of its Subsidiaries who are or who become direct or indirect investors in the Borrower.</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Estate Asset</w:t>
      </w:r>
      <w:r>
        <w:rPr>
          <w:rFonts w:ascii="Arial" w:cs="Arial" w:eastAsia="Arial" w:hAnsi="Arial"/>
          <w:sz w:val="22"/>
          <w:szCs w:val="22"/>
          <w:color w:val="auto"/>
        </w:rPr>
        <w:t>”: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the earliest of (a) the Stated Maturity Date, (b) the date on which all Loans shall become due and payable in full hereunder, whether by acceleration or otherwise and (c) the Springing Maturity Date (unless the Notes have been redeemed in full, or refinanced in full with Indebtedness with a maturity date later than 60 days after the Stated Maturity Date, prior to the Springing Maturity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if such date is not a Business Day, then the applicable Maturity Date shall be the immediately preceding Business Day.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as defined in Section 9.25.</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or any of its successors or assigns that is a nationally recognized statistical rating organization within the meaning of Rule 3(a)(62) under the Exchange Act.</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any mortgage, deed of trust or other similar agreement made by a Loan Party in favor of the Collateral Agent or any Common Representative, for the benefit of the Collateral Agent and the Secured Parties, on any Material Real Estate Asset constituting Collateral, which shall be in form reasonably satisfactory to the Collateral Agent and the Borrower.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MSSF</w:t>
      </w:r>
      <w:r>
        <w:rPr>
          <w:rFonts w:ascii="Arial" w:cs="Arial" w:eastAsia="Arial" w:hAnsi="Arial"/>
          <w:sz w:val="22"/>
          <w:szCs w:val="22"/>
          <w:color w:val="auto"/>
        </w:rPr>
        <w:t>”: as defined in the introductory paragraph hereto.</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the cash proceeds (including Cash Equivalents and cash proceeds subsequently received (as and when received) in respect of non-cash consideration initially received) received by the Borrower and any of its Restricted Subsidiaries in respect of any Asset Sale, net of (i) all fees and out-of-pocket expenses paid by (or on behalf of)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and the amount of all transfer and similar taxes and the Borrower’s good faith estimate of income or other taxes paid or payable (including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(provided that to the extent and at the time any such amounts are released from such reserve (other than in connection with a payment in respect of such liability), such amounts shall constitute Net Proceeds), (iii) the principal 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 (iv) cash escrows (until released from escrow to the Borrower or any of its Restricted Subsidiaries) from the sale price for such Asset Sale, (v) the pro rata portion of such Net Proceeds (calculated without regard to this clause (v)) attributable to minority interests and not available for distribution to or for the account of the Borrower and its Restricted Subsidiaries as a result thereof, (vi) the amount of any liabilities (other than Indebtedness in respect of the Notes) directly associated with such asset and retained by the Borrower or any Restricted Subsidiary, (vii) amounts required to be applied to the repayment of principal, premium, if any, and interest on Senior Indebtedness (other than any unsecured Indebtedness) required (other than required by Section 4.10(b) of the Existing Indentures) to be paid as a result of such transaction and (viii) any costs associated with unwinding any related Hedging Obligations in connection with such Asset Sale.</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as defined in Section 2.19.</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at any time, any Lender that is not a Defaulting Lender at such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as defined in Section 2.17(a).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w:t>
      </w:r>
      <w:r>
        <w:rPr>
          <w:rFonts w:ascii="Arial" w:cs="Arial" w:eastAsia="Arial" w:hAnsi="Arial"/>
          <w:sz w:val="22"/>
          <w:szCs w:val="22"/>
          <w:color w:val="auto"/>
        </w:rPr>
        <w:t>”: as defined in Section 2.21(b).</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Non-Financing Lease Obligation</w:t>
      </w:r>
      <w:r>
        <w:rPr>
          <w:rFonts w:ascii="Arial" w:cs="Arial" w:eastAsia="Arial" w:hAnsi="Arial"/>
          <w:sz w:val="21"/>
          <w:szCs w:val="21"/>
          <w:color w:val="auto"/>
        </w:rPr>
        <w:t>”: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material non-public information (within the meaning of United States federal, state or other applicable securities laws) with respect to the Borrower and its Subsidiaries or their securities.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w:t>
      </w:r>
      <w:r>
        <w:rPr>
          <w:rFonts w:ascii="Arial" w:cs="Arial" w:eastAsia="Arial" w:hAnsi="Arial"/>
          <w:sz w:val="22"/>
          <w:szCs w:val="22"/>
          <w:color w:val="auto"/>
        </w:rPr>
        <w:t>”: a Funding Notice or a Conversion/Continuation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the collective reference to (a) the Borrower Obligations and (b) the Guarantor Obligations.</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the Offering Memorandum dated August 19, 2020 relating to the offering of the 2025 Notes and as in effect on the Closing Date.</w:t>
      </w:r>
    </w:p>
    <w:p>
      <w:pPr>
        <w:spacing w:after="0" w:line="202" w:lineRule="exact"/>
        <w:rPr>
          <w:sz w:val="20"/>
          <w:szCs w:val="20"/>
          <w:color w:val="auto"/>
        </w:rPr>
      </w:pPr>
    </w:p>
    <w:p>
      <w:pPr>
        <w:jc w:val="both"/>
        <w:ind w:right="20" w:firstLine="71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signed on behalf of the Borrower by a Responsible Officer of the Borrower or on behalf of any other Person, as the case may be, that meets the requirements set forth in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Section 2.19).</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as defined in Section 9.6(b).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as defined in Section 9.6(b).</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the Uniting and Strengthening America by Providing Appropriate Tools Required to Intercept and Obstruct Terrorism Act (Title III of Pub. L. 107-56 (signed into law October 26, 2001)).</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Plan</w:t>
      </w:r>
      <w:r>
        <w:rPr>
          <w:rFonts w:ascii="Arial" w:cs="Arial" w:eastAsia="Arial" w:hAnsi="Arial"/>
          <w:sz w:val="21"/>
          <w:szCs w:val="21"/>
          <w:color w:val="auto"/>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xml:space="preserve">”: (a) any of Fortress, the Management Investors and their respective Affiliates, (b) any Person who is acting solely as an underwriter or initial purchaser in connection with a public or private offering of Equity Interests of the Borrower, acting in such capacity, (c) any group (within the meaning of Section 13(d)(3) or Section 14(d)(2) of the Exchange Act) of which any of the foregoing are members and any member of such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such group and any member of 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Borrower held by such group, and (d) any Permitted Plan.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w:t>
      </w:r>
    </w:p>
    <w:p>
      <w:pPr>
        <w:spacing w:after="0" w:line="234" w:lineRule="exact"/>
        <w:rPr>
          <w:sz w:val="20"/>
          <w:szCs w:val="20"/>
          <w:color w:val="auto"/>
        </w:rPr>
      </w:pPr>
    </w:p>
    <w:p>
      <w:pPr>
        <w:ind w:left="2520" w:hanging="568"/>
        <w:spacing w:after="0"/>
        <w:tabs>
          <w:tab w:leader="none" w:pos="25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cash or Investments that were Cash Equivalents or Investment Grade Assets at the time made;</w:t>
      </w:r>
    </w:p>
    <w:p>
      <w:pPr>
        <w:spacing w:after="0" w:line="267" w:lineRule="exact"/>
        <w:rPr>
          <w:rFonts w:ascii="Arial" w:cs="Arial" w:eastAsia="Arial" w:hAnsi="Arial"/>
          <w:sz w:val="19"/>
          <w:szCs w:val="19"/>
          <w:color w:val="auto"/>
        </w:rPr>
      </w:pPr>
    </w:p>
    <w:p>
      <w:pPr>
        <w:jc w:val="both"/>
        <w:ind w:firstLine="1952"/>
        <w:spacing w:after="0"/>
        <w:tabs>
          <w:tab w:leader="none" w:pos="25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Investments existing on the Closing Date in the Borrower or in any Restricted Subsidiary or (ii) Investments made after the Closing Date in the Borrower and/or one or more Restricted Subsidiaries (including, in each case, guarantees of obligations of Restricted Subsidiaries);</w:t>
      </w:r>
    </w:p>
    <w:p>
      <w:pPr>
        <w:spacing w:after="0" w:line="213" w:lineRule="exact"/>
        <w:rPr>
          <w:rFonts w:ascii="Arial" w:cs="Arial" w:eastAsia="Arial" w:hAnsi="Arial"/>
          <w:sz w:val="22"/>
          <w:szCs w:val="22"/>
          <w:color w:val="auto"/>
        </w:rPr>
      </w:pPr>
    </w:p>
    <w:p>
      <w:pPr>
        <w:jc w:val="both"/>
        <w:ind w:firstLine="1952"/>
        <w:spacing w:after="0" w:line="282" w:lineRule="auto"/>
        <w:tabs>
          <w:tab w:leader="none" w:pos="2899"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w:t>
      </w:r>
    </w:p>
    <w:p>
      <w:pPr>
        <w:spacing w:after="0" w:line="174" w:lineRule="exact"/>
        <w:rPr>
          <w:rFonts w:ascii="Arial" w:cs="Arial" w:eastAsia="Arial" w:hAnsi="Arial"/>
          <w:sz w:val="19"/>
          <w:szCs w:val="19"/>
          <w:color w:val="auto"/>
        </w:rPr>
      </w:pPr>
    </w:p>
    <w:p>
      <w:pPr>
        <w:jc w:val="both"/>
        <w:ind w:firstLine="1952"/>
        <w:spacing w:after="0" w:line="275" w:lineRule="auto"/>
        <w:tabs>
          <w:tab w:leader="none" w:pos="25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Investments in joint ventures and Unrestricted Subsidiaries (with respect to each such Investment, as valued at Fair Market Value of such Investment at the time such Investment is made or, at the option of the Borrower, committed to be made); provided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Annualized EBITDA of the Borrower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 however</w:t>
      </w:r>
      <w:r>
        <w:rPr>
          <w:rFonts w:ascii="Arial" w:cs="Arial" w:eastAsia="Arial" w:hAnsi="Arial"/>
          <w:sz w:val="19"/>
          <w:szCs w:val="19"/>
          <w:color w:val="auto"/>
        </w:rPr>
        <w:t>,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 clause (d);</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952"/>
        <w:spacing w:after="0"/>
        <w:tabs>
          <w:tab w:leader="none" w:pos="264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Investment by the Borrower or any of its Restricted Subsidiaries of all or substantially all of the assets of, or any business line, unit, division or product line (including research and development and related assets in respect of any product):</w:t>
      </w:r>
    </w:p>
    <w:p>
      <w:pPr>
        <w:spacing w:after="0" w:line="213" w:lineRule="exact"/>
        <w:rPr>
          <w:rFonts w:ascii="Arial" w:cs="Arial" w:eastAsia="Arial" w:hAnsi="Arial"/>
          <w:sz w:val="22"/>
          <w:szCs w:val="22"/>
          <w:color w:val="auto"/>
        </w:rPr>
      </w:pPr>
    </w:p>
    <w:p>
      <w:pPr>
        <w:jc w:val="both"/>
        <w:ind w:left="660" w:firstLine="1778"/>
        <w:spacing w:after="0"/>
        <w:tabs>
          <w:tab w:leader="none" w:pos="3375"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any Person or the Equity Interests of any Person who is engaged in a Similar Business and becomes a Restricted Subsidiary (and, in any event, including by redesignation of an Unrestricted Subsidiary as a Restricted Subsidiary or by means of a Division); or</w:t>
      </w:r>
    </w:p>
    <w:p>
      <w:pPr>
        <w:spacing w:after="0" w:line="213" w:lineRule="exact"/>
        <w:rPr>
          <w:rFonts w:ascii="Arial" w:cs="Arial" w:eastAsia="Arial" w:hAnsi="Arial"/>
          <w:sz w:val="22"/>
          <w:szCs w:val="22"/>
          <w:color w:val="auto"/>
        </w:rPr>
      </w:pPr>
    </w:p>
    <w:p>
      <w:pPr>
        <w:jc w:val="both"/>
        <w:ind w:left="660" w:firstLine="1778"/>
        <w:spacing w:after="0" w:line="238" w:lineRule="auto"/>
        <w:tabs>
          <w:tab w:leader="none" w:pos="3489"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w:t>
      </w:r>
    </w:p>
    <w:p>
      <w:pPr>
        <w:spacing w:after="0" w:line="21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and, in each case, any Investment held by such Person; provided that such Investment was not acquired by such Person in contemplation of such acquisition, merger, amalgamation, Division, consolidation, transfer, conveyance or redesignation;</w:t>
      </w:r>
    </w:p>
    <w:p>
      <w:pPr>
        <w:spacing w:after="0" w:line="132" w:lineRule="exact"/>
        <w:rPr>
          <w:sz w:val="20"/>
          <w:szCs w:val="20"/>
          <w:color w:val="auto"/>
        </w:rPr>
      </w:pPr>
    </w:p>
    <w:p>
      <w:pPr>
        <w:jc w:val="both"/>
        <w:ind w:firstLine="1952"/>
        <w:spacing w:after="0" w:line="249" w:lineRule="auto"/>
        <w:tabs>
          <w:tab w:leader="none" w:pos="2605"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Investments (i) existing on, or contractually committed to or contemplated as of, the Closing Date 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w:t>
      </w:r>
    </w:p>
    <w:p>
      <w:pPr>
        <w:spacing w:after="0" w:line="205" w:lineRule="exact"/>
        <w:rPr>
          <w:rFonts w:ascii="Arial" w:cs="Arial" w:eastAsia="Arial" w:hAnsi="Arial"/>
          <w:sz w:val="21"/>
          <w:szCs w:val="21"/>
          <w:color w:val="auto"/>
        </w:rPr>
      </w:pPr>
    </w:p>
    <w:p>
      <w:pPr>
        <w:ind w:firstLine="1952"/>
        <w:spacing w:after="0" w:line="274" w:lineRule="auto"/>
        <w:tabs>
          <w:tab w:leader="none" w:pos="2614"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Investments (including earn-outs) received in lieu of cash in connection with an Asset Sale made pursuant to the provisions of Section 6.4 or any other disposition of assets not constituting an Asset Sale;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both"/>
        <w:ind w:firstLine="1952"/>
        <w:spacing w:after="0" w:line="244" w:lineRule="auto"/>
        <w:tabs>
          <w:tab w:leader="none" w:pos="2682" w:val="left"/>
        </w:tabs>
        <w:numPr>
          <w:ilvl w:val="0"/>
          <w:numId w:val="87"/>
        </w:numPr>
        <w:rPr>
          <w:rFonts w:ascii="Arial" w:cs="Arial" w:eastAsia="Arial" w:hAnsi="Arial"/>
          <w:sz w:val="21"/>
          <w:szCs w:val="21"/>
          <w:color w:val="auto"/>
        </w:rPr>
      </w:pPr>
      <w:r>
        <w:rPr>
          <w:rFonts w:ascii="Arial" w:cs="Arial" w:eastAsia="Arial" w:hAnsi="Arial"/>
          <w:sz w:val="21"/>
          <w:szCs w:val="21"/>
          <w:color w:val="auto"/>
        </w:rPr>
        <w:t>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the greater of $15.0 million and 5.0% of Annualized EBITDA of the Borrower and its Restricted Subsidiaries;</w:t>
      </w:r>
    </w:p>
    <w:p>
      <w:pPr>
        <w:spacing w:after="0" w:line="215" w:lineRule="exact"/>
        <w:rPr>
          <w:rFonts w:ascii="Arial" w:cs="Arial" w:eastAsia="Arial" w:hAnsi="Arial"/>
          <w:sz w:val="21"/>
          <w:szCs w:val="21"/>
          <w:color w:val="auto"/>
        </w:rPr>
      </w:pPr>
    </w:p>
    <w:p>
      <w:pPr>
        <w:jc w:val="both"/>
        <w:ind w:firstLine="1952"/>
        <w:spacing w:after="0" w:line="235" w:lineRule="auto"/>
        <w:tabs>
          <w:tab w:leader="none" w:pos="2593"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spacing w:after="0" w:line="214" w:lineRule="exact"/>
        <w:rPr>
          <w:rFonts w:ascii="Arial" w:cs="Arial" w:eastAsia="Arial" w:hAnsi="Arial"/>
          <w:sz w:val="22"/>
          <w:szCs w:val="22"/>
          <w:color w:val="auto"/>
        </w:rPr>
      </w:pPr>
    </w:p>
    <w:p>
      <w:pPr>
        <w:jc w:val="both"/>
        <w:ind w:firstLine="1952"/>
        <w:spacing w:after="0" w:line="287" w:lineRule="auto"/>
        <w:tabs>
          <w:tab w:leader="none" w:pos="27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consisting of (or resulting from) (i) Indebtedness permitted under Section 6.3, (ii) Permitted Liens, (iii) Restricted Payments permitted under Section 6.1 (other than a Restricted Payment permitted under Section 6.1(b)(ix)) and (iv) Asset Sales permitted under Section 6.4 or any other disposition not constituting an Asset Sale (other than pursuant to clause (a), (b), (c)(ii) (if made in reliance on clause (B) therein) and (g) of the definition thereof);</w:t>
      </w:r>
    </w:p>
    <w:p>
      <w:pPr>
        <w:spacing w:after="0" w:line="169" w:lineRule="exact"/>
        <w:rPr>
          <w:rFonts w:ascii="Arial" w:cs="Arial" w:eastAsia="Arial" w:hAnsi="Arial"/>
          <w:sz w:val="19"/>
          <w:szCs w:val="19"/>
          <w:color w:val="auto"/>
        </w:rPr>
      </w:pPr>
    </w:p>
    <w:p>
      <w:pPr>
        <w:ind w:right="20" w:firstLine="1952"/>
        <w:spacing w:after="0" w:line="328" w:lineRule="auto"/>
        <w:tabs>
          <w:tab w:leader="none" w:pos="2695"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consistent with past practice or consistent with industry norm consisting of endorsements for collection or deposit and customary trade arrangements with customers;</w:t>
      </w:r>
    </w:p>
    <w:p>
      <w:pPr>
        <w:spacing w:after="0" w:line="131" w:lineRule="exact"/>
        <w:rPr>
          <w:rFonts w:ascii="Arial" w:cs="Arial" w:eastAsia="Arial" w:hAnsi="Arial"/>
          <w:sz w:val="19"/>
          <w:szCs w:val="19"/>
          <w:color w:val="auto"/>
        </w:rPr>
      </w:pPr>
    </w:p>
    <w:p>
      <w:pPr>
        <w:jc w:val="both"/>
        <w:ind w:firstLine="1952"/>
        <w:spacing w:after="0" w:line="282" w:lineRule="auto"/>
        <w:tabs>
          <w:tab w:leader="none" w:pos="26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spacing w:after="0" w:line="174" w:lineRule="exact"/>
        <w:rPr>
          <w:rFonts w:ascii="Arial" w:cs="Arial" w:eastAsia="Arial" w:hAnsi="Arial"/>
          <w:sz w:val="19"/>
          <w:szCs w:val="19"/>
          <w:color w:val="auto"/>
        </w:rPr>
      </w:pPr>
    </w:p>
    <w:p>
      <w:pPr>
        <w:jc w:val="both"/>
        <w:ind w:firstLine="1952"/>
        <w:spacing w:after="0" w:line="238" w:lineRule="auto"/>
        <w:tabs>
          <w:tab w:leader="none" w:pos="2526" w:val="left"/>
        </w:tabs>
        <w:numPr>
          <w:ilvl w:val="0"/>
          <w:numId w:val="87"/>
        </w:numPr>
        <w:rPr>
          <w:rFonts w:ascii="Arial" w:cs="Arial" w:eastAsia="Arial" w:hAnsi="Arial"/>
          <w:sz w:val="22"/>
          <w:szCs w:val="22"/>
          <w:color w:val="auto"/>
        </w:rPr>
      </w:pPr>
      <w:r>
        <w:rPr>
          <w:rFonts w:ascii="Arial" w:cs="Arial" w:eastAsia="Arial" w:hAnsi="Arial"/>
          <w:sz w:val="22"/>
          <w:szCs w:val="22"/>
          <w:color w:val="auto"/>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spacing w:after="0" w:line="211" w:lineRule="exact"/>
        <w:rPr>
          <w:rFonts w:ascii="Arial" w:cs="Arial" w:eastAsia="Arial" w:hAnsi="Arial"/>
          <w:sz w:val="22"/>
          <w:szCs w:val="22"/>
          <w:color w:val="auto"/>
        </w:rPr>
      </w:pPr>
    </w:p>
    <w:p>
      <w:pPr>
        <w:ind w:left="2600" w:hanging="648"/>
        <w:spacing w:after="0"/>
        <w:tabs>
          <w:tab w:leader="none" w:pos="26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Investments to the extent that payment therefor is made solely with Qualified Capital Stock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15" w:lineRule="exact"/>
        <w:rPr>
          <w:rFonts w:ascii="Arial" w:cs="Arial" w:eastAsia="Arial" w:hAnsi="Arial"/>
          <w:sz w:val="19"/>
          <w:szCs w:val="19"/>
          <w:color w:val="auto"/>
        </w:rPr>
      </w:pPr>
    </w:p>
    <w:p>
      <w:pPr>
        <w:jc w:val="both"/>
        <w:ind w:firstLine="1952"/>
        <w:spacing w:after="0" w:line="277" w:lineRule="auto"/>
        <w:tabs>
          <w:tab w:leader="none" w:pos="25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left="2520" w:hanging="568"/>
        <w:spacing w:after="0"/>
        <w:tabs>
          <w:tab w:leader="none" w:pos="25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97" w:lineRule="auto"/>
        <w:tabs>
          <w:tab w:leader="none" w:pos="257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Investments made after the Closing Date by the Borrower and/or any of its Restricted Subsidiaries in an aggregate amount (with respect to each such Investment, as valued at the Fair Market Value of such Investment at the time such Investment is made or, at the option of the Borrower, committed to be made) then outstanding not to exceed:</w:t>
      </w:r>
    </w:p>
    <w:p>
      <w:pPr>
        <w:spacing w:after="0" w:line="160" w:lineRule="exact"/>
        <w:rPr>
          <w:rFonts w:ascii="Arial" w:cs="Arial" w:eastAsia="Arial" w:hAnsi="Arial"/>
          <w:sz w:val="19"/>
          <w:szCs w:val="19"/>
          <w:color w:val="auto"/>
        </w:rPr>
      </w:pPr>
    </w:p>
    <w:p>
      <w:pPr>
        <w:jc w:val="both"/>
        <w:ind w:left="660" w:right="20" w:firstLine="1778"/>
        <w:spacing w:after="0"/>
        <w:tabs>
          <w:tab w:leader="none" w:pos="3429"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greater of $125.0 million and 35.0% of Annualized EBITDA of the Borrower and its Restricted Subsidiaries (measured as of the date such Investment is made, or at the option of the Borrower, committed to be made); plus</w:t>
      </w:r>
    </w:p>
    <w:p>
      <w:pPr>
        <w:spacing w:after="0" w:line="213" w:lineRule="exact"/>
        <w:rPr>
          <w:rFonts w:ascii="Arial" w:cs="Arial" w:eastAsia="Arial" w:hAnsi="Arial"/>
          <w:sz w:val="22"/>
          <w:szCs w:val="22"/>
          <w:color w:val="auto"/>
        </w:rPr>
      </w:pPr>
    </w:p>
    <w:p>
      <w:pPr>
        <w:jc w:val="both"/>
        <w:ind w:left="660" w:firstLine="1778"/>
        <w:spacing w:after="0" w:line="245" w:lineRule="auto"/>
        <w:tabs>
          <w:tab w:leader="none" w:pos="3637" w:val="left"/>
        </w:tabs>
        <w:numPr>
          <w:ilvl w:val="1"/>
          <w:numId w:val="88"/>
        </w:numPr>
        <w:rPr>
          <w:rFonts w:ascii="Arial" w:cs="Arial" w:eastAsia="Arial" w:hAnsi="Arial"/>
          <w:sz w:val="21"/>
          <w:szCs w:val="21"/>
          <w:color w:val="auto"/>
        </w:rPr>
      </w:pPr>
      <w:r>
        <w:rPr>
          <w:rFonts w:ascii="Arial" w:cs="Arial" w:eastAsia="Arial" w:hAnsi="Arial"/>
          <w:sz w:val="21"/>
          <w:szCs w:val="21"/>
          <w:color w:val="auto"/>
        </w:rPr>
        <w:t>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 under the provision pursuant to which such Investment was initially made;</w:t>
      </w:r>
    </w:p>
    <w:p>
      <w:pPr>
        <w:spacing w:after="0" w:line="211" w:lineRule="exact"/>
        <w:rPr>
          <w:rFonts w:ascii="Arial" w:cs="Arial" w:eastAsia="Arial" w:hAnsi="Arial"/>
          <w:sz w:val="21"/>
          <w:szCs w:val="21"/>
          <w:color w:val="auto"/>
        </w:rPr>
      </w:pPr>
    </w:p>
    <w:p>
      <w:pPr>
        <w:ind w:left="2540" w:hanging="588"/>
        <w:spacing w:after="0"/>
        <w:tabs>
          <w:tab w:leader="none" w:pos="2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87" w:lineRule="auto"/>
        <w:tabs>
          <w:tab w:leader="none" w:pos="2577" w:val="left"/>
        </w:tabs>
        <w:numPr>
          <w:ilvl w:val="0"/>
          <w:numId w:val="88"/>
        </w:numPr>
        <w:rPr>
          <w:rFonts w:ascii="Arial" w:cs="Arial" w:eastAsia="Arial" w:hAnsi="Arial"/>
          <w:sz w:val="19"/>
          <w:szCs w:val="19"/>
          <w:color w:val="auto"/>
        </w:rPr>
      </w:pPr>
      <w:r>
        <w:rPr>
          <w:rFonts w:ascii="Arial" w:cs="Arial" w:eastAsia="Arial" w:hAnsi="Arial"/>
          <w:sz w:val="19"/>
          <w:szCs w:val="19"/>
          <w:color w:val="auto"/>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spacing w:after="0" w:line="169" w:lineRule="exact"/>
        <w:rPr>
          <w:rFonts w:ascii="Arial" w:cs="Arial" w:eastAsia="Arial" w:hAnsi="Arial"/>
          <w:sz w:val="19"/>
          <w:szCs w:val="19"/>
          <w:color w:val="auto"/>
        </w:rPr>
      </w:pPr>
    </w:p>
    <w:p>
      <w:pPr>
        <w:ind w:left="2540" w:hanging="588"/>
        <w:spacing w:after="0"/>
        <w:tabs>
          <w:tab w:leader="none" w:pos="2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580" w:hanging="628"/>
        <w:spacing w:after="0"/>
        <w:tabs>
          <w:tab w:leader="none" w:pos="25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1952"/>
        <w:spacing w:after="0" w:line="250" w:lineRule="auto"/>
        <w:tabs>
          <w:tab w:leader="none" w:pos="2587"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Investments in Subsidiaries of the Borrower in connection with internal reorganizations and/or tax restructuring entered into among the Borrower and/or its Restricted Subsidiaries;</w:t>
      </w:r>
    </w:p>
    <w:p>
      <w:pPr>
        <w:spacing w:after="0" w:line="201" w:lineRule="exact"/>
        <w:rPr>
          <w:rFonts w:ascii="Arial" w:cs="Arial" w:eastAsia="Arial" w:hAnsi="Arial"/>
          <w:sz w:val="22"/>
          <w:szCs w:val="22"/>
          <w:color w:val="auto"/>
        </w:rPr>
      </w:pPr>
    </w:p>
    <w:p>
      <w:pPr>
        <w:ind w:left="2520" w:hanging="568"/>
        <w:spacing w:after="0"/>
        <w:tabs>
          <w:tab w:leader="none" w:pos="25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Derivative Transactions of the type permitted under Section 6.3(b)(xix);</w:t>
      </w:r>
    </w:p>
    <w:p>
      <w:pPr>
        <w:spacing w:after="0" w:line="233" w:lineRule="exact"/>
        <w:rPr>
          <w:rFonts w:ascii="Arial" w:cs="Arial" w:eastAsia="Arial" w:hAnsi="Arial"/>
          <w:sz w:val="22"/>
          <w:szCs w:val="22"/>
          <w:color w:val="auto"/>
        </w:rPr>
      </w:pPr>
    </w:p>
    <w:p>
      <w:pPr>
        <w:ind w:firstLine="1952"/>
        <w:spacing w:after="0" w:line="250" w:lineRule="auto"/>
        <w:tabs>
          <w:tab w:leader="none" w:pos="2574"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Investments consisting of the licensing of intellectual property or other works of authorship for the purpose of joint marketing arrangements with other Persons;</w:t>
      </w:r>
    </w:p>
    <w:p>
      <w:pPr>
        <w:spacing w:after="0" w:line="201" w:lineRule="exact"/>
        <w:rPr>
          <w:rFonts w:ascii="Arial" w:cs="Arial" w:eastAsia="Arial" w:hAnsi="Arial"/>
          <w:sz w:val="22"/>
          <w:szCs w:val="22"/>
          <w:color w:val="auto"/>
        </w:rPr>
      </w:pPr>
    </w:p>
    <w:p>
      <w:pPr>
        <w:ind w:left="2580" w:hanging="628"/>
        <w:spacing w:after="0"/>
        <w:tabs>
          <w:tab w:leader="none" w:pos="25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repurchases of the Existing Notes and any other Senior Indebtedness;</w:t>
      </w:r>
    </w:p>
    <w:p>
      <w:pPr>
        <w:spacing w:after="0" w:line="233" w:lineRule="exact"/>
        <w:rPr>
          <w:rFonts w:ascii="Arial" w:cs="Arial" w:eastAsia="Arial" w:hAnsi="Arial"/>
          <w:sz w:val="22"/>
          <w:szCs w:val="22"/>
          <w:color w:val="auto"/>
        </w:rPr>
      </w:pPr>
    </w:p>
    <w:p>
      <w:pPr>
        <w:jc w:val="both"/>
        <w:ind w:firstLine="1952"/>
        <w:spacing w:after="0" w:line="238" w:lineRule="auto"/>
        <w:tabs>
          <w:tab w:leader="none" w:pos="2589" w:val="left"/>
        </w:tabs>
        <w:numPr>
          <w:ilvl w:val="0"/>
          <w:numId w:val="88"/>
        </w:numPr>
        <w:rPr>
          <w:rFonts w:ascii="Arial" w:cs="Arial" w:eastAsia="Arial" w:hAnsi="Arial"/>
          <w:sz w:val="22"/>
          <w:szCs w:val="22"/>
          <w:color w:val="auto"/>
        </w:rPr>
      </w:pPr>
      <w:r>
        <w:rPr>
          <w:rFonts w:ascii="Arial" w:cs="Arial" w:eastAsia="Arial" w:hAnsi="Arial"/>
          <w:sz w:val="22"/>
          <w:szCs w:val="22"/>
          <w:color w:val="auto"/>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spacing w:after="0" w:line="212" w:lineRule="exact"/>
        <w:rPr>
          <w:sz w:val="20"/>
          <w:szCs w:val="20"/>
          <w:color w:val="auto"/>
        </w:rPr>
      </w:pPr>
    </w:p>
    <w:p>
      <w:pPr>
        <w:jc w:val="both"/>
        <w:ind w:firstLine="1952"/>
        <w:spacing w:after="0" w:line="238" w:lineRule="auto"/>
        <w:tabs>
          <w:tab w:leader="none" w:pos="2766"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ind w:firstLine="1952"/>
        <w:spacing w:after="0" w:line="251" w:lineRule="auto"/>
        <w:tabs>
          <w:tab w:leader="none" w:pos="2587" w:val="left"/>
        </w:tabs>
        <w:numPr>
          <w:ilvl w:val="0"/>
          <w:numId w:val="90"/>
        </w:numPr>
        <w:rPr>
          <w:rFonts w:ascii="Arial" w:cs="Arial" w:eastAsia="Arial" w:hAnsi="Arial"/>
          <w:sz w:val="22"/>
          <w:szCs w:val="22"/>
          <w:color w:val="auto"/>
        </w:rPr>
      </w:pPr>
      <w:r>
        <w:rPr>
          <w:rFonts w:ascii="Arial" w:cs="Arial" w:eastAsia="Arial" w:hAnsi="Arial"/>
          <w:sz w:val="22"/>
          <w:szCs w:val="22"/>
          <w:color w:val="auto"/>
        </w:rPr>
        <w:t>additional Investments so long as, after giving effect thereto on a pro forma basis, the Consolidated Total Debt Ratio does not exceed 2.50 to 1.00;</w:t>
      </w:r>
    </w:p>
    <w:p>
      <w:pPr>
        <w:spacing w:after="0" w:line="200" w:lineRule="exact"/>
        <w:rPr>
          <w:rFonts w:ascii="Arial" w:cs="Arial" w:eastAsia="Arial" w:hAnsi="Arial"/>
          <w:sz w:val="22"/>
          <w:szCs w:val="22"/>
          <w:color w:val="auto"/>
        </w:rPr>
      </w:pPr>
    </w:p>
    <w:p>
      <w:pPr>
        <w:jc w:val="both"/>
        <w:ind w:firstLine="1952"/>
        <w:spacing w:after="0"/>
        <w:tabs>
          <w:tab w:leader="none" w:pos="2604"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213" w:lineRule="exact"/>
        <w:rPr>
          <w:rFonts w:ascii="Arial" w:cs="Arial" w:eastAsia="Arial" w:hAnsi="Arial"/>
          <w:sz w:val="22"/>
          <w:szCs w:val="22"/>
          <w:color w:val="auto"/>
        </w:rPr>
      </w:pPr>
    </w:p>
    <w:p>
      <w:pPr>
        <w:ind w:left="2580" w:hanging="628"/>
        <w:spacing w:after="0"/>
        <w:tabs>
          <w:tab w:leader="none" w:pos="25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752" w:val="left"/>
        </w:tabs>
        <w:numPr>
          <w:ilvl w:val="0"/>
          <w:numId w:val="90"/>
        </w:numPr>
        <w:rPr>
          <w:rFonts w:ascii="Arial" w:cs="Arial" w:eastAsia="Arial" w:hAnsi="Arial"/>
          <w:sz w:val="21"/>
          <w:szCs w:val="21"/>
          <w:color w:val="auto"/>
        </w:rPr>
      </w:pPr>
      <w:r>
        <w:rPr>
          <w:rFonts w:ascii="Arial" w:cs="Arial" w:eastAsia="Arial" w:hAnsi="Arial"/>
          <w:sz w:val="21"/>
          <w:szCs w:val="21"/>
          <w:color w:val="auto"/>
        </w:rPr>
        <w:t>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w:t>
      </w:r>
    </w:p>
    <w:p>
      <w:pPr>
        <w:spacing w:after="0" w:line="196" w:lineRule="exact"/>
        <w:rPr>
          <w:rFonts w:ascii="Arial" w:cs="Arial" w:eastAsia="Arial" w:hAnsi="Arial"/>
          <w:sz w:val="21"/>
          <w:szCs w:val="21"/>
          <w:color w:val="auto"/>
        </w:rPr>
      </w:pPr>
    </w:p>
    <w:p>
      <w:pPr>
        <w:jc w:val="both"/>
        <w:ind w:firstLine="1952"/>
        <w:spacing w:after="0"/>
        <w:tabs>
          <w:tab w:leader="none" w:pos="2687"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7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spacing w:after="0" w:line="211" w:lineRule="exact"/>
        <w:rPr>
          <w:rFonts w:ascii="Arial" w:cs="Arial" w:eastAsia="Arial" w:hAnsi="Arial"/>
          <w:sz w:val="22"/>
          <w:szCs w:val="22"/>
          <w:color w:val="auto"/>
        </w:rPr>
      </w:pPr>
    </w:p>
    <w:p>
      <w:pPr>
        <w:jc w:val="both"/>
        <w:ind w:right="20" w:firstLine="1952"/>
        <w:spacing w:after="0"/>
        <w:tabs>
          <w:tab w:leader="none" w:pos="2574"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intercompany current liabilities owed to Unrestricted Subsidiaries or joint ventures incurred in the ordinary course of business, consistent with past practice or consistent with industry norm or in connection with cash management operations of the Borrower and its Subsidiaries;</w:t>
      </w:r>
    </w:p>
    <w:p>
      <w:pPr>
        <w:spacing w:after="0" w:line="213" w:lineRule="exact"/>
        <w:rPr>
          <w:rFonts w:ascii="Arial" w:cs="Arial" w:eastAsia="Arial" w:hAnsi="Arial"/>
          <w:sz w:val="22"/>
          <w:szCs w:val="22"/>
          <w:color w:val="auto"/>
        </w:rPr>
      </w:pPr>
    </w:p>
    <w:p>
      <w:pPr>
        <w:ind w:firstLine="1952"/>
        <w:spacing w:after="0" w:line="250" w:lineRule="auto"/>
        <w:tabs>
          <w:tab w:leader="none" w:pos="2923"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Investments made from casualty insurance proceeds in connection with the replacement, substitution, restoration or repair of assets on account of a casualty event;</w:t>
      </w:r>
    </w:p>
    <w:p>
      <w:pPr>
        <w:spacing w:after="0" w:line="201" w:lineRule="exact"/>
        <w:rPr>
          <w:rFonts w:ascii="Arial" w:cs="Arial" w:eastAsia="Arial" w:hAnsi="Arial"/>
          <w:sz w:val="22"/>
          <w:szCs w:val="22"/>
          <w:color w:val="auto"/>
        </w:rPr>
      </w:pPr>
    </w:p>
    <w:p>
      <w:pPr>
        <w:jc w:val="both"/>
        <w:ind w:firstLine="1952"/>
        <w:spacing w:after="0"/>
        <w:tabs>
          <w:tab w:leader="none" w:pos="2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Investments to the extent required by applicable rules under the Exchange Act or by any governmental authority, including any Investment made in order to avoid early warning or notice requirements under such rules or requirements;</w:t>
      </w:r>
    </w:p>
    <w:p>
      <w:pPr>
        <w:spacing w:after="0" w:line="213" w:lineRule="exact"/>
        <w:rPr>
          <w:rFonts w:ascii="Arial" w:cs="Arial" w:eastAsia="Arial" w:hAnsi="Arial"/>
          <w:sz w:val="22"/>
          <w:szCs w:val="22"/>
          <w:color w:val="auto"/>
        </w:rPr>
      </w:pPr>
    </w:p>
    <w:p>
      <w:pPr>
        <w:ind w:left="2520" w:hanging="568"/>
        <w:spacing w:after="0"/>
        <w:tabs>
          <w:tab w:leader="none" w:pos="25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33" w:lineRule="exact"/>
        <w:rPr>
          <w:rFonts w:ascii="Arial" w:cs="Arial" w:eastAsia="Arial" w:hAnsi="Arial"/>
          <w:sz w:val="22"/>
          <w:szCs w:val="22"/>
          <w:color w:val="auto"/>
        </w:rPr>
      </w:pPr>
    </w:p>
    <w:p>
      <w:pPr>
        <w:jc w:val="both"/>
        <w:ind w:right="20" w:firstLine="1952"/>
        <w:spacing w:after="0"/>
        <w:tabs>
          <w:tab w:leader="none" w:pos="26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transaction to the extent it constitutes an Investment that is not prohibited by and is made in accordance with the provisions of Section 6.5 (except transactions permitted by Section 6.5(b)(iv)(1) by reference to Section 6.1 or this definition and Section 6.5(b)(xv) and (xix)).</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233" w:lineRule="exact"/>
        <w:rPr>
          <w:sz w:val="20"/>
          <w:szCs w:val="20"/>
          <w:color w:val="auto"/>
        </w:rPr>
      </w:pPr>
    </w:p>
    <w:p>
      <w:pPr>
        <w:jc w:val="both"/>
        <w:ind w:firstLine="1952"/>
        <w:spacing w:after="0" w:line="297" w:lineRule="auto"/>
        <w:tabs>
          <w:tab w:leader="none" w:pos="2710" w:val="left"/>
        </w:tabs>
        <w:numPr>
          <w:ilvl w:val="1"/>
          <w:numId w:val="91"/>
        </w:numPr>
        <w:rPr>
          <w:rFonts w:ascii="Arial" w:cs="Arial" w:eastAsia="Arial" w:hAnsi="Arial"/>
          <w:sz w:val="19"/>
          <w:szCs w:val="19"/>
          <w:color w:val="auto"/>
        </w:rPr>
      </w:pPr>
      <w:r>
        <w:rPr>
          <w:rFonts w:ascii="Arial" w:cs="Arial" w:eastAsia="Arial" w:hAnsi="Arial"/>
          <w:sz w:val="19"/>
          <w:szCs w:val="19"/>
          <w:color w:val="auto"/>
        </w:rPr>
        <w:t>Liens securing Indebtedness incurred under Credit Facilities permitted under Section 6.3(b)(i); including any letter of credit facility relating thereto, that was, at the time such Indebtedness is deemed to be incurred, not prohibited or deemed to be not prohibited by the terms of this Agreement to be incurred pursuant to Section 6.3(b)(i);</w:t>
      </w:r>
    </w:p>
    <w:p>
      <w:pPr>
        <w:spacing w:after="0" w:line="160" w:lineRule="exact"/>
        <w:rPr>
          <w:rFonts w:ascii="Arial" w:cs="Arial" w:eastAsia="Arial" w:hAnsi="Arial"/>
          <w:sz w:val="19"/>
          <w:szCs w:val="19"/>
          <w:color w:val="auto"/>
        </w:rPr>
      </w:pPr>
    </w:p>
    <w:p>
      <w:pPr>
        <w:jc w:val="both"/>
        <w:ind w:firstLine="1952"/>
        <w:spacing w:after="0" w:line="270" w:lineRule="auto"/>
        <w:tabs>
          <w:tab w:leader="none" w:pos="2574" w:val="left"/>
        </w:tabs>
        <w:numPr>
          <w:ilvl w:val="1"/>
          <w:numId w:val="91"/>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(iii) which are on property that the Borrower or any of its Restricted Subsidiaries has determined to abandon if the sole recourse for such tax, assessment, charge, levy or claim is to such property or</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 respect to which the failure to make payment would not reasonably be expected to have a Material Adverse Effect;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both"/>
        <w:ind w:firstLine="1952"/>
        <w:spacing w:after="0" w:line="275" w:lineRule="auto"/>
        <w:tabs>
          <w:tab w:leader="none" w:pos="2670" w:val="left"/>
        </w:tabs>
        <w:numPr>
          <w:ilvl w:val="0"/>
          <w:numId w:val="93"/>
        </w:numPr>
        <w:rPr>
          <w:rFonts w:ascii="Arial" w:cs="Arial" w:eastAsia="Arial" w:hAnsi="Arial"/>
          <w:sz w:val="19"/>
          <w:szCs w:val="19"/>
          <w:color w:val="auto"/>
        </w:rPr>
      </w:pPr>
      <w:r>
        <w:rPr>
          <w:rFonts w:ascii="Arial" w:cs="Arial" w:eastAsia="Arial" w:hAnsi="Arial"/>
          <w:sz w:val="19"/>
          <w:szCs w:val="19"/>
          <w:color w:val="auto"/>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spacing w:after="0" w:line="184" w:lineRule="exact"/>
        <w:rPr>
          <w:rFonts w:ascii="Arial" w:cs="Arial" w:eastAsia="Arial" w:hAnsi="Arial"/>
          <w:sz w:val="19"/>
          <w:szCs w:val="19"/>
          <w:color w:val="auto"/>
        </w:rPr>
      </w:pPr>
    </w:p>
    <w:p>
      <w:pPr>
        <w:jc w:val="both"/>
        <w:ind w:firstLine="1952"/>
        <w:spacing w:after="0" w:line="271" w:lineRule="auto"/>
        <w:tabs>
          <w:tab w:leader="none" w:pos="2614" w:val="left"/>
        </w:tabs>
        <w:numPr>
          <w:ilvl w:val="0"/>
          <w:numId w:val="93"/>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1952"/>
        <w:spacing w:after="0"/>
        <w:tabs>
          <w:tab w:leader="none" w:pos="26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Liens consisting of survey exceptions, easements, rights-of-way, restrictions, encroachments, and other similar encumbrances or minor defects or irregularities in title, in each case that would not reasonably be expected to result in a Material Adverse Effect;</w:t>
      </w:r>
    </w:p>
    <w:p>
      <w:pPr>
        <w:spacing w:after="0" w:line="213" w:lineRule="exact"/>
        <w:rPr>
          <w:rFonts w:ascii="Arial" w:cs="Arial" w:eastAsia="Arial" w:hAnsi="Arial"/>
          <w:sz w:val="22"/>
          <w:szCs w:val="22"/>
          <w:color w:val="auto"/>
        </w:rPr>
      </w:pPr>
    </w:p>
    <w:p>
      <w:pPr>
        <w:jc w:val="both"/>
        <w:ind w:firstLine="1952"/>
        <w:spacing w:after="0" w:line="282" w:lineRule="auto"/>
        <w:tabs>
          <w:tab w:leader="none" w:pos="2673" w:val="left"/>
        </w:tabs>
        <w:numPr>
          <w:ilvl w:val="0"/>
          <w:numId w:val="93"/>
        </w:numPr>
        <w:rPr>
          <w:rFonts w:ascii="Arial" w:cs="Arial" w:eastAsia="Arial" w:hAnsi="Arial"/>
          <w:sz w:val="19"/>
          <w:szCs w:val="19"/>
          <w:color w:val="auto"/>
        </w:rPr>
      </w:pPr>
      <w:r>
        <w:rPr>
          <w:rFonts w:ascii="Arial" w:cs="Arial" w:eastAsia="Arial" w:hAnsi="Arial"/>
          <w:sz w:val="19"/>
          <w:szCs w:val="19"/>
          <w:color w:val="auto"/>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spacing w:after="0" w:line="174" w:lineRule="exact"/>
        <w:rPr>
          <w:rFonts w:ascii="Arial" w:cs="Arial" w:eastAsia="Arial" w:hAnsi="Arial"/>
          <w:sz w:val="19"/>
          <w:szCs w:val="19"/>
          <w:color w:val="auto"/>
        </w:rPr>
      </w:pPr>
    </w:p>
    <w:p>
      <w:pPr>
        <w:jc w:val="both"/>
        <w:ind w:firstLine="1952"/>
        <w:spacing w:after="0"/>
        <w:tabs>
          <w:tab w:leader="none" w:pos="2614" w:val="left"/>
        </w:tabs>
        <w:numPr>
          <w:ilvl w:val="0"/>
          <w:numId w:val="93"/>
        </w:numPr>
        <w:rPr>
          <w:rFonts w:ascii="Arial" w:cs="Arial" w:eastAsia="Arial" w:hAnsi="Arial"/>
          <w:sz w:val="22"/>
          <w:szCs w:val="22"/>
          <w:color w:val="auto"/>
        </w:rPr>
      </w:pPr>
      <w:r>
        <w:rPr>
          <w:rFonts w:ascii="Arial" w:cs="Arial" w:eastAsia="Arial" w:hAnsi="Arial"/>
          <w:sz w:val="22"/>
          <w:szCs w:val="22"/>
          <w:color w:val="auto"/>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spacing w:after="0" w:line="213" w:lineRule="exact"/>
        <w:rPr>
          <w:rFonts w:ascii="Arial" w:cs="Arial" w:eastAsia="Arial" w:hAnsi="Arial"/>
          <w:sz w:val="22"/>
          <w:szCs w:val="22"/>
          <w:color w:val="auto"/>
        </w:rPr>
      </w:pPr>
    </w:p>
    <w:p>
      <w:pPr>
        <w:jc w:val="both"/>
        <w:ind w:firstLine="1952"/>
        <w:spacing w:after="0" w:line="249" w:lineRule="auto"/>
        <w:tabs>
          <w:tab w:leader="none" w:pos="2857" w:val="left"/>
        </w:tabs>
        <w:numPr>
          <w:ilvl w:val="0"/>
          <w:numId w:val="93"/>
        </w:numPr>
        <w:rPr>
          <w:rFonts w:ascii="Arial" w:cs="Arial" w:eastAsia="Arial" w:hAnsi="Arial"/>
          <w:sz w:val="21"/>
          <w:szCs w:val="21"/>
          <w:color w:val="auto"/>
        </w:rPr>
      </w:pPr>
      <w:r>
        <w:rPr>
          <w:rFonts w:ascii="Arial" w:cs="Arial" w:eastAsia="Arial" w:hAnsi="Arial"/>
          <w:sz w:val="21"/>
          <w:szCs w:val="21"/>
          <w:color w:val="auto"/>
        </w:rPr>
        <w:t>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firstLine="1952"/>
        <w:spacing w:after="0" w:line="251" w:lineRule="auto"/>
        <w:tabs>
          <w:tab w:leader="none" w:pos="26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0" w:lineRule="exact"/>
        <w:rPr>
          <w:rFonts w:ascii="Arial" w:cs="Arial" w:eastAsia="Arial" w:hAnsi="Arial"/>
          <w:sz w:val="22"/>
          <w:szCs w:val="22"/>
          <w:color w:val="auto"/>
        </w:rPr>
      </w:pPr>
    </w:p>
    <w:p>
      <w:pPr>
        <w:jc w:val="both"/>
        <w:ind w:firstLine="1952"/>
        <w:spacing w:after="0" w:line="277" w:lineRule="auto"/>
        <w:tabs>
          <w:tab w:leader="none" w:pos="2647" w:val="left"/>
        </w:tabs>
        <w:numPr>
          <w:ilvl w:val="0"/>
          <w:numId w:val="94"/>
        </w:numPr>
        <w:rPr>
          <w:rFonts w:ascii="Arial" w:cs="Arial" w:eastAsia="Arial" w:hAnsi="Arial"/>
          <w:sz w:val="19"/>
          <w:szCs w:val="19"/>
          <w:color w:val="auto"/>
        </w:rPr>
      </w:pPr>
      <w:r>
        <w:rPr>
          <w:rFonts w:ascii="Arial" w:cs="Arial" w:eastAsia="Arial" w:hAnsi="Arial"/>
          <w:sz w:val="19"/>
          <w:szCs w:val="19"/>
          <w:color w:val="auto"/>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spacing w:after="0" w:line="178" w:lineRule="exact"/>
        <w:rPr>
          <w:rFonts w:ascii="Arial" w:cs="Arial" w:eastAsia="Arial" w:hAnsi="Arial"/>
          <w:sz w:val="19"/>
          <w:szCs w:val="19"/>
          <w:color w:val="auto"/>
        </w:rPr>
      </w:pPr>
    </w:p>
    <w:p>
      <w:pPr>
        <w:jc w:val="both"/>
        <w:ind w:firstLine="1952"/>
        <w:spacing w:after="0" w:line="269" w:lineRule="auto"/>
        <w:tabs>
          <w:tab w:leader="none" w:pos="2668" w:val="left"/>
        </w:tabs>
        <w:numPr>
          <w:ilvl w:val="0"/>
          <w:numId w:val="94"/>
        </w:numPr>
        <w:rPr>
          <w:rFonts w:ascii="Arial" w:cs="Arial" w:eastAsia="Arial" w:hAnsi="Arial"/>
          <w:sz w:val="19"/>
          <w:szCs w:val="19"/>
          <w:color w:val="auto"/>
        </w:rPr>
      </w:pPr>
      <w:r>
        <w:rPr>
          <w:rFonts w:ascii="Arial" w:cs="Arial" w:eastAsia="Arial" w:hAnsi="Arial"/>
          <w:sz w:val="19"/>
          <w:szCs w:val="19"/>
          <w:color w:val="auto"/>
        </w:rPr>
        <w:t>Liens securing Refinancing Indebtedness permitted pursuant to Section 6.3(b)(xvii) (solely with respect to the permitted refinancing of (x) Indebtedness permitted pursuant to Section 6.3(a) or Section 6.3(b)(i), (ii), (x), (xi), (xiv), (xv), (xvii), (xviii), (xxi), (xxiii), (xxiv), (xxv), (xli) or (xlii) or (y) Indebtedness that is secured in reliance on clause (u) below (without duplication of any amount outstanding thereunder)); provided 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spacing w:after="0" w:line="199" w:lineRule="exact"/>
        <w:rPr>
          <w:rFonts w:ascii="Arial" w:cs="Arial" w:eastAsia="Arial" w:hAnsi="Arial"/>
          <w:sz w:val="19"/>
          <w:szCs w:val="19"/>
          <w:color w:val="auto"/>
        </w:rPr>
      </w:pPr>
    </w:p>
    <w:p>
      <w:pPr>
        <w:jc w:val="both"/>
        <w:ind w:firstLine="1952"/>
        <w:spacing w:after="0" w:line="244" w:lineRule="auto"/>
        <w:tabs>
          <w:tab w:leader="none" w:pos="2620" w:val="left"/>
        </w:tabs>
        <w:numPr>
          <w:ilvl w:val="0"/>
          <w:numId w:val="94"/>
        </w:numPr>
        <w:rPr>
          <w:rFonts w:ascii="Arial" w:cs="Arial" w:eastAsia="Arial" w:hAnsi="Arial"/>
          <w:sz w:val="21"/>
          <w:szCs w:val="21"/>
          <w:color w:val="auto"/>
        </w:rPr>
      </w:pPr>
      <w:r>
        <w:rPr>
          <w:rFonts w:ascii="Arial" w:cs="Arial" w:eastAsia="Arial" w:hAnsi="Arial"/>
          <w:sz w:val="21"/>
          <w:szCs w:val="21"/>
          <w:color w:val="auto"/>
        </w:rPr>
        <w:t>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firstLine="1952"/>
        <w:spacing w:after="0" w:line="251" w:lineRule="auto"/>
        <w:tabs>
          <w:tab w:leader="none" w:pos="2661" w:val="left"/>
        </w:tabs>
        <w:numPr>
          <w:ilvl w:val="0"/>
          <w:numId w:val="95"/>
        </w:numPr>
        <w:rPr>
          <w:rFonts w:ascii="Arial" w:cs="Arial" w:eastAsia="Arial" w:hAnsi="Arial"/>
          <w:sz w:val="22"/>
          <w:szCs w:val="22"/>
          <w:color w:val="auto"/>
        </w:rPr>
      </w:pPr>
      <w:r>
        <w:rPr>
          <w:rFonts w:ascii="Arial" w:cs="Arial" w:eastAsia="Arial" w:hAnsi="Arial"/>
          <w:sz w:val="22"/>
          <w:szCs w:val="22"/>
          <w:color w:val="auto"/>
        </w:rPr>
        <w:t>Liens arising out of Sale and Lease-Back Transactions permitted under Section 6.3(b)(xxv) and customary security deposits, related contract rights and payment intangibles related thereto;</w:t>
      </w:r>
    </w:p>
    <w:p>
      <w:pPr>
        <w:spacing w:after="0" w:line="200" w:lineRule="exact"/>
        <w:rPr>
          <w:rFonts w:ascii="Arial" w:cs="Arial" w:eastAsia="Arial" w:hAnsi="Arial"/>
          <w:sz w:val="22"/>
          <w:szCs w:val="22"/>
          <w:color w:val="auto"/>
        </w:rPr>
      </w:pPr>
    </w:p>
    <w:p>
      <w:pPr>
        <w:ind w:left="2580" w:hanging="628"/>
        <w:spacing w:after="0"/>
        <w:tabs>
          <w:tab w:leader="none" w:pos="25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Liens securing Indebtedness permitted pursuant to Section 6.3(b)(xiv), (xviii), or (xxi);</w:t>
      </w:r>
    </w:p>
    <w:p>
      <w:pPr>
        <w:spacing w:after="0" w:line="233" w:lineRule="exact"/>
        <w:rPr>
          <w:rFonts w:ascii="Arial" w:cs="Arial" w:eastAsia="Arial" w:hAnsi="Arial"/>
          <w:sz w:val="22"/>
          <w:szCs w:val="22"/>
          <w:color w:val="auto"/>
        </w:rPr>
      </w:pPr>
    </w:p>
    <w:p>
      <w:pPr>
        <w:jc w:val="both"/>
        <w:ind w:firstLine="1952"/>
        <w:spacing w:after="0" w:line="272" w:lineRule="auto"/>
        <w:tabs>
          <w:tab w:leader="none" w:pos="25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Liens securing Indebtedness permitted pursuant to Section 6.3(b)(xv)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provided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spacing w:after="0" w:line="187" w:lineRule="exact"/>
        <w:rPr>
          <w:rFonts w:ascii="Arial" w:cs="Arial" w:eastAsia="Arial" w:hAnsi="Arial"/>
          <w:sz w:val="19"/>
          <w:szCs w:val="19"/>
          <w:color w:val="auto"/>
        </w:rPr>
      </w:pPr>
    </w:p>
    <w:p>
      <w:pPr>
        <w:jc w:val="both"/>
        <w:ind w:firstLine="1952"/>
        <w:spacing w:after="0" w:line="272" w:lineRule="auto"/>
        <w:tabs>
          <w:tab w:leader="none" w:pos="25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Section 6.4, in each case, solely to the extent such Investment or disposition, as the case may be, would have been permitted on the date of the creation of such Lien;</w:t>
      </w:r>
    </w:p>
    <w:p>
      <w:pPr>
        <w:spacing w:after="0" w:line="182" w:lineRule="exact"/>
        <w:rPr>
          <w:rFonts w:ascii="Arial" w:cs="Arial" w:eastAsia="Arial" w:hAnsi="Arial"/>
          <w:sz w:val="19"/>
          <w:szCs w:val="19"/>
          <w:color w:val="auto"/>
        </w:rPr>
      </w:pPr>
    </w:p>
    <w:p>
      <w:pPr>
        <w:ind w:left="2600" w:hanging="648"/>
        <w:spacing w:after="0"/>
        <w:tabs>
          <w:tab w:leader="none" w:pos="26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Liens on assets of Restricted Subsidiaries that are not Guarantors (including Equity Interests owned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such Persons);</w:t>
      </w:r>
    </w:p>
    <w:p>
      <w:pPr>
        <w:spacing w:after="0" w:line="215" w:lineRule="exact"/>
        <w:rPr>
          <w:rFonts w:ascii="Arial" w:cs="Arial" w:eastAsia="Arial" w:hAnsi="Arial"/>
          <w:sz w:val="19"/>
          <w:szCs w:val="19"/>
          <w:color w:val="auto"/>
        </w:rPr>
      </w:pPr>
    </w:p>
    <w:p>
      <w:pPr>
        <w:jc w:val="both"/>
        <w:ind w:firstLine="1952"/>
        <w:spacing w:after="0" w:line="282" w:lineRule="auto"/>
        <w:tabs>
          <w:tab w:leader="none" w:pos="2808" w:val="left"/>
        </w:tabs>
        <w:numPr>
          <w:ilvl w:val="0"/>
          <w:numId w:val="95"/>
        </w:numPr>
        <w:rPr>
          <w:rFonts w:ascii="Arial" w:cs="Arial" w:eastAsia="Arial" w:hAnsi="Arial"/>
          <w:sz w:val="19"/>
          <w:szCs w:val="19"/>
          <w:color w:val="auto"/>
        </w:rPr>
      </w:pPr>
      <w:r>
        <w:rPr>
          <w:rFonts w:ascii="Arial" w:cs="Arial" w:eastAsia="Arial" w:hAnsi="Arial"/>
          <w:sz w:val="19"/>
          <w:szCs w:val="19"/>
          <w:color w:val="auto"/>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left="2560" w:hanging="608"/>
        <w:spacing w:after="0"/>
        <w:tabs>
          <w:tab w:leader="none" w:pos="25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540" w:hanging="588"/>
        <w:spacing w:after="0"/>
        <w:tabs>
          <w:tab w:leader="none" w:pos="2540" w:val="left"/>
        </w:tabs>
        <w:numPr>
          <w:ilvl w:val="1"/>
          <w:numId w:val="9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52"/>
        <w:spacing w:after="0" w:line="273" w:lineRule="auto"/>
        <w:tabs>
          <w:tab w:leader="none" w:pos="2641" w:val="left"/>
        </w:tabs>
        <w:numPr>
          <w:ilvl w:val="1"/>
          <w:numId w:val="96"/>
        </w:numPr>
        <w:rPr>
          <w:rFonts w:ascii="Arial" w:cs="Arial" w:eastAsia="Arial" w:hAnsi="Arial"/>
          <w:sz w:val="19"/>
          <w:szCs w:val="19"/>
          <w:color w:val="auto"/>
        </w:rPr>
      </w:pPr>
      <w:r>
        <w:rPr>
          <w:rFonts w:ascii="Arial" w:cs="Arial" w:eastAsia="Arial" w:hAnsi="Arial"/>
          <w:sz w:val="19"/>
          <w:szCs w:val="19"/>
          <w:color w:val="auto"/>
        </w:rPr>
        <w:t>other Liens on assets securing Indebtedness; provided that, at the time of incurrence thereof and after giving pro forma effect thereto and the use of the proceeds thereof, the aggregate amount of Indebtedness and other obligations then outstanding and secured thereby shall not, except as contemplated by Section 6.3(b)(xvii), exceed an amount equal to the greater of $100.0 million and 25.0% of Annualized EBITDA of the Borrower and its Restricted Subsidiaries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Obligations but, in any event, shall not be required to enter into any such intercreditor with respect to any Collateral consisting of cash and Cash Equivalents;</w:t>
      </w:r>
    </w:p>
    <w:p>
      <w:pPr>
        <w:spacing w:after="0" w:line="182" w:lineRule="exact"/>
        <w:rPr>
          <w:rFonts w:ascii="Arial" w:cs="Arial" w:eastAsia="Arial" w:hAnsi="Arial"/>
          <w:sz w:val="19"/>
          <w:szCs w:val="19"/>
          <w:color w:val="auto"/>
        </w:rPr>
      </w:pPr>
    </w:p>
    <w:p>
      <w:pPr>
        <w:jc w:val="both"/>
        <w:ind w:firstLine="1952"/>
        <w:spacing w:after="0"/>
        <w:tabs>
          <w:tab w:leader="none" w:pos="2709" w:val="left"/>
        </w:tabs>
        <w:numPr>
          <w:ilvl w:val="1"/>
          <w:numId w:val="96"/>
        </w:numPr>
        <w:rPr>
          <w:rFonts w:ascii="Arial" w:cs="Arial" w:eastAsia="Arial" w:hAnsi="Arial"/>
          <w:sz w:val="22"/>
          <w:szCs w:val="22"/>
          <w:color w:val="auto"/>
        </w:rPr>
      </w:pPr>
      <w:r>
        <w:rPr>
          <w:rFonts w:ascii="Arial" w:cs="Arial" w:eastAsia="Arial" w:hAnsi="Arial"/>
          <w:sz w:val="22"/>
          <w:szCs w:val="22"/>
          <w:color w:val="auto"/>
        </w:rPr>
        <w:t>(i) Liens on assets securing, or otherwise arising from, judgments, awards, attachments and/or decrees and notices of lis pendens and associated rights relating to litigation not constituting an Event of Default under Section 7.1(a)(6) and (ii) any pledge and/or deposit securing any settlement of litigation;</w:t>
      </w:r>
    </w:p>
    <w:p>
      <w:pPr>
        <w:spacing w:after="0" w:line="213" w:lineRule="exact"/>
        <w:rPr>
          <w:rFonts w:ascii="Arial" w:cs="Arial" w:eastAsia="Arial" w:hAnsi="Arial"/>
          <w:sz w:val="22"/>
          <w:szCs w:val="22"/>
          <w:color w:val="auto"/>
        </w:rPr>
      </w:pPr>
    </w:p>
    <w:p>
      <w:pPr>
        <w:jc w:val="both"/>
        <w:ind w:firstLine="1952"/>
        <w:spacing w:after="0" w:line="279" w:lineRule="auto"/>
        <w:tabs>
          <w:tab w:leader="none" w:pos="2581" w:val="left"/>
        </w:tabs>
        <w:numPr>
          <w:ilvl w:val="1"/>
          <w:numId w:val="96"/>
        </w:numPr>
        <w:rPr>
          <w:rFonts w:ascii="Arial" w:cs="Arial" w:eastAsia="Arial" w:hAnsi="Arial"/>
          <w:sz w:val="19"/>
          <w:szCs w:val="19"/>
          <w:color w:val="auto"/>
        </w:rPr>
      </w:pPr>
      <w:r>
        <w:rPr>
          <w:rFonts w:ascii="Arial" w:cs="Arial" w:eastAsia="Arial" w:hAnsi="Arial"/>
          <w:sz w:val="19"/>
          <w:szCs w:val="19"/>
          <w:color w:val="auto"/>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spacing w:after="0" w:line="177" w:lineRule="exact"/>
        <w:rPr>
          <w:rFonts w:ascii="Arial" w:cs="Arial" w:eastAsia="Arial" w:hAnsi="Arial"/>
          <w:sz w:val="19"/>
          <w:szCs w:val="19"/>
          <w:color w:val="auto"/>
        </w:rPr>
      </w:pPr>
    </w:p>
    <w:p>
      <w:pPr>
        <w:jc w:val="both"/>
        <w:ind w:firstLine="1952"/>
        <w:spacing w:after="0" w:line="236" w:lineRule="auto"/>
        <w:tabs>
          <w:tab w:leader="none" w:pos="2547" w:val="left"/>
        </w:tabs>
        <w:numPr>
          <w:ilvl w:val="1"/>
          <w:numId w:val="96"/>
        </w:numPr>
        <w:rPr>
          <w:rFonts w:ascii="Arial" w:cs="Arial" w:eastAsia="Arial" w:hAnsi="Arial"/>
          <w:sz w:val="22"/>
          <w:szCs w:val="22"/>
          <w:color w:val="auto"/>
        </w:rPr>
      </w:pPr>
      <w:r>
        <w:rPr>
          <w:rFonts w:ascii="Arial" w:cs="Arial" w:eastAsia="Arial" w:hAnsi="Arial"/>
          <w:sz w:val="22"/>
          <w:szCs w:val="22"/>
          <w:color w:val="auto"/>
        </w:rPr>
        <w:t>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spacing w:after="0" w:line="214" w:lineRule="exact"/>
        <w:rPr>
          <w:rFonts w:ascii="Arial" w:cs="Arial" w:eastAsia="Arial" w:hAnsi="Arial"/>
          <w:sz w:val="22"/>
          <w:szCs w:val="22"/>
          <w:color w:val="auto"/>
        </w:rPr>
      </w:pPr>
    </w:p>
    <w:p>
      <w:pPr>
        <w:ind w:firstLine="1952"/>
        <w:spacing w:after="0" w:line="250" w:lineRule="auto"/>
        <w:tabs>
          <w:tab w:leader="none" w:pos="2533" w:val="left"/>
        </w:tabs>
        <w:numPr>
          <w:ilvl w:val="1"/>
          <w:numId w:val="96"/>
        </w:numPr>
        <w:rPr>
          <w:rFonts w:ascii="Arial" w:cs="Arial" w:eastAsia="Arial" w:hAnsi="Arial"/>
          <w:sz w:val="22"/>
          <w:szCs w:val="22"/>
          <w:color w:val="auto"/>
        </w:rPr>
      </w:pPr>
      <w:r>
        <w:rPr>
          <w:rFonts w:ascii="Arial" w:cs="Arial" w:eastAsia="Arial" w:hAnsi="Arial"/>
          <w:sz w:val="22"/>
          <w:szCs w:val="22"/>
          <w:color w:val="auto"/>
        </w:rPr>
        <w:t>Liens securing obligations in respect of letters of credit, bank guaranties, surety bonds, performance bonds, completion bonds or similar instruments permitted under Section 6.3(b)(v), (vi), (viii), or (xxvii);</w:t>
      </w:r>
    </w:p>
    <w:p>
      <w:pPr>
        <w:spacing w:after="0" w:line="201" w:lineRule="exact"/>
        <w:rPr>
          <w:rFonts w:ascii="Arial" w:cs="Arial" w:eastAsia="Arial" w:hAnsi="Arial"/>
          <w:sz w:val="22"/>
          <w:szCs w:val="22"/>
          <w:color w:val="auto"/>
        </w:rPr>
      </w:pPr>
    </w:p>
    <w:p>
      <w:pPr>
        <w:jc w:val="both"/>
        <w:ind w:right="20" w:firstLine="1952"/>
        <w:spacing w:after="0" w:line="276" w:lineRule="auto"/>
        <w:tabs>
          <w:tab w:leader="none" w:pos="2548" w:val="left"/>
        </w:tabs>
        <w:numPr>
          <w:ilvl w:val="1"/>
          <w:numId w:val="96"/>
        </w:numPr>
        <w:rPr>
          <w:rFonts w:ascii="Arial" w:cs="Arial" w:eastAsia="Arial" w:hAnsi="Arial"/>
          <w:sz w:val="19"/>
          <w:szCs w:val="19"/>
          <w:color w:val="auto"/>
        </w:rPr>
      </w:pPr>
      <w:r>
        <w:rPr>
          <w:rFonts w:ascii="Arial" w:cs="Arial" w:eastAsia="Arial" w:hAnsi="Arial"/>
          <w:sz w:val="19"/>
          <w:szCs w:val="19"/>
          <w:color w:val="auto"/>
        </w:rPr>
        <w:t>Liens arising (i) out of conditional sale, title retention, consignment or similar arrangements for the sale or purchase of any asset in the ordinary course of business, consistent with past practice or consistent with industry norm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operation of law under Article 2 of the UCC (or any similar Requirements of Law under any jurisdiction);</w:t>
      </w:r>
    </w:p>
    <w:p>
      <w:pPr>
        <w:spacing w:after="0" w:line="215" w:lineRule="exact"/>
        <w:rPr>
          <w:rFonts w:ascii="Arial" w:cs="Arial" w:eastAsia="Arial" w:hAnsi="Arial"/>
          <w:sz w:val="22"/>
          <w:szCs w:val="22"/>
          <w:color w:val="auto"/>
        </w:rPr>
      </w:pPr>
    </w:p>
    <w:p>
      <w:pPr>
        <w:jc w:val="both"/>
        <w:ind w:firstLine="1952"/>
        <w:spacing w:after="0" w:line="238" w:lineRule="auto"/>
        <w:tabs>
          <w:tab w:leader="none" w:pos="2550" w:val="left"/>
        </w:tabs>
        <w:numPr>
          <w:ilvl w:val="1"/>
          <w:numId w:val="97"/>
        </w:numPr>
        <w:rPr>
          <w:rFonts w:ascii="Arial" w:cs="Arial" w:eastAsia="Arial" w:hAnsi="Arial"/>
          <w:sz w:val="22"/>
          <w:szCs w:val="22"/>
          <w:color w:val="auto"/>
        </w:rPr>
      </w:pPr>
      <w:r>
        <w:rPr>
          <w:rFonts w:ascii="Arial" w:cs="Arial" w:eastAsia="Arial" w:hAnsi="Arial"/>
          <w:sz w:val="22"/>
          <w:szCs w:val="22"/>
          <w:color w:val="auto"/>
        </w:rPr>
        <w:t>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left="2580" w:hanging="628"/>
        <w:spacing w:after="0"/>
        <w:tabs>
          <w:tab w:leader="none" w:pos="25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respect thereto;</w:t>
      </w:r>
    </w:p>
    <w:p>
      <w:pPr>
        <w:spacing w:after="0" w:line="215" w:lineRule="exact"/>
        <w:rPr>
          <w:sz w:val="20"/>
          <w:szCs w:val="20"/>
          <w:color w:val="auto"/>
        </w:rPr>
      </w:pPr>
    </w:p>
    <w:p>
      <w:pPr>
        <w:jc w:val="both"/>
        <w:ind w:firstLine="1952"/>
        <w:spacing w:after="0" w:line="277" w:lineRule="auto"/>
        <w:tabs>
          <w:tab w:leader="none" w:pos="2496"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spacing w:after="0" w:line="178" w:lineRule="exact"/>
        <w:rPr>
          <w:rFonts w:ascii="Arial" w:cs="Arial" w:eastAsia="Arial" w:hAnsi="Arial"/>
          <w:sz w:val="19"/>
          <w:szCs w:val="19"/>
          <w:color w:val="auto"/>
        </w:rPr>
      </w:pPr>
    </w:p>
    <w:p>
      <w:pPr>
        <w:ind w:left="2520" w:hanging="568"/>
        <w:spacing w:after="0"/>
        <w:tabs>
          <w:tab w:leader="none" w:pos="25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securing obligations of the type described in Section 6.3(b)(vii) and/or (xix);</w:t>
      </w:r>
    </w:p>
    <w:p>
      <w:pPr>
        <w:spacing w:after="0" w:line="233" w:lineRule="exact"/>
        <w:rPr>
          <w:rFonts w:ascii="Arial" w:cs="Arial" w:eastAsia="Arial" w:hAnsi="Arial"/>
          <w:sz w:val="22"/>
          <w:szCs w:val="22"/>
          <w:color w:val="auto"/>
        </w:rPr>
      </w:pPr>
    </w:p>
    <w:p>
      <w:pPr>
        <w:jc w:val="both"/>
        <w:ind w:firstLine="1952"/>
        <w:spacing w:after="0" w:line="249" w:lineRule="auto"/>
        <w:tabs>
          <w:tab w:leader="none" w:pos="2617" w:val="left"/>
        </w:tabs>
        <w:numPr>
          <w:ilvl w:val="0"/>
          <w:numId w:val="99"/>
        </w:numPr>
        <w:rPr>
          <w:rFonts w:ascii="Arial" w:cs="Arial" w:eastAsia="Arial" w:hAnsi="Arial"/>
          <w:sz w:val="21"/>
          <w:szCs w:val="21"/>
          <w:color w:val="auto"/>
        </w:rPr>
      </w:pPr>
      <w:r>
        <w:rPr>
          <w:rFonts w:ascii="Arial" w:cs="Arial" w:eastAsia="Arial" w:hAnsi="Arial"/>
          <w:sz w:val="21"/>
          <w:szCs w:val="21"/>
          <w:color w:val="auto"/>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w:t>
      </w:r>
    </w:p>
    <w:p>
      <w:pPr>
        <w:spacing w:after="0" w:line="205" w:lineRule="exact"/>
        <w:rPr>
          <w:rFonts w:ascii="Arial" w:cs="Arial" w:eastAsia="Arial" w:hAnsi="Arial"/>
          <w:sz w:val="21"/>
          <w:szCs w:val="21"/>
          <w:color w:val="auto"/>
        </w:rPr>
      </w:pPr>
    </w:p>
    <w:p>
      <w:pPr>
        <w:ind w:right="20" w:firstLine="1952"/>
        <w:spacing w:after="0" w:line="250" w:lineRule="auto"/>
        <w:tabs>
          <w:tab w:leader="none" w:pos="2565"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on cash or Cash Equivalents arising in connection with the defeasance, satisfaction, discharge or redemption of Indebtedness;</w:t>
      </w:r>
    </w:p>
    <w:p>
      <w:pPr>
        <w:spacing w:after="0" w:line="201" w:lineRule="exact"/>
        <w:rPr>
          <w:rFonts w:ascii="Arial" w:cs="Arial" w:eastAsia="Arial" w:hAnsi="Arial"/>
          <w:sz w:val="22"/>
          <w:szCs w:val="22"/>
          <w:color w:val="auto"/>
        </w:rPr>
      </w:pPr>
    </w:p>
    <w:p>
      <w:pPr>
        <w:ind w:right="20" w:firstLine="1952"/>
        <w:spacing w:after="0" w:line="328" w:lineRule="auto"/>
        <w:tabs>
          <w:tab w:leader="none" w:pos="2533"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consisting of the prior rights of consignees and their lenders under consignment arrangements entered into in the ordinary course of business, consistent with past practice or consistent with industry norm;</w:t>
      </w:r>
    </w:p>
    <w:p>
      <w:pPr>
        <w:spacing w:after="0" w:line="131" w:lineRule="exact"/>
        <w:rPr>
          <w:rFonts w:ascii="Arial" w:cs="Arial" w:eastAsia="Arial" w:hAnsi="Arial"/>
          <w:sz w:val="19"/>
          <w:szCs w:val="19"/>
          <w:color w:val="auto"/>
        </w:rPr>
      </w:pPr>
    </w:p>
    <w:p>
      <w:pPr>
        <w:ind w:firstLine="1952"/>
        <w:spacing w:after="0" w:line="250" w:lineRule="auto"/>
        <w:tabs>
          <w:tab w:leader="none" w:pos="25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disclosed in any mortgage policy or survey with respect to any Material Real Estate Asset and any replacement, extension or renewal thereof;</w:t>
      </w:r>
    </w:p>
    <w:p>
      <w:pPr>
        <w:spacing w:after="0" w:line="201" w:lineRule="exact"/>
        <w:rPr>
          <w:rFonts w:ascii="Arial" w:cs="Arial" w:eastAsia="Arial" w:hAnsi="Arial"/>
          <w:sz w:val="22"/>
          <w:szCs w:val="22"/>
          <w:color w:val="auto"/>
        </w:rPr>
      </w:pPr>
    </w:p>
    <w:p>
      <w:pPr>
        <w:ind w:left="2860" w:hanging="908"/>
        <w:spacing w:after="0"/>
        <w:tabs>
          <w:tab w:leader="none" w:pos="2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on receivables and related assets incurred in connection with Permitted Receivables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Financings;</w:t>
      </w:r>
    </w:p>
    <w:p>
      <w:pPr>
        <w:spacing w:after="0" w:line="215" w:lineRule="exact"/>
        <w:rPr>
          <w:rFonts w:ascii="Arial" w:cs="Arial" w:eastAsia="Arial" w:hAnsi="Arial"/>
          <w:sz w:val="19"/>
          <w:szCs w:val="19"/>
          <w:color w:val="auto"/>
        </w:rPr>
      </w:pPr>
    </w:p>
    <w:p>
      <w:pPr>
        <w:jc w:val="both"/>
        <w:ind w:firstLine="1952"/>
        <w:spacing w:after="0" w:line="287" w:lineRule="auto"/>
        <w:tabs>
          <w:tab w:leader="none" w:pos="2572"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spacing w:after="0" w:line="169" w:lineRule="exact"/>
        <w:rPr>
          <w:rFonts w:ascii="Arial" w:cs="Arial" w:eastAsia="Arial" w:hAnsi="Arial"/>
          <w:sz w:val="19"/>
          <w:szCs w:val="19"/>
          <w:color w:val="auto"/>
        </w:rPr>
      </w:pPr>
    </w:p>
    <w:p>
      <w:pPr>
        <w:jc w:val="both"/>
        <w:ind w:firstLine="1952"/>
        <w:spacing w:after="0"/>
        <w:tabs>
          <w:tab w:leader="none" w:pos="2587" w:val="left"/>
        </w:tabs>
        <w:numPr>
          <w:ilvl w:val="0"/>
          <w:numId w:val="99"/>
        </w:numPr>
        <w:rPr>
          <w:rFonts w:ascii="Arial" w:cs="Arial" w:eastAsia="Arial" w:hAnsi="Arial"/>
          <w:sz w:val="22"/>
          <w:szCs w:val="22"/>
          <w:color w:val="auto"/>
        </w:rPr>
      </w:pPr>
      <w:r>
        <w:rPr>
          <w:rFonts w:ascii="Arial" w:cs="Arial" w:eastAsia="Arial" w:hAnsi="Arial"/>
          <w:sz w:val="22"/>
          <w:szCs w:val="22"/>
          <w:color w:val="auto"/>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spacing w:after="0" w:line="213" w:lineRule="exact"/>
        <w:rPr>
          <w:rFonts w:ascii="Arial" w:cs="Arial" w:eastAsia="Arial" w:hAnsi="Arial"/>
          <w:sz w:val="22"/>
          <w:szCs w:val="22"/>
          <w:color w:val="auto"/>
        </w:rPr>
      </w:pPr>
    </w:p>
    <w:p>
      <w:pPr>
        <w:ind w:left="2540" w:hanging="588"/>
        <w:spacing w:after="0"/>
        <w:tabs>
          <w:tab w:leader="none" w:pos="25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securing Indebtedness incurred in reliance on Section 6.3(b)(xxxix);</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both"/>
        <w:ind w:firstLine="1952"/>
        <w:spacing w:after="0" w:line="269" w:lineRule="auto"/>
        <w:tabs>
          <w:tab w:leader="none" w:pos="257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other Liens on assets securing Indebtedness; provided that, at the time of incurrence thereof and after giving pro forma effect thereto and the use of the proceeds thereof, the aggregate amount of Indebtedness then outstanding and secured thereby shall not exceed an amount such that (I) in the case of any such Liens secured by the Collateral that have Equal Lien Priority (but without regard to the control of remedies) relative to the Liens on the Collateral securing the Obligations, the Consolidated First Lien Debt Ratio does not exceed either (x) 3.00 to 1.00 (whether or not incurred in connection with an acquisition, Investment or other similar transaction) or (y) solely if incurred in connection with an acquisition, Investment or other similar transaction, the Consolidated First Lien Debt Ratio in effect immediately prior to giving effect to the incurrence of such Liens, in 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 similar transaction) or (y) solely if incurred in connection with an acquisition, Investment or other similar transaction, the Consolidated Secured Debt Ratio in effect 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 assets constitute Collateral), the Consolidated Secured Debt Ratio does not exceed either (x) 4.00 to 1.00 (whether or not incurred in connection with an acquisition, Investment or other similar transaction) or (y) if incurred in connection with an acquisition, Investment or other similar transaction, the Consolidated Secured Debt Ratio in effect immediately prior to giving effect to the incurrence of such Liens, in each case, calculated on a pro forma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w:t>
      </w:r>
    </w:p>
    <w:p>
      <w:pPr>
        <w:spacing w:after="0" w:line="198" w:lineRule="exact"/>
        <w:rPr>
          <w:rFonts w:ascii="Arial" w:cs="Arial" w:eastAsia="Arial" w:hAnsi="Arial"/>
          <w:sz w:val="19"/>
          <w:szCs w:val="19"/>
          <w:color w:val="auto"/>
        </w:rPr>
      </w:pPr>
    </w:p>
    <w:p>
      <w:pPr>
        <w:jc w:val="both"/>
        <w:ind w:firstLine="1952"/>
        <w:spacing w:after="0" w:line="297" w:lineRule="auto"/>
        <w:tabs>
          <w:tab w:leader="none" w:pos="25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w:t>
      </w:r>
    </w:p>
    <w:p>
      <w:pPr>
        <w:spacing w:after="0" w:line="160" w:lineRule="exact"/>
        <w:rPr>
          <w:rFonts w:ascii="Arial" w:cs="Arial" w:eastAsia="Arial" w:hAnsi="Arial"/>
          <w:sz w:val="19"/>
          <w:szCs w:val="19"/>
          <w:color w:val="auto"/>
        </w:rPr>
      </w:pPr>
    </w:p>
    <w:p>
      <w:pPr>
        <w:jc w:val="both"/>
        <w:ind w:firstLine="1952"/>
        <w:spacing w:after="0" w:line="279" w:lineRule="auto"/>
        <w:tabs>
          <w:tab w:leader="none" w:pos="25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spacing w:after="0" w:line="177" w:lineRule="exact"/>
        <w:rPr>
          <w:rFonts w:ascii="Arial" w:cs="Arial" w:eastAsia="Arial" w:hAnsi="Arial"/>
          <w:sz w:val="19"/>
          <w:szCs w:val="19"/>
          <w:color w:val="auto"/>
        </w:rPr>
      </w:pPr>
    </w:p>
    <w:p>
      <w:pPr>
        <w:ind w:right="20" w:firstLine="1952"/>
        <w:spacing w:after="0" w:line="250" w:lineRule="auto"/>
        <w:tabs>
          <w:tab w:leader="none" w:pos="257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securing the 2025 Notes (other than any 2025 Additional Notes issued after the Closing Date) and the related 2025 Note Guarantees;</w:t>
      </w:r>
    </w:p>
    <w:p>
      <w:pPr>
        <w:spacing w:after="0" w:line="201" w:lineRule="exact"/>
        <w:rPr>
          <w:rFonts w:ascii="Arial" w:cs="Arial" w:eastAsia="Arial" w:hAnsi="Arial"/>
          <w:sz w:val="22"/>
          <w:szCs w:val="22"/>
          <w:color w:val="auto"/>
        </w:rPr>
      </w:pPr>
    </w:p>
    <w:p>
      <w:pPr>
        <w:ind w:right="20" w:firstLine="1952"/>
        <w:spacing w:after="0" w:line="250" w:lineRule="auto"/>
        <w:tabs>
          <w:tab w:leader="none" w:pos="257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securing the 2026 Notes (other than any 2026 Additional Notes issued after the Closing Date) and the related 2026 Note Guarantees;</w:t>
      </w:r>
    </w:p>
    <w:p>
      <w:pPr>
        <w:spacing w:after="0" w:line="201" w:lineRule="exact"/>
        <w:rPr>
          <w:rFonts w:ascii="Arial" w:cs="Arial" w:eastAsia="Arial" w:hAnsi="Arial"/>
          <w:sz w:val="22"/>
          <w:szCs w:val="22"/>
          <w:color w:val="auto"/>
        </w:rPr>
      </w:pPr>
    </w:p>
    <w:p>
      <w:pPr>
        <w:jc w:val="both"/>
        <w:ind w:firstLine="1952"/>
        <w:spacing w:after="0" w:line="297" w:lineRule="auto"/>
        <w:tabs>
          <w:tab w:leader="none" w:pos="250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spacing w:after="0" w:line="160" w:lineRule="exact"/>
        <w:rPr>
          <w:rFonts w:ascii="Arial" w:cs="Arial" w:eastAsia="Arial" w:hAnsi="Arial"/>
          <w:sz w:val="19"/>
          <w:szCs w:val="19"/>
          <w:color w:val="auto"/>
        </w:rPr>
      </w:pPr>
    </w:p>
    <w:p>
      <w:pPr>
        <w:jc w:val="both"/>
        <w:ind w:firstLine="1952"/>
        <w:spacing w:after="0" w:line="235" w:lineRule="auto"/>
        <w:tabs>
          <w:tab w:leader="none" w:pos="266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1"/>
          <w:szCs w:val="21"/>
          <w:color w:val="auto"/>
        </w:rPr>
        <w:t>For purposes of this definition, the term “Indebtedness” shall be deemed to include interest on such Indebtedness.</w:t>
      </w:r>
    </w:p>
    <w:p>
      <w:pPr>
        <w:spacing w:after="0" w:line="2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Receivables Financing</w:t>
      </w:r>
      <w:r>
        <w:rPr>
          <w:rFonts w:ascii="Arial" w:cs="Arial" w:eastAsia="Arial" w:hAnsi="Arial"/>
          <w:sz w:val="22"/>
          <w:szCs w:val="22"/>
          <w:color w:val="auto"/>
        </w:rPr>
        <w:t>”: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 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Borrower) and may include Standard Securitization Undertakings.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any natural person, corporation, limited liability company, trust, joint venture, association, company, partnership, governmental authority or any other entity.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as defined in Section 5.2(d).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Actions</w:t>
      </w:r>
      <w:r>
        <w:rPr>
          <w:rFonts w:ascii="Arial" w:cs="Arial" w:eastAsia="Arial" w:hAnsi="Arial"/>
          <w:sz w:val="22"/>
          <w:szCs w:val="22"/>
          <w:color w:val="auto"/>
        </w:rPr>
        <w:t>”: as defined in Section 5.12.</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any Capital Stock with preferential rights of payment of dividends or upon liquidation, dissolution, or winding up.</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the rate that the Administrative Agent announces from time to time as its prime lending rate, as in effect from time to time.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Office</w:t>
      </w:r>
      <w:r>
        <w:rPr>
          <w:rFonts w:ascii="Arial" w:cs="Arial" w:eastAsia="Arial" w:hAnsi="Arial"/>
          <w:sz w:val="22"/>
          <w:szCs w:val="22"/>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Side Information</w:t>
      </w:r>
      <w:r>
        <w:rPr>
          <w:rFonts w:ascii="Arial" w:cs="Arial" w:eastAsia="Arial" w:hAnsi="Arial"/>
          <w:sz w:val="22"/>
          <w:szCs w:val="22"/>
          <w:color w:val="auto"/>
        </w:rPr>
        <w:t>”: as defined in Section 5.2.</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forma basis</w:t>
      </w:r>
      <w:r>
        <w:rPr>
          <w:rFonts w:ascii="Arial" w:cs="Arial" w:eastAsia="Arial" w:hAnsi="Arial"/>
          <w:sz w:val="21"/>
          <w:szCs w:val="21"/>
          <w:color w:val="auto"/>
        </w:rPr>
        <w:t>” or “</w:t>
      </w:r>
      <w:r>
        <w:rPr>
          <w:rFonts w:ascii="Arial" w:cs="Arial" w:eastAsia="Arial" w:hAnsi="Arial"/>
          <w:sz w:val="21"/>
          <w:szCs w:val="21"/>
          <w:u w:val="single" w:color="auto"/>
          <w:color w:val="auto"/>
        </w:rPr>
        <w:t>pro forma effect</w:t>
      </w:r>
      <w:r>
        <w:rPr>
          <w:rFonts w:ascii="Arial" w:cs="Arial" w:eastAsia="Arial" w:hAnsi="Arial"/>
          <w:sz w:val="21"/>
          <w:szCs w:val="21"/>
          <w:color w:val="auto"/>
        </w:rPr>
        <w:t>”: with respect to any determination of the Consolidated Total Debt Ratio, Consolidated First Lien Debt Ratio, Consolidated Secured Debt Ratio, Fixed Charge Coverage Ratio, Consolidated EBITDA, Annualized EBITDA, Debt to Total Capitalization Ratio, or Consolidated Total Assets (including component definitions thereof) or any other calculation under this Agreement, that each Subject Transaction required to be calculated on a pro forma basis in accordance with Section 1.7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w:t>
      </w:r>
    </w:p>
    <w:p>
      <w:pPr>
        <w:spacing w:after="0" w:line="211" w:lineRule="exact"/>
        <w:rPr>
          <w:sz w:val="20"/>
          <w:szCs w:val="20"/>
          <w:color w:val="auto"/>
        </w:rPr>
      </w:pPr>
    </w:p>
    <w:p>
      <w:pPr>
        <w:jc w:val="both"/>
        <w:ind w:firstLine="1952"/>
        <w:spacing w:after="0" w:line="276" w:lineRule="auto"/>
        <w:tabs>
          <w:tab w:leader="none" w:pos="272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 in the case of (A) any disposition of all or substantially all of the Equity Interests of any Restricted Subsidiary or any division, facility, business line and/or product line of the Borrower or any Restricted Subsidiary and</w:t>
      </w:r>
    </w:p>
    <w:p>
      <w:pPr>
        <w:spacing w:after="0" w:line="1" w:lineRule="exact"/>
        <w:rPr>
          <w:rFonts w:ascii="Arial" w:cs="Arial" w:eastAsia="Arial" w:hAnsi="Arial"/>
          <w:sz w:val="19"/>
          <w:szCs w:val="19"/>
          <w:color w:val="auto"/>
        </w:rPr>
      </w:pPr>
    </w:p>
    <w:p>
      <w:pPr>
        <w:jc w:val="both"/>
        <w:ind w:firstLine="8"/>
        <w:spacing w:after="0" w:line="242" w:lineRule="auto"/>
        <w:tabs>
          <w:tab w:leader="none" w:pos="38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both"/>
        <w:ind w:firstLine="1952"/>
        <w:spacing w:after="0" w:line="238" w:lineRule="auto"/>
        <w:tabs>
          <w:tab w:leader="none" w:pos="287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spacing w:after="0" w:line="212" w:lineRule="exact"/>
        <w:rPr>
          <w:rFonts w:ascii="Arial" w:cs="Arial" w:eastAsia="Arial" w:hAnsi="Arial"/>
          <w:sz w:val="22"/>
          <w:szCs w:val="22"/>
          <w:color w:val="auto"/>
        </w:rPr>
      </w:pPr>
    </w:p>
    <w:p>
      <w:pPr>
        <w:jc w:val="both"/>
        <w:ind w:firstLine="1952"/>
        <w:spacing w:after="0" w:line="272" w:lineRule="auto"/>
        <w:tabs>
          <w:tab w:leader="none" w:pos="264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w:t>
      </w:r>
    </w:p>
    <w:p>
      <w:pPr>
        <w:spacing w:after="0" w:line="182" w:lineRule="exact"/>
        <w:rPr>
          <w:rFonts w:ascii="Arial" w:cs="Arial" w:eastAsia="Arial" w:hAnsi="Arial"/>
          <w:sz w:val="19"/>
          <w:szCs w:val="19"/>
          <w:color w:val="auto"/>
        </w:rPr>
      </w:pPr>
    </w:p>
    <w:p>
      <w:pPr>
        <w:jc w:val="both"/>
        <w:ind w:firstLine="1952"/>
        <w:spacing w:after="0" w:line="249" w:lineRule="auto"/>
        <w:tabs>
          <w:tab w:leader="none" w:pos="253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at any time, with respect to any Lender, the percentage of the Aggregate Commitment represented by such Lender’s Commitment at such time. If all the Commitments have terminated or expired, the Pro Rata Shares shall be determined based upon the Commitments most recently in effect, giving effect to any assignments of Loans and LC Exposures that occur after such termination or expiration.</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any right or interest in or to property of any kind whatsoever, whether real or immovable, personal or moveable or mixed and whether tangible or intangible, corporeal or incorporeal, including Equity Interests.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Lenders</w:t>
      </w:r>
      <w:r>
        <w:rPr>
          <w:rFonts w:ascii="Arial" w:cs="Arial" w:eastAsia="Arial" w:hAnsi="Arial"/>
          <w:sz w:val="22"/>
          <w:szCs w:val="22"/>
          <w:color w:val="auto"/>
        </w:rPr>
        <w:t>”: Lenders that do not wish to receive Non-Public Information with respect to the Borrower and its Subsidiaries or their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as defined in Section 9.22(b).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as defined in Section 9.22.</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Capital Stock</w:t>
      </w:r>
      <w:r>
        <w:rPr>
          <w:rFonts w:ascii="Arial" w:cs="Arial" w:eastAsia="Arial" w:hAnsi="Arial"/>
          <w:sz w:val="21"/>
          <w:szCs w:val="21"/>
          <w:color w:val="auto"/>
        </w:rPr>
        <w:t>”: of any Person means any Equity Interests of such Person that is not Disqualified Stock.</w:t>
      </w:r>
    </w:p>
    <w:p>
      <w:pPr>
        <w:spacing w:after="0" w:line="2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ECP Guarantor</w:t>
      </w:r>
      <w:r>
        <w:rPr>
          <w:rFonts w:ascii="Arial" w:cs="Arial" w:eastAsia="Arial" w:hAnsi="Arial"/>
          <w:sz w:val="22"/>
          <w:szCs w:val="22"/>
          <w:color w:val="auto"/>
        </w:rPr>
        <w:t>” means, in respect of any Swap Obligation, each Loan Party that (a) has total assets exceeding $10,000,000 at the time any guaranty of obligations under such Swap Obligation or grant of the relevant security interest becomes effective or (b) otherwise constitutes an "eligible contract participant" under the Commodity Exchange Act and can cause another Person to qualify as an "eligible contract participant" at such time by entering into a keepwell under Section 1a(18) (A)(v)(II) of the Commodity Exchange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Liquefaction Development Entities</w:t>
      </w:r>
      <w:r>
        <w:rPr>
          <w:rFonts w:ascii="Arial" w:cs="Arial" w:eastAsia="Arial" w:hAnsi="Arial"/>
          <w:sz w:val="22"/>
          <w:szCs w:val="22"/>
          <w:color w:val="auto"/>
        </w:rPr>
        <w:t>”: (i) Bradford County Real Estate Holdings LLC, (ii) any Liquefaction Development Entity which is designated by the Borrower as a Qualified Liquefaction Development Entity and (iii) any Subsidiary of a Qualified Liquefaction Development Entity.</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Fees</w:t>
      </w:r>
      <w:r>
        <w:rPr>
          <w:rFonts w:ascii="Arial" w:cs="Arial" w:eastAsia="Arial" w:hAnsi="Arial"/>
          <w:sz w:val="22"/>
          <w:szCs w:val="22"/>
          <w:color w:val="auto"/>
        </w:rPr>
        <w:t>”: distributions or payments made directly or by means of discounts with respect to any participation interest issued or sold in connection with, and other fees paid to a Person that is not a Restricted Subsidiary in connection with, any Receivables Financing.</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Financing</w:t>
      </w:r>
      <w:r>
        <w:rPr>
          <w:rFonts w:ascii="Arial" w:cs="Arial" w:eastAsia="Arial" w:hAnsi="Arial"/>
          <w:sz w:val="19"/>
          <w:szCs w:val="19"/>
          <w:color w:val="auto"/>
        </w:rPr>
        <w:t>”: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 (b) any other Person (in the case of a transfer by a Receivables Subsidiary), or may grant a security interest in, any accounts receivable (whether now existing or arising 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Borrower or any such Subsidiary in connection with such accounts receivable.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Repurchase Obligation</w:t>
      </w:r>
      <w:r>
        <w:rPr>
          <w:rFonts w:ascii="Arial" w:cs="Arial" w:eastAsia="Arial" w:hAnsi="Arial"/>
          <w:sz w:val="19"/>
          <w:szCs w:val="19"/>
          <w:color w:val="auto"/>
        </w:rPr>
        <w:t>”: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Subsidiary</w:t>
      </w:r>
      <w:r>
        <w:rPr>
          <w:rFonts w:ascii="Arial" w:cs="Arial" w:eastAsia="Arial" w:hAnsi="Arial"/>
          <w:sz w:val="19"/>
          <w:szCs w:val="19"/>
          <w:color w:val="auto"/>
        </w:rPr>
        <w:t>”: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 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 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w:t>
      </w:r>
    </w:p>
    <w:p>
      <w:pPr>
        <w:spacing w:after="0" w:line="184" w:lineRule="exact"/>
        <w:rPr>
          <w:sz w:val="20"/>
          <w:szCs w:val="20"/>
          <w:color w:val="auto"/>
        </w:rPr>
      </w:pPr>
    </w:p>
    <w:p>
      <w:pPr>
        <w:jc w:val="both"/>
        <w:ind w:firstLine="1952"/>
        <w:spacing w:after="0" w:line="271" w:lineRule="auto"/>
        <w:tabs>
          <w:tab w:leader="none" w:pos="2575" w:val="left"/>
        </w:tabs>
        <w:numPr>
          <w:ilvl w:val="1"/>
          <w:numId w:val="104"/>
        </w:numPr>
        <w:rPr>
          <w:rFonts w:ascii="Arial" w:cs="Arial" w:eastAsia="Arial" w:hAnsi="Arial"/>
          <w:sz w:val="19"/>
          <w:szCs w:val="19"/>
          <w:color w:val="auto"/>
        </w:rPr>
      </w:pPr>
      <w:r>
        <w:rPr>
          <w:rFonts w:ascii="Arial" w:cs="Arial" w:eastAsia="Arial" w:hAnsi="Arial"/>
          <w:sz w:val="19"/>
          <w:szCs w:val="19"/>
          <w:color w:val="auto"/>
        </w:rPr>
        <w:t>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w:t>
      </w:r>
    </w:p>
    <w:p>
      <w:pPr>
        <w:spacing w:after="0" w:line="3" w:lineRule="exact"/>
        <w:rPr>
          <w:rFonts w:ascii="Arial" w:cs="Arial" w:eastAsia="Arial" w:hAnsi="Arial"/>
          <w:sz w:val="19"/>
          <w:szCs w:val="19"/>
          <w:color w:val="auto"/>
        </w:rPr>
      </w:pPr>
    </w:p>
    <w:p>
      <w:pPr>
        <w:ind w:firstLine="8"/>
        <w:spacing w:after="0" w:line="236" w:lineRule="auto"/>
        <w:tabs>
          <w:tab w:leader="none" w:pos="38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subjects any property or asset of the Borrower or any other Subsidiary of the Borrower, directly or indirectly, contingently or otherwise, to the satisfaction thereof, other than pursuant to Standard Securitization Undertakings;</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5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with which neither the Borrower nor any other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211" w:lineRule="exact"/>
        <w:rPr>
          <w:rFonts w:ascii="Arial" w:cs="Arial" w:eastAsia="Arial" w:hAnsi="Arial"/>
          <w:sz w:val="22"/>
          <w:szCs w:val="22"/>
          <w:color w:val="auto"/>
        </w:rPr>
      </w:pPr>
    </w:p>
    <w:p>
      <w:pPr>
        <w:ind w:firstLine="1952"/>
        <w:spacing w:after="0" w:line="274" w:lineRule="auto"/>
        <w:tabs>
          <w:tab w:leader="none" w:pos="2737"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to which neither the Borrower nor any other Subsidiary of the Borrower has any obligation to maintain or preserve such entity’s financial condition or cause such entity to achieve certain levels of operating results.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(a) the Administrative Agent, (b) any Lender, (c) any Issuing Bank or (d) any Arranger, as applicable.</w:t>
      </w:r>
    </w:p>
    <w:p>
      <w:pPr>
        <w:spacing w:after="0" w:line="2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the LIBO Screen Rate, 11:00 a.m. (London time) on the day that is two London banking days preceding the date of such setting, and (2) if such Benchmark is not the LIBO Screen Rate, the time determined by the Administrative Agent in its reasonable discretion.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 as defined in Section 6.3(b)(xvii).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Capital Stock</w:t>
      </w:r>
      <w:r>
        <w:rPr>
          <w:rFonts w:ascii="Arial" w:cs="Arial" w:eastAsia="Arial" w:hAnsi="Arial"/>
          <w:sz w:val="22"/>
          <w:szCs w:val="22"/>
          <w:color w:val="auto"/>
        </w:rPr>
        <w:t>”: as defined in Section 6.1(b)(viii).</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as defined in Section 2.4(b).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Regulation D of the Board as in effect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Regulation T of the Board as in effect from time to time.</w:t>
      </w:r>
    </w:p>
    <w:p>
      <w:pPr>
        <w:spacing w:after="0" w:line="233" w:lineRule="exact"/>
        <w:rPr>
          <w:sz w:val="20"/>
          <w:szCs w:val="20"/>
          <w:color w:val="auto"/>
        </w:rPr>
      </w:pPr>
    </w:p>
    <w:p>
      <w:pPr>
        <w:jc w:val="both"/>
        <w:ind w:firstLine="702"/>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Business Assets</w:t>
      </w:r>
      <w:r>
        <w:rPr>
          <w:rFonts w:ascii="Arial" w:cs="Arial" w:eastAsia="Arial" w:hAnsi="Arial"/>
          <w:sz w:val="21"/>
          <w:szCs w:val="21"/>
          <w:color w:val="auto"/>
        </w:rPr>
        <w:t xml:space="preserve">”: assets (other than cash or Cash Equivalents) used or useful in a Similar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Fund</w:t>
      </w:r>
      <w:r>
        <w:rPr>
          <w:rFonts w:ascii="Arial" w:cs="Arial" w:eastAsia="Arial" w:hAnsi="Arial"/>
          <w:sz w:val="22"/>
          <w:szCs w:val="22"/>
          <w:color w:val="auto"/>
        </w:rPr>
        <w:t>”: with respect to any Lender, any fund that (x) invests in commercial loans and (y) is managed or advised by the same investment advisor as such Lender, by such Lender or an affiliate of such Lender.</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with respect to any Person, such Person’s Affiliates and the partners, directors, officers, employees, agents, trustees and advisors of such Person and of such Person’s Affiliates.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Federal Reserve Board or the Federal Reserve Bank of New York, or a committee officially endorsed or convened by the Federal Reserve Board or the Federal Reserve Bank of New York, or any successor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Lender</w:t>
      </w:r>
      <w:r>
        <w:rPr>
          <w:rFonts w:ascii="Arial" w:cs="Arial" w:eastAsia="Arial" w:hAnsi="Arial"/>
          <w:sz w:val="22"/>
          <w:szCs w:val="22"/>
          <w:color w:val="auto"/>
        </w:rPr>
        <w:t>”: as defined in Section 2.19.</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notice requirement is waived.</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one or more Lenders having Revolving Exposures and unused Commitments representing more than 50% of the sum of the Aggregate Revolving Exposure and unused Commitments at such time.</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Requirements of Law</w:t>
      </w:r>
      <w:r>
        <w:rPr>
          <w:rFonts w:ascii="Arial" w:cs="Arial" w:eastAsia="Arial" w:hAnsi="Arial"/>
          <w:sz w:val="21"/>
          <w:szCs w:val="21"/>
          <w:color w:val="auto"/>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 reasonably acceptable to the Administrative Agent.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Debt Payments</w:t>
      </w:r>
      <w:r>
        <w:rPr>
          <w:rFonts w:ascii="Arial" w:cs="Arial" w:eastAsia="Arial" w:hAnsi="Arial"/>
          <w:sz w:val="22"/>
          <w:szCs w:val="22"/>
          <w:color w:val="auto"/>
        </w:rPr>
        <w:t>”: as defined in Section 6.1(a).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an Investment other than a Permitted Investment.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as defined in Section 6.1(a).</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spacing w:after="0" w:line="20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w:t>
      </w:r>
      <w:r>
        <w:rPr>
          <w:rFonts w:ascii="Arial" w:cs="Arial" w:eastAsia="Arial" w:hAnsi="Arial"/>
          <w:sz w:val="19"/>
          <w:szCs w:val="19"/>
          <w:color w:val="auto"/>
        </w:rPr>
        <w:t>”: with respect to any Investment, any dividend, distribution, interest, fee, premium, return of capital, repayment of principal, income, profit (from a disposition or otherwise) and any other similar amount received or realized in respect thereof.</w:t>
      </w:r>
    </w:p>
    <w:p>
      <w:pPr>
        <w:spacing w:after="0" w:line="132"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Availability Period</w:t>
      </w:r>
      <w:r>
        <w:rPr>
          <w:rFonts w:ascii="Arial" w:cs="Arial" w:eastAsia="Arial" w:hAnsi="Arial"/>
          <w:sz w:val="22"/>
          <w:szCs w:val="22"/>
          <w:color w:val="auto"/>
        </w:rPr>
        <w:t>”: the period from and including the date hereof to but excluding the earlier of the Maturity Date and the date of termination of the Commitments.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Exposure</w:t>
      </w:r>
      <w:r>
        <w:rPr>
          <w:rFonts w:ascii="Arial" w:cs="Arial" w:eastAsia="Arial" w:hAnsi="Arial"/>
          <w:sz w:val="22"/>
          <w:szCs w:val="22"/>
          <w:color w:val="auto"/>
        </w:rPr>
        <w:t>”: with respect to any Lender at any time, the sum of (a) the outstanding principal amount of such Lender’s Loans and (b) such Lender’s LC Exposure.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Usage</w:t>
      </w:r>
      <w:r>
        <w:rPr>
          <w:rFonts w:ascii="Arial" w:cs="Arial" w:eastAsia="Arial" w:hAnsi="Arial"/>
          <w:sz w:val="22"/>
          <w:szCs w:val="22"/>
          <w:color w:val="auto"/>
        </w:rPr>
        <w:t>”: as of any date, the quotient, expressed as a percentage, of (a) the sum of outstanding Loans and LC Exposure and (b) the Commitments.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Facility</w:t>
      </w:r>
      <w:r>
        <w:rPr>
          <w:rFonts w:ascii="Arial" w:cs="Arial" w:eastAsia="Arial" w:hAnsi="Arial"/>
          <w:sz w:val="22"/>
          <w:szCs w:val="22"/>
          <w:color w:val="auto"/>
        </w:rPr>
        <w:t>”: as defined in the recitals 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S&amp;P Global Ratings, a division of S&amp;P Global Inc., or any of its successors or assigns that is a nationally recognized statistical rating organization within the meaning of Rule 3(a)(62) under the Exchange Act.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as defined in Section 3.22(c).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the Securities and Exchange Commission (or successors thereto or an analogous Governmental Authority).</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Agreements</w:t>
      </w:r>
      <w:r>
        <w:rPr>
          <w:rFonts w:ascii="Arial" w:cs="Arial" w:eastAsia="Arial" w:hAnsi="Arial"/>
          <w:sz w:val="22"/>
          <w:szCs w:val="22"/>
          <w:color w:val="auto"/>
        </w:rPr>
        <w:t>”: each Cash Management Agreement that is (i) entered into by and between the Borrower or any Guarantor and any Lender Counterparty and (ii) designated as a Secured Cash Management Agreement by the Borrower in a written notice delivered to the Administrative Agent.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Agreements</w:t>
      </w:r>
      <w:r>
        <w:rPr>
          <w:rFonts w:ascii="Arial" w:cs="Arial" w:eastAsia="Arial" w:hAnsi="Arial"/>
          <w:sz w:val="22"/>
          <w:szCs w:val="22"/>
          <w:color w:val="auto"/>
        </w:rPr>
        <w:t>”: each Hedge Agreement permitted under Section 6.3 that is (i) entered into by and between the Borrower or any Guarantor and any Lender Counterparty and (ii) designated as a Secured Hedge Agreement by the Borrower in a written notice delivered to the Administrative Agent.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any Indebtedness secured by a Lien.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Notes Obligations</w:t>
      </w:r>
      <w:r>
        <w:rPr>
          <w:rFonts w:ascii="Arial" w:cs="Arial" w:eastAsia="Arial" w:hAnsi="Arial"/>
          <w:sz w:val="19"/>
          <w:szCs w:val="19"/>
          <w:color w:val="auto"/>
        </w:rPr>
        <w:t>”: collectively, the 2025 Secured Notes Obligations and the 2026 Secured Notes Obligations.</w:t>
      </w:r>
    </w:p>
    <w:p>
      <w:pPr>
        <w:spacing w:after="0" w:line="2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a collective reference to the Administrative Agent, the Collateral Agent, the Lenders, the Issuing Banks and the Lender Counterparties.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and the rules and regulations of the SEC promulgated thereunder.</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that certain Pledge and Security Agreement, dated as of the Closing Date, among the Borrower, the Guarantors and the Collateral Agent.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the Security Agreement, the Mortgages, the Ship Mortgages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Indebtedness</w:t>
      </w:r>
      <w:r>
        <w:rPr>
          <w:rFonts w:ascii="Arial" w:cs="Arial" w:eastAsia="Arial" w:hAnsi="Arial"/>
          <w:sz w:val="22"/>
          <w:szCs w:val="22"/>
          <w:color w:val="auto"/>
        </w:rPr>
        <w:t>”:</w:t>
      </w:r>
    </w:p>
    <w:p>
      <w:pPr>
        <w:spacing w:after="0" w:line="233" w:lineRule="exact"/>
        <w:rPr>
          <w:sz w:val="20"/>
          <w:szCs w:val="20"/>
          <w:color w:val="auto"/>
        </w:rPr>
      </w:pPr>
    </w:p>
    <w:p>
      <w:pPr>
        <w:jc w:val="both"/>
        <w:ind w:firstLine="1952"/>
        <w:spacing w:after="0" w:line="277" w:lineRule="auto"/>
        <w:tabs>
          <w:tab w:leader="none" w:pos="254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all Indebtedness of the Borrower or any Restricted Subsidiary outstanding under the Existing Notes and related Existing Note Guarantees (including in each case 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w:t>
      </w:r>
    </w:p>
    <w:p>
      <w:pPr>
        <w:spacing w:after="0" w:line="178" w:lineRule="exact"/>
        <w:rPr>
          <w:rFonts w:ascii="Arial" w:cs="Arial" w:eastAsia="Arial" w:hAnsi="Arial"/>
          <w:sz w:val="19"/>
          <w:szCs w:val="19"/>
          <w:color w:val="auto"/>
        </w:rPr>
      </w:pPr>
    </w:p>
    <w:p>
      <w:pPr>
        <w:jc w:val="both"/>
        <w:ind w:firstLine="1952"/>
        <w:spacing w:after="0" w:line="297" w:lineRule="auto"/>
        <w:tabs>
          <w:tab w:leader="none" w:pos="2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Obligations, and all (i) Hedging Obligations (and guarantees thereof) and (ii) Indebtedness of the Borrower and/or any Guarantor in respect of Banking Services (and guarantees thereof); provided that such Hedging Obligations and Indebtedness, as the case may be, are permitted to be incurred under the terms of this Agreement;</w:t>
      </w:r>
    </w:p>
    <w:p>
      <w:pPr>
        <w:spacing w:after="0" w:line="160" w:lineRule="exact"/>
        <w:rPr>
          <w:rFonts w:ascii="Arial" w:cs="Arial" w:eastAsia="Arial" w:hAnsi="Arial"/>
          <w:sz w:val="19"/>
          <w:szCs w:val="19"/>
          <w:color w:val="auto"/>
        </w:rPr>
      </w:pPr>
    </w:p>
    <w:p>
      <w:pPr>
        <w:jc w:val="both"/>
        <w:ind w:firstLine="1952"/>
        <w:spacing w:after="0"/>
        <w:tabs>
          <w:tab w:leader="none" w:pos="253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other Indebtedness of the Borrower or any Restricted Subsidiary permitted to be incurred under the terms of this Agreement, unless the instrument under which such Indebtedness is incurred expressly provides that it is subordinated in right of payment to the Obligations; and</w:t>
      </w:r>
    </w:p>
    <w:p>
      <w:pPr>
        <w:spacing w:after="0" w:line="213" w:lineRule="exact"/>
        <w:rPr>
          <w:rFonts w:ascii="Arial" w:cs="Arial" w:eastAsia="Arial" w:hAnsi="Arial"/>
          <w:sz w:val="22"/>
          <w:szCs w:val="22"/>
          <w:color w:val="auto"/>
        </w:rPr>
      </w:pPr>
    </w:p>
    <w:p>
      <w:pPr>
        <w:ind w:firstLine="1952"/>
        <w:spacing w:after="0" w:line="250" w:lineRule="auto"/>
        <w:tabs>
          <w:tab w:leader="none" w:pos="262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all obligations with respect to the items listed in the preceding clauses (a), (b) and (c);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Senior Indebtedness shall not include:</w:t>
      </w:r>
    </w:p>
    <w:p>
      <w:pPr>
        <w:spacing w:after="0" w:line="201" w:lineRule="exact"/>
        <w:rPr>
          <w:rFonts w:ascii="Arial" w:cs="Arial" w:eastAsia="Arial" w:hAnsi="Arial"/>
          <w:sz w:val="22"/>
          <w:szCs w:val="22"/>
          <w:color w:val="auto"/>
        </w:rPr>
      </w:pPr>
    </w:p>
    <w:p>
      <w:pPr>
        <w:ind w:left="3240" w:hanging="802"/>
        <w:spacing w:after="0"/>
        <w:tabs>
          <w:tab w:leader="none" w:pos="32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obligation of such Person to the Borrower or any of its Subsidiaries;</w:t>
      </w:r>
    </w:p>
    <w:p>
      <w:pPr>
        <w:spacing w:after="0" w:line="233" w:lineRule="exact"/>
        <w:rPr>
          <w:rFonts w:ascii="Arial" w:cs="Arial" w:eastAsia="Arial" w:hAnsi="Arial"/>
          <w:sz w:val="22"/>
          <w:szCs w:val="22"/>
          <w:color w:val="auto"/>
        </w:rPr>
      </w:pPr>
    </w:p>
    <w:p>
      <w:pPr>
        <w:ind w:left="3360" w:hanging="922"/>
        <w:spacing w:after="0"/>
        <w:tabs>
          <w:tab w:leader="none" w:pos="33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liability for U.S. or foreign federal, state, local or other taxes owed or owing by such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15" w:lineRule="exact"/>
        <w:rPr>
          <w:rFonts w:ascii="Arial" w:cs="Arial" w:eastAsia="Arial" w:hAnsi="Arial"/>
          <w:sz w:val="19"/>
          <w:szCs w:val="19"/>
          <w:color w:val="auto"/>
        </w:rPr>
      </w:pPr>
    </w:p>
    <w:p>
      <w:pPr>
        <w:ind w:left="3380" w:hanging="942"/>
        <w:spacing w:after="0"/>
        <w:tabs>
          <w:tab w:leader="none" w:pos="338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accounts payable or other liability to trade creditors arising in the ordinary course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left="660" w:firstLine="1778"/>
        <w:spacing w:after="0" w:line="250" w:lineRule="auto"/>
        <w:tabs>
          <w:tab w:leader="none" w:pos="3348"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Indebtedness or other obligation of such Person which is subordinate or junior in right of payment to any other Indebtedness or other obligation of such Person; or</w:t>
      </w:r>
    </w:p>
    <w:p>
      <w:pPr>
        <w:spacing w:after="0" w:line="201" w:lineRule="exact"/>
        <w:rPr>
          <w:rFonts w:ascii="Arial" w:cs="Arial" w:eastAsia="Arial" w:hAnsi="Arial"/>
          <w:sz w:val="22"/>
          <w:szCs w:val="22"/>
          <w:color w:val="auto"/>
        </w:rPr>
      </w:pPr>
    </w:p>
    <w:p>
      <w:pPr>
        <w:ind w:left="3360" w:hanging="922"/>
        <w:spacing w:after="0"/>
        <w:tabs>
          <w:tab w:leader="none" w:pos="33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that portion of any Indebtedness which at the time of incurrence is incurred in violation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Lien Priority</w:t>
      </w:r>
      <w:r>
        <w:rPr>
          <w:rFonts w:ascii="Arial" w:cs="Arial" w:eastAsia="Arial" w:hAnsi="Arial"/>
          <w:sz w:val="22"/>
          <w:szCs w:val="22"/>
          <w:color w:val="auto"/>
        </w:rPr>
        <w:t>”: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Priority Obligations</w:t>
      </w:r>
      <w:r>
        <w:rPr>
          <w:rFonts w:ascii="Arial" w:cs="Arial" w:eastAsia="Arial" w:hAnsi="Arial"/>
          <w:sz w:val="19"/>
          <w:szCs w:val="19"/>
          <w:color w:val="auto"/>
        </w:rPr>
        <w:t xml:space="preserve">”: (x) the Equal Priority Obligations and (y) any obligations with respect to any Indebtedness having a Junior Lien Priority relative to the Obligations with respect to the Collateral and having Senior Lien Priority relative to the Junior Priority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the holders of such Indebtedness or their Senior Priority Representative shall become party to a Junior Priority Intercreditor Agreement and any other applicable intercreditor agreements.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Priority Representative</w:t>
      </w:r>
      <w:r>
        <w:rPr>
          <w:rFonts w:ascii="Arial" w:cs="Arial" w:eastAsia="Arial" w:hAnsi="Arial"/>
          <w:sz w:val="21"/>
          <w:szCs w:val="21"/>
          <w:color w:val="auto"/>
        </w:rPr>
        <w:t>”: any duly authorized representative of any holders of Senior Priority Obligations, which representative is named as such in a Junior Priority Intercreditor Agreement or any joinder thereto.</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w:t>
      </w:r>
      <w:r>
        <w:rPr>
          <w:rFonts w:ascii="Arial" w:cs="Arial" w:eastAsia="Arial" w:hAnsi="Arial"/>
          <w:sz w:val="19"/>
          <w:szCs w:val="19"/>
          <w:color w:val="auto"/>
        </w:rPr>
        <w:t>”: (1) with respect to the Equal Priority Secured Parties, each of (i) the 2025 Secured Notes Secured Parties (in their capacity as such), (ii) the 2026 Secured Notes Secured Parties (in their capacity as such) (iii) the Secured Parties and (iv) the Additional Equal Priority Secured Parties that are represented by a common representative (in its capacity as such for such Additional Equal Priority Secured Parties) and (2) with respect to any Equal Priority Obligations, each of (i) the 2025 Secured Notes Obligations, (ii) the 2026 Secured Notes Obligations (iii) the Obligations and (iv) the Additional Equal Priority Obligations incurred pursuant to any applicable agreement, which are to be represented under the Equal Priority Intercreditor Agreement by a common representative (in its capacity as such for such Additional Equal Priority Obligations).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Collateral</w:t>
      </w:r>
      <w:r>
        <w:rPr>
          <w:rFonts w:ascii="Arial" w:cs="Arial" w:eastAsia="Arial" w:hAnsi="Arial"/>
          <w:sz w:val="21"/>
          <w:szCs w:val="21"/>
          <w:color w:val="auto"/>
        </w:rPr>
        <w:t>”: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spacing w:after="0" w:line="2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Ship Mortgage</w:t>
      </w:r>
      <w:r>
        <w:rPr>
          <w:rFonts w:ascii="Arial" w:cs="Arial" w:eastAsia="Arial" w:hAnsi="Arial"/>
          <w:sz w:val="19"/>
          <w:szCs w:val="19"/>
          <w:color w:val="auto"/>
        </w:rPr>
        <w:t>”: any mortgage, deed of trust or other similar agreement made by a Loan Party in favor of the Collateral Agent or any Common Representative, for the benefit of the Collateral Agent and the Secured Parties, on any tanker or other marine vessel constituting Collateral, which shall be in form reasonably satisfactory to the Collateral Agent and the Borrower.</w:t>
      </w:r>
    </w:p>
    <w:p>
      <w:pPr>
        <w:spacing w:after="0" w:line="161" w:lineRule="exact"/>
        <w:rPr>
          <w:sz w:val="20"/>
          <w:szCs w:val="20"/>
          <w:color w:val="auto"/>
        </w:rPr>
      </w:pPr>
    </w:p>
    <w:p>
      <w:pPr>
        <w:jc w:val="both"/>
        <w:ind w:firstLine="7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xml:space="preserve">”: any Restricted Subsidiary that would be a “significant subsidiary” as defined in Article 1, Rule 1-02 of Regulation S-X, promulgated pursuant to the Securities Act, as such regulation is in effect on the Closing Date; </w:t>
      </w:r>
      <w:r>
        <w:rPr>
          <w:rFonts w:ascii="Arial" w:cs="Arial" w:eastAsia="Arial" w:hAnsi="Arial"/>
          <w:sz w:val="22"/>
          <w:szCs w:val="22"/>
          <w:u w:val="single" w:color="auto"/>
          <w:color w:val="auto"/>
        </w:rPr>
        <w:t>provided that</w:t>
      </w:r>
      <w:r>
        <w:rPr>
          <w:rFonts w:ascii="Arial" w:cs="Arial" w:eastAsia="Arial" w:hAnsi="Arial"/>
          <w:sz w:val="22"/>
          <w:szCs w:val="22"/>
          <w:color w:val="auto"/>
        </w:rPr>
        <w:t>, solely for purposes of Section 7.1(a)(7), each Restricted Subsidiary forming part of a group is subject to an Event of Default under such clause.</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means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the Federal Reserve Bank of New York (or a successor administrator of the secured overnight financing 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the website of the Federal Reserve Bank of New York, currently at http://www.newyorkfed.org, or any successor source for the secured overnight financing rate identified as such by the SOFR Administrator from time to time.</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SPC</w:t>
      </w:r>
      <w:r>
        <w:rPr>
          <w:rFonts w:ascii="Arial" w:cs="Arial" w:eastAsia="Arial" w:hAnsi="Arial"/>
          <w:sz w:val="22"/>
          <w:szCs w:val="22"/>
          <w:color w:val="auto"/>
        </w:rPr>
        <w:t>”: as defined in Section 9.6(g).</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Acquisition Agreement Representations</w:t>
      </w:r>
      <w:r>
        <w:rPr>
          <w:rFonts w:ascii="Arial" w:cs="Arial" w:eastAsia="Arial" w:hAnsi="Arial"/>
          <w:sz w:val="21"/>
          <w:szCs w:val="21"/>
          <w:color w:val="auto"/>
        </w:rPr>
        <w:t>”: the representations made by or with respect to the Golar Target and its subsidiaries in the Golar Acquisition Agreement as are material to the interests of the Lenders, but only to the extent that Borrower or Borrower’s applicable Affiliate have the right (taking into account any cure provisions) to terminate Borrower’s or Borrower’s applicable Affiliate’s obligations under the Golar Acquisition Agreement or to decline to consummate the Golar Acquisition without liability to Borrower as a result of a breach of such representations.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Hedge Agreement</w:t>
      </w:r>
      <w:r>
        <w:rPr>
          <w:rFonts w:ascii="Arial" w:cs="Arial" w:eastAsia="Arial" w:hAnsi="Arial"/>
          <w:sz w:val="22"/>
          <w:szCs w:val="22"/>
          <w:color w:val="auto"/>
        </w:rPr>
        <w:t>”: as defined in clause (i) of the definition of Indebtedness.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Representations</w:t>
      </w:r>
      <w:r>
        <w:rPr>
          <w:rFonts w:ascii="Arial" w:cs="Arial" w:eastAsia="Arial" w:hAnsi="Arial"/>
          <w:sz w:val="21"/>
          <w:szCs w:val="21"/>
          <w:color w:val="auto"/>
        </w:rPr>
        <w:t>”: the representations and warranties contained in Sections 3.3(a) (solely with respect to the Borrower), 3.4(b), 3.4(d), 3.11, 3.14, 3.19, 3.20, and 3.22 (as it relates to use of proceeds of the Loans).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Springing Maturity Date</w:t>
      </w:r>
      <w:r>
        <w:rPr>
          <w:rFonts w:ascii="Arial" w:cs="Arial" w:eastAsia="Arial" w:hAnsi="Arial"/>
          <w:sz w:val="22"/>
          <w:szCs w:val="22"/>
          <w:color w:val="auto"/>
        </w:rPr>
        <w:t>”: 60 days prior to the maturity of the 2025 Notes.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representations, warranties, covenants, indemnities and guarantees of performance entered into by the Borrower or any 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 Date</w:t>
      </w:r>
      <w:r>
        <w:rPr>
          <w:rFonts w:ascii="Arial" w:cs="Arial" w:eastAsia="Arial" w:hAnsi="Arial"/>
          <w:sz w:val="22"/>
          <w:szCs w:val="22"/>
          <w:color w:val="auto"/>
        </w:rPr>
        <w:t>”: April 15, 2026, as may be extended pursuant to Section 2.21.</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Eurodollar Rate, for eurocurrency funding (currently referred to as “Eurocurrency Liabilities” in Regulation D of the Board). Such reserve percentage shall include those imposed pursuant to such Regulation D.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Lien</w:t>
      </w:r>
      <w:r>
        <w:rPr>
          <w:rFonts w:ascii="Arial" w:cs="Arial" w:eastAsia="Arial" w:hAnsi="Arial"/>
          <w:sz w:val="22"/>
          <w:szCs w:val="22"/>
          <w:color w:val="auto"/>
        </w:rPr>
        <w:t>”: as defined in Section 6.6(a).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Transaction</w:t>
      </w:r>
      <w:r>
        <w:rPr>
          <w:rFonts w:ascii="Arial" w:cs="Arial" w:eastAsia="Arial" w:hAnsi="Arial"/>
          <w:sz w:val="19"/>
          <w:szCs w:val="19"/>
          <w:color w:val="auto"/>
        </w:rPr>
        <w:t>”: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 or a Restricted Subsidiary) not prohibited by this Agreement, (d) the designation of a Restricted Subsidiary as an Unrestricted Subsidiary or an Unrestricted Subsidiary as a Restricted Subsidiary in accordance with this Agreement,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Agreement requires pro forma compliance with a test or covenant or requires such test or covenant to be calculated on a pro forma basis.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with respect to any Person:</w:t>
      </w:r>
    </w:p>
    <w:p>
      <w:pPr>
        <w:spacing w:after="0" w:line="233" w:lineRule="exact"/>
        <w:rPr>
          <w:sz w:val="20"/>
          <w:szCs w:val="20"/>
          <w:color w:val="auto"/>
        </w:rPr>
      </w:pPr>
    </w:p>
    <w:p>
      <w:pPr>
        <w:jc w:val="both"/>
        <w:ind w:left="660" w:firstLine="482"/>
        <w:spacing w:after="0" w:line="236" w:lineRule="auto"/>
        <w:tabs>
          <w:tab w:leader="none" w:pos="234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214" w:lineRule="exact"/>
        <w:rPr>
          <w:rFonts w:ascii="Arial" w:cs="Arial" w:eastAsia="Arial" w:hAnsi="Arial"/>
          <w:sz w:val="22"/>
          <w:szCs w:val="22"/>
          <w:color w:val="auto"/>
        </w:rPr>
      </w:pPr>
    </w:p>
    <w:p>
      <w:pPr>
        <w:ind w:left="2100" w:hanging="958"/>
        <w:spacing w:after="0"/>
        <w:tabs>
          <w:tab w:leader="none" w:pos="21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or similar entity of which</w:t>
      </w:r>
    </w:p>
    <w:p>
      <w:pPr>
        <w:spacing w:after="0" w:line="233" w:lineRule="exact"/>
        <w:rPr>
          <w:sz w:val="20"/>
          <w:szCs w:val="20"/>
          <w:color w:val="auto"/>
        </w:rPr>
      </w:pPr>
    </w:p>
    <w:p>
      <w:pPr>
        <w:jc w:val="both"/>
        <w:ind w:left="1300" w:right="640" w:firstLine="652"/>
        <w:spacing w:after="0" w:line="252" w:lineRule="auto"/>
        <w:tabs>
          <w:tab w:leader="none" w:pos="255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200" w:lineRule="exact"/>
        <w:rPr>
          <w:rFonts w:ascii="Arial" w:cs="Arial" w:eastAsia="Arial" w:hAnsi="Arial"/>
          <w:sz w:val="21"/>
          <w:szCs w:val="21"/>
          <w:color w:val="auto"/>
        </w:rPr>
      </w:pPr>
    </w:p>
    <w:p>
      <w:pPr>
        <w:ind w:left="1300" w:right="660" w:firstLine="652"/>
        <w:spacing w:after="0" w:line="250" w:lineRule="auto"/>
        <w:tabs>
          <w:tab w:leader="none" w:pos="259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such Person or any Restricted Subsidiary of such Person is a controlling general partner or otherwise controls such entity.</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Company</w:t>
      </w:r>
      <w:r>
        <w:rPr>
          <w:rFonts w:ascii="Arial" w:cs="Arial" w:eastAsia="Arial" w:hAnsi="Arial"/>
          <w:sz w:val="22"/>
          <w:szCs w:val="22"/>
          <w:color w:val="auto"/>
        </w:rPr>
        <w:t>”: as defined in Section 6.9(a)(i).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Guarantor</w:t>
      </w:r>
      <w:r>
        <w:rPr>
          <w:rFonts w:ascii="Arial" w:cs="Arial" w:eastAsia="Arial" w:hAnsi="Arial"/>
          <w:sz w:val="22"/>
          <w:szCs w:val="22"/>
          <w:color w:val="auto"/>
        </w:rPr>
        <w:t>”: as defined in Section 6.9(c)(i).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as defined in Section 9.22.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as defined in the definition of “Excluded Swap Obligations.”</w:t>
      </w:r>
    </w:p>
    <w:p>
      <w:pPr>
        <w:spacing w:after="0" w:line="233" w:lineRule="exact"/>
        <w:rPr>
          <w:sz w:val="20"/>
          <w:szCs w:val="20"/>
          <w:color w:val="auto"/>
        </w:rPr>
      </w:pPr>
    </w:p>
    <w:p>
      <w:pPr>
        <w:jc w:val="both"/>
        <w:ind w:firstLine="71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for the applicable Corresponding Tenor as of the applicable Reference Time, the forward-looking term rate based on SOFR that has been selected or recommended by the Relevant Governmental Body.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Terminated Lender</w:t>
      </w:r>
      <w:r>
        <w:rPr>
          <w:rFonts w:ascii="Arial" w:cs="Arial" w:eastAsia="Arial" w:hAnsi="Arial"/>
          <w:sz w:val="22"/>
          <w:szCs w:val="22"/>
          <w:color w:val="auto"/>
        </w:rPr>
        <w:t>”: as defined in Section 2.19.</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Conditions</w:t>
      </w:r>
      <w:r>
        <w:rPr>
          <w:rFonts w:ascii="Arial" w:cs="Arial" w:eastAsia="Arial" w:hAnsi="Arial"/>
          <w:sz w:val="21"/>
          <w:szCs w:val="21"/>
          <w:color w:val="auto"/>
        </w:rPr>
        <w:t>”: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 the Commitments and (c) the expiration or termination of all Letters of Credit (except those that have been cash collateralized or backstopped, in each case, in a manner reasonably satisfactory to each applicable Issuing Bank).</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Period</w:t>
      </w:r>
      <w:r>
        <w:rPr>
          <w:rFonts w:ascii="Arial" w:cs="Arial" w:eastAsia="Arial" w:hAnsi="Arial"/>
          <w:sz w:val="22"/>
          <w:szCs w:val="22"/>
          <w:color w:val="auto"/>
        </w:rPr>
        <w:t>”: (x) for any determination under this Agreement other than determining compliance with Section 6.10, the fiscal quarter then most recently ended for which financial statements are internally available and (y) for any determination of compliance with Section 6.10 (including calculation of any component of the ratios tested therein), the last day of the then most recently ended fiscal quarter or fiscal year of the Borrower with respect to which financial statements have been delivered pursuant to Section 5.1(a) or 5.1(b).</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Loss</w:t>
      </w:r>
      <w:r>
        <w:rPr>
          <w:rFonts w:ascii="Arial" w:cs="Arial" w:eastAsia="Arial" w:hAnsi="Arial"/>
          <w:sz w:val="22"/>
          <w:szCs w:val="22"/>
          <w:color w:val="auto"/>
        </w:rPr>
        <w:t>”: as defined in Section 6.3(b)(xlii).</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Costs</w:t>
      </w:r>
      <w:r>
        <w:rPr>
          <w:rFonts w:ascii="Arial" w:cs="Arial" w:eastAsia="Arial" w:hAnsi="Arial"/>
          <w:sz w:val="22"/>
          <w:szCs w:val="22"/>
          <w:color w:val="auto"/>
        </w:rPr>
        <w:t xml:space="preserve"> ”: fees, premiums, expenses, closing payments and other similar transaction costs (including original issue discount or upfront fees) payable or otherwise borne by the Borrower and/or its Subsidiaries in connection with the Transactions.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all the transactions (and any transactions related thereto) described in the definition of “Transactions” in the Offering Memorandum.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as defined in Section 9.14.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Capital Stock</w:t>
      </w:r>
      <w:r>
        <w:rPr>
          <w:rFonts w:ascii="Arial" w:cs="Arial" w:eastAsia="Arial" w:hAnsi="Arial"/>
          <w:sz w:val="22"/>
          <w:szCs w:val="22"/>
          <w:color w:val="auto"/>
        </w:rPr>
        <w:t>”: as defined in Section 6.1(b)(viii).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a Base Rate Loan or a Eurodollar Rate Loan.</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the Bank of England or any other public administrative authority having responsibility for the resolution of any UK Financial Institution.</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the applicable Benchmark Replacement excluding the related Benchmark Replacement Adjustment.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Unasserted Contingent Obligations</w:t>
      </w:r>
      <w:r>
        <w:rPr>
          <w:rFonts w:ascii="Arial" w:cs="Arial" w:eastAsia="Arial" w:hAnsi="Arial"/>
          <w:sz w:val="19"/>
          <w:szCs w:val="19"/>
          <w:color w:val="auto"/>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ectPr>
          <w:pgSz w:w="11900" w:h="16838" w:orient="portrait"/>
          <w:cols w:equalWidth="0" w:num="1">
            <w:col w:w="11240"/>
          </w:cols>
          <w:pgMar w:left="320" w:top="118"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9" w:name="page110"/>
    <w:bookmarkEnd w:id="109"/>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(or any similar or equivalent legislation) as in effect in any applicable jurisdiction.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w:t>
      </w:r>
    </w:p>
    <w:p>
      <w:pPr>
        <w:spacing w:after="0" w:line="233" w:lineRule="exact"/>
        <w:rPr>
          <w:sz w:val="20"/>
          <w:szCs w:val="20"/>
          <w:color w:val="auto"/>
        </w:rPr>
      </w:pPr>
    </w:p>
    <w:p>
      <w:pPr>
        <w:ind w:left="1140" w:right="20" w:firstLine="2"/>
        <w:spacing w:after="0" w:line="250" w:lineRule="auto"/>
        <w:tabs>
          <w:tab w:leader="none" w:pos="236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Subsidiary of the Borrower which at the time of determination is an Unrestricted Subsidiary (as designated by the Borrower, as provided below);</w:t>
      </w:r>
    </w:p>
    <w:p>
      <w:pPr>
        <w:spacing w:after="0" w:line="201" w:lineRule="exact"/>
        <w:rPr>
          <w:rFonts w:ascii="Arial" w:cs="Arial" w:eastAsia="Arial" w:hAnsi="Arial"/>
          <w:sz w:val="22"/>
          <w:szCs w:val="22"/>
          <w:color w:val="auto"/>
        </w:rPr>
      </w:pPr>
    </w:p>
    <w:p>
      <w:pPr>
        <w:ind w:left="2100" w:hanging="958"/>
        <w:spacing w:after="0"/>
        <w:tabs>
          <w:tab w:leader="none" w:pos="21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Subsidiary of an Unrestricted Subsidiary; and</w:t>
      </w:r>
    </w:p>
    <w:p>
      <w:pPr>
        <w:spacing w:after="0" w:line="233" w:lineRule="exact"/>
        <w:rPr>
          <w:rFonts w:ascii="Arial" w:cs="Arial" w:eastAsia="Arial" w:hAnsi="Arial"/>
          <w:sz w:val="22"/>
          <w:szCs w:val="22"/>
          <w:color w:val="auto"/>
        </w:rPr>
      </w:pPr>
    </w:p>
    <w:p>
      <w:pPr>
        <w:ind w:left="2140" w:hanging="998"/>
        <w:spacing w:after="0"/>
        <w:tabs>
          <w:tab w:leader="none" w:pos="21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as of the Closing Date, NFE South Power Holdings Limited and each of its Subsidiaries.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Borrower may designate (or redesignate) any Subsidiary of the Borrower (including any existing Subsidiary and any newly acquired or newly formed Subsidiary) to be an Unrestricted Subsidiary or any Unrestricted Subsidiary as a Restricted Subsidiary; provided that:</w:t>
      </w:r>
    </w:p>
    <w:p>
      <w:pPr>
        <w:spacing w:after="0" w:line="213" w:lineRule="exact"/>
        <w:rPr>
          <w:sz w:val="20"/>
          <w:szCs w:val="20"/>
          <w:color w:val="auto"/>
        </w:rPr>
      </w:pPr>
    </w:p>
    <w:p>
      <w:pPr>
        <w:jc w:val="both"/>
        <w:ind w:left="660" w:firstLine="1778"/>
        <w:spacing w:after="0" w:line="257" w:lineRule="auto"/>
        <w:tabs>
          <w:tab w:leader="none" w:pos="322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spacing w:after="0" w:line="196" w:lineRule="exact"/>
        <w:rPr>
          <w:rFonts w:ascii="Arial" w:cs="Arial" w:eastAsia="Arial" w:hAnsi="Arial"/>
          <w:sz w:val="21"/>
          <w:szCs w:val="21"/>
          <w:color w:val="auto"/>
        </w:rPr>
      </w:pPr>
    </w:p>
    <w:p>
      <w:pPr>
        <w:jc w:val="both"/>
        <w:ind w:left="660" w:firstLine="1778"/>
        <w:spacing w:after="0"/>
        <w:tabs>
          <w:tab w:leader="none" w:pos="33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as of the date of the designation thereof, no Unrestricted Subsidiary shall own any Capital Stock in any Restricted Subsidiary of the Borrower or hold any Indebtedness of or any Lien on any property of the Borrower or any Restricted Subsidiary; and</w:t>
      </w:r>
    </w:p>
    <w:p>
      <w:pPr>
        <w:spacing w:after="0" w:line="213" w:lineRule="exact"/>
        <w:rPr>
          <w:rFonts w:ascii="Arial" w:cs="Arial" w:eastAsia="Arial" w:hAnsi="Arial"/>
          <w:sz w:val="22"/>
          <w:szCs w:val="22"/>
          <w:color w:val="auto"/>
        </w:rPr>
      </w:pPr>
    </w:p>
    <w:p>
      <w:pPr>
        <w:jc w:val="both"/>
        <w:ind w:left="660" w:firstLine="1778"/>
        <w:spacing w:after="0"/>
        <w:tabs>
          <w:tab w:leader="none" w:pos="337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as of the date of the designation thereof, such Unrestricted Subsidiary is not a “restricted subsidiary” for purposes of any Existing Indenture or any other agreement governing any other Equal Priority Obligations.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w:t>
      </w:r>
    </w:p>
    <w:p>
      <w:pPr>
        <w:spacing w:after="0" w:line="18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Any such designation by the Borrower shall be notified by the Borrower to the Administrative Agent by promptly providing an Officer’s Certificate certifying that such designation complied with the foregoing provisions.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Regimes</w:t>
      </w:r>
      <w:r>
        <w:rPr>
          <w:rFonts w:ascii="Arial" w:cs="Arial" w:eastAsia="Arial" w:hAnsi="Arial"/>
          <w:sz w:val="22"/>
          <w:szCs w:val="22"/>
          <w:color w:val="auto"/>
        </w:rPr>
        <w:t>”: as defined in Section 9.22.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as defined in Section 2.17(g).</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any Person, as of any date, means shares of such Person’s Capital Stock that are at the time generally entitled, without regard to contingencies, to vote in the election of the Board of Directors of such Person.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Restricted Subsidiary</w:t>
      </w:r>
      <w:r>
        <w:rPr>
          <w:rFonts w:ascii="Arial" w:cs="Arial" w:eastAsia="Arial" w:hAnsi="Arial"/>
          <w:sz w:val="22"/>
          <w:szCs w:val="22"/>
          <w:color w:val="auto"/>
        </w:rPr>
        <w:t>”: any Wholly-Owned Subsidiary that is a Restricted Subsidiary.</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16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0"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Definitional Provisions; Rules of Construction.</w:t>
      </w:r>
    </w:p>
    <w:p>
      <w:pPr>
        <w:spacing w:after="0" w:line="233" w:lineRule="exact"/>
        <w:rPr>
          <w:sz w:val="20"/>
          <w:szCs w:val="20"/>
          <w:color w:val="auto"/>
        </w:rPr>
      </w:pPr>
    </w:p>
    <w:p>
      <w:pPr>
        <w:jc w:val="both"/>
        <w:ind w:firstLine="1952"/>
        <w:spacing w:after="0"/>
        <w:tabs>
          <w:tab w:leader="none" w:pos="276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213" w:lineRule="exact"/>
        <w:rPr>
          <w:rFonts w:ascii="Arial" w:cs="Arial" w:eastAsia="Arial" w:hAnsi="Arial"/>
          <w:sz w:val="22"/>
          <w:szCs w:val="22"/>
          <w:color w:val="auto"/>
        </w:rPr>
      </w:pPr>
    </w:p>
    <w:p>
      <w:pPr>
        <w:jc w:val="both"/>
        <w:ind w:firstLine="1952"/>
        <w:spacing w:after="0" w:line="249" w:lineRule="auto"/>
        <w:tabs>
          <w:tab w:leader="none" w:pos="270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spacing w:after="0" w:line="205" w:lineRule="exact"/>
        <w:rPr>
          <w:rFonts w:ascii="Arial" w:cs="Arial" w:eastAsia="Arial" w:hAnsi="Arial"/>
          <w:sz w:val="21"/>
          <w:szCs w:val="21"/>
          <w:color w:val="auto"/>
        </w:rPr>
      </w:pPr>
    </w:p>
    <w:p>
      <w:pPr>
        <w:ind w:firstLine="1952"/>
        <w:spacing w:after="0" w:line="250" w:lineRule="auto"/>
        <w:tabs>
          <w:tab w:leader="none" w:pos="268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meanings given to terms defined herein shall be equally applicable to both the singular and plural forms of such terms; “o</w:t>
      </w:r>
      <w:r>
        <w:rPr>
          <w:rFonts w:ascii="Arial" w:cs="Arial" w:eastAsia="Arial" w:hAnsi="Arial"/>
          <w:sz w:val="22"/>
          <w:szCs w:val="22"/>
          <w:u w:val="single" w:color="auto"/>
          <w:color w:val="auto"/>
        </w:rPr>
        <w:t>r</w:t>
      </w:r>
      <w:r>
        <w:rPr>
          <w:rFonts w:ascii="Arial" w:cs="Arial" w:eastAsia="Arial" w:hAnsi="Arial"/>
          <w:sz w:val="22"/>
          <w:szCs w:val="22"/>
          <w:color w:val="auto"/>
        </w:rPr>
        <w:t>” is not exclusive.</w:t>
      </w:r>
    </w:p>
    <w:p>
      <w:pPr>
        <w:spacing w:after="0" w:line="201" w:lineRule="exact"/>
        <w:rPr>
          <w:rFonts w:ascii="Arial" w:cs="Arial" w:eastAsia="Arial" w:hAnsi="Arial"/>
          <w:sz w:val="22"/>
          <w:szCs w:val="22"/>
          <w:color w:val="auto"/>
        </w:rPr>
      </w:pPr>
    </w:p>
    <w:p>
      <w:pPr>
        <w:jc w:val="both"/>
        <w:ind w:firstLine="1952"/>
        <w:spacing w:after="0" w:line="277" w:lineRule="auto"/>
        <w:tabs>
          <w:tab w:leader="none" w:pos="264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178" w:lineRule="exact"/>
        <w:rPr>
          <w:rFonts w:ascii="Arial" w:cs="Arial" w:eastAsia="Arial" w:hAnsi="Arial"/>
          <w:sz w:val="19"/>
          <w:szCs w:val="19"/>
          <w:color w:val="auto"/>
        </w:rPr>
      </w:pPr>
    </w:p>
    <w:p>
      <w:pPr>
        <w:ind w:firstLine="1952"/>
        <w:spacing w:after="0" w:line="328" w:lineRule="auto"/>
        <w:tabs>
          <w:tab w:leader="none" w:pos="265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left="2540" w:hanging="588"/>
        <w:spacing w:after="0"/>
        <w:tabs>
          <w:tab w:leader="none" w:pos="25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reference herein to any Person shall be construed to include such Person’s permitted successors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assigns.</w:t>
      </w:r>
    </w:p>
    <w:p>
      <w:pPr>
        <w:spacing w:after="0" w:line="215" w:lineRule="exact"/>
        <w:rPr>
          <w:sz w:val="20"/>
          <w:szCs w:val="20"/>
          <w:color w:val="auto"/>
        </w:rPr>
      </w:pPr>
    </w:p>
    <w:p>
      <w:pPr>
        <w:jc w:val="both"/>
        <w:ind w:firstLine="1952"/>
        <w:spacing w:after="0" w:line="257" w:lineRule="auto"/>
        <w:tabs>
          <w:tab w:leader="none" w:pos="2533" w:val="left"/>
        </w:tabs>
        <w:numPr>
          <w:ilvl w:val="0"/>
          <w:numId w:val="113"/>
        </w:numPr>
        <w:rPr>
          <w:rFonts w:ascii="Arial" w:cs="Arial" w:eastAsia="Arial" w:hAnsi="Arial"/>
          <w:sz w:val="21"/>
          <w:szCs w:val="21"/>
          <w:color w:val="auto"/>
        </w:rPr>
      </w:pPr>
      <w:r>
        <w:rPr>
          <w:rFonts w:ascii="Arial" w:cs="Arial" w:eastAsia="Arial" w:hAnsi="Arial"/>
          <w:sz w:val="21"/>
          <w:szCs w:val="21"/>
          <w:color w:val="auto"/>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spacing w:after="0" w:line="196" w:lineRule="exact"/>
        <w:rPr>
          <w:rFonts w:ascii="Arial" w:cs="Arial" w:eastAsia="Arial" w:hAnsi="Arial"/>
          <w:sz w:val="21"/>
          <w:szCs w:val="21"/>
          <w:color w:val="auto"/>
        </w:rPr>
      </w:pPr>
    </w:p>
    <w:p>
      <w:pPr>
        <w:jc w:val="both"/>
        <w:ind w:firstLine="1952"/>
        <w:spacing w:after="0" w:line="238" w:lineRule="auto"/>
        <w:tabs>
          <w:tab w:leader="none" w:pos="301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212"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Accounting Terms and Principles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5" w:lineRule="auto"/>
        <w:tabs>
          <w:tab w:leader="none" w:pos="254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w:t>
      </w:r>
    </w:p>
    <w:p>
      <w:pPr>
        <w:spacing w:after="0" w:line="214" w:lineRule="exact"/>
        <w:rPr>
          <w:rFonts w:ascii="Arial" w:cs="Arial" w:eastAsia="Arial" w:hAnsi="Arial"/>
          <w:sz w:val="22"/>
          <w:szCs w:val="22"/>
          <w:color w:val="auto"/>
        </w:rPr>
      </w:pPr>
    </w:p>
    <w:p>
      <w:pPr>
        <w:jc w:val="both"/>
        <w:ind w:firstLine="1952"/>
        <w:spacing w:after="0" w:line="234" w:lineRule="auto"/>
        <w:tabs>
          <w:tab w:leader="none" w:pos="2695"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Changes in GAAP</w:t>
      </w:r>
      <w:r>
        <w:rPr>
          <w:rFonts w:ascii="Arial" w:cs="Arial" w:eastAsia="Arial" w:hAnsi="Arial"/>
          <w:sz w:val="22"/>
          <w:szCs w:val="22"/>
          <w:color w:val="auto"/>
        </w:rPr>
        <w:t>. If at any time any change in GAAP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14"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Timing of Payment or Performance</w:t>
      </w:r>
      <w:r>
        <w:rPr>
          <w:rFonts w:ascii="Arial" w:cs="Arial" w:eastAsia="Arial" w:hAnsi="Arial"/>
          <w:sz w:val="22"/>
          <w:szCs w:val="22"/>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spacing w:after="0" w:line="212"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Currency Equivalents Generally</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87" w:lineRule="auto"/>
        <w:tabs>
          <w:tab w:leader="none" w:pos="256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169" w:lineRule="exact"/>
        <w:rPr>
          <w:rFonts w:ascii="Arial" w:cs="Arial" w:eastAsia="Arial" w:hAnsi="Arial"/>
          <w:sz w:val="19"/>
          <w:szCs w:val="19"/>
          <w:color w:val="auto"/>
        </w:rPr>
      </w:pPr>
    </w:p>
    <w:p>
      <w:pPr>
        <w:jc w:val="both"/>
        <w:ind w:firstLine="1952"/>
        <w:spacing w:after="0" w:line="236" w:lineRule="auto"/>
        <w:tabs>
          <w:tab w:leader="none" w:pos="272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1140"/>
        <w:spacing w:after="0"/>
        <w:tabs>
          <w:tab w:leader="none" w:pos="26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Limited Condition Transactions.</w:t>
      </w:r>
    </w:p>
    <w:p>
      <w:pPr>
        <w:spacing w:after="0" w:line="234" w:lineRule="exact"/>
        <w:rPr>
          <w:sz w:val="20"/>
          <w:szCs w:val="20"/>
          <w:color w:val="auto"/>
        </w:rPr>
      </w:pPr>
    </w:p>
    <w:p>
      <w:pPr>
        <w:ind w:left="2920" w:hanging="968"/>
        <w:spacing w:after="0"/>
        <w:tabs>
          <w:tab w:leader="none" w:pos="29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connection with any action being taken solely in connection with a Limited Condition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Transaction, for purposes of:</w:t>
      </w:r>
    </w:p>
    <w:p>
      <w:pPr>
        <w:spacing w:after="0" w:line="215" w:lineRule="exact"/>
        <w:rPr>
          <w:rFonts w:ascii="Arial" w:cs="Arial" w:eastAsia="Arial" w:hAnsi="Arial"/>
          <w:sz w:val="21"/>
          <w:szCs w:val="21"/>
          <w:color w:val="auto"/>
        </w:rPr>
      </w:pPr>
    </w:p>
    <w:p>
      <w:pPr>
        <w:jc w:val="both"/>
        <w:ind w:left="660" w:firstLine="1778"/>
        <w:spacing w:after="0"/>
        <w:tabs>
          <w:tab w:leader="none" w:pos="329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determining compliance with any provision of this Agreement that requires the calculation of the Fixed Charge Coverage Ratio, Consolidated Total Debt Ratio, Consolidated First Lien Debt Ratio, Consolidated Secured Debt Ratio or Debt to Total Capitalization Ratio;</w:t>
      </w:r>
    </w:p>
    <w:p>
      <w:pPr>
        <w:spacing w:after="0" w:line="213" w:lineRule="exact"/>
        <w:rPr>
          <w:rFonts w:ascii="Arial" w:cs="Arial" w:eastAsia="Arial" w:hAnsi="Arial"/>
          <w:sz w:val="22"/>
          <w:szCs w:val="22"/>
          <w:color w:val="auto"/>
        </w:rPr>
      </w:pPr>
    </w:p>
    <w:p>
      <w:pPr>
        <w:ind w:left="660" w:firstLine="1778"/>
        <w:spacing w:after="0" w:line="250" w:lineRule="auto"/>
        <w:tabs>
          <w:tab w:leader="none" w:pos="3367"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determining whether a Default or Event of Default shall have occurred and be continuing (or any subset of Defaults or Events of Default); or</w:t>
      </w:r>
    </w:p>
    <w:p>
      <w:pPr>
        <w:spacing w:after="0" w:line="201" w:lineRule="exact"/>
        <w:rPr>
          <w:rFonts w:ascii="Arial" w:cs="Arial" w:eastAsia="Arial" w:hAnsi="Arial"/>
          <w:sz w:val="22"/>
          <w:szCs w:val="22"/>
          <w:color w:val="auto"/>
        </w:rPr>
      </w:pPr>
    </w:p>
    <w:p>
      <w:pPr>
        <w:jc w:val="both"/>
        <w:ind w:left="660" w:firstLine="1778"/>
        <w:spacing w:after="0"/>
        <w:tabs>
          <w:tab w:leader="none" w:pos="367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testing availability under baskets, ratios or financial metrics under this Agreement (including those measured as a percentage of Consolidated EBITDA, Annualized EBITDA, Fixed Charges or Consolidated Total Assets or by reference to clause (2) of Section 6.1(a));</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each case, at the option of the Borrower, any of its Restricted Subsidiaries or any successor entity of any of the foregoing (including a third party) (the “</w:t>
      </w:r>
      <w:r>
        <w:rPr>
          <w:rFonts w:ascii="Arial" w:cs="Arial" w:eastAsia="Arial" w:hAnsi="Arial"/>
          <w:sz w:val="19"/>
          <w:szCs w:val="19"/>
          <w:u w:val="single" w:color="auto"/>
          <w:color w:val="auto"/>
        </w:rPr>
        <w:t>Testing Party</w:t>
      </w:r>
      <w:r>
        <w:rPr>
          <w:rFonts w:ascii="Arial" w:cs="Arial" w:eastAsia="Arial" w:hAnsi="Arial"/>
          <w:sz w:val="19"/>
          <w:szCs w:val="19"/>
          <w:color w:val="auto"/>
        </w:rPr>
        <w:t>”, and the election to exercise such option in connection with any Limited Condition Transaction, an “</w:t>
      </w:r>
      <w:r>
        <w:rPr>
          <w:rFonts w:ascii="Arial" w:cs="Arial" w:eastAsia="Arial" w:hAnsi="Arial"/>
          <w:sz w:val="19"/>
          <w:szCs w:val="19"/>
          <w:u w:val="single" w:color="auto"/>
          <w:color w:val="auto"/>
        </w:rPr>
        <w:t>LCT Election</w:t>
      </w:r>
      <w:r>
        <w:rPr>
          <w:rFonts w:ascii="Arial" w:cs="Arial" w:eastAsia="Arial" w:hAnsi="Arial"/>
          <w:sz w:val="19"/>
          <w:szCs w:val="19"/>
          <w:color w:val="auto"/>
        </w:rPr>
        <w:t>”),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w:t>
      </w:r>
      <w:r>
        <w:rPr>
          <w:rFonts w:ascii="Arial" w:cs="Arial" w:eastAsia="Arial" w:hAnsi="Arial"/>
          <w:sz w:val="19"/>
          <w:szCs w:val="19"/>
          <w:u w:val="single" w:color="auto"/>
          <w:color w:val="auto"/>
        </w:rPr>
        <w:t>LCT Test Date</w:t>
      </w:r>
      <w:r>
        <w:rPr>
          <w:rFonts w:ascii="Arial" w:cs="Arial" w:eastAsia="Arial" w:hAnsi="Arial"/>
          <w:sz w:val="19"/>
          <w:szCs w:val="19"/>
          <w:color w:val="auto"/>
        </w:rPr>
        <w:t>”) is made, and if, after giving pro forma effect to the Limited Condition Transaction and the other transactions to be entered into in connection therewith (including any acquisitions, Investments, the incurrence or issuance of Indebtedness, Disqualified Stock, Preferred Stock or Liens and the use of proceeds thereof, Restricted Payments and Asset Sales) as if they had occurred at the beginning of the most recent Test Period ending prior to the LCT Test Date, the Borrower could have taken such action on the relevant LCT Test Date in compliance with such ratio, basket or financial metric, such ratio, basket or financial metric shall be deemed to have been complied 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both"/>
        <w:ind w:left="-1120" w:firstLine="1952"/>
        <w:spacing w:after="0" w:line="269" w:lineRule="auto"/>
        <w:tabs>
          <w:tab w:leader="none" w:pos="14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Annualized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 The Borrower will be deemed to have made an LCT Election with respect to the Golar Acquisition and the Hygo Acquisition on the Closing Date.</w:t>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Certain Compliance Determinations.</w:t>
      </w:r>
    </w:p>
    <w:p>
      <w:pPr>
        <w:spacing w:after="0" w:line="233" w:lineRule="exact"/>
        <w:rPr>
          <w:sz w:val="20"/>
          <w:szCs w:val="20"/>
          <w:color w:val="auto"/>
        </w:rPr>
      </w:pPr>
    </w:p>
    <w:p>
      <w:pPr>
        <w:jc w:val="both"/>
        <w:ind w:left="-1120" w:firstLine="1952"/>
        <w:spacing w:after="0" w:line="270" w:lineRule="auto"/>
        <w:tabs>
          <w:tab w:leader="none" w:pos="138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Debt to Total Capitalization Ratio, Fixed Charge Coverage Ratio, Consolidated Interest Expense, Fixed Charges, Consolidated Net Income, Consolidated Total Assets, Consolidated EBITDA, Annualized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left="-1120" w:firstLine="1952"/>
        <w:spacing w:after="0" w:line="273" w:lineRule="auto"/>
        <w:tabs>
          <w:tab w:leader="none" w:pos="158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Debt to Total Capitalization Ratio, Fixed Charge Coverage Ratio, Consolidated Interest Expense, Fixed Charges, Consolidated Net Income, Consolidated Total Assets, Consolidated EBITDA and Annualized EBITDA), such Fixed Amounts, Incurrence-Based Amounts or financial ratio, test, covenant, calculation or measurement shall be calculated at the time such action is taken (subject to Section 1.6),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w:t>
      </w:r>
    </w:p>
    <w:p>
      <w:pPr>
        <w:sectPr>
          <w:pgSz w:w="11900" w:h="16838" w:orient="portrait"/>
          <w:cols w:equalWidth="0" w:num="1">
            <w:col w:w="10120"/>
          </w:cols>
          <w:pgMar w:left="1440" w:top="118" w:right="339" w:bottom="1016" w:gutter="0" w:footer="0" w:header="0"/>
        </w:sectPr>
      </w:pPr>
    </w:p>
    <w:p>
      <w:pPr>
        <w:spacing w:after="0" w:line="366" w:lineRule="exact"/>
        <w:rPr>
          <w:sz w:val="20"/>
          <w:szCs w:val="20"/>
          <w:color w:val="auto"/>
        </w:rPr>
      </w:pPr>
    </w:p>
    <w:p>
      <w:pPr>
        <w:jc w:val="center"/>
        <w:ind w:right="110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016" w:gutter="0" w:footer="0" w:header="0"/>
          <w:type w:val="continuous"/>
        </w:sectPr>
      </w:pPr>
    </w:p>
    <w:bookmarkStart w:id="114" w:name="page115"/>
    <w:bookmarkEnd w:id="114"/>
    <w:p>
      <w:pPr>
        <w:jc w:val="both"/>
        <w:ind w:firstLine="1952"/>
        <w:spacing w:after="0" w:line="244" w:lineRule="auto"/>
        <w:tabs>
          <w:tab w:leader="none" w:pos="250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Debt to Total Capitalization Ratio and/or Fixed Charge Coverage Ratio) (any such amounts, the “</w:t>
      </w:r>
      <w:r>
        <w:rPr>
          <w:rFonts w:ascii="Arial" w:cs="Arial" w:eastAsia="Arial" w:hAnsi="Arial"/>
          <w:sz w:val="21"/>
          <w:szCs w:val="21"/>
          <w:u w:val="single" w:color="auto"/>
          <w:color w:val="auto"/>
        </w:rPr>
        <w:t>Fixed Amounts</w:t>
      </w:r>
      <w:r>
        <w:rPr>
          <w:rFonts w:ascii="Arial" w:cs="Arial" w:eastAsia="Arial" w:hAnsi="Arial"/>
          <w:sz w:val="21"/>
          <w:szCs w:val="21"/>
          <w:color w:val="auto"/>
        </w:rPr>
        <w:t>”)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Debt to Total Capitalization Ratio and/or Fixed Charge Coverage Ratio) (any such amounts, the “</w:t>
      </w:r>
      <w:r>
        <w:rPr>
          <w:rFonts w:ascii="Arial" w:cs="Arial" w:eastAsia="Arial" w:hAnsi="Arial"/>
          <w:sz w:val="21"/>
          <w:szCs w:val="21"/>
          <w:u w:val="single" w:color="auto"/>
          <w:color w:val="auto"/>
        </w:rPr>
        <w:t>Incurrence-Based Amounts</w:t>
      </w:r>
      <w:r>
        <w:rPr>
          <w:rFonts w:ascii="Arial" w:cs="Arial" w:eastAsia="Arial" w:hAnsi="Arial"/>
          <w:sz w:val="21"/>
          <w:szCs w:val="21"/>
          <w:color w:val="auto"/>
        </w:rPr>
        <w:t>”), it is understood and agreed that the Fixed Amounts shall be disregarded in the calculation of the financial ratio or test applicable to the Incurrence-Based Amounts.</w:t>
      </w:r>
    </w:p>
    <w:p>
      <w:pPr>
        <w:spacing w:after="0" w:line="215" w:lineRule="exact"/>
        <w:rPr>
          <w:rFonts w:ascii="Arial" w:cs="Arial" w:eastAsia="Arial" w:hAnsi="Arial"/>
          <w:sz w:val="21"/>
          <w:szCs w:val="21"/>
          <w:color w:val="auto"/>
        </w:rPr>
      </w:pPr>
    </w:p>
    <w:p>
      <w:pPr>
        <w:jc w:val="both"/>
        <w:ind w:firstLine="1952"/>
        <w:spacing w:after="0" w:line="235" w:lineRule="auto"/>
        <w:tabs>
          <w:tab w:leader="none" w:pos="260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Borrower and its Restricted Subsidiaries (as reasonably determined by the Borrower).</w:t>
      </w:r>
    </w:p>
    <w:p>
      <w:pPr>
        <w:spacing w:after="0" w:line="214" w:lineRule="exact"/>
        <w:rPr>
          <w:rFonts w:ascii="Arial" w:cs="Arial" w:eastAsia="Arial" w:hAnsi="Arial"/>
          <w:sz w:val="22"/>
          <w:szCs w:val="22"/>
          <w:color w:val="auto"/>
        </w:rPr>
      </w:pPr>
    </w:p>
    <w:p>
      <w:pPr>
        <w:jc w:val="both"/>
        <w:ind w:firstLine="1952"/>
        <w:spacing w:after="0" w:line="271" w:lineRule="auto"/>
        <w:tabs>
          <w:tab w:leader="none" w:pos="252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6.3(a), any clause of Section 6.3(b),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1952"/>
        <w:spacing w:after="0" w:line="246" w:lineRule="auto"/>
        <w:tabs>
          <w:tab w:leader="none" w:pos="259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ind w:firstLine="1952"/>
        <w:spacing w:after="0" w:line="269" w:lineRule="auto"/>
        <w:tabs>
          <w:tab w:leader="none" w:pos="257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952"/>
        <w:spacing w:after="0" w:line="272" w:lineRule="auto"/>
        <w:tabs>
          <w:tab w:leader="none" w:pos="264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For purposes of the calculation of the Consolidated First Lien Debt Ratio, Consolidated Secured Debt Ratio, Consolidated Total Debt Ratio, Debt to Total Capitalization Ratio and Fixed Charge Coverage Ratio, in connection with the incurrence of any Indebtedness pursuant to Section 6.3(a), such Person may elect to treat all or any portion of the commitment (such amount elected until revoked as described below, the “</w:t>
      </w:r>
      <w:r>
        <w:rPr>
          <w:rFonts w:ascii="Arial" w:cs="Arial" w:eastAsia="Arial" w:hAnsi="Arial"/>
          <w:sz w:val="19"/>
          <w:szCs w:val="19"/>
          <w:u w:val="single" w:color="auto"/>
          <w:color w:val="auto"/>
        </w:rPr>
        <w:t>Elected Amount</w:t>
      </w:r>
      <w:r>
        <w:rPr>
          <w:rFonts w:ascii="Arial" w:cs="Arial" w:eastAsia="Arial" w:hAnsi="Arial"/>
          <w:sz w:val="19"/>
          <w:szCs w:val="19"/>
          <w:color w:val="auto"/>
        </w:rPr>
        <w: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Debt to Total Capitalization Ratio and Fixed Charge Coverage Ratio, the Elected Amount (if any) shall be deemed to be outstanding, whether or not such amount is actually outstanding.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left="660"/>
        <w:spacing w:after="0"/>
        <w:tabs>
          <w:tab w:leader="none" w:pos="18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LOANS</w:t>
      </w:r>
    </w:p>
    <w:p>
      <w:pPr>
        <w:spacing w:after="0" w:line="234"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Loans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5" w:lineRule="auto"/>
        <w:tabs>
          <w:tab w:leader="none" w:pos="26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Loan Commitments. Subject to the terms and conditions hereof, each Lender severally agrees to make Loans to the Borrower from time to time during the Revolving Availability Period in an aggregate principal amount that will not result in such Lender’s Revolving Exposure exceeding such Lender’s Commitment or the Aggregate Revolving Exposure exceeding the Aggregate Commitment. All Loans shall be denominated in Dollars. Within the foregoing limits and subject to the terms and conditions hereof, the Borrower may borrow, prepay and reborrow Loans. The Loans may be Eurodollar Rate Loans or Base Rate Loans, as provided herein.</w:t>
      </w:r>
    </w:p>
    <w:p>
      <w:pPr>
        <w:spacing w:after="0" w:line="214" w:lineRule="exact"/>
        <w:rPr>
          <w:rFonts w:ascii="Arial" w:cs="Arial" w:eastAsia="Arial" w:hAnsi="Arial"/>
          <w:sz w:val="22"/>
          <w:szCs w:val="22"/>
          <w:color w:val="auto"/>
        </w:rPr>
      </w:pPr>
    </w:p>
    <w:p>
      <w:pPr>
        <w:ind w:left="2580" w:hanging="628"/>
        <w:spacing w:after="0"/>
        <w:tabs>
          <w:tab w:leader="none" w:pos="25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Borrowing Mechanics for Loans.</w:t>
      </w:r>
    </w:p>
    <w:p>
      <w:pPr>
        <w:spacing w:after="0" w:line="233" w:lineRule="exact"/>
        <w:rPr>
          <w:rFonts w:ascii="Arial" w:cs="Arial" w:eastAsia="Arial" w:hAnsi="Arial"/>
          <w:sz w:val="22"/>
          <w:szCs w:val="22"/>
          <w:color w:val="auto"/>
        </w:rPr>
      </w:pPr>
    </w:p>
    <w:p>
      <w:pPr>
        <w:jc w:val="both"/>
        <w:ind w:left="660" w:firstLine="1778"/>
        <w:spacing w:after="0" w:line="246" w:lineRule="auto"/>
        <w:tabs>
          <w:tab w:leader="none" w:pos="324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Borrower shall deliver to the Administrative Agent a fully executed Funding Notice no later than 12:00 p.m. (noon) (New York City time) (x) on the date of the proposed Borrowing with respect to Base Rate Loans and (y) three days prior to the date of the proposed Borrowing with respect to Eurodollar Rate Loans (or such later time as may be acceptable to the Administrative Agent).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Eurodollar Rate Borrowing, then the Borrower shall be deemed to have selected an Interest Period of one month’s duration.</w:t>
      </w:r>
    </w:p>
    <w:p>
      <w:pPr>
        <w:spacing w:after="0" w:line="206" w:lineRule="exact"/>
        <w:rPr>
          <w:rFonts w:ascii="Arial" w:cs="Arial" w:eastAsia="Arial" w:hAnsi="Arial"/>
          <w:sz w:val="21"/>
          <w:szCs w:val="21"/>
          <w:color w:val="auto"/>
        </w:rPr>
      </w:pPr>
    </w:p>
    <w:p>
      <w:pPr>
        <w:jc w:val="both"/>
        <w:ind w:left="660" w:firstLine="1778"/>
        <w:spacing w:after="0" w:line="274" w:lineRule="auto"/>
        <w:tabs>
          <w:tab w:leader="none" w:pos="332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Each Lender shall make its Loan available to the Administrative Agent not later than 3:00 p.m. (New York City time) on the date of the proposed Borrowing, by wire transfer of same day funds in Dollars, at the principal office designated by Administrative Agent. Upon satisfaction or waiver of the conditions precedent specified herein, the Administrative Agent shall make the proceeds of the Loans available to the Borrower on the date of the proposed Borrowing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or, in the case of a Base Rate Borrowing made to finance the reimbursement of an LC Disbursement as provided in Section 2.3(e), to the applicable Issuing Bank as specified by the Borrower in the applicable Funding Notice.</w:t>
      </w:r>
    </w:p>
    <w:p>
      <w:pPr>
        <w:spacing w:after="0" w:line="185" w:lineRule="exact"/>
        <w:rPr>
          <w:rFonts w:ascii="Arial" w:cs="Arial" w:eastAsia="Arial" w:hAnsi="Arial"/>
          <w:sz w:val="19"/>
          <w:szCs w:val="19"/>
          <w:color w:val="auto"/>
        </w:rPr>
      </w:pPr>
    </w:p>
    <w:p>
      <w:pPr>
        <w:jc w:val="both"/>
        <w:ind w:left="660" w:firstLine="1778"/>
        <w:spacing w:after="0" w:line="246" w:lineRule="auto"/>
        <w:tabs>
          <w:tab w:leader="none" w:pos="3238" w:val="left"/>
        </w:tabs>
        <w:numPr>
          <w:ilvl w:val="1"/>
          <w:numId w:val="121"/>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Borrowing of Eurodollar Rate Loans, such Borrowing shall be in an aggregate amount that is an integral multiple of $100,000 and not less than $1,000,000;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Borrowing of Eurodollar Rate Loans that results from a continuation of an outstanding Borrowing of Eurodollar Rate Loans may be in an aggregate amount that is equal to such outstanding Borrowing. At the time that each Borrowing of Base Rate Loans is made, such Borrowing shall be in an aggregate amount that is an integral multiple of $100,000 and not less than $1,000,000;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Borrowing of Base Rate Loans may be in an aggregate amount that is equal to the entire unused balance of the Aggregate Commitment or that is required to finance the reimbursement of an LC Disbursement as contemplated by Section 2.3(e).</w:t>
      </w:r>
    </w:p>
    <w:p>
      <w:pPr>
        <w:spacing w:after="0" w:line="207"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Pro Rata Shares; Availability of Funds.</w:t>
      </w:r>
    </w:p>
    <w:p>
      <w:pPr>
        <w:spacing w:after="0" w:line="233" w:lineRule="exact"/>
        <w:rPr>
          <w:sz w:val="20"/>
          <w:szCs w:val="20"/>
          <w:color w:val="auto"/>
        </w:rPr>
      </w:pPr>
    </w:p>
    <w:p>
      <w:pPr>
        <w:jc w:val="both"/>
        <w:ind w:firstLine="1952"/>
        <w:spacing w:after="0" w:line="282" w:lineRule="auto"/>
        <w:tabs>
          <w:tab w:leader="none" w:pos="284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both"/>
        <w:ind w:firstLine="1952"/>
        <w:spacing w:after="0" w:line="269" w:lineRule="auto"/>
        <w:tabs>
          <w:tab w:leader="none" w:pos="265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200" w:lineRule="exact"/>
        <w:rPr>
          <w:sz w:val="20"/>
          <w:szCs w:val="20"/>
          <w:color w:val="auto"/>
        </w:rPr>
      </w:pPr>
    </w:p>
    <w:p>
      <w:pPr>
        <w:spacing w:after="0" w:line="241"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70" w:lineRule="auto"/>
        <w:tabs>
          <w:tab w:leader="none" w:pos="250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General. Subject to the terms and conditions set forth herein, the Borrower may request the issuance of Letters of Credit for its own account (or, so long as the Borrower is a joint and several co-applicant with respect thereto, the account of any Subsidiary), denominated in Dollars and in a form reasonably acceptable to the Administrative Agent and the applicable Issuing Bank, at any time and from time to time during the period from the Closing Date to the fifth Business Day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Bank shall have any obligation to issue any Letter of Credit if the issuance of such Letter of Credit would violate one or more policies of such Issuing Bank applicable to letters of credit generally. The Borrower unconditionally and irrevocably agrees that, in connection with any Letter of Credit issued for the account of any Subsidiary as provided in the first sentence of this paragraph, it will be fully responsible for the reimbursement of LC Disbursements, the payment of interest thereon and the payment of fees due under Section 2.8(b)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 Where reasonably practical the Borrower shall endeavor to allocate requests for Letters of Credit hereunder among the Issuing Banks so that the aggregate outstanding amount of the Letters of Credit issued by each Issuing Bank are similar in amount.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both"/>
        <w:ind w:firstLine="1952"/>
        <w:spacing w:after="0" w:line="270" w:lineRule="auto"/>
        <w:tabs>
          <w:tab w:leader="none" w:pos="253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Notice of Issuance, Amendment, Extension; Certain Conditions. To request the issuance of a Letter of Credit or the amendment or extension of an outstanding Letter of Credit (other than an automatic extension permitted pursuant to paragraph (c) of this Section), the Borrower shall hand deliver or fax (or transmit by electronic communication, if arrangements for doing so have been approved by the recipient) to the applicable Issuing Bank and the Administrative Agent, at least three Business Days prior to the requested date of issuance, amendment or extension, a notice requesting the issuance of a Letter of Credit, or identifying the Letter of Credit to be amended or extended, and specifying the requested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requested by the applicable Issuing Bank as necessary to enable such Issuing Bank to prepare, amend or extend such Letter of Credit. If requested by the applicable Issuing Bank, the Borrower also shall submit a letter of credit application on such Issuing Bank’s standard form in connection with any such request. A Letter of Credit shall be issued, amended or extended only if (and upon each issuance, amendment or extension of any Letter of Credit the Borrower shall be deemed to represent and warrant that), after giving effect to such issuance, amendment or extension, (i) the LC Exposure will not exceed $100,000,000, (ii) the portion of the LC Exposure attributable to Letters of Credit issued by any Issuing Bank will not exceed the LC Commitment of such Issuing Bank, (iii) no Lender will have a Revolving Exposure greater than its Commitment and (iv) the Aggregate Revolving Exposure will not exceed the Aggregate Commitment. The Borrower may, at any time and from time to time, reduce the LC Commitment of any Issuing Bank with the consent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reduce the LC Commitment of any Issuing Bank if, after giving effect to such reduction, the condition set forth in clause (ii) above shall not be satisfied. Each Issuing Bank agrees that it shall not permit any issuance, increase or extension of a Letter of Credit to occur unless it shall have given to the Administrative Agent written notice thereof required under paragraph (m) of this Section.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952"/>
        <w:spacing w:after="0" w:line="277" w:lineRule="auto"/>
        <w:tabs>
          <w:tab w:leader="none" w:pos="253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Expiration Date. Each Letter of Credit shall expire at or prior to the close of business on the earlier of (i) the date that is one year after the date of the issuance of such Letter of Credit (or, in the case of any extension thereof, one year after such extension) and (ii) the date that is five Business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Letter of Credit may contain customary automatic extension provisions agreed upon by the Borrower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extension from occurring by giving notice to the beneficiary in advance of any such extension.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both"/>
        <w:ind w:firstLine="1952"/>
        <w:spacing w:after="0" w:line="269" w:lineRule="auto"/>
        <w:tabs>
          <w:tab w:leader="none" w:pos="273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Participations.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 on the date due as provided in paragraph(e)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any reduction or termination of the Commitments or any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or extending any Letter of Credit, the applicable Issuing Bank shall be entitled to rely, and shall not incur any liability for relying, upon the representation and warranty of the Borrower deemed made pursuant to Section 4.2 unless, at least one Business Day prior to the time such Letter of Credit is issued, amended or extended (or, in the case of an automatic extension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or extended (it being understood and agreed that, in the event any Issuing Bank shall have received any such notice, no Issuing Bank shall have any obligation to issue, amend or extend any Letter of Credit until and unless it shall be satisfied that the events and circumstances described in such notice shall have been cured or otherwise shall have ceased to exist).</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952"/>
        <w:spacing w:after="0" w:line="270" w:lineRule="auto"/>
        <w:tabs>
          <w:tab w:leader="none" w:pos="267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Reimbursements. If an Issuing Bank shall make an LC Disbursement in respect of a Letter of Credit, the Borrower shall reimburse such LC Disbursement by paying to the Administrative Agent an amount equal to such LC Disbursement not later than on the Business Day immediately following the day that the Borrower receives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of such LC Disbursement is $1,000,000 or more, the Borrower may, subject to the conditions to borrowing set forth herein, request in accordance with Section 2.1(b) that such payment be financed with a Borrowing of Base Rate Loans and, to the extent so financed, the Borrower’s obligation to make such payment shall be discharged and replaced by the resulting such Borrowing. If the Borrower fails to reimburse any LC Disbursement by the time specified above, the Administrative Agent shall notify each Lender of such failure, the payment then due from the Borrower in respect of the applicable LC Disbursement and such Lender’s Pro Rata Share thereof. Promptly following receipt of such notice, each Lender shall pay to the Administrative Agent its Pro Rata Share of the amount then due from the Borrower, in the same manner as provided in Section 2.1(b) with respect to Loans made by such Lender (and Section 2.2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LC Disbursement (other than the funding of a Borrowing of Base Rate Loans as contemplated above) shall not constitute a Loan and shall not relieve the Borrower of its obligation to reimburse such LC Disbursement.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both"/>
        <w:ind w:firstLine="1952"/>
        <w:spacing w:after="0" w:line="269" w:lineRule="auto"/>
        <w:tabs>
          <w:tab w:leader="none" w:pos="264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Obligations Absolute. The Borrower’s obligation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stated expiration date thereof or of the Commitments or (v) any other event or circumstance whatsoever, whether or not similar to any of the foregoing, that might, but for the provisions of this paragraph, constitute a legal or equitable discharge of, or provide a right of setoff against, the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other act, failure to act or other event or circumstance;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952"/>
        <w:spacing w:after="0" w:line="248" w:lineRule="auto"/>
        <w:tabs>
          <w:tab w:leader="none" w:pos="257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Disbursement Procedures. Each Issuing Bank shall, promptly following its receipt thereof, examine all documents purporting to represent a demand for payment under a Letter of Credit. Each Issuing Bank shall promptly notify the Administrative Agent and the Borrower by telephone (confirmed by email or facsimile) of such demand for payment and if such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 of its obligation to reimburse such Issuing Bank and the Lenders with respect to any such LC Disbursement in accordance with paragraph (e) of this Section.</w:t>
      </w:r>
    </w:p>
    <w:p>
      <w:pPr>
        <w:spacing w:after="0" w:line="203" w:lineRule="exact"/>
        <w:rPr>
          <w:rFonts w:ascii="Arial" w:cs="Arial" w:eastAsia="Arial" w:hAnsi="Arial"/>
          <w:sz w:val="21"/>
          <w:szCs w:val="21"/>
          <w:color w:val="auto"/>
        </w:rPr>
      </w:pPr>
    </w:p>
    <w:p>
      <w:pPr>
        <w:jc w:val="both"/>
        <w:ind w:firstLine="1952"/>
        <w:spacing w:after="0" w:line="274" w:lineRule="auto"/>
        <w:tabs>
          <w:tab w:leader="none" w:pos="261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Interim Interest.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in full, at the rate per annum then applicable to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(e) of this Section, Section 2.7 shall apply. Interest accrued pursuant to this paragraph shall be paid to the Administrative Agent,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ind w:firstLine="1952"/>
        <w:spacing w:after="0" w:line="269" w:lineRule="auto"/>
        <w:tabs>
          <w:tab w:leader="none" w:pos="247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Cash Collateralization. 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 amount in cash equal to 103% of the LC Exposure as of such date plus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7.1(a)(7) or Section 7.1(a)(8). The Borrower also shall deposit cash collateral in accordance with this paragraph as and to the extent required by Section 2.3(c), 2.10 or 2.20(c).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Section 2.10, such amount (to the extent not applied as aforesaid) shall be returned to the Borrower to the extent that, after giving effect to such return, the Aggregate Revolving Exposure would not exceed the Aggregate Commitment and no Default shall have occurred and be continuing. If the Borrower is required to provide an amount of cash collateral hereunder pursuant to Section 2.20(c), such amount (to the extent not applied as aforesaid) shall be returned to the Borrower as promptly as practicable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52"/>
        <w:spacing w:after="0" w:line="275" w:lineRule="auto"/>
        <w:tabs>
          <w:tab w:leader="none" w:pos="26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Designation of Additional Issuing Banks. The Borrower may, at any time and from time to time, designate as additional Issuing Banks one or more Lenders that are reasonably acceptable to the Administrative Agent and that agree to serve in such capacity as provided below. The acceptance by a Lender of an appointment as an Issuing Bank hereunder shall be evidenced by an agreement, which shall be in form and substance reasonably satisfactory to the Administrative Agent (and which shall specify the initial LC Commitment of such Issuing Bank), executed by the Borrower, the Administrative Agent and such designated Lender and, from and after the effective date of such agreement, (i) such Lender shall have all the rights and obligations of an Issuing Bank under this Agreement and (ii) references herein or in any other Loan Document to the term “Issuing Bank” shall be deemed to include such Lender in its capacity as an issuer of Letters of Credit hereunder.</w:t>
      </w:r>
    </w:p>
    <w:p>
      <w:pPr>
        <w:spacing w:after="0" w:line="184" w:lineRule="exact"/>
        <w:rPr>
          <w:rFonts w:ascii="Arial" w:cs="Arial" w:eastAsia="Arial" w:hAnsi="Arial"/>
          <w:sz w:val="19"/>
          <w:szCs w:val="19"/>
          <w:color w:val="auto"/>
        </w:rPr>
      </w:pPr>
    </w:p>
    <w:p>
      <w:pPr>
        <w:jc w:val="both"/>
        <w:ind w:firstLine="1952"/>
        <w:spacing w:after="0" w:line="230" w:lineRule="auto"/>
        <w:tabs>
          <w:tab w:leader="none" w:pos="249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Termination of an Issuing Bank.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w:t>
      </w:r>
      <w:r>
        <w:rPr>
          <w:rFonts w:ascii="Arial" w:cs="Arial" w:eastAsia="Arial" w:hAnsi="Arial"/>
          <w:sz w:val="34"/>
          <w:szCs w:val="34"/>
          <w:color w:val="auto"/>
          <w:vertAlign w:val="superscript"/>
        </w:rPr>
        <w:t>ce</w:t>
      </w:r>
      <w:r>
        <w:rPr>
          <w:rFonts w:ascii="Arial" w:cs="Arial" w:eastAsia="Arial" w:hAnsi="Arial"/>
          <w:sz w:val="21"/>
          <w:szCs w:val="21"/>
          <w:color w:val="auto"/>
        </w:rPr>
        <w:t xml:space="preserve"> and (ii) the 10th Business Day following the date of the delivery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2540" w:hanging="588"/>
        <w:spacing w:after="0"/>
        <w:tabs>
          <w:tab w:leader="none" w:pos="25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Replacement or Resignation of an Issuing Bank.</w:t>
      </w:r>
    </w:p>
    <w:p>
      <w:pPr>
        <w:spacing w:after="0" w:line="233" w:lineRule="exact"/>
        <w:rPr>
          <w:rFonts w:ascii="Arial" w:cs="Arial" w:eastAsia="Arial" w:hAnsi="Arial"/>
          <w:sz w:val="22"/>
          <w:szCs w:val="22"/>
          <w:color w:val="auto"/>
        </w:rPr>
      </w:pPr>
    </w:p>
    <w:p>
      <w:pPr>
        <w:jc w:val="both"/>
        <w:ind w:left="660" w:firstLine="1778"/>
        <w:spacing w:after="0" w:line="270" w:lineRule="auto"/>
        <w:tabs>
          <w:tab w:leader="none" w:pos="3186" w:val="left"/>
        </w:tabs>
        <w:numPr>
          <w:ilvl w:val="2"/>
          <w:numId w:val="129"/>
        </w:numPr>
        <w:rPr>
          <w:rFonts w:ascii="Arial" w:cs="Arial" w:eastAsia="Arial" w:hAnsi="Arial"/>
          <w:sz w:val="19"/>
          <w:szCs w:val="19"/>
          <w:color w:val="auto"/>
        </w:rPr>
      </w:pPr>
      <w:r>
        <w:rPr>
          <w:rFonts w:ascii="Arial" w:cs="Arial" w:eastAsia="Arial" w:hAnsi="Arial"/>
          <w:sz w:val="19"/>
          <w:szCs w:val="19"/>
          <w:color w:val="auto"/>
        </w:rPr>
        <w:t>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w:t>
      </w:r>
    </w:p>
    <w:p>
      <w:pPr>
        <w:spacing w:after="0" w:line="1" w:lineRule="exact"/>
        <w:rPr>
          <w:rFonts w:ascii="Arial" w:cs="Arial" w:eastAsia="Arial" w:hAnsi="Arial"/>
          <w:sz w:val="19"/>
          <w:szCs w:val="19"/>
          <w:color w:val="auto"/>
        </w:rPr>
      </w:pPr>
    </w:p>
    <w:p>
      <w:pPr>
        <w:jc w:val="both"/>
        <w:ind w:left="660" w:hanging="4"/>
        <w:spacing w:after="0" w:line="277" w:lineRule="auto"/>
        <w:tabs>
          <w:tab w:leader="none" w:pos="100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79" w:lineRule="exact"/>
        <w:rPr>
          <w:rFonts w:ascii="Arial" w:cs="Arial" w:eastAsia="Arial" w:hAnsi="Arial"/>
          <w:sz w:val="19"/>
          <w:szCs w:val="19"/>
          <w:color w:val="auto"/>
        </w:rPr>
      </w:pPr>
    </w:p>
    <w:p>
      <w:pPr>
        <w:jc w:val="both"/>
        <w:ind w:left="660" w:firstLine="1778"/>
        <w:spacing w:after="0" w:line="297" w:lineRule="auto"/>
        <w:tabs>
          <w:tab w:leader="none" w:pos="3340" w:val="left"/>
        </w:tabs>
        <w:numPr>
          <w:ilvl w:val="2"/>
          <w:numId w:val="130"/>
        </w:numPr>
        <w:rPr>
          <w:rFonts w:ascii="Arial" w:cs="Arial" w:eastAsia="Arial" w:hAnsi="Arial"/>
          <w:sz w:val="19"/>
          <w:szCs w:val="19"/>
          <w:color w:val="auto"/>
        </w:rPr>
      </w:pPr>
      <w:r>
        <w:rPr>
          <w:rFonts w:ascii="Arial" w:cs="Arial" w:eastAsia="Arial" w:hAnsi="Arial"/>
          <w:sz w:val="19"/>
          <w:szCs w:val="19"/>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2.3(l)(i) above.</w:t>
      </w:r>
    </w:p>
    <w:p>
      <w:pPr>
        <w:spacing w:after="0" w:line="160" w:lineRule="exact"/>
        <w:rPr>
          <w:rFonts w:ascii="Arial" w:cs="Arial" w:eastAsia="Arial" w:hAnsi="Arial"/>
          <w:sz w:val="19"/>
          <w:szCs w:val="19"/>
          <w:color w:val="auto"/>
        </w:rPr>
      </w:pPr>
    </w:p>
    <w:p>
      <w:pPr>
        <w:jc w:val="both"/>
        <w:ind w:firstLine="1952"/>
        <w:spacing w:after="0" w:line="272" w:lineRule="auto"/>
        <w:tabs>
          <w:tab w:leader="none" w:pos="2566"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decreases that have been accepted by the beneficiaries, increases, all expirations and cancelations and all disbursements and reimbursements, (ii) reasonably prior to the time that such Issuing Bank issues, increases or extends any Letter of Credit, the date of such issuance, increase or extension, and the amount of the Letters of Credit issued or increased by it and outstanding after giving effect to such issuance or increase,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952"/>
        <w:spacing w:after="0" w:line="249" w:lineRule="auto"/>
        <w:tabs>
          <w:tab w:leader="none" w:pos="257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LC Exposure Determination. For all purposes of this Agreement, the amount of a Letter of Credit that, by its terms or the terms of any document related thereto, provides for one or more automatic increases in the amount thereof shall be deemed to be the maximum amount of such Letter of Credit after giving effect to all such increases (other than any such increase consisting of the reinstatement of an amount previously drawn thereunder and reimbursed), whether or not such maximum amount may be drawn immediately at the time of determination.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ind w:firstLine="1952"/>
        <w:spacing w:after="0" w:line="274" w:lineRule="auto"/>
        <w:tabs>
          <w:tab w:leader="none" w:pos="261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Release.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w:t>
      </w:r>
    </w:p>
    <w:p>
      <w:pPr>
        <w:spacing w:after="0" w:line="186"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Evidence of Debt; Register; Lenders’ Books and Records; Loan Notes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48" w:lineRule="auto"/>
        <w:tabs>
          <w:tab w:leader="none" w:pos="271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make any such recordation, or any error in such recordation, shall not affect the Borrower Obligations in respect of any Loans;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in the event of any inconsistency between the Register and any Lender’s records, the recordations in the Register shall govern.</w:t>
      </w:r>
    </w:p>
    <w:p>
      <w:pPr>
        <w:spacing w:after="0" w:line="203" w:lineRule="exact"/>
        <w:rPr>
          <w:rFonts w:ascii="Arial" w:cs="Arial" w:eastAsia="Arial" w:hAnsi="Arial"/>
          <w:sz w:val="21"/>
          <w:szCs w:val="21"/>
          <w:color w:val="auto"/>
        </w:rPr>
      </w:pPr>
    </w:p>
    <w:p>
      <w:pPr>
        <w:jc w:val="both"/>
        <w:ind w:firstLine="1952"/>
        <w:spacing w:after="0" w:line="271" w:lineRule="auto"/>
        <w:tabs>
          <w:tab w:leader="none" w:pos="261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Register.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Register shall be available for inspection by the Borrower or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952"/>
        <w:spacing w:after="0" w:line="248" w:lineRule="auto"/>
        <w:tabs>
          <w:tab w:leader="none" w:pos="258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Loan Notes.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Loans provided that the delivery of such Loan Notes shall not be a condition to closing on the Closing Date.</w:t>
      </w:r>
    </w:p>
    <w:p>
      <w:pPr>
        <w:spacing w:after="0" w:line="204" w:lineRule="exact"/>
        <w:rPr>
          <w:sz w:val="20"/>
          <w:szCs w:val="20"/>
          <w:color w:val="auto"/>
        </w:rPr>
      </w:pPr>
    </w:p>
    <w:p>
      <w:pPr>
        <w:ind w:left="1140"/>
        <w:spacing w:after="0"/>
        <w:tabs>
          <w:tab w:leader="none" w:pos="274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Interest on Loans</w:t>
      </w:r>
      <w:r>
        <w:rPr>
          <w:rFonts w:ascii="Arial" w:cs="Arial" w:eastAsia="Arial" w:hAnsi="Arial"/>
          <w:sz w:val="19"/>
          <w:szCs w:val="19"/>
          <w:color w:val="auto"/>
        </w:rPr>
        <w:t>.</w:t>
      </w:r>
    </w:p>
    <w:p>
      <w:pPr>
        <w:spacing w:after="0" w:line="233" w:lineRule="exact"/>
        <w:rPr>
          <w:sz w:val="20"/>
          <w:szCs w:val="20"/>
          <w:color w:val="auto"/>
        </w:rPr>
      </w:pPr>
    </w:p>
    <w:p>
      <w:pPr>
        <w:ind w:firstLine="1952"/>
        <w:spacing w:after="0" w:line="274" w:lineRule="auto"/>
        <w:tabs>
          <w:tab w:leader="none" w:pos="258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Except as otherwise set forth herein, each Loan shall bear interest on the unpaid principal amount thereof from the date made through repayment (whether by acceleration or otherwise) thereof as follows:</w:t>
      </w:r>
    </w:p>
    <w:p>
      <w:pPr>
        <w:spacing w:after="0" w:line="177" w:lineRule="exact"/>
        <w:rPr>
          <w:rFonts w:ascii="Arial" w:cs="Arial" w:eastAsia="Arial" w:hAnsi="Arial"/>
          <w:sz w:val="21"/>
          <w:szCs w:val="21"/>
          <w:color w:val="auto"/>
        </w:rPr>
      </w:pPr>
    </w:p>
    <w:p>
      <w:pPr>
        <w:ind w:left="3280" w:hanging="842"/>
        <w:spacing w:after="0"/>
        <w:tabs>
          <w:tab w:leader="none" w:pos="328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if a Base Rate Loan,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or</w:t>
      </w:r>
    </w:p>
    <w:p>
      <w:pPr>
        <w:spacing w:after="0" w:line="233" w:lineRule="exact"/>
        <w:rPr>
          <w:rFonts w:ascii="Arial" w:cs="Arial" w:eastAsia="Arial" w:hAnsi="Arial"/>
          <w:sz w:val="22"/>
          <w:szCs w:val="22"/>
          <w:color w:val="auto"/>
        </w:rPr>
      </w:pPr>
    </w:p>
    <w:p>
      <w:pPr>
        <w:ind w:left="3240" w:hanging="802"/>
        <w:spacing w:after="0"/>
        <w:tabs>
          <w:tab w:leader="none" w:pos="324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if a Eurodollar Rate Loan, at the Adjusted Eurodollar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1952"/>
        <w:spacing w:after="0" w:line="258" w:lineRule="auto"/>
        <w:tabs>
          <w:tab w:leader="none" w:pos="250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basis for determining the rate of interest with respect to any Loan, and the Interest Period with respect to any Eurodollar Rate Loan, shall be selected by the Borrower and notified to the Administrative Agent and Lenders pursuant to the applicable Funding Notice or Conversion/Continuation Notice, as the case may be.</w:t>
      </w:r>
    </w:p>
    <w:p>
      <w:pPr>
        <w:spacing w:after="0" w:line="193" w:lineRule="exact"/>
        <w:rPr>
          <w:rFonts w:ascii="Arial" w:cs="Arial" w:eastAsia="Arial" w:hAnsi="Arial"/>
          <w:sz w:val="21"/>
          <w:szCs w:val="21"/>
          <w:color w:val="auto"/>
        </w:rPr>
      </w:pPr>
    </w:p>
    <w:p>
      <w:pPr>
        <w:jc w:val="both"/>
        <w:ind w:firstLine="1952"/>
        <w:spacing w:after="0" w:line="273" w:lineRule="auto"/>
        <w:tabs>
          <w:tab w:leader="none" w:pos="265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connection with Eurodollar Rate Loans there shall be no more than ten (10) Interest Periods outstanding at any time. In the event the Borrower fails to specify between a Base Rate Loan or a Eurodollar Rate Loan in the applicable Funding Notice or Conversion/Continuation Notice, such Loan (if outstanding as a Eurodollar Rate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Eurodollar Rate Loan in the applicable Funding Notice or Conversion/Continuation Notice, the Borrower shall be deemed to have selected an Interest Period of one month.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(in writing or by telephone confirmed in writing) to the Borrower and each Lender.</w:t>
      </w:r>
    </w:p>
    <w:p>
      <w:pPr>
        <w:spacing w:after="0" w:line="182" w:lineRule="exact"/>
        <w:rPr>
          <w:rFonts w:ascii="Arial" w:cs="Arial" w:eastAsia="Arial" w:hAnsi="Arial"/>
          <w:sz w:val="19"/>
          <w:szCs w:val="19"/>
          <w:color w:val="auto"/>
        </w:rPr>
      </w:pPr>
    </w:p>
    <w:p>
      <w:pPr>
        <w:jc w:val="both"/>
        <w:ind w:firstLine="1952"/>
        <w:spacing w:after="0" w:line="245" w:lineRule="auto"/>
        <w:tabs>
          <w:tab w:leader="none" w:pos="2574"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Interest payable pursuant to clause (a) shall be computed (i) in the case of Base Rate Loans on the basis of a 365 day or 366 day year, as the case may be, and (ii) in the case of Eurodollar Rate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Eurodollar Rate Loan, the date of conversion of such Eurodollar Rate Loan to such Base Rate Loan, as the case may be, shall be included, and the date of payment of such Loan or the expiration date of an Interest Period applicable to such Loan or, with respect to a Base Rate Loan being converted to a Eurodollar Rate Loan, the date of conversion of such Base Rate Loan to such Eurodollar Rate Loan, as the case may be, shall be excluded; </w:t>
      </w:r>
      <w:r>
        <w:rPr>
          <w:rFonts w:ascii="Arial" w:cs="Arial" w:eastAsia="Arial" w:hAnsi="Arial"/>
          <w:sz w:val="21"/>
          <w:szCs w:val="21"/>
          <w:u w:val="single" w:color="auto"/>
          <w:color w:val="auto"/>
        </w:rPr>
        <w:t>provided</w:t>
      </w:r>
      <w:r>
        <w:rPr>
          <w:rFonts w:ascii="Arial" w:cs="Arial" w:eastAsia="Arial" w:hAnsi="Arial"/>
          <w:sz w:val="21"/>
          <w:szCs w:val="21"/>
          <w:color w:val="auto"/>
        </w:rPr>
        <w:t>, if a Loan is repaid on the same day on which it is made, one day’s interest shall be paid on that Loan.</w:t>
      </w:r>
    </w:p>
    <w:p>
      <w:pPr>
        <w:spacing w:after="0" w:line="207" w:lineRule="exact"/>
        <w:rPr>
          <w:rFonts w:ascii="Arial" w:cs="Arial" w:eastAsia="Arial" w:hAnsi="Arial"/>
          <w:sz w:val="21"/>
          <w:szCs w:val="21"/>
          <w:color w:val="auto"/>
        </w:rPr>
      </w:pPr>
    </w:p>
    <w:p>
      <w:pPr>
        <w:jc w:val="both"/>
        <w:ind w:firstLine="1952"/>
        <w:spacing w:after="0" w:line="287" w:lineRule="auto"/>
        <w:tabs>
          <w:tab w:leader="none" w:pos="253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with respect to any voluntary prepayment of a Base Rate Loan, accrued interest shall instead be payable on the applicable Interest Payment Date).</w:t>
      </w:r>
    </w:p>
    <w:p>
      <w:pPr>
        <w:spacing w:after="0" w:line="170"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Conversion/Continuation</w:t>
      </w:r>
      <w:r>
        <w:rPr>
          <w:rFonts w:ascii="Arial" w:cs="Arial" w:eastAsia="Arial" w:hAnsi="Arial"/>
          <w:sz w:val="19"/>
          <w:szCs w:val="19"/>
          <w:color w:val="auto"/>
        </w:rPr>
        <w:t>.</w:t>
      </w:r>
    </w:p>
    <w:p>
      <w:pPr>
        <w:spacing w:after="0" w:line="233" w:lineRule="exact"/>
        <w:rPr>
          <w:sz w:val="20"/>
          <w:szCs w:val="20"/>
          <w:color w:val="auto"/>
        </w:rPr>
      </w:pPr>
    </w:p>
    <w:p>
      <w:pPr>
        <w:ind w:right="20" w:firstLine="1952"/>
        <w:spacing w:after="0" w:line="250" w:lineRule="auto"/>
        <w:tabs>
          <w:tab w:leader="none" w:pos="260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Subject to Section 2.15 and so long as no Default or Event of Default shall have occurred and then be continuing, the Borrower shall have the option:</w:t>
      </w:r>
    </w:p>
    <w:p>
      <w:pPr>
        <w:spacing w:after="0" w:line="201" w:lineRule="exact"/>
        <w:rPr>
          <w:rFonts w:ascii="Arial" w:cs="Arial" w:eastAsia="Arial" w:hAnsi="Arial"/>
          <w:sz w:val="22"/>
          <w:szCs w:val="22"/>
          <w:color w:val="auto"/>
        </w:rPr>
      </w:pPr>
    </w:p>
    <w:p>
      <w:pPr>
        <w:jc w:val="both"/>
        <w:ind w:left="660" w:firstLine="1778"/>
        <w:spacing w:after="0" w:line="238" w:lineRule="auto"/>
        <w:tabs>
          <w:tab w:leader="none" w:pos="326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to convert at any time all or any part of any Loan (in an amount permitted by Section 2.1(b) (iii)) from one Type of Loan to another Type of Loan; </w:t>
      </w:r>
      <w:r>
        <w:rPr>
          <w:rFonts w:ascii="Arial" w:cs="Arial" w:eastAsia="Arial" w:hAnsi="Arial"/>
          <w:sz w:val="22"/>
          <w:szCs w:val="22"/>
          <w:u w:val="single" w:color="auto"/>
          <w:color w:val="auto"/>
        </w:rPr>
        <w:t>provided</w:t>
      </w:r>
      <w:r>
        <w:rPr>
          <w:rFonts w:ascii="Arial" w:cs="Arial" w:eastAsia="Arial" w:hAnsi="Arial"/>
          <w:sz w:val="22"/>
          <w:szCs w:val="22"/>
          <w:color w:val="auto"/>
        </w:rPr>
        <w:t>, a Eurodollar Rate Loan may only be converted on the expiration of the Interest Period applicable to such Eurodollar Rate Loan unless the Borrower shall pay all amounts due under Section 2.15 in connection with any such conversion; or</w:t>
      </w:r>
    </w:p>
    <w:p>
      <w:pPr>
        <w:spacing w:after="0" w:line="211" w:lineRule="exact"/>
        <w:rPr>
          <w:rFonts w:ascii="Arial" w:cs="Arial" w:eastAsia="Arial" w:hAnsi="Arial"/>
          <w:sz w:val="22"/>
          <w:szCs w:val="22"/>
          <w:color w:val="auto"/>
        </w:rPr>
      </w:pPr>
    </w:p>
    <w:p>
      <w:pPr>
        <w:ind w:left="660" w:firstLine="1778"/>
        <w:spacing w:after="0" w:line="328" w:lineRule="auto"/>
        <w:tabs>
          <w:tab w:leader="none" w:pos="357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upon the expiration of any Interest Period applicable to any Eurodollar Rate Loan, to continue all or any portion of such Loan (in an amount permitted by Section 2.1(b)(iii)) as a Eurodollar Rate Loan.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both"/>
        <w:ind w:firstLine="1952"/>
        <w:spacing w:after="0" w:line="274" w:lineRule="auto"/>
        <w:tabs>
          <w:tab w:leader="none" w:pos="265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Eurodollar Rate Loan). Except as otherwise provided herein, a Conversion/Continuation Notice for conversion to, or continuation of, any Eurodollar Rate Loans shall be irrevocable on and after the related Interest Rate Determination Date,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spacing w:after="0" w:line="185" w:lineRule="exact"/>
        <w:rPr>
          <w:rFonts w:ascii="Arial" w:cs="Arial" w:eastAsia="Arial" w:hAnsi="Arial"/>
          <w:sz w:val="19"/>
          <w:szCs w:val="19"/>
          <w:color w:val="auto"/>
        </w:rPr>
      </w:pPr>
    </w:p>
    <w:p>
      <w:pPr>
        <w:jc w:val="both"/>
        <w:ind w:firstLine="1952"/>
        <w:spacing w:after="0" w:line="273" w:lineRule="auto"/>
        <w:tabs>
          <w:tab w:leader="none" w:pos="252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182"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Default Interest</w:t>
      </w:r>
      <w:r>
        <w:rPr>
          <w:rFonts w:ascii="Arial" w:cs="Arial" w:eastAsia="Arial" w:hAnsi="Arial"/>
          <w:sz w:val="21"/>
          <w:szCs w:val="21"/>
          <w:color w:val="auto"/>
        </w:rPr>
        <w: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w:t>
      </w:r>
    </w:p>
    <w:p>
      <w:pPr>
        <w:spacing w:after="0" w:line="208"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33" w:lineRule="exact"/>
        <w:rPr>
          <w:sz w:val="20"/>
          <w:szCs w:val="20"/>
          <w:color w:val="auto"/>
        </w:rPr>
      </w:pPr>
    </w:p>
    <w:p>
      <w:pPr>
        <w:jc w:val="both"/>
        <w:ind w:firstLine="1952"/>
        <w:spacing w:after="0" w:line="275" w:lineRule="auto"/>
        <w:tabs>
          <w:tab w:leader="none" w:pos="279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Lender a commitment fee, which shall accrue at a rate per annum equal to 0.50% on the average daily unused amount of the Commitment of such Lender during the period from and including the date hereof to but excluding the date on which the Commitments terminate. Accrued commitment fees shall be payable in arrears on the last Business Day of March, June, September and December of each year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ind w:firstLine="1952"/>
        <w:spacing w:after="0" w:line="270" w:lineRule="auto"/>
        <w:tabs>
          <w:tab w:leader="none" w:pos="264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Lender a participation fee with respect to its participations in Letters of Credit, which shall accrue at the same Applicable Margin used to determine the interest rate applicable to Eurodollar Rate Loans on the average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increase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right="20" w:firstLine="1952"/>
        <w:spacing w:after="0" w:line="250" w:lineRule="auto"/>
        <w:tabs>
          <w:tab w:leader="none" w:pos="252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Borrower agrees to pay to each Arranger and the Administrative Agent fees and expenses in the amounts and at the times separately agreed upon.</w:t>
      </w:r>
    </w:p>
    <w:p>
      <w:pPr>
        <w:spacing w:after="0" w:line="201" w:lineRule="exact"/>
        <w:rPr>
          <w:rFonts w:ascii="Arial" w:cs="Arial" w:eastAsia="Arial" w:hAnsi="Arial"/>
          <w:sz w:val="22"/>
          <w:szCs w:val="22"/>
          <w:color w:val="auto"/>
        </w:rPr>
      </w:pPr>
    </w:p>
    <w:p>
      <w:pPr>
        <w:ind w:firstLine="1952"/>
        <w:spacing w:after="0" w:line="274" w:lineRule="auto"/>
        <w:tabs>
          <w:tab w:leader="none" w:pos="257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Borrower agrees to pay to each Arranger and the Administrative Agent fees in the amounts and at the times set forth in that certain Second Amended and Restated Fee Letter, dated as of the date hereof.</w:t>
      </w:r>
    </w:p>
    <w:p>
      <w:pPr>
        <w:spacing w:after="0" w:line="177" w:lineRule="exact"/>
        <w:rPr>
          <w:rFonts w:ascii="Arial" w:cs="Arial" w:eastAsia="Arial" w:hAnsi="Arial"/>
          <w:sz w:val="21"/>
          <w:szCs w:val="21"/>
          <w:color w:val="auto"/>
        </w:rPr>
      </w:pPr>
    </w:p>
    <w:p>
      <w:pPr>
        <w:jc w:val="both"/>
        <w:ind w:firstLine="1952"/>
        <w:spacing w:after="0"/>
        <w:tabs>
          <w:tab w:leader="none" w:pos="261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w:t>
      </w:r>
    </w:p>
    <w:p>
      <w:pPr>
        <w:spacing w:after="0" w:line="213"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233" w:lineRule="exact"/>
        <w:rPr>
          <w:sz w:val="20"/>
          <w:szCs w:val="20"/>
          <w:color w:val="auto"/>
        </w:rPr>
      </w:pPr>
    </w:p>
    <w:p>
      <w:pPr>
        <w:ind w:left="2560" w:hanging="608"/>
        <w:spacing w:after="0"/>
        <w:tabs>
          <w:tab w:leader="none" w:pos="25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Unless previously terminated, the Commitments shall automatically terminate on the Maturity Date.</w:t>
      </w:r>
    </w:p>
    <w:p>
      <w:pPr>
        <w:spacing w:after="0" w:line="267" w:lineRule="exact"/>
        <w:rPr>
          <w:rFonts w:ascii="Arial" w:cs="Arial" w:eastAsia="Arial" w:hAnsi="Arial"/>
          <w:sz w:val="19"/>
          <w:szCs w:val="19"/>
          <w:color w:val="auto"/>
        </w:rPr>
      </w:pPr>
    </w:p>
    <w:p>
      <w:pPr>
        <w:jc w:val="both"/>
        <w:ind w:firstLine="1952"/>
        <w:spacing w:after="0" w:line="282" w:lineRule="auto"/>
        <w:tabs>
          <w:tab w:leader="none" w:pos="287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Borrower may at any time terminate, or from time to time permanently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partial reduction of the Commitments shall be in an amount that is an integral multiple of $100,000 and not less than $1,000,000 and (ii) the Borrower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w:t>
      </w:r>
    </w:p>
    <w:p>
      <w:pPr>
        <w:spacing w:after="0" w:line="174" w:lineRule="exact"/>
        <w:rPr>
          <w:rFonts w:ascii="Arial" w:cs="Arial" w:eastAsia="Arial" w:hAnsi="Arial"/>
          <w:sz w:val="19"/>
          <w:szCs w:val="19"/>
          <w:color w:val="auto"/>
        </w:rPr>
      </w:pPr>
    </w:p>
    <w:p>
      <w:pPr>
        <w:jc w:val="both"/>
        <w:ind w:firstLine="1952"/>
        <w:spacing w:after="0" w:line="274" w:lineRule="auto"/>
        <w:tabs>
          <w:tab w:leader="none" w:pos="268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or reduction of the Commitments under paragraph (b) of this Section may state that such notice is conditioned upon the occurrence of one or more events specified in such notice,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ind w:left="1140"/>
        <w:spacing w:after="0"/>
        <w:tabs>
          <w:tab w:leader="none" w:pos="26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Voluntary and Mandatory Prepayments</w:t>
      </w:r>
      <w:r>
        <w:rPr>
          <w:rFonts w:ascii="Arial" w:cs="Arial" w:eastAsia="Arial" w:hAnsi="Arial"/>
          <w:sz w:val="19"/>
          <w:szCs w:val="19"/>
          <w:color w:val="auto"/>
        </w:rPr>
        <w:t>.</w:t>
      </w:r>
    </w:p>
    <w:p>
      <w:pPr>
        <w:spacing w:after="0" w:line="234" w:lineRule="exact"/>
        <w:rPr>
          <w:sz w:val="20"/>
          <w:szCs w:val="20"/>
          <w:color w:val="auto"/>
        </w:rPr>
      </w:pPr>
    </w:p>
    <w:p>
      <w:pPr>
        <w:ind w:firstLine="1952"/>
        <w:spacing w:after="0" w:line="250" w:lineRule="auto"/>
        <w:tabs>
          <w:tab w:leader="none" w:pos="267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Voluntary Prepayments. The Borrower shall have the right at any time and from time to time to prepay any Borrowing in whole or in part, subject to the requirements of this Section.</w:t>
      </w:r>
    </w:p>
    <w:p>
      <w:pPr>
        <w:spacing w:after="0" w:line="201" w:lineRule="exact"/>
        <w:rPr>
          <w:rFonts w:ascii="Arial" w:cs="Arial" w:eastAsia="Arial" w:hAnsi="Arial"/>
          <w:sz w:val="22"/>
          <w:szCs w:val="22"/>
          <w:color w:val="auto"/>
        </w:rPr>
      </w:pPr>
    </w:p>
    <w:p>
      <w:pPr>
        <w:jc w:val="both"/>
        <w:ind w:firstLine="1952"/>
        <w:spacing w:after="0" w:line="238" w:lineRule="auto"/>
        <w:tabs>
          <w:tab w:leader="none" w:pos="25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Mandatory Prepayments. In the event and on each occasion that the Aggregate Revolving Exposure exceeds the Aggregate Commitment, the Borrower shall prepay Borrowings (or, if no such Borrowings are outstanding, deposit cash collateral in an account with the Administrative Agent in accordance with Section 2.3(i)) in an aggregate amount equal to such excess.</w:t>
      </w:r>
    </w:p>
    <w:p>
      <w:pPr>
        <w:spacing w:after="0" w:line="211" w:lineRule="exact"/>
        <w:rPr>
          <w:rFonts w:ascii="Arial" w:cs="Arial" w:eastAsia="Arial" w:hAnsi="Arial"/>
          <w:sz w:val="22"/>
          <w:szCs w:val="22"/>
          <w:color w:val="auto"/>
        </w:rPr>
      </w:pPr>
    </w:p>
    <w:p>
      <w:pPr>
        <w:jc w:val="both"/>
        <w:ind w:firstLine="1952"/>
        <w:spacing w:after="0" w:line="270" w:lineRule="auto"/>
        <w:tabs>
          <w:tab w:leader="none" w:pos="257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Prepayment Procedures. Prior to any optional or mandatory prepayment of Borrowings under this Section, the Borrower shall select the Borrowing or Borrowings to be prepaid and shall specify such selection in the notice of such prepayment delivered pursuant to the following sentence. All such prepayments voluntary or mandatory prepayments shall be made (i) upon written or telephonic notice on the date of prepayment, in the case of Base Rate Loans and (ii) upon not less than (to the extent practicable, in the case of a mandatory prepayment) two Business Days’ prior written or telephonic notice in the case of Eurodollar Rate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w:t>
      </w:r>
    </w:p>
    <w:p>
      <w:pPr>
        <w:spacing w:after="0" w:line="200" w:lineRule="exact"/>
        <w:rPr>
          <w:sz w:val="20"/>
          <w:szCs w:val="20"/>
          <w:color w:val="auto"/>
        </w:rPr>
      </w:pPr>
    </w:p>
    <w:p>
      <w:pPr>
        <w:spacing w:after="0" w:line="236" w:lineRule="exact"/>
        <w:rPr>
          <w:sz w:val="20"/>
          <w:szCs w:val="20"/>
          <w:color w:val="auto"/>
        </w:rPr>
      </w:pPr>
    </w:p>
    <w:p>
      <w:pPr>
        <w:ind w:left="1140"/>
        <w:spacing w:after="0"/>
        <w:tabs>
          <w:tab w:leader="none" w:pos="27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w:t>
      </w:r>
    </w:p>
    <w:p>
      <w:pPr>
        <w:spacing w:after="0" w:line="233"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Document, if</w:t>
      </w:r>
    </w:p>
    <w:p>
      <w:pPr>
        <w:spacing w:after="0" w:line="215" w:lineRule="exact"/>
        <w:rPr>
          <w:sz w:val="20"/>
          <w:szCs w:val="20"/>
          <w:color w:val="auto"/>
        </w:rPr>
      </w:pPr>
    </w:p>
    <w:p>
      <w:pPr>
        <w:jc w:val="both"/>
        <w:ind w:left="660" w:firstLine="1778"/>
        <w:spacing w:after="0"/>
        <w:tabs>
          <w:tab w:leader="none" w:pos="319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 a Benchmark Transition Event or, as the case may be, an Early Opt-in Election and (B) a Benchmark Replacement Date with respect thereto have occurred prior to the Reference Time in connection with any setting of the then-current Benchmark, then:</w:t>
      </w:r>
    </w:p>
    <w:p>
      <w:pPr>
        <w:spacing w:after="0" w:line="213" w:lineRule="exact"/>
        <w:rPr>
          <w:rFonts w:ascii="Arial" w:cs="Arial" w:eastAsia="Arial" w:hAnsi="Arial"/>
          <w:sz w:val="22"/>
          <w:szCs w:val="22"/>
          <w:color w:val="auto"/>
        </w:rPr>
      </w:pPr>
    </w:p>
    <w:p>
      <w:pPr>
        <w:jc w:val="both"/>
        <w:ind w:left="660" w:firstLine="482"/>
        <w:spacing w:after="0" w:line="249" w:lineRule="auto"/>
        <w:tabs>
          <w:tab w:leader="none" w:pos="237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a Benchmark Replacement is determined in accordance with clause (1) or (2)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left="660" w:firstLine="482"/>
        <w:spacing w:after="0" w:line="246" w:lineRule="auto"/>
        <w:tabs>
          <w:tab w:leader="none" w:pos="264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if a Benchmark Replacement is determined in accordance with clause (3) of the definition of “Benchmark Replacement” for such Benchmark Replacement Date, such Benchmark Replacement will replace the then-current Benchmark for all purposes under this Agreement and under any other Loan Document in respect of any Benchmark setting at or after 5:00 p.m. (New York City time) on the fifth (5th)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 or</w:t>
      </w:r>
    </w:p>
    <w:p>
      <w:pPr>
        <w:spacing w:after="0" w:line="207" w:lineRule="exact"/>
        <w:rPr>
          <w:rFonts w:ascii="Arial" w:cs="Arial" w:eastAsia="Arial" w:hAnsi="Arial"/>
          <w:sz w:val="21"/>
          <w:szCs w:val="21"/>
          <w:color w:val="auto"/>
        </w:rPr>
      </w:pPr>
    </w:p>
    <w:p>
      <w:pPr>
        <w:jc w:val="both"/>
        <w:ind w:left="660" w:firstLine="1778"/>
        <w:spacing w:after="0" w:line="273" w:lineRule="auto"/>
        <w:tabs>
          <w:tab w:leader="none" w:pos="3300" w:val="left"/>
        </w:tabs>
        <w:numPr>
          <w:ilvl w:val="2"/>
          <w:numId w:val="143"/>
        </w:numPr>
        <w:rPr>
          <w:rFonts w:ascii="Arial" w:cs="Arial" w:eastAsia="Arial" w:hAnsi="Arial"/>
          <w:sz w:val="19"/>
          <w:szCs w:val="19"/>
          <w:color w:val="auto"/>
        </w:rPr>
      </w:pPr>
      <w:r>
        <w:rPr>
          <w:rFonts w:ascii="Arial" w:cs="Arial" w:eastAsia="Arial" w:hAnsi="Arial"/>
          <w:sz w:val="19"/>
          <w:szCs w:val="19"/>
          <w:color w:val="auto"/>
        </w:rPr>
        <w:t>(A) a Benchmark Transition Event or, as the case may be, an Early Opt-in Election and the Benchmark Replacement Date with respect thereto has already occurred prior to the Reference Time for any setting of the then-current Benchmark and as a result the then-current Benchmark is being determined in accordance with clauses (2) or</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of the definition of “Benchmark Replacement”; and</w:t>
      </w:r>
    </w:p>
    <w:p>
      <w:pPr>
        <w:spacing w:after="0" w:line="215" w:lineRule="exact"/>
        <w:rPr>
          <w:rFonts w:ascii="Arial" w:cs="Arial" w:eastAsia="Arial" w:hAnsi="Arial"/>
          <w:sz w:val="22"/>
          <w:szCs w:val="22"/>
          <w:color w:val="auto"/>
        </w:rPr>
      </w:pPr>
    </w:p>
    <w:p>
      <w:pPr>
        <w:jc w:val="both"/>
        <w:ind w:left="660" w:firstLine="2426"/>
        <w:spacing w:after="0" w:line="275" w:lineRule="auto"/>
        <w:tabs>
          <w:tab w:leader="none" w:pos="3457" w:val="left"/>
        </w:tabs>
        <w:numPr>
          <w:ilvl w:val="3"/>
          <w:numId w:val="144"/>
        </w:numPr>
        <w:rPr>
          <w:rFonts w:ascii="Arial" w:cs="Arial" w:eastAsia="Arial" w:hAnsi="Arial"/>
          <w:sz w:val="19"/>
          <w:szCs w:val="19"/>
          <w:color w:val="auto"/>
        </w:rPr>
      </w:pPr>
      <w:r>
        <w:rPr>
          <w:rFonts w:ascii="Arial" w:cs="Arial" w:eastAsia="Arial" w:hAnsi="Arial"/>
          <w:sz w:val="19"/>
          <w:szCs w:val="19"/>
          <w:color w:val="auto"/>
        </w:rPr>
        <w:t>the Administrative Agent subsequently determines, in its sole discretion, that (w) Term SOFR and a Benchmark Replacement Adjustment with respect thereto is or has becomes available and the Benchmark Replacement Date with respect thereto has occurred, (x) there is currently a market for U.S. dollar-denominated syndicated credit facilities utilizing Term SOFR as a Benchmark and for determining the Benchmark Replacement Adjustment with respect thereto, (y) Term SOFR is being recommended as the Benchmark for U.S. dollar-denominated syndicated credit facilities by the Relevant Government Authority and (z) in any event, Term SOFR, the Benchmark Replacement Adjustment with respect thereto and the application thereof is administratively feasible for the Administrative Agent (as determined by the Administrative Agent in its sole discretion),</w:t>
      </w:r>
    </w:p>
    <w:p>
      <w:pPr>
        <w:spacing w:after="0" w:line="184" w:lineRule="exact"/>
        <w:rPr>
          <w:sz w:val="20"/>
          <w:szCs w:val="20"/>
          <w:color w:val="auto"/>
        </w:rPr>
      </w:pPr>
    </w:p>
    <w:p>
      <w:pPr>
        <w:jc w:val="both"/>
        <w:ind w:right="640" w:firstLine="648"/>
        <w:spacing w:after="0" w:line="248" w:lineRule="auto"/>
        <w:rPr>
          <w:sz w:val="20"/>
          <w:szCs w:val="20"/>
          <w:color w:val="auto"/>
        </w:rPr>
      </w:pPr>
      <w:r>
        <w:rPr>
          <w:rFonts w:ascii="Arial" w:cs="Arial" w:eastAsia="Arial" w:hAnsi="Arial"/>
          <w:sz w:val="21"/>
          <w:szCs w:val="21"/>
          <w:color w:val="auto"/>
        </w:rPr>
        <w:t>then clause (1) 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p>
    <w:p>
      <w:pPr>
        <w:spacing w:after="0" w:line="204" w:lineRule="exact"/>
        <w:rPr>
          <w:sz w:val="20"/>
          <w:szCs w:val="20"/>
          <w:color w:val="auto"/>
        </w:rPr>
      </w:pPr>
    </w:p>
    <w:p>
      <w:pPr>
        <w:jc w:val="both"/>
        <w:ind w:firstLine="1952"/>
        <w:spacing w:after="0" w:line="272" w:lineRule="auto"/>
        <w:tabs>
          <w:tab w:leader="none" w:pos="2803"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xml:space="preserve">. In connection with the implementation of a Benchmark Replacement, the Administrative Agent will have the right to make Benchmark Replacement Conforming Changes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 To the extent administratively and operationally feasible, the Administrative Agent shall use commercially reasonable efforts to ensure that any Benchmark Replacement Rate and any Benchmark Replacement Conforming Changes shall meet the standards set forth in Proposed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Proposed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1952"/>
        <w:spacing w:after="0" w:line="273" w:lineRule="auto"/>
        <w:tabs>
          <w:tab w:leader="none" w:pos="2697"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 and the Lenders of (i) any occurrence of (A) a Benchmark Transition Event or, as the case may be, an Early Opt-in Election and (B) the Benchmark Replacement Date with respect thereto,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52"/>
        <w:spacing w:after="0" w:line="270" w:lineRule="auto"/>
        <w:tabs>
          <w:tab w:leader="none" w:pos="2614"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xml:space="preserve">. Notwithstanding anything to the contrary herein or in any other Loan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administratively and operationally feasible, the Administrative Agent shall use commercially reasonable efforts to ensure that any Benchmark Replacement Rate and any Benchmark Replacement Conforming Changes shall meet the standards set forth in Proposed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Proposed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1952"/>
        <w:spacing w:after="0" w:line="277" w:lineRule="auto"/>
        <w:tabs>
          <w:tab w:leader="none" w:pos="2521"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request for a Eurodollar Borrowing of, conversion to or continuation of Eurodollar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8" w:lineRule="exact"/>
        <w:rPr>
          <w:rFonts w:ascii="Arial" w:cs="Arial" w:eastAsia="Arial" w:hAnsi="Arial"/>
          <w:sz w:val="19"/>
          <w:szCs w:val="19"/>
          <w:color w:val="auto"/>
        </w:rPr>
      </w:pPr>
    </w:p>
    <w:p>
      <w:pPr>
        <w:ind w:firstLine="1952"/>
        <w:spacing w:after="0" w:line="250" w:lineRule="auto"/>
        <w:tabs>
          <w:tab w:leader="none" w:pos="260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avoidance of doubt, any Hedge Agreement shall be deemed not to be a “Loan Document” for purposes of this Section 2.12.</w:t>
      </w:r>
    </w:p>
    <w:p>
      <w:pPr>
        <w:spacing w:after="0" w:line="202"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General Provisions Regarding Payments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8" w:lineRule="auto"/>
        <w:tabs>
          <w:tab w:leader="none" w:pos="262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1952"/>
        <w:spacing w:after="0" w:line="236" w:lineRule="auto"/>
        <w:tabs>
          <w:tab w:leader="none" w:pos="258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214" w:lineRule="exact"/>
        <w:rPr>
          <w:rFonts w:ascii="Arial" w:cs="Arial" w:eastAsia="Arial" w:hAnsi="Arial"/>
          <w:sz w:val="22"/>
          <w:szCs w:val="22"/>
          <w:color w:val="auto"/>
        </w:rPr>
      </w:pPr>
    </w:p>
    <w:p>
      <w:pPr>
        <w:jc w:val="both"/>
        <w:ind w:firstLine="1952"/>
        <w:spacing w:after="0" w:line="252" w:lineRule="auto"/>
        <w:tabs>
          <w:tab w:leader="none" w:pos="262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200" w:lineRule="exact"/>
        <w:rPr>
          <w:rFonts w:ascii="Arial" w:cs="Arial" w:eastAsia="Arial" w:hAnsi="Arial"/>
          <w:sz w:val="21"/>
          <w:szCs w:val="21"/>
          <w:color w:val="auto"/>
        </w:rPr>
      </w:pPr>
    </w:p>
    <w:p>
      <w:pPr>
        <w:jc w:val="both"/>
        <w:ind w:firstLine="1952"/>
        <w:spacing w:after="0" w:line="297" w:lineRule="auto"/>
        <w:tabs>
          <w:tab w:leader="none" w:pos="277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Notwithstanding the foregoing provisions hereof, if any Conversion/Continuation Notice is withdrawn as to any Affected Lender or if any Affected Lender makes Base Rate Loans in lieu of its Pro Rata Share of any Eurodollar Rate Loans, the Administrative Agent shall give effect thereto in apportioning payments received thereafter.</w:t>
      </w:r>
    </w:p>
    <w:p>
      <w:pPr>
        <w:spacing w:after="0" w:line="160" w:lineRule="exact"/>
        <w:rPr>
          <w:rFonts w:ascii="Arial" w:cs="Arial" w:eastAsia="Arial" w:hAnsi="Arial"/>
          <w:sz w:val="19"/>
          <w:szCs w:val="19"/>
          <w:color w:val="auto"/>
        </w:rPr>
      </w:pPr>
    </w:p>
    <w:p>
      <w:pPr>
        <w:ind w:firstLine="1952"/>
        <w:spacing w:after="0" w:line="250" w:lineRule="auto"/>
        <w:tabs>
          <w:tab w:leader="none" w:pos="250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Whenever any payment to be made hereunder with respect to any Loan shall be stated to be due on a day that is not a Business Day, such payment shall be made on the next succeeding Business Day.</w:t>
      </w:r>
    </w:p>
    <w:p>
      <w:pPr>
        <w:spacing w:after="0" w:line="201" w:lineRule="exact"/>
        <w:rPr>
          <w:rFonts w:ascii="Arial" w:cs="Arial" w:eastAsia="Arial" w:hAnsi="Arial"/>
          <w:sz w:val="22"/>
          <w:szCs w:val="22"/>
          <w:color w:val="auto"/>
        </w:rPr>
      </w:pPr>
    </w:p>
    <w:p>
      <w:pPr>
        <w:jc w:val="both"/>
        <w:ind w:firstLine="1952"/>
        <w:spacing w:after="0" w:line="273" w:lineRule="auto"/>
        <w:tabs>
          <w:tab w:leader="none" w:pos="259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line="46"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Ratable Sharing</w:t>
      </w:r>
      <w:r>
        <w:rPr>
          <w:rFonts w:ascii="Arial" w:cs="Arial" w:eastAsia="Arial" w:hAnsi="Arial"/>
          <w:sz w:val="19"/>
          <w:szCs w:val="19"/>
          <w:color w:val="auto"/>
        </w:rPr>
        <w:t>.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Arial" w:cs="Arial" w:eastAsia="Arial" w:hAnsi="Arial"/>
          <w:sz w:val="19"/>
          <w:szCs w:val="19"/>
          <w:u w:val="single" w:color="auto"/>
          <w:color w:val="auto"/>
        </w:rPr>
        <w:t>Aggregate Amounts Due</w:t>
      </w:r>
      <w:r>
        <w:rPr>
          <w:rFonts w:ascii="Arial" w:cs="Arial" w:eastAsia="Arial" w:hAnsi="Arial"/>
          <w:sz w:val="19"/>
          <w:szCs w:val="19"/>
          <w:color w:val="auto"/>
        </w:rPr>
        <w:t>”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 on which such Lender acquired the applicable interest in the Loan to which such participation relates.</w:t>
      </w:r>
    </w:p>
    <w:p>
      <w:pPr>
        <w:spacing w:after="0" w:line="200"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Making or Maintaining Eurodollar Rate Loans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73" w:lineRule="auto"/>
        <w:tabs>
          <w:tab w:leader="none" w:pos="269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Inability to Determine Applicable Interest Rate. Subject to Section 2.12, in the event that the Required Lenders shall have reasonably determined (which determination shall be final and conclusive and binding upon all parties hereto but shall be made only after consultation with the Borrower and the Administrative Agent) on any Interest Rate Determination Date with respect to any Eurodollar Rate Loans, that by reason of circumstances affecting the London interbank market (other than the circumstances described in Section 2.12) adequate and fair means do not exist for ascertaining the interest rate applicable to such Loans on the basis provided for in the definition of “Adjusted Eurodollar Rate,” the Administrative Agent shall on such date give notice (by facsimile or by telephone confirmed in writing) to the Borrower and each Lender of such determination, whereupon (i) no Loans may be made as, or converted to, Eurodollar Rate Loans until such time as the Administrative Agent notifies the Borrower and Lenders that the circumstances giving rise to such notice no longer exist, and (ii) any Funding Notice or Conversion/Continuation Notice given by the Borrower with respect to the Loans in respect of which such determination was made shall be deemed to be rescinded by the Borrower.</w:t>
      </w:r>
    </w:p>
    <w:p>
      <w:pPr>
        <w:spacing w:after="0" w:line="182" w:lineRule="exact"/>
        <w:rPr>
          <w:rFonts w:ascii="Arial" w:cs="Arial" w:eastAsia="Arial" w:hAnsi="Arial"/>
          <w:sz w:val="19"/>
          <w:szCs w:val="19"/>
          <w:color w:val="auto"/>
        </w:rPr>
      </w:pPr>
    </w:p>
    <w:p>
      <w:pPr>
        <w:jc w:val="both"/>
        <w:ind w:firstLine="1952"/>
        <w:spacing w:after="0" w:line="270" w:lineRule="auto"/>
        <w:tabs>
          <w:tab w:leader="none" w:pos="254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Illegality or Impracticability of Eurodollar Rate Loans.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Eurodollar Rate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w:t>
      </w:r>
    </w:p>
    <w:p>
      <w:pPr>
        <w:spacing w:after="0" w:line="1" w:lineRule="exact"/>
        <w:rPr>
          <w:rFonts w:ascii="Arial" w:cs="Arial" w:eastAsia="Arial" w:hAnsi="Arial"/>
          <w:sz w:val="19"/>
          <w:szCs w:val="19"/>
          <w:color w:val="auto"/>
        </w:rPr>
      </w:pPr>
    </w:p>
    <w:p>
      <w:pPr>
        <w:jc w:val="both"/>
        <w:ind w:firstLine="8"/>
        <w:spacing w:after="0" w:line="268" w:lineRule="auto"/>
        <w:tabs>
          <w:tab w:leader="none" w:pos="3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(which determination shall be final and conclusive and binding upon all parties hereto) that the making, maintaining, converting to or continuation of its Eurodollar Rate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Arial" w:cs="Arial" w:eastAsia="Arial" w:hAnsi="Arial"/>
          <w:sz w:val="19"/>
          <w:szCs w:val="19"/>
          <w:u w:val="single" w:color="auto"/>
          <w:color w:val="auto"/>
        </w:rPr>
        <w:t>Affected Lender</w:t>
      </w:r>
      <w:r>
        <w:rPr>
          <w:rFonts w:ascii="Arial" w:cs="Arial" w:eastAsia="Arial" w:hAnsi="Arial"/>
          <w:sz w:val="19"/>
          <w:szCs w:val="19"/>
          <w:color w:val="auto"/>
        </w:rPr>
        <w:t>” and such Affected Lender shall on that day give 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Eurodollar Rate Loans shall be suspended until such notice shall be withdrawn by each Affected Lender, (B) to the extent such determination by the Affected Lender relates to a Eurodollar Rate Loan then being requested by the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Eurodollar Rate Loans (the “</w:t>
      </w:r>
      <w:r>
        <w:rPr>
          <w:rFonts w:ascii="Arial" w:cs="Arial" w:eastAsia="Arial" w:hAnsi="Arial"/>
          <w:sz w:val="19"/>
          <w:szCs w:val="19"/>
          <w:u w:val="single" w:color="auto"/>
          <w:color w:val="auto"/>
        </w:rPr>
        <w:t>Affected Loans</w:t>
      </w:r>
      <w:r>
        <w:rPr>
          <w:rFonts w:ascii="Arial" w:cs="Arial" w:eastAsia="Arial" w:hAnsi="Arial"/>
          <w:sz w:val="19"/>
          <w:szCs w:val="19"/>
          <w:color w:val="auto"/>
        </w:rPr>
        <w:t>”)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Eurodollar Rate Loan then being requested by the Borrower pursuant to a Funding Notice or a Conversion/Continuation Notice, the Borrower shall have the option, subject to the provisions of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2.15(b) shall affect the</w:t>
      </w:r>
    </w:p>
    <w:p>
      <w:pPr>
        <w:sectPr>
          <w:pgSz w:w="11900" w:h="16884" w:orient="portrait"/>
          <w:cols w:equalWidth="0" w:num="1">
            <w:col w:w="11240"/>
          </w:cols>
          <w:pgMar w:left="320" w:top="118" w:right="339" w:bottom="0" w:gutter="0" w:footer="0" w:header="0"/>
        </w:sectPr>
      </w:pPr>
    </w:p>
    <w:bookmarkStart w:id="132" w:name="page133"/>
    <w:bookmarkEnd w:id="132"/>
    <w:p>
      <w:pPr>
        <w:spacing w:after="0" w:line="251" w:lineRule="auto"/>
        <w:rPr>
          <w:sz w:val="20"/>
          <w:szCs w:val="20"/>
          <w:color w:val="auto"/>
        </w:rPr>
      </w:pPr>
      <w:r>
        <w:rPr>
          <w:rFonts w:ascii="Arial" w:cs="Arial" w:eastAsia="Arial" w:hAnsi="Arial"/>
          <w:sz w:val="22"/>
          <w:szCs w:val="22"/>
          <w:color w:val="auto"/>
        </w:rPr>
        <w:t>obligation of any Lender other than an Affected Lender to make or maintain Loans as, or to convert Loans to, Eurodollar Rate Loans in accordance with the terms 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ind w:firstLine="1952"/>
        <w:spacing w:after="0" w:line="244" w:lineRule="auto"/>
        <w:tabs>
          <w:tab w:leader="none" w:pos="2737" w:val="left"/>
        </w:tabs>
        <w:numPr>
          <w:ilvl w:val="0"/>
          <w:numId w:val="151"/>
        </w:numPr>
        <w:rPr>
          <w:rFonts w:ascii="Arial" w:cs="Arial" w:eastAsia="Arial" w:hAnsi="Arial"/>
          <w:sz w:val="21"/>
          <w:szCs w:val="21"/>
          <w:color w:val="auto"/>
        </w:rPr>
      </w:pPr>
      <w:r>
        <w:rPr>
          <w:rFonts w:ascii="Arial" w:cs="Arial" w:eastAsia="Arial" w:hAnsi="Arial"/>
          <w:sz w:val="21"/>
          <w:szCs w:val="21"/>
          <w:color w:val="auto"/>
        </w:rPr>
        <w:t>Compensation for Breakage or Non-Commencement of Interest Periods.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Eurodollar Rate Loan does not occur on a date specified therefor in a Funding Notice or a telephonic request for borrowing, or a conversion to or continuation of any Eurodollar Rate Loan does not occur on a date specified therefor in a Conversion/Continuation Notice or a telephonic request for conversion or continuation; (ii) if any prepayment or other principal payment of, or any conversion of, any of its Eurodollar Rate Loans occurs on a date prior to the last day of an Interest Period applicable to that Loan; or (iii) if any prepayment of any of its Eurodollar Rate Loans is not made on any date specified in a notice of prepayment given by the Borrower.</w:t>
      </w:r>
    </w:p>
    <w:p>
      <w:pPr>
        <w:spacing w:after="0" w:line="213" w:lineRule="exact"/>
        <w:rPr>
          <w:rFonts w:ascii="Arial" w:cs="Arial" w:eastAsia="Arial" w:hAnsi="Arial"/>
          <w:sz w:val="21"/>
          <w:szCs w:val="21"/>
          <w:color w:val="auto"/>
        </w:rPr>
      </w:pPr>
    </w:p>
    <w:p>
      <w:pPr>
        <w:ind w:firstLine="1952"/>
        <w:spacing w:after="0" w:line="250" w:lineRule="auto"/>
        <w:tabs>
          <w:tab w:leader="none" w:pos="257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Booking of Eurodollar Rate Loans. Any Lender may make, carry or transfer Eurodollar Rate Loans at, to, or for the account of any of its branch offices or the office of an Affiliate of such Lender.</w:t>
      </w:r>
    </w:p>
    <w:p>
      <w:pPr>
        <w:spacing w:after="0" w:line="201" w:lineRule="exact"/>
        <w:rPr>
          <w:rFonts w:ascii="Arial" w:cs="Arial" w:eastAsia="Arial" w:hAnsi="Arial"/>
          <w:sz w:val="22"/>
          <w:szCs w:val="22"/>
          <w:color w:val="auto"/>
        </w:rPr>
      </w:pPr>
    </w:p>
    <w:p>
      <w:pPr>
        <w:jc w:val="both"/>
        <w:ind w:firstLine="1952"/>
        <w:spacing w:after="0" w:line="275" w:lineRule="auto"/>
        <w:tabs>
          <w:tab w:leader="none" w:pos="253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Assumptions Concerning Funding of Eurodollar Rate Loans. Calculation of all amounts payable to a Lender under this Section 2.15 and under Section 2.16 shall be made as though such Lender had actually funded each of its relevant Eurodollar Rate Loans through the purchase of a Eurodollar deposit bearing interest at the rate obtained pursuant to clause (a) of the definition of “Adjusted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each Lender may fund each of its Eurodollar Rate Loans in any manner it sees fit and the foregoing assumptions shall be utilized only for the purposes of calculating amounts payable under this Section 2.15 and under Section 2.16.</w:t>
      </w:r>
    </w:p>
    <w:p>
      <w:pPr>
        <w:spacing w:after="0" w:line="184" w:lineRule="exact"/>
        <w:rPr>
          <w:sz w:val="20"/>
          <w:szCs w:val="20"/>
          <w:color w:val="auto"/>
        </w:rPr>
      </w:pPr>
    </w:p>
    <w:p>
      <w:pPr>
        <w:ind w:left="1140"/>
        <w:spacing w:after="0"/>
        <w:tabs>
          <w:tab w:leader="none" w:pos="274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Increased Costs; Capital Requirements</w:t>
      </w:r>
      <w:r>
        <w:rPr>
          <w:rFonts w:ascii="Arial" w:cs="Arial" w:eastAsia="Arial" w:hAnsi="Arial"/>
          <w:sz w:val="19"/>
          <w:szCs w:val="19"/>
          <w:color w:val="auto"/>
        </w:rPr>
        <w:t>.</w:t>
      </w:r>
    </w:p>
    <w:p>
      <w:pPr>
        <w:spacing w:after="0" w:line="233" w:lineRule="exact"/>
        <w:rPr>
          <w:sz w:val="20"/>
          <w:szCs w:val="20"/>
          <w:color w:val="auto"/>
        </w:rPr>
      </w:pPr>
    </w:p>
    <w:p>
      <w:pPr>
        <w:ind w:left="2560" w:hanging="608"/>
        <w:spacing w:after="0"/>
        <w:tabs>
          <w:tab w:leader="none" w:pos="25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Increased Costs. If any Change in Law shall:</w:t>
      </w:r>
    </w:p>
    <w:p>
      <w:pPr>
        <w:spacing w:after="0" w:line="233" w:lineRule="exact"/>
        <w:rPr>
          <w:rFonts w:ascii="Arial" w:cs="Arial" w:eastAsia="Arial" w:hAnsi="Arial"/>
          <w:sz w:val="22"/>
          <w:szCs w:val="22"/>
          <w:color w:val="auto"/>
        </w:rPr>
      </w:pPr>
    </w:p>
    <w:p>
      <w:pPr>
        <w:jc w:val="both"/>
        <w:ind w:left="660" w:firstLine="1778"/>
        <w:spacing w:after="0" w:line="297" w:lineRule="auto"/>
        <w:tabs>
          <w:tab w:leader="none" w:pos="3226" w:val="left"/>
        </w:tabs>
        <w:numPr>
          <w:ilvl w:val="1"/>
          <w:numId w:val="152"/>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Eurodollar Rate) or any Issuing Bank;</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ind w:left="660" w:firstLine="1778"/>
        <w:spacing w:after="0" w:line="238" w:lineRule="auto"/>
        <w:tabs>
          <w:tab w:leader="none" w:pos="338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212" w:lineRule="exact"/>
        <w:rPr>
          <w:rFonts w:ascii="Arial" w:cs="Arial" w:eastAsia="Arial" w:hAnsi="Arial"/>
          <w:sz w:val="22"/>
          <w:szCs w:val="22"/>
          <w:color w:val="auto"/>
        </w:rPr>
      </w:pPr>
    </w:p>
    <w:p>
      <w:pPr>
        <w:jc w:val="both"/>
        <w:ind w:left="660" w:firstLine="1778"/>
        <w:spacing w:after="0"/>
        <w:tabs>
          <w:tab w:leader="none" w:pos="353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Loans made by such Lender or any Letter of Credit or participation therein;</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215" w:lineRule="exact"/>
        <w:rPr>
          <w:sz w:val="20"/>
          <w:szCs w:val="20"/>
          <w:color w:val="auto"/>
        </w:rPr>
      </w:pPr>
    </w:p>
    <w:p>
      <w:pPr>
        <w:jc w:val="both"/>
        <w:ind w:firstLine="1952"/>
        <w:spacing w:after="0" w:line="244" w:lineRule="auto"/>
        <w:tabs>
          <w:tab w:leader="none" w:pos="2682" w:val="left"/>
        </w:tabs>
        <w:numPr>
          <w:ilvl w:val="0"/>
          <w:numId w:val="154"/>
        </w:numPr>
        <w:rPr>
          <w:rFonts w:ascii="Arial" w:cs="Arial" w:eastAsia="Arial" w:hAnsi="Arial"/>
          <w:sz w:val="21"/>
          <w:szCs w:val="21"/>
          <w:color w:val="auto"/>
        </w:rPr>
      </w:pPr>
      <w:r>
        <w:rPr>
          <w:rFonts w:ascii="Arial" w:cs="Arial" w:eastAsia="Arial" w:hAnsi="Arial"/>
          <w:sz w:val="21"/>
          <w:szCs w:val="21"/>
          <w:color w:val="auto"/>
        </w:rPr>
        <w:t>Capital Requirements.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such Issuing Bank such additional amount or amounts as will compensate such Lender or such Issuing Bank or such Lender’s or such Issuing Bank’s holding company for any such reduction suffered.</w:t>
      </w:r>
    </w:p>
    <w:p>
      <w:pPr>
        <w:spacing w:after="0" w:line="215" w:lineRule="exact"/>
        <w:rPr>
          <w:rFonts w:ascii="Arial" w:cs="Arial" w:eastAsia="Arial" w:hAnsi="Arial"/>
          <w:sz w:val="21"/>
          <w:szCs w:val="21"/>
          <w:color w:val="auto"/>
        </w:rPr>
      </w:pPr>
    </w:p>
    <w:p>
      <w:pPr>
        <w:jc w:val="both"/>
        <w:ind w:firstLine="1952"/>
        <w:spacing w:after="0" w:line="236" w:lineRule="auto"/>
        <w:tabs>
          <w:tab w:leader="none" w:pos="268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Certificates for Reimbursement. A certificate of a Lender or an Issuing Bank setting forth the amount or amounts necessary to compensate such Lender or such Issuing Bank or its holding company, as the case may be, as specified in paragraph (a) or (b) of this Section and delivered to the Borrower, shall be conclusive absent manifest error. The Borrower shall pay such Lender or such Issuing Bank the amount shown as due on any such certificate within 30 days after receipt thereof.</w:t>
      </w:r>
    </w:p>
    <w:p>
      <w:pPr>
        <w:spacing w:after="0" w:line="214" w:lineRule="exact"/>
        <w:rPr>
          <w:rFonts w:ascii="Arial" w:cs="Arial" w:eastAsia="Arial" w:hAnsi="Arial"/>
          <w:sz w:val="22"/>
          <w:szCs w:val="22"/>
          <w:color w:val="auto"/>
        </w:rPr>
      </w:pPr>
    </w:p>
    <w:p>
      <w:pPr>
        <w:jc w:val="both"/>
        <w:ind w:firstLine="1952"/>
        <w:spacing w:after="0" w:line="246" w:lineRule="auto"/>
        <w:tabs>
          <w:tab w:leader="none" w:pos="2668"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Delay in Requests.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an Issuing Bank pursuant to this Section for any increased costs incurred or reductions suffered more than nine months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ind w:left="1140"/>
        <w:spacing w:after="0"/>
        <w:tabs>
          <w:tab w:leader="none" w:pos="26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4" w:lineRule="exact"/>
        <w:rPr>
          <w:sz w:val="20"/>
          <w:szCs w:val="20"/>
          <w:color w:val="auto"/>
        </w:rPr>
      </w:pPr>
    </w:p>
    <w:p>
      <w:pPr>
        <w:jc w:val="both"/>
        <w:ind w:firstLine="1952"/>
        <w:spacing w:after="0" w:line="269" w:lineRule="auto"/>
        <w:tabs>
          <w:tab w:leader="none" w:pos="267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Arial" w:cs="Arial" w:eastAsia="Arial" w:hAnsi="Arial"/>
          <w:sz w:val="19"/>
          <w:szCs w:val="19"/>
          <w:u w:val="single" w:color="auto"/>
          <w:color w:val="auto"/>
        </w:rPr>
        <w:t>FATCA</w:t>
      </w:r>
      <w:r>
        <w:rPr>
          <w:rFonts w:ascii="Arial" w:cs="Arial" w:eastAsia="Arial" w:hAnsi="Arial"/>
          <w:sz w:val="19"/>
          <w:szCs w:val="19"/>
          <w:color w:val="auto"/>
        </w:rPr>
        <w:t>”)). If applicable Law (as determined in the good faith discretion of any applicable withholding agent) requires any Taxes not described in clauses (i) through (iv) of the preceding sentence (“</w:t>
      </w:r>
      <w:r>
        <w:rPr>
          <w:rFonts w:ascii="Arial" w:cs="Arial" w:eastAsia="Arial" w:hAnsi="Arial"/>
          <w:sz w:val="19"/>
          <w:szCs w:val="19"/>
          <w:u w:val="single" w:color="auto"/>
          <w:color w:val="auto"/>
        </w:rPr>
        <w:t>Non-Excluded Taxes</w:t>
      </w:r>
      <w:r>
        <w:rPr>
          <w:rFonts w:ascii="Arial" w:cs="Arial" w:eastAsia="Arial" w:hAnsi="Arial"/>
          <w:sz w:val="19"/>
          <w:szCs w:val="19"/>
          <w:color w:val="auto"/>
        </w:rPr>
        <w:t>”)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952"/>
        <w:spacing w:after="0"/>
        <w:tabs>
          <w:tab w:leader="none" w:pos="265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Without duplication of Section 2.17(a), the Loan Parties shall pay to the relevant Governmental Authority in accordance with applicable Law, or at the option of the Administrative Agent timely reimburse it for the payment of, any Other Taxes.</w:t>
      </w:r>
    </w:p>
    <w:p>
      <w:pPr>
        <w:spacing w:after="0" w:line="213" w:lineRule="exact"/>
        <w:rPr>
          <w:rFonts w:ascii="Arial" w:cs="Arial" w:eastAsia="Arial" w:hAnsi="Arial"/>
          <w:sz w:val="22"/>
          <w:szCs w:val="22"/>
          <w:color w:val="auto"/>
        </w:rPr>
      </w:pPr>
    </w:p>
    <w:p>
      <w:pPr>
        <w:jc w:val="both"/>
        <w:ind w:firstLine="1952"/>
        <w:spacing w:after="0" w:line="297" w:lineRule="auto"/>
        <w:tabs>
          <w:tab w:leader="none" w:pos="260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spacing w:after="0" w:line="160" w:lineRule="exact"/>
        <w:rPr>
          <w:rFonts w:ascii="Arial" w:cs="Arial" w:eastAsia="Arial" w:hAnsi="Arial"/>
          <w:sz w:val="19"/>
          <w:szCs w:val="19"/>
          <w:color w:val="auto"/>
        </w:rPr>
      </w:pPr>
    </w:p>
    <w:p>
      <w:pPr>
        <w:jc w:val="both"/>
        <w:ind w:firstLine="1952"/>
        <w:spacing w:after="0" w:line="273" w:lineRule="auto"/>
        <w:tabs>
          <w:tab w:leader="none" w:pos="25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ind w:firstLine="1952"/>
        <w:spacing w:after="0" w:line="273" w:lineRule="auto"/>
        <w:tabs>
          <w:tab w:leader="none" w:pos="265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w:t>
      </w:r>
    </w:p>
    <w:p>
      <w:pPr>
        <w:spacing w:after="0" w:line="182" w:lineRule="exact"/>
        <w:rPr>
          <w:rFonts w:ascii="Arial" w:cs="Arial" w:eastAsia="Arial" w:hAnsi="Arial"/>
          <w:sz w:val="19"/>
          <w:szCs w:val="19"/>
          <w:color w:val="auto"/>
        </w:rPr>
      </w:pPr>
    </w:p>
    <w:p>
      <w:pPr>
        <w:jc w:val="both"/>
        <w:ind w:firstLine="1952"/>
        <w:spacing w:after="0" w:line="270" w:lineRule="auto"/>
        <w:tabs>
          <w:tab w:leader="none" w:pos="259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(other than such documentation set forth in Section 2.17(g))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520" w:hanging="568"/>
        <w:spacing w:after="0"/>
        <w:tabs>
          <w:tab w:leader="none" w:pos="25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Without limiting the generality of Section 2.17(f):</w:t>
      </w:r>
    </w:p>
    <w:p>
      <w:pPr>
        <w:spacing w:after="0" w:line="233" w:lineRule="exact"/>
        <w:rPr>
          <w:rFonts w:ascii="Arial" w:cs="Arial" w:eastAsia="Arial" w:hAnsi="Arial"/>
          <w:sz w:val="22"/>
          <w:szCs w:val="22"/>
          <w:color w:val="auto"/>
        </w:rPr>
      </w:pPr>
    </w:p>
    <w:p>
      <w:pPr>
        <w:jc w:val="both"/>
        <w:ind w:left="660" w:firstLine="1778"/>
        <w:spacing w:after="0" w:line="236" w:lineRule="auto"/>
        <w:tabs>
          <w:tab w:leader="none" w:pos="3483" w:val="left"/>
        </w:tabs>
        <w:numPr>
          <w:ilvl w:val="1"/>
          <w:numId w:val="156"/>
        </w:numPr>
        <w:rPr>
          <w:rFonts w:ascii="Arial" w:cs="Arial" w:eastAsia="Arial" w:hAnsi="Arial"/>
          <w:sz w:val="22"/>
          <w:szCs w:val="22"/>
          <w:color w:val="auto"/>
        </w:rPr>
      </w:pPr>
      <w:r>
        <w:rPr>
          <w:rFonts w:ascii="Arial" w:cs="Arial" w:eastAsia="Arial" w:hAnsi="Arial"/>
          <w:sz w:val="22"/>
          <w:szCs w:val="22"/>
          <w:color w:val="auto"/>
        </w:rPr>
        <w:t>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3260" w:hanging="822"/>
        <w:spacing w:after="0"/>
        <w:tabs>
          <w:tab w:leader="none" w:pos="326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Each Lender that is not a “United States person” (as such term is defined in Section 7701(a)</w:t>
      </w:r>
    </w:p>
    <w:p>
      <w:pPr>
        <w:spacing w:after="0" w:line="43" w:lineRule="exact"/>
        <w:rPr>
          <w:rFonts w:ascii="Arial" w:cs="Arial" w:eastAsia="Arial" w:hAnsi="Arial"/>
          <w:sz w:val="19"/>
          <w:szCs w:val="19"/>
          <w:color w:val="auto"/>
        </w:rPr>
      </w:pPr>
    </w:p>
    <w:p>
      <w:pPr>
        <w:jc w:val="both"/>
        <w:ind w:left="660" w:hanging="4"/>
        <w:spacing w:after="0" w:line="287" w:lineRule="auto"/>
        <w:tabs>
          <w:tab w:leader="none" w:pos="107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of the Code) (a “</w:t>
      </w:r>
      <w:r>
        <w:rPr>
          <w:rFonts w:ascii="Arial" w:cs="Arial" w:eastAsia="Arial" w:hAnsi="Arial"/>
          <w:sz w:val="19"/>
          <w:szCs w:val="19"/>
          <w:u w:val="single" w:color="auto"/>
          <w:color w:val="auto"/>
        </w:rPr>
        <w:t>Foreign Lender</w:t>
      </w:r>
      <w:r>
        <w:rPr>
          <w:rFonts w:ascii="Arial" w:cs="Arial" w:eastAsia="Arial" w:hAnsi="Arial"/>
          <w:sz w:val="19"/>
          <w:szCs w:val="19"/>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170" w:lineRule="exact"/>
        <w:rPr>
          <w:sz w:val="20"/>
          <w:szCs w:val="20"/>
          <w:color w:val="auto"/>
        </w:rPr>
      </w:pPr>
    </w:p>
    <w:p>
      <w:pPr>
        <w:jc w:val="both"/>
        <w:ind w:left="1140" w:firstLine="1298"/>
        <w:spacing w:after="0"/>
        <w:tabs>
          <w:tab w:leader="none" w:pos="331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IRS Form W-8BEN or Form W-8BEN-E, as applicable, establishing an exemption from, or reduction of, U.S. federal withholding Tax pursuant to such tax treaty;</w:t>
      </w:r>
    </w:p>
    <w:p>
      <w:pPr>
        <w:spacing w:after="0" w:line="213" w:lineRule="exact"/>
        <w:rPr>
          <w:rFonts w:ascii="Arial" w:cs="Arial" w:eastAsia="Arial" w:hAnsi="Arial"/>
          <w:sz w:val="22"/>
          <w:szCs w:val="22"/>
          <w:color w:val="auto"/>
        </w:rPr>
      </w:pPr>
    </w:p>
    <w:p>
      <w:pPr>
        <w:ind w:left="3260" w:hanging="822"/>
        <w:spacing w:after="0"/>
        <w:tabs>
          <w:tab w:leader="none" w:pos="3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IRS Form W-8ECI;</w:t>
      </w:r>
    </w:p>
    <w:p>
      <w:pPr>
        <w:spacing w:after="0" w:line="233" w:lineRule="exact"/>
        <w:rPr>
          <w:rFonts w:ascii="Arial" w:cs="Arial" w:eastAsia="Arial" w:hAnsi="Arial"/>
          <w:sz w:val="22"/>
          <w:szCs w:val="22"/>
          <w:color w:val="auto"/>
        </w:rPr>
      </w:pPr>
    </w:p>
    <w:p>
      <w:pPr>
        <w:jc w:val="both"/>
        <w:ind w:left="1140" w:firstLine="1298"/>
        <w:spacing w:after="0"/>
        <w:tabs>
          <w:tab w:leader="none" w:pos="325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2"/>
          <w:szCs w:val="22"/>
          <w:u w:val="single" w:color="auto"/>
          <w:color w:val="auto"/>
        </w:rPr>
        <w:t>Exhibit F-1</w:t>
      </w:r>
      <w:r>
        <w:rPr>
          <w:rFonts w:ascii="Arial" w:cs="Arial" w:eastAsia="Arial" w:hAnsi="Arial"/>
          <w:sz w:val="22"/>
          <w:szCs w:val="22"/>
          <w:color w:val="auto"/>
        </w:rPr>
        <w:t xml:space="preserve"> (a “</w:t>
      </w:r>
      <w:r>
        <w:rPr>
          <w:rFonts w:ascii="Arial" w:cs="Arial" w:eastAsia="Arial" w:hAnsi="Arial"/>
          <w:sz w:val="22"/>
          <w:szCs w:val="22"/>
          <w:u w:val="single" w:color="auto"/>
          <w:color w:val="auto"/>
        </w:rPr>
        <w:t>U.S. Tax Compliance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Certificate</w:t>
      </w:r>
      <w:r>
        <w:rPr>
          <w:rFonts w:ascii="Arial" w:cs="Arial" w:eastAsia="Arial" w:hAnsi="Arial"/>
          <w:sz w:val="22"/>
          <w:szCs w:val="22"/>
          <w:color w:val="auto"/>
        </w:rPr>
        <w:t>”) and (y) IRS Form W-8BEN or Form W-8BEN-E, as applicable;</w:t>
      </w:r>
    </w:p>
    <w:p>
      <w:pPr>
        <w:spacing w:after="0" w:line="213" w:lineRule="exact"/>
        <w:rPr>
          <w:rFonts w:ascii="Arial" w:cs="Arial" w:eastAsia="Arial" w:hAnsi="Arial"/>
          <w:sz w:val="22"/>
          <w:szCs w:val="22"/>
          <w:color w:val="auto"/>
        </w:rPr>
      </w:pPr>
    </w:p>
    <w:p>
      <w:pPr>
        <w:jc w:val="both"/>
        <w:ind w:left="1140" w:firstLine="1298"/>
        <w:spacing w:after="0" w:line="234" w:lineRule="auto"/>
        <w:tabs>
          <w:tab w:leader="none" w:pos="369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To the extent a Foreign Lender is not the beneficial owner, IRS Form W-8IMY, accompanied by IRS Form W-8ECI, Form W-8BEN, Form W-8BEN-E, a U.S. Tax Compliance Certificate substantially in the form of </w:t>
      </w:r>
      <w:r>
        <w:rPr>
          <w:rFonts w:ascii="Arial" w:cs="Arial" w:eastAsia="Arial" w:hAnsi="Arial"/>
          <w:sz w:val="22"/>
          <w:szCs w:val="22"/>
          <w:u w:val="single" w:color="auto"/>
          <w:color w:val="auto"/>
        </w:rPr>
        <w:t>Exhibit F-2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F-3</w:t>
      </w:r>
      <w:r>
        <w:rPr>
          <w:rFonts w:ascii="Arial" w:cs="Arial" w:eastAsia="Arial" w:hAnsi="Arial"/>
          <w:sz w:val="22"/>
          <w:szCs w:val="22"/>
          <w:color w:val="auto"/>
        </w:rPr>
        <w:t xml:space="preserv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2"/>
          <w:szCs w:val="22"/>
          <w:u w:val="single" w:color="auto"/>
          <w:color w:val="auto"/>
        </w:rPr>
        <w:t>Exhibit F-4</w:t>
      </w:r>
      <w:r>
        <w:rPr>
          <w:rFonts w:ascii="Arial" w:cs="Arial" w:eastAsia="Arial" w:hAnsi="Arial"/>
          <w:sz w:val="22"/>
          <w:szCs w:val="22"/>
          <w:color w:val="auto"/>
        </w:rPr>
        <w:t xml:space="preserve"> on behalf of each such direct and indirect partner.</w:t>
      </w:r>
    </w:p>
    <w:p>
      <w:pPr>
        <w:spacing w:after="0" w:line="218" w:lineRule="exact"/>
        <w:rPr>
          <w:sz w:val="20"/>
          <w:szCs w:val="20"/>
          <w:color w:val="auto"/>
        </w:rPr>
      </w:pPr>
    </w:p>
    <w:p>
      <w:pPr>
        <w:jc w:val="both"/>
        <w:ind w:left="660" w:firstLine="1778"/>
        <w:spacing w:after="0" w:line="244" w:lineRule="auto"/>
        <w:tabs>
          <w:tab w:leader="none" w:pos="3414" w:val="left"/>
        </w:tabs>
        <w:numPr>
          <w:ilvl w:val="2"/>
          <w:numId w:val="160"/>
        </w:numPr>
        <w:rPr>
          <w:rFonts w:ascii="Arial" w:cs="Arial" w:eastAsia="Arial" w:hAnsi="Arial"/>
          <w:sz w:val="21"/>
          <w:szCs w:val="21"/>
          <w:color w:val="auto"/>
        </w:rPr>
      </w:pPr>
      <w:r>
        <w:rPr>
          <w:rFonts w:ascii="Arial" w:cs="Arial" w:eastAsia="Arial" w:hAnsi="Arial"/>
          <w:sz w:val="21"/>
          <w:szCs w:val="21"/>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215" w:lineRule="exact"/>
        <w:rPr>
          <w:rFonts w:ascii="Arial" w:cs="Arial" w:eastAsia="Arial" w:hAnsi="Arial"/>
          <w:sz w:val="21"/>
          <w:szCs w:val="21"/>
          <w:color w:val="auto"/>
        </w:rPr>
      </w:pPr>
    </w:p>
    <w:p>
      <w:pPr>
        <w:jc w:val="both"/>
        <w:ind w:firstLine="1952"/>
        <w:spacing w:after="0" w:line="271" w:lineRule="auto"/>
        <w:tabs>
          <w:tab w:leader="none" w:pos="261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w:t>
      </w:r>
    </w:p>
    <w:p>
      <w:pPr>
        <w:spacing w:after="0" w:line="3" w:lineRule="exact"/>
        <w:rPr>
          <w:rFonts w:ascii="Arial" w:cs="Arial" w:eastAsia="Arial" w:hAnsi="Arial"/>
          <w:sz w:val="19"/>
          <w:szCs w:val="19"/>
          <w:color w:val="auto"/>
        </w:rPr>
      </w:pPr>
    </w:p>
    <w:p>
      <w:pPr>
        <w:ind w:left="420" w:hanging="412"/>
        <w:spacing w:after="0"/>
        <w:tabs>
          <w:tab w:leader="none" w:pos="4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of the Code, then it shall, on or prior to the date on which it becomes the Administrative Agent, provide the Borrower with,</w:t>
      </w:r>
    </w:p>
    <w:p>
      <w:pPr>
        <w:spacing w:after="0" w:line="24"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color w:val="auto"/>
        </w:rPr>
        <w:t>(i)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such Administrative Agent or Arranger is unable to deliver as a result of a Change in Law after the date of this Agreement.</w:t>
      </w:r>
    </w:p>
    <w:p>
      <w:pPr>
        <w:sectPr>
          <w:pgSz w:w="11900" w:h="16838" w:orient="portrait"/>
          <w:cols w:equalWidth="0" w:num="1">
            <w:col w:w="11240"/>
          </w:cols>
          <w:pgMar w:left="320" w:top="118"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8" w:name="page139"/>
    <w:bookmarkEnd w:id="138"/>
    <w:p>
      <w:pPr>
        <w:jc w:val="both"/>
        <w:ind w:firstLine="1952"/>
        <w:spacing w:after="0"/>
        <w:tabs>
          <w:tab w:leader="none" w:pos="275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213" w:lineRule="exact"/>
        <w:rPr>
          <w:rFonts w:ascii="Arial" w:cs="Arial" w:eastAsia="Arial" w:hAnsi="Arial"/>
          <w:sz w:val="22"/>
          <w:szCs w:val="22"/>
          <w:color w:val="auto"/>
        </w:rPr>
      </w:pPr>
    </w:p>
    <w:p>
      <w:pPr>
        <w:ind w:left="2540" w:hanging="588"/>
        <w:spacing w:after="0"/>
        <w:tabs>
          <w:tab w:leader="none" w:pos="25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For purposes of this Section 2.17, the term “Lender” shall include any Issuing Bank.</w:t>
      </w:r>
    </w:p>
    <w:p>
      <w:pPr>
        <w:spacing w:after="0" w:line="233"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Obligation to Mitigate</w:t>
      </w:r>
      <w:r>
        <w:rPr>
          <w:rFonts w:ascii="Arial" w:cs="Arial" w:eastAsia="Arial" w:hAnsi="Arial"/>
          <w:sz w:val="19"/>
          <w:szCs w:val="19"/>
          <w:color w:val="auto"/>
        </w:rPr>
        <w:t xml:space="preserv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Section 2.15, 2.16 or 2.17, it will, to the extent not inconsistent with the internal policies of such Lender and any applicable legal or regulatory restrictions,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 For purposes of this Section 2.18, the term “Lender” shall include any Issuing Bank and the term “Loan” shall include any Letter of Credit.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ind w:firstLine="1134"/>
        <w:spacing w:after="0" w:line="268"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Removal or Replacement of a Lender</w:t>
      </w:r>
      <w:r>
        <w:rPr>
          <w:rFonts w:ascii="Arial" w:cs="Arial" w:eastAsia="Arial" w:hAnsi="Arial"/>
          <w:sz w:val="19"/>
          <w:szCs w:val="19"/>
          <w:color w:val="auto"/>
        </w:rPr>
        <w:t>. Anything contained herein to the contrary notwithstanding, in the event that: (a)(i) any Lender shall give notice to the Borrower that such Lender is an Affected Lender or that such Lender is entitled to receive payments or that the Borrower is required to make payments under Section 2.15, 2.16 or 2.17 (an “</w:t>
      </w:r>
      <w:r>
        <w:rPr>
          <w:rFonts w:ascii="Arial" w:cs="Arial" w:eastAsia="Arial" w:hAnsi="Arial"/>
          <w:sz w:val="19"/>
          <w:szCs w:val="19"/>
          <w:u w:val="single" w:color="auto"/>
          <w:color w:val="auto"/>
        </w:rPr>
        <w:t>Increased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Cost Lender</w:t>
      </w:r>
      <w:r>
        <w:rPr>
          <w:rFonts w:ascii="Arial" w:cs="Arial" w:eastAsia="Arial" w:hAnsi="Arial"/>
          <w:sz w:val="19"/>
          <w:szCs w:val="19"/>
          <w:color w:val="auto"/>
        </w:rPr>
        <w:t>”),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whose consent is required shall not have been obtained; or (c) if any Lender is a Non-Extending Lender under Section 2.21; then, with respect to each such Increased Cost Lender, Non-Consenting Lender or Non-Extending Lender (the “</w:t>
      </w:r>
      <w:r>
        <w:rPr>
          <w:rFonts w:ascii="Arial" w:cs="Arial" w:eastAsia="Arial" w:hAnsi="Arial"/>
          <w:sz w:val="19"/>
          <w:szCs w:val="19"/>
          <w:u w:val="single" w:color="auto"/>
          <w:color w:val="auto"/>
        </w:rPr>
        <w:t>Terminated Lender</w:t>
      </w:r>
      <w:r>
        <w:rPr>
          <w:rFonts w:ascii="Arial" w:cs="Arial" w:eastAsia="Arial" w:hAnsi="Arial"/>
          <w:sz w:val="19"/>
          <w:szCs w:val="19"/>
          <w:color w:val="auto"/>
        </w:rPr>
        <w:t>”),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and the Borrower shall pay the fees, if any, payable thereunder in connection with any such assignment from an Increased Cost Lender, a Non-Consenting Lender or a Non-Extending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w:t>
      </w:r>
    </w:p>
    <w:p>
      <w:pPr>
        <w:spacing w:after="0" w:line="1" w:lineRule="exact"/>
        <w:rPr>
          <w:sz w:val="20"/>
          <w:szCs w:val="20"/>
          <w:color w:val="auto"/>
        </w:rPr>
      </w:pPr>
    </w:p>
    <w:p>
      <w:pPr>
        <w:jc w:val="both"/>
        <w:ind w:firstLine="8"/>
        <w:spacing w:after="0" w:line="269" w:lineRule="auto"/>
        <w:tabs>
          <w:tab w:leader="none" w:pos="3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Section 2.15(c),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 For purposes of this Section 2.19, the term “Lender” shall include any Issuing Bank and the term “Loan” shall include any Letter of Credit.</w:t>
      </w:r>
    </w:p>
    <w:p>
      <w:pPr>
        <w:spacing w:after="0" w:line="193"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213" w:lineRule="exact"/>
        <w:rPr>
          <w:sz w:val="20"/>
          <w:szCs w:val="20"/>
          <w:color w:val="auto"/>
        </w:rPr>
      </w:pPr>
    </w:p>
    <w:p>
      <w:pPr>
        <w:ind w:firstLine="1952"/>
        <w:spacing w:after="0" w:line="250" w:lineRule="auto"/>
        <w:tabs>
          <w:tab w:leader="none" w:pos="287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commitment fees shall cease to accrue on the unused amount of the Commitment of such Defaulting Lender pursuant to Section 2.8(a).</w:t>
      </w:r>
    </w:p>
    <w:p>
      <w:pPr>
        <w:spacing w:after="0" w:line="201" w:lineRule="exact"/>
        <w:rPr>
          <w:rFonts w:ascii="Arial" w:cs="Arial" w:eastAsia="Arial" w:hAnsi="Arial"/>
          <w:sz w:val="22"/>
          <w:szCs w:val="22"/>
          <w:color w:val="auto"/>
        </w:rPr>
      </w:pPr>
    </w:p>
    <w:p>
      <w:pPr>
        <w:jc w:val="both"/>
        <w:ind w:firstLine="1952"/>
        <w:spacing w:after="0" w:line="235" w:lineRule="auto"/>
        <w:tabs>
          <w:tab w:leader="none" w:pos="272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amendment, waiver or other modification requiring the consent of all Lenders or all Lenders affected thereby shall, except as otherwise provided in Section 9.1, require the consent of such Defaulting Lender in accordance with the terms hereof;</w:t>
      </w:r>
    </w:p>
    <w:p>
      <w:pPr>
        <w:spacing w:after="0" w:line="214" w:lineRule="exact"/>
        <w:rPr>
          <w:rFonts w:ascii="Arial" w:cs="Arial" w:eastAsia="Arial" w:hAnsi="Arial"/>
          <w:sz w:val="22"/>
          <w:szCs w:val="22"/>
          <w:color w:val="auto"/>
        </w:rPr>
      </w:pPr>
    </w:p>
    <w:p>
      <w:pPr>
        <w:ind w:left="2560" w:hanging="608"/>
        <w:spacing w:after="0"/>
        <w:tabs>
          <w:tab w:leader="none" w:pos="25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any LC Exposure exists at the time such Lender becomes a Defaulting Lender then: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ind w:left="660" w:firstLine="1778"/>
        <w:spacing w:after="0" w:line="245" w:lineRule="auto"/>
        <w:tabs>
          <w:tab w:leader="none" w:pos="3199"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all or any part of the LC Exposure of such Defaulting Lender (other than any portion of such LC Exposure attributable to unreimbursed LC Disbursements with respect to which such Defaulting Lender shall have funded its participation as contemplated by Sections 2.3(e) and 2.3(f)) shall be reallocated among the Non-Defaulting Lenders in accordance with their respective Pro Rata Shares, but only to the extent that the sum of all Non-Defaulting Lenders’ Revolving Exposures plus such Defaulting Lender’s LC Exposure would not exceed the sum of all Non-Defaulting Lenders’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reallocation under this clause (i)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11" w:lineRule="exact"/>
        <w:rPr>
          <w:rFonts w:ascii="Arial" w:cs="Arial" w:eastAsia="Arial" w:hAnsi="Arial"/>
          <w:sz w:val="21"/>
          <w:szCs w:val="21"/>
          <w:color w:val="auto"/>
        </w:rPr>
      </w:pPr>
    </w:p>
    <w:p>
      <w:pPr>
        <w:jc w:val="both"/>
        <w:ind w:left="660" w:firstLine="1778"/>
        <w:spacing w:after="0" w:line="236" w:lineRule="auto"/>
        <w:tabs>
          <w:tab w:leader="none" w:pos="325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the reallocation described in clause (i) above cannot, or can only partially, be effected, the Borrower shall within one Business Day following notice by the Administrative Agent cash collateralize for the benefit of the Issuing Banks the portion of such Defaulting Lender’s LC Exposure (other than any portion thereof referred to in the parenthetical in such clause (i)) that has not been reallocated in accordance with the procedures set forth in Section 2.3(i) for so long as such LC Exposure is outstanding;</w:t>
      </w:r>
    </w:p>
    <w:p>
      <w:pPr>
        <w:spacing w:after="0" w:line="214" w:lineRule="exact"/>
        <w:rPr>
          <w:rFonts w:ascii="Arial" w:cs="Arial" w:eastAsia="Arial" w:hAnsi="Arial"/>
          <w:sz w:val="22"/>
          <w:szCs w:val="22"/>
          <w:color w:val="auto"/>
        </w:rPr>
      </w:pPr>
    </w:p>
    <w:p>
      <w:pPr>
        <w:jc w:val="both"/>
        <w:ind w:left="660" w:firstLine="1778"/>
        <w:spacing w:after="0" w:line="238" w:lineRule="auto"/>
        <w:tabs>
          <w:tab w:leader="none" w:pos="341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the Borrower cash collateralizes any portion of such Defaulting Lender’s LC Exposure pursuant to clause (ii) above, the Borrower shall not be required to pay participation fees to such Defaulting Lender pursuant to Section 2.8(b) with respect to such portion of such Defaulting Lender’s LC Exposure for so long as such Defaulting Lender’s LC Exposure is cash collateralized;</w:t>
      </w:r>
    </w:p>
    <w:p>
      <w:pPr>
        <w:spacing w:after="0" w:line="211" w:lineRule="exact"/>
        <w:rPr>
          <w:rFonts w:ascii="Arial" w:cs="Arial" w:eastAsia="Arial" w:hAnsi="Arial"/>
          <w:sz w:val="22"/>
          <w:szCs w:val="22"/>
          <w:color w:val="auto"/>
        </w:rPr>
      </w:pPr>
    </w:p>
    <w:p>
      <w:pPr>
        <w:jc w:val="both"/>
        <w:ind w:left="660" w:firstLine="1778"/>
        <w:spacing w:after="0"/>
        <w:tabs>
          <w:tab w:leader="none" w:pos="348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any portion of the LC Exposure of such Defaulting Lender is reallocated pursuant to clause (i) above, then the fees payable to the Lenders pursuant to Section 2.8(a) and 2.8(b) shall be adjusted to give effect to such reallocation; and</w:t>
      </w:r>
    </w:p>
    <w:p>
      <w:pPr>
        <w:spacing w:after="0" w:line="213" w:lineRule="exact"/>
        <w:rPr>
          <w:rFonts w:ascii="Arial" w:cs="Arial" w:eastAsia="Arial" w:hAnsi="Arial"/>
          <w:sz w:val="22"/>
          <w:szCs w:val="22"/>
          <w:color w:val="auto"/>
        </w:rPr>
      </w:pPr>
    </w:p>
    <w:p>
      <w:pPr>
        <w:jc w:val="both"/>
        <w:ind w:left="660" w:firstLine="1778"/>
        <w:spacing w:after="0" w:line="248" w:lineRule="auto"/>
        <w:tabs>
          <w:tab w:leader="none" w:pos="323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if all or any portion of such Defaulting Lender’s LC Exposure is neither reallocated nor cash collateralized pursuant to clause (i) or (ii) above, then, without prejudice to any rights or remedies of any Issuing Bank or any other Lender hereunder, all participation fees payable under Section 2.8(b)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204" w:lineRule="exact"/>
        <w:rPr>
          <w:sz w:val="20"/>
          <w:szCs w:val="20"/>
          <w:color w:val="auto"/>
        </w:rPr>
      </w:pPr>
    </w:p>
    <w:p>
      <w:pPr>
        <w:jc w:val="both"/>
        <w:ind w:firstLine="1952"/>
        <w:spacing w:after="0" w:line="235" w:lineRule="auto"/>
        <w:tabs>
          <w:tab w:leader="none" w:pos="254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so long as such Lender is a Defaulting Lender, no Issuing Bank shall be required to issue, amend or extend any Letter of Credit, unless, in each case, it is satisfied that the related exposure and the Defaulting Lender’s then outstanding LC Exposure will be fully covered by the Commitments of the Non-Defaulting Lenders and/or cash collateral provided by the Borrower in accordance with Section 2.20(c), and participating interests in any such issued, amended or extended Letter of Credit will be allocated among the Non-Defaulting Lenders in a manner consistent with Section 2.20(c)(i) (and such Defaulting Lender shall not participate therein).</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the event that (i) a Bankruptcy Event or a Bail-In Action with respect to a Lender Parent shall have occurred following the date hereof and for so long as such event shall continue or (ii) any Issuing Bank has a good faith belief that any Lender has defaulted in fulfilling its obligations under one or more other agreements in which such Lender commits to extend credit, such Issuing Bank shall not be required to issue, amend or extend any Letter of Credit, unless such Issuing Bank shall have entered into arrangements with the Borrower or the applicable Lender satisfactory to such Issuing Bank to defease any risk to it in respect of such Lender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firstLine="648"/>
        <w:spacing w:after="0" w:line="245" w:lineRule="auto"/>
        <w:rPr>
          <w:sz w:val="20"/>
          <w:szCs w:val="20"/>
          <w:color w:val="auto"/>
        </w:rPr>
      </w:pPr>
      <w:r>
        <w:rPr>
          <w:rFonts w:ascii="Arial" w:cs="Arial" w:eastAsia="Arial" w:hAnsi="Arial"/>
          <w:sz w:val="21"/>
          <w:szCs w:val="21"/>
          <w:color w:val="auto"/>
        </w:rPr>
        <w:t xml:space="preserve">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Pro Rata Share;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such Lender was a Defaulting Lender;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spacing w:after="0" w:line="212" w:lineRule="exact"/>
        <w:rPr>
          <w:sz w:val="20"/>
          <w:szCs w:val="20"/>
          <w:color w:val="auto"/>
        </w:rPr>
      </w:pPr>
    </w:p>
    <w:p>
      <w:pPr>
        <w:ind w:left="1140"/>
        <w:spacing w:after="0"/>
        <w:tabs>
          <w:tab w:leader="none" w:pos="274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9"/>
          <w:szCs w:val="19"/>
          <w:u w:val="single" w:color="auto"/>
          <w:color w:val="auto"/>
        </w:rPr>
        <w:t>Extension of Stated Maturity Date.</w:t>
      </w:r>
    </w:p>
    <w:p>
      <w:pPr>
        <w:spacing w:after="0" w:line="233" w:lineRule="exact"/>
        <w:rPr>
          <w:sz w:val="20"/>
          <w:szCs w:val="20"/>
          <w:color w:val="auto"/>
        </w:rPr>
      </w:pPr>
    </w:p>
    <w:p>
      <w:pPr>
        <w:jc w:val="both"/>
        <w:ind w:firstLine="1952"/>
        <w:spacing w:after="0" w:line="249" w:lineRule="auto"/>
        <w:tabs>
          <w:tab w:leader="none" w:pos="2683" w:val="left"/>
        </w:tabs>
        <w:numPr>
          <w:ilvl w:val="0"/>
          <w:numId w:val="168"/>
        </w:numPr>
        <w:rPr>
          <w:rFonts w:ascii="Arial" w:cs="Arial" w:eastAsia="Arial" w:hAnsi="Arial"/>
          <w:sz w:val="21"/>
          <w:szCs w:val="21"/>
          <w:color w:val="auto"/>
        </w:rPr>
      </w:pPr>
      <w:r>
        <w:rPr>
          <w:rFonts w:ascii="Arial" w:cs="Arial" w:eastAsia="Arial" w:hAnsi="Arial"/>
          <w:sz w:val="21"/>
          <w:szCs w:val="21"/>
          <w:color w:val="auto"/>
        </w:rPr>
        <w:t>Requests for Extension. The Borrower may, by notice to the Administrative Agent (who shall promptly notify the Lenders) not earlier than 120 days and not later than 30 days prior to each anniversary of the date of this Agreement (each such date, an “</w:t>
      </w:r>
      <w:r>
        <w:rPr>
          <w:rFonts w:ascii="Arial" w:cs="Arial" w:eastAsia="Arial" w:hAnsi="Arial"/>
          <w:sz w:val="21"/>
          <w:szCs w:val="21"/>
          <w:u w:val="single" w:color="auto"/>
          <w:color w:val="auto"/>
        </w:rPr>
        <w:t>Extension Date</w:t>
      </w:r>
      <w:r>
        <w:rPr>
          <w:rFonts w:ascii="Arial" w:cs="Arial" w:eastAsia="Arial" w:hAnsi="Arial"/>
          <w:sz w:val="21"/>
          <w:szCs w:val="21"/>
          <w:color w:val="auto"/>
        </w:rPr>
        <w:t>”), request that each Lender extend the then-current Stated Maturity Date (the “</w:t>
      </w:r>
      <w:r>
        <w:rPr>
          <w:rFonts w:ascii="Arial" w:cs="Arial" w:eastAsia="Arial" w:hAnsi="Arial"/>
          <w:sz w:val="21"/>
          <w:szCs w:val="21"/>
          <w:u w:val="single" w:color="auto"/>
          <w:color w:val="auto"/>
        </w:rPr>
        <w:t>Applicable Maturity Date</w:t>
      </w:r>
      <w:r>
        <w:rPr>
          <w:rFonts w:ascii="Arial" w:cs="Arial" w:eastAsia="Arial" w:hAnsi="Arial"/>
          <w:sz w:val="21"/>
          <w:szCs w:val="21"/>
          <w:color w:val="auto"/>
        </w:rPr>
        <w:t>”) to the date that is one year after the Applicable Maturity Date with respect to such Lender (such date that is one year after such Applicable Maturity Date, the “</w:t>
      </w:r>
      <w:r>
        <w:rPr>
          <w:rFonts w:ascii="Arial" w:cs="Arial" w:eastAsia="Arial" w:hAnsi="Arial"/>
          <w:sz w:val="21"/>
          <w:szCs w:val="21"/>
          <w:u w:val="single" w:color="auto"/>
          <w:color w:val="auto"/>
        </w:rPr>
        <w:t>Extended Maturity Date</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1952"/>
        <w:spacing w:after="0" w:line="245" w:lineRule="auto"/>
        <w:tabs>
          <w:tab w:leader="none" w:pos="2466" w:val="left"/>
        </w:tabs>
        <w:numPr>
          <w:ilvl w:val="0"/>
          <w:numId w:val="168"/>
        </w:numPr>
        <w:rPr>
          <w:rFonts w:ascii="Arial" w:cs="Arial" w:eastAsia="Arial" w:hAnsi="Arial"/>
          <w:sz w:val="21"/>
          <w:szCs w:val="21"/>
          <w:color w:val="auto"/>
        </w:rPr>
      </w:pPr>
      <w:r>
        <w:rPr>
          <w:rFonts w:ascii="Arial" w:cs="Arial" w:eastAsia="Arial" w:hAnsi="Arial"/>
          <w:sz w:val="21"/>
          <w:szCs w:val="21"/>
          <w:color w:val="auto"/>
        </w:rPr>
        <w:t>Lender Elections to Extend. Each Lender, acting in its sole and individual discretion, shall, by notice to the Administrative Agent given not later than the date that is 20 days after the date on which the Administrative Agent received the Borrower’s extension request (the “</w:t>
      </w:r>
      <w:r>
        <w:rPr>
          <w:rFonts w:ascii="Arial" w:cs="Arial" w:eastAsia="Arial" w:hAnsi="Arial"/>
          <w:sz w:val="21"/>
          <w:szCs w:val="21"/>
          <w:u w:val="single" w:color="auto"/>
          <w:color w:val="auto"/>
        </w:rPr>
        <w:t>Lender Notice Date</w:t>
      </w:r>
      <w:r>
        <w:rPr>
          <w:rFonts w:ascii="Arial" w:cs="Arial" w:eastAsia="Arial" w:hAnsi="Arial"/>
          <w:sz w:val="21"/>
          <w:szCs w:val="21"/>
          <w:color w:val="auto"/>
        </w:rPr>
        <w:t>”), advise the Administrative Agent whether or not such Lender agrees to such extension (each Lender that determines to so extend its Applicable Maturity Date, an “</w:t>
      </w:r>
      <w:r>
        <w:rPr>
          <w:rFonts w:ascii="Arial" w:cs="Arial" w:eastAsia="Arial" w:hAnsi="Arial"/>
          <w:sz w:val="21"/>
          <w:szCs w:val="21"/>
          <w:u w:val="single" w:color="auto"/>
          <w:color w:val="auto"/>
        </w:rPr>
        <w:t>Extending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Lender</w:t>
      </w:r>
      <w:r>
        <w:rPr>
          <w:rFonts w:ascii="Arial" w:cs="Arial" w:eastAsia="Arial" w:hAnsi="Arial"/>
          <w:sz w:val="21"/>
          <w:szCs w:val="21"/>
          <w:color w:val="auto"/>
        </w:rPr>
        <w:t>”). Each Lender that determines not to so extend its Applicable Maturity Date (a “</w:t>
      </w:r>
      <w:r>
        <w:rPr>
          <w:rFonts w:ascii="Arial" w:cs="Arial" w:eastAsia="Arial" w:hAnsi="Arial"/>
          <w:sz w:val="21"/>
          <w:szCs w:val="21"/>
          <w:u w:val="single" w:color="auto"/>
          <w:color w:val="auto"/>
        </w:rPr>
        <w:t>Non-Extending Lender</w:t>
      </w:r>
      <w:r>
        <w:rPr>
          <w:rFonts w:ascii="Arial" w:cs="Arial" w:eastAsia="Arial" w:hAnsi="Arial"/>
          <w:sz w:val="21"/>
          <w:szCs w:val="21"/>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Borrower for extension of the Applicable Maturity Date.</w:t>
      </w:r>
    </w:p>
    <w:p>
      <w:pPr>
        <w:spacing w:after="0" w:line="207" w:lineRule="exact"/>
        <w:rPr>
          <w:rFonts w:ascii="Arial" w:cs="Arial" w:eastAsia="Arial" w:hAnsi="Arial"/>
          <w:sz w:val="21"/>
          <w:szCs w:val="21"/>
          <w:color w:val="auto"/>
        </w:rPr>
      </w:pPr>
    </w:p>
    <w:p>
      <w:pPr>
        <w:jc w:val="both"/>
        <w:ind w:firstLine="1952"/>
        <w:spacing w:after="0"/>
        <w:tabs>
          <w:tab w:leader="none" w:pos="2548"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Notification by Administrative Agent. The Administrative Agent shall notify the Borrower of each applicable Lender’s determination under this Section no later than the date that is 10 days prior to the applicable Extension Date (or, if such date is not a Business Day, on the next preceding Business Day).</w:t>
      </w:r>
    </w:p>
    <w:p>
      <w:pPr>
        <w:spacing w:after="0" w:line="213" w:lineRule="exact"/>
        <w:rPr>
          <w:rFonts w:ascii="Arial" w:cs="Arial" w:eastAsia="Arial" w:hAnsi="Arial"/>
          <w:sz w:val="22"/>
          <w:szCs w:val="22"/>
          <w:color w:val="auto"/>
        </w:rPr>
      </w:pPr>
    </w:p>
    <w:p>
      <w:pPr>
        <w:jc w:val="both"/>
        <w:ind w:firstLine="1952"/>
        <w:spacing w:after="0" w:line="271" w:lineRule="auto"/>
        <w:tabs>
          <w:tab w:leader="none" w:pos="25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Additional Commitment Lenders. The Borrower shall have the right, but shall not be obligated, on or before the Applicable Maturity Date for any Non-Extending Lender to replace such Non-Extending Lender with, and add as a “Lender” under this Agreement in place thereof, one or more financial institutions that are not Disqualified Institutions (each, an “</w:t>
      </w:r>
      <w:r>
        <w:rPr>
          <w:rFonts w:ascii="Arial" w:cs="Arial" w:eastAsia="Arial" w:hAnsi="Arial"/>
          <w:sz w:val="19"/>
          <w:szCs w:val="19"/>
          <w:u w:val="single" w:color="auto"/>
          <w:color w:val="auto"/>
        </w:rPr>
        <w:t>Additional Commitment Lender</w:t>
      </w:r>
      <w:r>
        <w:rPr>
          <w:rFonts w:ascii="Arial" w:cs="Arial" w:eastAsia="Arial" w:hAnsi="Arial"/>
          <w:sz w:val="19"/>
          <w:szCs w:val="19"/>
          <w:color w:val="auto"/>
        </w:rPr>
        <w:t>”) in accordance with and subject to the procedures of Section 2.19, including approval by the Administrative Agent, and provided that such Additional Commitment Lender has consented to the extension of the Applicable Maturity Date, each of which Additional Commitment Lenders shall have entered into an Assignment and Acceptance (in accordance with and subject to the restrictions contained in Section 9.6) with such Non-Extending Lender, pursuant to which, effective on or before the Applicable Maturity Date for such Non-Extending Lender, such Non-Extending Lender shall assign its Loans to such Additional Commitment Lender and such Additional Commitment Lender shall assume a Commitment (and, if any such Additional Commitment Lender is already a Lender, its Commitment so assumed shall be in addition to such Lender’s existing Commitment). Prior to any Non-Extending Lender being replaced by one or more Additional Commitment Lenders pursuant hereto, such Non-Extending Lender may elect, in its sole discretion, by giving irrevocable notice thereof to the Administrative Agent and the Borrower (which notice shall set forth such Lender’s Extended Maturity Date), to become an Extending Lender. The Administrative Agent may effect such amendments to this Agreement as are reasonably necessary to provide for any such extensions with the consent of the Borrower but without the consent of any other Lenders.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firstLine="1952"/>
        <w:spacing w:after="0"/>
        <w:tabs>
          <w:tab w:leader="none" w:pos="254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Conditions to Effectiveness of Extension. Notwithstanding the foregoing, (x) no more than one (1) extension of the Stated Maturity Date shall be permitted hereunder and (y) any extension of any Stated Maturity Date pursuant to this Section 2.21 shall not be effective with respect to any Lender unless:</w:t>
      </w:r>
    </w:p>
    <w:p>
      <w:pPr>
        <w:spacing w:after="0" w:line="213" w:lineRule="exact"/>
        <w:rPr>
          <w:rFonts w:ascii="Arial" w:cs="Arial" w:eastAsia="Arial" w:hAnsi="Arial"/>
          <w:sz w:val="22"/>
          <w:szCs w:val="22"/>
          <w:color w:val="auto"/>
        </w:rPr>
      </w:pPr>
    </w:p>
    <w:p>
      <w:pPr>
        <w:ind w:left="660" w:firstLine="1778"/>
        <w:spacing w:after="0" w:line="250" w:lineRule="auto"/>
        <w:tabs>
          <w:tab w:leader="none" w:pos="3429" w:val="left"/>
        </w:tabs>
        <w:numPr>
          <w:ilvl w:val="1"/>
          <w:numId w:val="169"/>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on the applicable Extension Date and immediately after giving effect thereto;</w:t>
      </w:r>
    </w:p>
    <w:p>
      <w:pPr>
        <w:spacing w:after="0" w:line="201" w:lineRule="exact"/>
        <w:rPr>
          <w:rFonts w:ascii="Arial" w:cs="Arial" w:eastAsia="Arial" w:hAnsi="Arial"/>
          <w:sz w:val="22"/>
          <w:szCs w:val="22"/>
          <w:color w:val="auto"/>
        </w:rPr>
      </w:pPr>
    </w:p>
    <w:p>
      <w:pPr>
        <w:jc w:val="both"/>
        <w:ind w:left="660" w:firstLine="1778"/>
        <w:spacing w:after="0" w:line="282" w:lineRule="auto"/>
        <w:tabs>
          <w:tab w:leader="none" w:pos="3313"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materiality qualifier shall not be applicable to any representations and warranties that already are qualified or modified by materiality in the text hereof.; and</w:t>
      </w:r>
    </w:p>
    <w:p>
      <w:pPr>
        <w:spacing w:after="0" w:line="174" w:lineRule="exact"/>
        <w:rPr>
          <w:rFonts w:ascii="Arial" w:cs="Arial" w:eastAsia="Arial" w:hAnsi="Arial"/>
          <w:sz w:val="19"/>
          <w:szCs w:val="19"/>
          <w:color w:val="auto"/>
        </w:rPr>
      </w:pPr>
    </w:p>
    <w:p>
      <w:pPr>
        <w:ind w:left="660" w:firstLine="1778"/>
        <w:spacing w:after="0" w:line="250" w:lineRule="auto"/>
        <w:tabs>
          <w:tab w:leader="none" w:pos="341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from a Responsible Officer of the Borrower certifying the accuracy of the foregoing clauses (i) and (ii).</w:t>
      </w:r>
    </w:p>
    <w:p>
      <w:pPr>
        <w:spacing w:after="0" w:line="201" w:lineRule="exact"/>
        <w:rPr>
          <w:rFonts w:ascii="Arial" w:cs="Arial" w:eastAsia="Arial" w:hAnsi="Arial"/>
          <w:sz w:val="22"/>
          <w:szCs w:val="22"/>
          <w:color w:val="auto"/>
        </w:rPr>
      </w:pPr>
    </w:p>
    <w:p>
      <w:pPr>
        <w:jc w:val="both"/>
        <w:ind w:firstLine="1952"/>
        <w:spacing w:after="0" w:line="274" w:lineRule="auto"/>
        <w:tabs>
          <w:tab w:leader="none" w:pos="282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Maturity Date for Non-Extending Lenders. On the Applicable Maturity Date of each Non-Extending Lender, (i) to the extent of the Commitments of each Non-Extending Lender not assigned to the Additional Commitment Lenders, the Commitment of each Non-Extending Lender shall automatically terminate and (ii) the Borrower shall repay such Non-Extending Lender in accordance with Section 2.13 (and shall pay to such Non-Extending Lender all of the other Obligations owing to it under this Agreement) and after giving effect thereto shall prepay any Loans outstanding on such date (and pay any additional amounts required pursuant to Section 2.15(d)) to the extent necessary to keep outstanding Loans ratable with the Pro Rata Shares of the Lenders effective as of such date, and the Administrative Agent shall administer any necessary reallocation of the applicable Revolving Exposures (without regard to any minimum borrowing, pro rata borrowing and/or pro rata payment requirements contained elsewhere in this Agreement).</w:t>
      </w:r>
    </w:p>
    <w:p>
      <w:pPr>
        <w:spacing w:after="0" w:line="185" w:lineRule="exact"/>
        <w:rPr>
          <w:rFonts w:ascii="Arial" w:cs="Arial" w:eastAsia="Arial" w:hAnsi="Arial"/>
          <w:sz w:val="19"/>
          <w:szCs w:val="19"/>
          <w:color w:val="auto"/>
        </w:rPr>
      </w:pPr>
    </w:p>
    <w:p>
      <w:pPr>
        <w:ind w:left="2540" w:hanging="588"/>
        <w:spacing w:after="0"/>
        <w:tabs>
          <w:tab w:leader="none" w:pos="254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Conflicting Provisions. This Section shall supersede any provisions in Section 2.13, 2.14 or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9.1 to the contrary.</w:t>
      </w:r>
    </w:p>
    <w:p>
      <w:pPr>
        <w:spacing w:after="0" w:line="21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REPRESENTATIONS AND WARRANTIES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induce the Administrative Agent, the Lenders and the Issuing Banks to enter into this Agreement and to make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Loans and to issue Letters of Credit, the Borrower represents and warrants to the Administrative Agent and each Lender that:</w:t>
      </w:r>
    </w:p>
    <w:p>
      <w:pPr>
        <w:spacing w:after="0" w:line="250"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The audited consolidated balance sheet of the Borrower and its consolidated Subsidiaries as at December 31, 2020 and the audited consolidated statements of operations, comprehensive loss and cash flow of the Borrower and its consolidated Subsidiaries for such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December 31, 2020, 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1134"/>
        <w:spacing w:after="0" w:line="251"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No Change</w:t>
      </w:r>
      <w:r>
        <w:rPr>
          <w:rFonts w:ascii="Arial" w:cs="Arial" w:eastAsia="Arial" w:hAnsi="Arial"/>
          <w:sz w:val="22"/>
          <w:szCs w:val="22"/>
          <w:color w:val="auto"/>
        </w:rPr>
        <w:t>. Since December 31, 2020, there has been no development or event that has had or could reasonably be expected to have, individually or in the aggregate, a Material Adverse Effect.</w:t>
      </w:r>
    </w:p>
    <w:p>
      <w:pPr>
        <w:spacing w:after="0" w:line="200"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Existence; Compliance with Law</w:t>
      </w:r>
      <w:r>
        <w:rPr>
          <w:rFonts w:ascii="Arial" w:cs="Arial" w:eastAsia="Arial" w:hAnsi="Arial"/>
          <w:sz w:val="21"/>
          <w:szCs w:val="21"/>
          <w:color w:val="auto"/>
        </w:rPr>
        <w:t>.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spacing w:after="0" w:line="208"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w:t>
      </w:r>
    </w:p>
    <w:p>
      <w:pPr>
        <w:spacing w:after="0" w:line="5" w:lineRule="exact"/>
        <w:rPr>
          <w:sz w:val="20"/>
          <w:szCs w:val="20"/>
          <w:color w:val="auto"/>
        </w:rPr>
      </w:pPr>
    </w:p>
    <w:p>
      <w:pPr>
        <w:jc w:val="both"/>
        <w:ind w:firstLine="8"/>
        <w:spacing w:after="0" w:line="277" w:lineRule="auto"/>
        <w:tabs>
          <w:tab w:leader="none" w:pos="33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filings or other actions referred to in Section 3.19.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9"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No Legal Bar</w:t>
      </w:r>
      <w:r>
        <w:rPr>
          <w:rFonts w:ascii="Arial" w:cs="Arial" w:eastAsia="Arial" w:hAnsi="Arial"/>
          <w:sz w:val="22"/>
          <w:szCs w:val="22"/>
          <w:color w:val="auto"/>
        </w:rPr>
        <w:t>. The execution, delivery and performance of this Agreement and the other Loan Documents, the borrowings hereunder and the use of the proceeds thereof will not contravene, violate or result in a breach of or default under any Loan Party’s Organizational Documents, the Existing Indentures,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1134"/>
        <w:spacing w:after="0" w:line="236"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No Material Litigation</w:t>
      </w:r>
      <w:r>
        <w:rPr>
          <w:rFonts w:ascii="Arial" w:cs="Arial" w:eastAsia="Arial" w:hAnsi="Arial"/>
          <w:sz w:val="22"/>
          <w:szCs w:val="22"/>
          <w:color w:val="auto"/>
        </w:rPr>
        <w:t>.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w:t>
      </w:r>
    </w:p>
    <w:p>
      <w:pPr>
        <w:spacing w:after="0" w:line="215"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has occurred and is continuing. No Loan Party is in default under or with respect to, or a party to, any Contractual Obligation that could reasonably be expected to have, individually or in the aggregate, a Material Adverse Effect.</w:t>
      </w:r>
    </w:p>
    <w:p>
      <w:pPr>
        <w:spacing w:after="0" w:line="213"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Ownership of Property; Liens</w:t>
      </w:r>
      <w:r>
        <w:rPr>
          <w:rFonts w:ascii="Arial" w:cs="Arial" w:eastAsia="Arial" w:hAnsi="Arial"/>
          <w:sz w:val="19"/>
          <w:szCs w:val="19"/>
          <w:color w:val="auto"/>
        </w:rPr>
        <w:t>.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w:t>
      </w:r>
    </w:p>
    <w:p>
      <w:pPr>
        <w:spacing w:after="0" w:line="177"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IP Rights</w:t>
      </w:r>
      <w:r>
        <w:rPr>
          <w:rFonts w:ascii="Arial" w:cs="Arial" w:eastAsia="Arial" w:hAnsi="Arial"/>
          <w:sz w:val="19"/>
          <w:szCs w:val="19"/>
          <w:color w:val="auto"/>
        </w:rPr>
        <w:t>.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spacing w:after="0" w:line="184"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Taxes</w:t>
      </w:r>
      <w:r>
        <w:rPr>
          <w:rFonts w:ascii="Arial" w:cs="Arial" w:eastAsia="Arial" w:hAnsi="Arial"/>
          <w:sz w:val="19"/>
          <w:szCs w:val="19"/>
          <w:color w:val="auto"/>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w:t>
      </w:r>
    </w:p>
    <w:p>
      <w:pPr>
        <w:spacing w:after="0" w:line="184"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Federal Regulations</w:t>
      </w:r>
      <w:r>
        <w:rPr>
          <w:rFonts w:ascii="Arial" w:cs="Arial" w:eastAsia="Arial" w:hAnsi="Arial"/>
          <w:sz w:val="22"/>
          <w:szCs w:val="22"/>
          <w:color w:val="auto"/>
        </w:rPr>
        <w:t>. No part of the proceeds of any Loans, and no other extensions of credit hereunder, will be used for any purpose that violates the provisions of Regulations T, U or X.</w:t>
      </w:r>
    </w:p>
    <w:p>
      <w:pPr>
        <w:spacing w:after="0" w:line="202"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Labor Matters</w:t>
      </w:r>
      <w:r>
        <w:rPr>
          <w:rFonts w:ascii="Arial" w:cs="Arial" w:eastAsia="Arial" w:hAnsi="Arial"/>
          <w:sz w:val="22"/>
          <w:szCs w:val="22"/>
          <w:color w:val="auto"/>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w:t>
      </w:r>
    </w:p>
    <w:p>
      <w:pPr>
        <w:spacing w:after="0" w:line="214"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ERISA</w:t>
      </w:r>
      <w:r>
        <w:rPr>
          <w:rFonts w:ascii="Arial" w:cs="Arial" w:eastAsia="Arial" w:hAnsi="Arial"/>
          <w:sz w:val="22"/>
          <w:szCs w:val="22"/>
          <w:color w:val="auto"/>
        </w:rPr>
        <w:t>.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firstLine="1134"/>
        <w:spacing w:after="0" w:line="251"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No Loan Party is an “investment company,” or a company “controlled” by an “investment company,” within the meaning of the Investment Company Act of 1940.</w:t>
      </w:r>
    </w:p>
    <w:p>
      <w:pPr>
        <w:spacing w:after="0" w:line="200"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97" w:lineRule="auto"/>
        <w:tabs>
          <w:tab w:leader="none" w:pos="252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Persons listed on Schedule 3.15 constitute all the Subsidiaries of the Borrower as of the Closing Date. Schedule 3.15 sets forth as of the Closing Date the name and jurisdiction of incorporation or organization of each Person listed therein and the percentage of each class of Capital Stock of such Person owned by the Borrower and each Subsidiary.</w:t>
      </w:r>
    </w:p>
    <w:p>
      <w:pPr>
        <w:spacing w:after="0" w:line="160" w:lineRule="exact"/>
        <w:rPr>
          <w:rFonts w:ascii="Arial" w:cs="Arial" w:eastAsia="Arial" w:hAnsi="Arial"/>
          <w:sz w:val="19"/>
          <w:szCs w:val="19"/>
          <w:color w:val="auto"/>
        </w:rPr>
      </w:pPr>
    </w:p>
    <w:p>
      <w:pPr>
        <w:jc w:val="both"/>
        <w:ind w:firstLine="1952"/>
        <w:spacing w:after="0" w:line="282" w:lineRule="auto"/>
        <w:tabs>
          <w:tab w:leader="none" w:pos="268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non-Wholly-Owned Subsidiary, its Capital Stock may be subject to customary rights of first refusal, tag-along, drag-along and other similar rights.</w:t>
      </w:r>
    </w:p>
    <w:p>
      <w:pPr>
        <w:spacing w:after="0" w:line="174" w:lineRule="exact"/>
        <w:rPr>
          <w:sz w:val="20"/>
          <w:szCs w:val="20"/>
          <w:color w:val="auto"/>
        </w:rPr>
      </w:pPr>
    </w:p>
    <w:p>
      <w:pPr>
        <w:ind w:left="1140"/>
        <w:spacing w:after="0"/>
        <w:tabs>
          <w:tab w:leader="none" w:pos="270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shall be used for the purposes set forth in the recitals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15" w:lineRule="exact"/>
        <w:rPr>
          <w:sz w:val="20"/>
          <w:szCs w:val="20"/>
          <w:color w:val="auto"/>
        </w:rPr>
      </w:pPr>
    </w:p>
    <w:p>
      <w:pPr>
        <w:ind w:firstLine="1134"/>
        <w:spacing w:after="0" w:line="250"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Other than exceptions to any of the following that could not reasonably be expected to result in, individually or in the aggregate, a Material Adverse Effect:</w:t>
      </w:r>
    </w:p>
    <w:p>
      <w:pPr>
        <w:spacing w:after="0" w:line="202" w:lineRule="exact"/>
        <w:rPr>
          <w:sz w:val="20"/>
          <w:szCs w:val="20"/>
          <w:color w:val="auto"/>
        </w:rPr>
      </w:pPr>
    </w:p>
    <w:p>
      <w:pPr>
        <w:jc w:val="both"/>
        <w:ind w:firstLine="1952"/>
        <w:spacing w:after="0" w:line="279" w:lineRule="auto"/>
        <w:tabs>
          <w:tab w:leader="none" w:pos="262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spacing w:after="0" w:line="177" w:lineRule="exact"/>
        <w:rPr>
          <w:rFonts w:ascii="Arial" w:cs="Arial" w:eastAsia="Arial" w:hAnsi="Arial"/>
          <w:sz w:val="19"/>
          <w:szCs w:val="19"/>
          <w:color w:val="auto"/>
        </w:rPr>
      </w:pPr>
    </w:p>
    <w:p>
      <w:pPr>
        <w:jc w:val="both"/>
        <w:ind w:firstLine="1952"/>
        <w:spacing w:after="0" w:line="248" w:lineRule="auto"/>
        <w:tabs>
          <w:tab w:leader="none" w:pos="257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spacing w:after="0" w:line="203" w:lineRule="exact"/>
        <w:rPr>
          <w:rFonts w:ascii="Arial" w:cs="Arial" w:eastAsia="Arial" w:hAnsi="Arial"/>
          <w:sz w:val="21"/>
          <w:szCs w:val="21"/>
          <w:color w:val="auto"/>
        </w:rPr>
      </w:pPr>
    </w:p>
    <w:p>
      <w:pPr>
        <w:jc w:val="both"/>
        <w:ind w:firstLine="1952"/>
        <w:spacing w:after="0" w:line="238" w:lineRule="auto"/>
        <w:tabs>
          <w:tab w:leader="none" w:pos="262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spacing w:after="0" w:line="211" w:lineRule="exact"/>
        <w:rPr>
          <w:rFonts w:ascii="Arial" w:cs="Arial" w:eastAsia="Arial" w:hAnsi="Arial"/>
          <w:sz w:val="22"/>
          <w:szCs w:val="22"/>
          <w:color w:val="auto"/>
        </w:rPr>
      </w:pPr>
    </w:p>
    <w:p>
      <w:pPr>
        <w:jc w:val="both"/>
        <w:ind w:firstLine="1952"/>
        <w:spacing w:after="0" w:line="236" w:lineRule="auto"/>
        <w:tabs>
          <w:tab w:leader="none" w:pos="250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spacing w:after="0" w:line="214" w:lineRule="exact"/>
        <w:rPr>
          <w:rFonts w:ascii="Arial" w:cs="Arial" w:eastAsia="Arial" w:hAnsi="Arial"/>
          <w:sz w:val="22"/>
          <w:szCs w:val="22"/>
          <w:color w:val="auto"/>
        </w:rPr>
      </w:pPr>
    </w:p>
    <w:p>
      <w:pPr>
        <w:jc w:val="both"/>
        <w:ind w:firstLine="1952"/>
        <w:spacing w:after="0" w:line="236" w:lineRule="auto"/>
        <w:tabs>
          <w:tab w:leader="none" w:pos="252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1140"/>
        <w:spacing w:after="0"/>
        <w:tabs>
          <w:tab w:leader="none" w:pos="268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w:t>
      </w:r>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No statement or information contained in this Agreement, any other Loan Document, or any other document, certificate or written statement (other than any projections and information of a general economic or general industry nature) furnished to the Administrative Agent, the Issuing Banks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the Issuing Banks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88"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Security Documents</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of the Security Documents is effective to create in favor of the Collateral Agent or any Common Representative for the benefit of the Secured Parties,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(or the Controlling Authorized Representative in accordance with the terms of the Equal Priority Intercreditor Agreement) and (ii) the other Collateral described in the Security Documents, when financing statements and other filings in appropriate form are filed or registered in the office specified on Schedule 3.19, the security interest created in favor of the Collateral Agent or any Common Representative for the benefit of the Secured Parties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w:t>
      </w:r>
    </w:p>
    <w:p>
      <w:pPr>
        <w:spacing w:after="0" w:line="183"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Solvency</w:t>
      </w:r>
      <w:r>
        <w:rPr>
          <w:rFonts w:ascii="Arial" w:cs="Arial" w:eastAsia="Arial" w:hAnsi="Arial"/>
          <w:sz w:val="22"/>
          <w:szCs w:val="22"/>
          <w:color w:val="auto"/>
        </w:rPr>
        <w:t>. As of the Closing Date and after giving effect to any Loans made on the Closing Date, the Borrower and its Subsidiaries, on a consolidated basis, are Solvent.</w:t>
      </w:r>
    </w:p>
    <w:p>
      <w:pPr>
        <w:spacing w:after="0" w:line="202"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Anti-Money Laundering and Anti-Corruption Laws; Sanctions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73" w:lineRule="auto"/>
        <w:tabs>
          <w:tab w:leader="none" w:pos="2508"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w:t>
      </w:r>
    </w:p>
    <w:p>
      <w:pPr>
        <w:spacing w:after="0" w:line="1" w:lineRule="exact"/>
        <w:rPr>
          <w:rFonts w:ascii="Arial" w:cs="Arial" w:eastAsia="Arial" w:hAnsi="Arial"/>
          <w:sz w:val="19"/>
          <w:szCs w:val="19"/>
          <w:color w:val="auto"/>
        </w:rPr>
      </w:pPr>
    </w:p>
    <w:p>
      <w:pPr>
        <w:jc w:val="both"/>
        <w:ind w:firstLine="8"/>
        <w:spacing w:after="0" w:line="273" w:lineRule="auto"/>
        <w:tabs>
          <w:tab w:leader="none" w:pos="271"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 statutes of jurisdictions where the Borrower and each such Restricted Subsidiary conducts business, the rules and regulations thereunder and any related or similar rules, regulations or guidelines, issued, administered or enforced by any Governmental Authority (collectively, the “</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and no action, suit or proceeding by or before any Governmental Authority involving the Borrower or any Restricted Subsidiary with respect to the Anti-Money Laundering Laws is pending or, to the best knowledge of the Loan Parties party hereto, threatened.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1952"/>
        <w:spacing w:after="0" w:line="271" w:lineRule="auto"/>
        <w:tabs>
          <w:tab w:leader="none" w:pos="256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 part of the proceeds of the Loans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w:t>
      </w:r>
      <w:r>
        <w:rPr>
          <w:rFonts w:ascii="Arial" w:cs="Arial" w:eastAsia="Arial" w:hAnsi="Arial"/>
          <w:sz w:val="19"/>
          <w:szCs w:val="19"/>
          <w:u w:val="single" w:color="auto"/>
          <w:color w:val="auto"/>
        </w:rPr>
        <w:t>FCPA</w:t>
      </w:r>
      <w:r>
        <w:rPr>
          <w:rFonts w:ascii="Arial" w:cs="Arial" w:eastAsia="Arial" w:hAnsi="Arial"/>
          <w:sz w:val="19"/>
          <w:szCs w:val="19"/>
          <w:color w:val="auto"/>
        </w:rPr>
        <w:t>”),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its Restricted Subsidiaries have conducted their businesses in compliance in all material respects with the FCPA and material applicable anti-corruption laws and have instituted and maintained and will continue to maintain policies and procedures reasonably designed to promote and achieve material compliance with such laws and with the representations and warranties contained in this clause (b).</w:t>
      </w:r>
    </w:p>
    <w:p>
      <w:pPr>
        <w:spacing w:after="0" w:line="184" w:lineRule="exact"/>
        <w:rPr>
          <w:rFonts w:ascii="Arial" w:cs="Arial" w:eastAsia="Arial" w:hAnsi="Arial"/>
          <w:sz w:val="19"/>
          <w:szCs w:val="19"/>
          <w:color w:val="auto"/>
        </w:rPr>
      </w:pPr>
    </w:p>
    <w:p>
      <w:pPr>
        <w:jc w:val="both"/>
        <w:ind w:firstLine="1952"/>
        <w:spacing w:after="0" w:line="273" w:lineRule="auto"/>
        <w:tabs>
          <w:tab w:leader="none" w:pos="260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None of the Borrower nor any Restricted Subsidiary, nor, to the knowledge of any Loan Party, any employee, agent, Affiliate or representative of any Loan Party or any Restricted Subsidiary, is a Person that is, or is owned or controlled by one or more Persons that are, (i) on the list of “Specially Designated Nationals and Blocked Persons” or (ii) subject to any sanctions administered or enforced by the Office of Foreign Assets Control of the U.S. Treasury Department, the United Nations Security Council, the European Union, Her Majesty’s Treasury or other relevant sanctions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and the Borrower will not directly or, to the knowledge of the Borrower, indirectly, use the proceeds of the Loans or lend, contribute or otherwise make available such proceeds to any Person (A) to fund or facilitate any activities or 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 maintain policies and procedures reasonably designed to promote and achieve material compliance with applicable Sanctions.</w:t>
      </w:r>
    </w:p>
    <w:p>
      <w:pPr>
        <w:spacing w:after="0" w:line="182"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3.23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w:t>
      </w:r>
    </w:p>
    <w:p>
      <w:pPr>
        <w:spacing w:after="0" w:line="21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CONDITIONS PRECEDENT</w:t>
      </w:r>
    </w:p>
    <w:p>
      <w:pPr>
        <w:spacing w:after="0" w:line="233"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Closing Date</w:t>
      </w:r>
      <w:r>
        <w:rPr>
          <w:rFonts w:ascii="Arial" w:cs="Arial" w:eastAsia="Arial" w:hAnsi="Arial"/>
          <w:sz w:val="22"/>
          <w:szCs w:val="22"/>
          <w:color w:val="auto"/>
        </w:rPr>
        <w:t>. The obligations of each Lender to make Loans and of the Issuing Banks to issue Letters of Credit hereunder shall not become effective until the date on which each of the following conditions precedent is satisfied (or waived):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both"/>
        <w:ind w:firstLine="1952"/>
        <w:spacing w:after="0" w:line="236" w:lineRule="auto"/>
        <w:tabs>
          <w:tab w:leader="none" w:pos="2616" w:val="left"/>
        </w:tabs>
        <w:numPr>
          <w:ilvl w:val="1"/>
          <w:numId w:val="176"/>
        </w:numPr>
        <w:rPr>
          <w:rFonts w:ascii="Arial" w:cs="Arial" w:eastAsia="Arial" w:hAnsi="Arial"/>
          <w:sz w:val="22"/>
          <w:szCs w:val="22"/>
          <w:color w:val="auto"/>
        </w:rPr>
      </w:pPr>
      <w:r>
        <w:rPr>
          <w:rFonts w:ascii="Arial" w:cs="Arial" w:eastAsia="Arial" w:hAnsi="Arial"/>
          <w:sz w:val="22"/>
          <w:szCs w:val="22"/>
          <w:color w:val="auto"/>
        </w:rPr>
        <w:t>Loan Documents. The Administrative Agent shall have received (i) this Agreement, executed and delivered by a duly authorized officer or signatory of the Borrower (ii) the Security Agreement, dated as of the Closing Date, executed and delivered by a duly authorized officer or signatory of each Loan Party that is a party thereto and (iii) the Equal Priority Intercreditor Agreement, dated as of the Closing Date, duly executed and delivered by a duly authorized officer or signatory of each Loan Party that is a party thereto.</w:t>
      </w:r>
    </w:p>
    <w:p>
      <w:pPr>
        <w:spacing w:after="0" w:line="214" w:lineRule="exact"/>
        <w:rPr>
          <w:rFonts w:ascii="Arial" w:cs="Arial" w:eastAsia="Arial" w:hAnsi="Arial"/>
          <w:sz w:val="22"/>
          <w:szCs w:val="22"/>
          <w:color w:val="auto"/>
        </w:rPr>
      </w:pPr>
    </w:p>
    <w:p>
      <w:pPr>
        <w:jc w:val="both"/>
        <w:ind w:firstLine="1952"/>
        <w:spacing w:after="0" w:line="236" w:lineRule="auto"/>
        <w:tabs>
          <w:tab w:leader="none" w:pos="2533" w:val="left"/>
        </w:tabs>
        <w:numPr>
          <w:ilvl w:val="1"/>
          <w:numId w:val="176"/>
        </w:numPr>
        <w:rPr>
          <w:rFonts w:ascii="Arial" w:cs="Arial" w:eastAsia="Arial" w:hAnsi="Arial"/>
          <w:sz w:val="22"/>
          <w:szCs w:val="22"/>
          <w:color w:val="auto"/>
        </w:rPr>
      </w:pPr>
      <w:r>
        <w:rPr>
          <w:rFonts w:ascii="Arial" w:cs="Arial" w:eastAsia="Arial" w:hAnsi="Arial"/>
          <w:sz w:val="22"/>
          <w:szCs w:val="22"/>
          <w:color w:val="auto"/>
        </w:rPr>
        <w:t>Fees and Expenses. All fees due to the Administrative Agent, the Collateral Agent, the Arrangers and the Lenders on the Closing Date shall have been paid, and all reasonable and documented out-of-pocket expenses to be paid or reimbursed to the Administrative Agent, the Collateral Agent and the Arrangers on the Closing Date that have been invoiced at least three Business Days prior to the Closing Date shall have been paid (which amounts may be offset against the proceeds of the Loans).</w:t>
      </w:r>
    </w:p>
    <w:p>
      <w:pPr>
        <w:spacing w:after="0" w:line="214" w:lineRule="exact"/>
        <w:rPr>
          <w:rFonts w:ascii="Arial" w:cs="Arial" w:eastAsia="Arial" w:hAnsi="Arial"/>
          <w:sz w:val="22"/>
          <w:szCs w:val="22"/>
          <w:color w:val="auto"/>
        </w:rPr>
      </w:pPr>
    </w:p>
    <w:p>
      <w:pPr>
        <w:jc w:val="both"/>
        <w:ind w:firstLine="1952"/>
        <w:spacing w:after="0"/>
        <w:tabs>
          <w:tab w:leader="none" w:pos="2616" w:val="left"/>
        </w:tabs>
        <w:numPr>
          <w:ilvl w:val="1"/>
          <w:numId w:val="176"/>
        </w:numPr>
        <w:rPr>
          <w:rFonts w:ascii="Arial" w:cs="Arial" w:eastAsia="Arial" w:hAnsi="Arial"/>
          <w:sz w:val="22"/>
          <w:szCs w:val="22"/>
          <w:color w:val="auto"/>
        </w:rPr>
      </w:pPr>
      <w:r>
        <w:rPr>
          <w:rFonts w:ascii="Arial" w:cs="Arial" w:eastAsia="Arial" w:hAnsi="Arial"/>
          <w:sz w:val="22"/>
          <w:szCs w:val="22"/>
          <w:color w:val="auto"/>
        </w:rPr>
        <w:t xml:space="preserve">Solvency Certificate. The Lenders shall have received a solvency certificate,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executed by a Responsible Officer (which shall be the chief financial officer, chief accounting officer or other officer with equivalent duties) of the Borrower.</w:t>
      </w:r>
    </w:p>
    <w:p>
      <w:pPr>
        <w:spacing w:after="0" w:line="213" w:lineRule="exact"/>
        <w:rPr>
          <w:rFonts w:ascii="Arial" w:cs="Arial" w:eastAsia="Arial" w:hAnsi="Arial"/>
          <w:sz w:val="22"/>
          <w:szCs w:val="22"/>
          <w:color w:val="auto"/>
        </w:rPr>
      </w:pPr>
    </w:p>
    <w:p>
      <w:pPr>
        <w:jc w:val="both"/>
        <w:ind w:firstLine="1952"/>
        <w:spacing w:after="0" w:line="257" w:lineRule="auto"/>
        <w:tabs>
          <w:tab w:leader="none" w:pos="2763" w:val="left"/>
        </w:tabs>
        <w:numPr>
          <w:ilvl w:val="1"/>
          <w:numId w:val="176"/>
        </w:numPr>
        <w:rPr>
          <w:rFonts w:ascii="Arial" w:cs="Arial" w:eastAsia="Arial" w:hAnsi="Arial"/>
          <w:sz w:val="21"/>
          <w:szCs w:val="21"/>
          <w:color w:val="auto"/>
        </w:rPr>
      </w:pPr>
      <w:r>
        <w:rPr>
          <w:rFonts w:ascii="Arial" w:cs="Arial" w:eastAsia="Arial" w:hAnsi="Arial"/>
          <w:sz w:val="21"/>
          <w:szCs w:val="21"/>
          <w:color w:val="auto"/>
        </w:rPr>
        <w:t>Lien Searches. The Administrative Agent shall have received the results of recent Uniform Commercial Code (or other applicable personal property financing statements), tax and judgment lien searches in each relevant jurisdiction reasonably requested by the Administrative Agent with respect to each of the Loan Parties.</w:t>
      </w:r>
    </w:p>
    <w:p>
      <w:pPr>
        <w:spacing w:after="0" w:line="196" w:lineRule="exact"/>
        <w:rPr>
          <w:rFonts w:ascii="Arial" w:cs="Arial" w:eastAsia="Arial" w:hAnsi="Arial"/>
          <w:sz w:val="21"/>
          <w:szCs w:val="21"/>
          <w:color w:val="auto"/>
        </w:rPr>
      </w:pPr>
    </w:p>
    <w:p>
      <w:pPr>
        <w:jc w:val="both"/>
        <w:ind w:firstLine="1952"/>
        <w:spacing w:after="0" w:line="246" w:lineRule="auto"/>
        <w:tabs>
          <w:tab w:leader="none" w:pos="2801" w:val="left"/>
        </w:tabs>
        <w:numPr>
          <w:ilvl w:val="1"/>
          <w:numId w:val="176"/>
        </w:numPr>
        <w:rPr>
          <w:rFonts w:ascii="Arial" w:cs="Arial" w:eastAsia="Arial" w:hAnsi="Arial"/>
          <w:sz w:val="21"/>
          <w:szCs w:val="21"/>
          <w:color w:val="auto"/>
        </w:rPr>
      </w:pPr>
      <w:r>
        <w:rPr>
          <w:rFonts w:ascii="Arial" w:cs="Arial" w:eastAsia="Arial" w:hAnsi="Arial"/>
          <w:sz w:val="21"/>
          <w:szCs w:val="21"/>
          <w:color w:val="auto"/>
        </w:rPr>
        <w:t>Closing Certificate. The Administrative Agent shall have received a certificate signed by a Responsible Officer of the Borrower, certifying that (i) the Specified Representations are true and correct in all material respects on the Closing Date (unless such Specified Representations relate to an earlier date, in which case, such Specified Representations shall have been true and correct in all material respects as of such earlier date), (ii) the Specified Acquisition Agreement Representations are true and correct in all material respects on the Closing Date and (iii) the Golar Acquisition has been consummated, or shall be consummated substantially concurrently, on the Closing Date, in all material respects in accordance with the terms of the Golar Acquisition Agreement.</w:t>
      </w:r>
    </w:p>
    <w:p>
      <w:pPr>
        <w:spacing w:after="0" w:line="211" w:lineRule="exact"/>
        <w:rPr>
          <w:rFonts w:ascii="Arial" w:cs="Arial" w:eastAsia="Arial" w:hAnsi="Arial"/>
          <w:sz w:val="21"/>
          <w:szCs w:val="21"/>
          <w:color w:val="auto"/>
        </w:rPr>
      </w:pPr>
    </w:p>
    <w:p>
      <w:pPr>
        <w:jc w:val="both"/>
        <w:ind w:firstLine="1952"/>
        <w:spacing w:after="0" w:line="246" w:lineRule="auto"/>
        <w:tabs>
          <w:tab w:leader="none" w:pos="2565" w:val="left"/>
        </w:tabs>
        <w:numPr>
          <w:ilvl w:val="1"/>
          <w:numId w:val="176"/>
        </w:numPr>
        <w:rPr>
          <w:rFonts w:ascii="Arial" w:cs="Arial" w:eastAsia="Arial" w:hAnsi="Arial"/>
          <w:sz w:val="21"/>
          <w:szCs w:val="21"/>
          <w:color w:val="auto"/>
        </w:rPr>
      </w:pPr>
      <w:r>
        <w:rPr>
          <w:rFonts w:ascii="Arial" w:cs="Arial" w:eastAsia="Arial" w:hAnsi="Arial"/>
          <w:sz w:val="21"/>
          <w:szCs w:val="21"/>
          <w:color w:val="auto"/>
        </w:rPr>
        <w:t>Legal Opinions.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a existence, good standing, execution and delivery, authorization and authority with respect to each Foreign Subsidiary that is a Loan Party as of the Closing Date) dated the date of the date hereof and addressed to the Administrative Agent and the Lenders.</w:t>
      </w:r>
    </w:p>
    <w:p>
      <w:pPr>
        <w:spacing w:after="0" w:line="211" w:lineRule="exact"/>
        <w:rPr>
          <w:rFonts w:ascii="Arial" w:cs="Arial" w:eastAsia="Arial" w:hAnsi="Arial"/>
          <w:sz w:val="21"/>
          <w:szCs w:val="21"/>
          <w:color w:val="auto"/>
        </w:rPr>
      </w:pPr>
    </w:p>
    <w:p>
      <w:pPr>
        <w:ind w:left="2560" w:hanging="608"/>
        <w:spacing w:after="0"/>
        <w:tabs>
          <w:tab w:leader="none" w:pos="25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Organizational Documents.  A certificate of an Responsible Officer of each Loan Party, certifying</w:t>
      </w:r>
    </w:p>
    <w:p>
      <w:pPr>
        <w:spacing w:after="0" w:line="42" w:lineRule="exact"/>
        <w:rPr>
          <w:rFonts w:ascii="Arial" w:cs="Arial" w:eastAsia="Arial" w:hAnsi="Arial"/>
          <w:sz w:val="19"/>
          <w:szCs w:val="19"/>
          <w:color w:val="auto"/>
        </w:rPr>
      </w:pPr>
    </w:p>
    <w:p>
      <w:pPr>
        <w:jc w:val="both"/>
        <w:ind w:firstLine="8"/>
        <w:spacing w:after="0" w:line="272" w:lineRule="auto"/>
        <w:tabs>
          <w:tab w:leader="none" w:pos="36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firstLine="1952"/>
        <w:spacing w:after="0" w:line="279" w:lineRule="auto"/>
        <w:tabs>
          <w:tab w:leader="none" w:pos="256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Uniform Commercial Code Filings. Each Uniform Commercial Code financing statement required as of the Closing Date by the Security Documents or under law or reasonably requested by the Administrative Agent or the Collateral Agent to be filed in order to create in favor of the Collateral Agent for the benefit of the Secured Parties, a perfected Lien on the Collateral described therein, prior and superior in right to any other Person (other than with respect to Liens expressly permitted by Section 6.6), shall have been filed, or shall have been delivered to the Collateral Agent in proper form for filing, or arrangements reasonably satisfactory to the Collateral Agent for such filing shall have been made.</w:t>
      </w:r>
    </w:p>
    <w:p>
      <w:pPr>
        <w:spacing w:after="0" w:line="177" w:lineRule="exact"/>
        <w:rPr>
          <w:rFonts w:ascii="Arial" w:cs="Arial" w:eastAsia="Arial" w:hAnsi="Arial"/>
          <w:sz w:val="19"/>
          <w:szCs w:val="19"/>
          <w:color w:val="auto"/>
        </w:rPr>
      </w:pPr>
    </w:p>
    <w:p>
      <w:pPr>
        <w:ind w:left="2540" w:hanging="588"/>
        <w:spacing w:after="0"/>
        <w:tabs>
          <w:tab w:leader="none" w:pos="254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PATRIOT Act; Beneficial Ownership. The Administrative Agent shall have received at least three</w:t>
      </w:r>
    </w:p>
    <w:p>
      <w:pPr>
        <w:spacing w:after="0" w:line="42" w:lineRule="exact"/>
        <w:rPr>
          <w:rFonts w:ascii="Arial" w:cs="Arial" w:eastAsia="Arial" w:hAnsi="Arial"/>
          <w:sz w:val="19"/>
          <w:szCs w:val="19"/>
          <w:color w:val="auto"/>
        </w:rPr>
      </w:pPr>
    </w:p>
    <w:p>
      <w:pPr>
        <w:jc w:val="both"/>
        <w:ind w:firstLine="8"/>
        <w:spacing w:after="0" w:line="273" w:lineRule="auto"/>
        <w:tabs>
          <w:tab w:leader="none" w:pos="33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Business Days prior to the Closing Date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Closing Date. At least five (5) 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186" w:lineRule="exact"/>
        <w:rPr>
          <w:rFonts w:ascii="Arial" w:cs="Arial" w:eastAsia="Arial" w:hAnsi="Arial"/>
          <w:sz w:val="19"/>
          <w:szCs w:val="19"/>
          <w:color w:val="auto"/>
        </w:rPr>
      </w:pPr>
    </w:p>
    <w:p>
      <w:pPr>
        <w:jc w:val="both"/>
        <w:ind w:firstLine="1952"/>
        <w:spacing w:after="0" w:line="272" w:lineRule="auto"/>
        <w:tabs>
          <w:tab w:leader="none" w:pos="2728"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Administrative Agent and the Arrangers shall have received (a) (i) audited consolidated balance sheets and related statements of income and cash flows of the Borrower and its consolidated subsidiaries for the three most recently completed fiscal years ended at least 75 days prior to the Closing Date and (ii)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(a)(i) above and at least 45 days prior to the Closing Date, (b)(i) audited combined balance sheets and related statements of income and cash flows of the Golar Target and its consolidated subsidiaries for the two most recently completed fiscal years ended at least 90 days prior to the Closing Date and (ii) unaudited combined balance sheets and related statements of income and cash flows of the Golar Target and its consolidated subsidiaries for each fiscal quarter ended after the most recent audited financial statements delivered pursuant to clause (b)(i) above and at least 45 days prior to the Closing Date and (c) a pro forma consolidated balance sheet and related pro forma consolidated statement of income of the Borrower for the periods required by Regulation S-X under the Securities Act to the extent required to be included in a Form 8-K on the Closing Date, in each case prepared after giving effect to all contemplated Closing Date transactions as if such transactions had occurred.</w:t>
      </w:r>
    </w:p>
    <w:p>
      <w:pPr>
        <w:spacing w:after="0" w:line="182" w:lineRule="exact"/>
        <w:rPr>
          <w:rFonts w:ascii="Arial" w:cs="Arial" w:eastAsia="Arial" w:hAnsi="Arial"/>
          <w:sz w:val="19"/>
          <w:szCs w:val="19"/>
          <w:color w:val="auto"/>
        </w:rPr>
      </w:pPr>
    </w:p>
    <w:p>
      <w:pPr>
        <w:jc w:val="both"/>
        <w:ind w:firstLine="1952"/>
        <w:spacing w:after="0" w:line="236" w:lineRule="auto"/>
        <w:tabs>
          <w:tab w:leader="none" w:pos="2587"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Governmental and Third-Party Consents</w:t>
      </w:r>
      <w:r>
        <w:rPr>
          <w:rFonts w:ascii="Arial" w:cs="Arial" w:eastAsia="Arial" w:hAnsi="Arial"/>
          <w:sz w:val="22"/>
          <w:szCs w:val="22"/>
          <w:color w:val="auto"/>
        </w:rPr>
        <w:t>. All governmental and third-party consents and all equity holder and board of directors (or comparable entity management body) authorizations, in each case in respect of the Golar Acquisition, shall have been obtained and shall be in full force and effect, in each case to the extent that the failure of any such consents or authorizations to be obtained would give Borrower the right to terminate the Golar Acquisition Agreement or otherwise decline to consummate the Golar Acquisition.</w:t>
      </w:r>
    </w:p>
    <w:p>
      <w:pPr>
        <w:spacing w:after="0" w:line="214" w:lineRule="exact"/>
        <w:rPr>
          <w:rFonts w:ascii="Arial" w:cs="Arial" w:eastAsia="Arial" w:hAnsi="Arial"/>
          <w:sz w:val="22"/>
          <w:szCs w:val="22"/>
          <w:color w:val="auto"/>
        </w:rPr>
      </w:pPr>
    </w:p>
    <w:p>
      <w:pPr>
        <w:jc w:val="both"/>
        <w:ind w:firstLine="1952"/>
        <w:spacing w:after="0"/>
        <w:tabs>
          <w:tab w:leader="none" w:pos="2836"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Golar Acquisition</w:t>
      </w:r>
      <w:r>
        <w:rPr>
          <w:rFonts w:ascii="Arial" w:cs="Arial" w:eastAsia="Arial" w:hAnsi="Arial"/>
          <w:sz w:val="22"/>
          <w:szCs w:val="22"/>
          <w:color w:val="auto"/>
        </w:rPr>
        <w:t>. The Golar Acquisition has been consummated, or shall be consummated substantially concurrently, on the Closing Date, in all material respects in accordance with the terms of the Golar Acquisition Agreement.</w:t>
      </w:r>
    </w:p>
    <w:p>
      <w:pPr>
        <w:spacing w:after="0" w:line="213"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Loan on the on the occasion of any Borrowing (other than any Borrowing on the Closing Date), and of the Issuing Banks to issue, amend or extend any Letter of Credit (other than on the Closing Date), is subject to receipt of the request therefor in accordance herewith and to the satisfaction of the following conditions:</w:t>
      </w:r>
    </w:p>
    <w:p>
      <w:pPr>
        <w:spacing w:after="0" w:line="212" w:lineRule="exact"/>
        <w:rPr>
          <w:sz w:val="20"/>
          <w:szCs w:val="20"/>
          <w:color w:val="auto"/>
        </w:rPr>
      </w:pPr>
    </w:p>
    <w:p>
      <w:pPr>
        <w:jc w:val="both"/>
        <w:ind w:firstLine="1952"/>
        <w:spacing w:after="0" w:line="282" w:lineRule="auto"/>
        <w:tabs>
          <w:tab w:leader="none" w:pos="264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Representations and Warranties.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materiality qualifier shall not be applicable to any representations and warranties that already are qualified or modified by materiality in the text 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ind w:firstLine="1952"/>
        <w:spacing w:after="0"/>
        <w:tabs>
          <w:tab w:leader="none" w:pos="253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 Default. No event shall have occurred and be continuing or would result from the making of the Loans or the issuance, amendment or extension of such Letter of Credit, as applicable, that would constitute an Event of Default or a Default.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Each Borrowing (other than any initial Borrowing on the Closing Date,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conversion or a continuation of a Borrowing shall not constitute a “Borrowing” for purposes of this Section) and each issuance, amendment or extension of a Letter of Credit (other than a Letter of Credit issued or deemed issued on the Closing Date) shall be deemed to constitute a representation and warranty by the Borrower on the date thereof as to the matters specified in paragraphs (a) and (b) of this Section.</w:t>
      </w:r>
    </w:p>
    <w:p>
      <w:pPr>
        <w:spacing w:after="0" w:line="21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1"/>
          <w:szCs w:val="21"/>
          <w:u w:val="single" w:color="auto"/>
          <w:color w:val="auto"/>
        </w:rPr>
        <w:t>AFFIRMATIVE COVENANTS</w:t>
      </w:r>
    </w:p>
    <w:p>
      <w:pPr>
        <w:spacing w:after="0" w:line="23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Borrower agrees that, so long as the Termination Conditions have not been satisfied, the Borrower shall and shall cause each of the Restricted Subsidiaries of the Borrower to:</w:t>
      </w:r>
    </w:p>
    <w:p>
      <w:pPr>
        <w:spacing w:after="0" w:line="202"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Furnish to the Administrative Agent for delivery to each Lender and each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Issuing Bank and take the following actions:</w:t>
      </w:r>
    </w:p>
    <w:p>
      <w:pPr>
        <w:spacing w:after="0" w:line="215" w:lineRule="exact"/>
        <w:rPr>
          <w:sz w:val="20"/>
          <w:szCs w:val="20"/>
          <w:color w:val="auto"/>
        </w:rPr>
      </w:pPr>
    </w:p>
    <w:p>
      <w:pPr>
        <w:jc w:val="both"/>
        <w:ind w:firstLine="1952"/>
        <w:spacing w:after="0" w:line="244" w:lineRule="auto"/>
        <w:tabs>
          <w:tab w:leader="none" w:pos="268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2020,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w:t>
      </w:r>
    </w:p>
    <w:p>
      <w:pPr>
        <w:spacing w:after="0" w:line="215" w:lineRule="exact"/>
        <w:rPr>
          <w:rFonts w:ascii="Arial" w:cs="Arial" w:eastAsia="Arial" w:hAnsi="Arial"/>
          <w:sz w:val="21"/>
          <w:szCs w:val="21"/>
          <w:color w:val="auto"/>
        </w:rPr>
      </w:pPr>
    </w:p>
    <w:p>
      <w:pPr>
        <w:jc w:val="both"/>
        <w:ind w:firstLine="1952"/>
        <w:spacing w:after="0" w:line="246" w:lineRule="auto"/>
        <w:tabs>
          <w:tab w:leader="none" w:pos="247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June 30, 2021,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206" w:lineRule="exact"/>
        <w:rPr>
          <w:rFonts w:ascii="Arial" w:cs="Arial" w:eastAsia="Arial" w:hAnsi="Arial"/>
          <w:sz w:val="21"/>
          <w:szCs w:val="21"/>
          <w:color w:val="auto"/>
        </w:rPr>
      </w:pPr>
    </w:p>
    <w:p>
      <w:pPr>
        <w:jc w:val="both"/>
        <w:ind w:firstLine="1952"/>
        <w:spacing w:after="0" w:line="234" w:lineRule="auto"/>
        <w:tabs>
          <w:tab w:leader="none" w:pos="248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 substantially comparable to the financial information of the Unrestricted Subsidiaries presented in the Offering Memorandum;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ind w:firstLine="648"/>
        <w:spacing w:after="0" w:line="277" w:lineRule="auto"/>
        <w:rPr>
          <w:sz w:val="20"/>
          <w:szCs w:val="20"/>
          <w:color w:val="auto"/>
        </w:rPr>
      </w:pPr>
      <w:r>
        <w:rPr>
          <w:rFonts w:ascii="Arial" w:cs="Arial" w:eastAsia="Arial" w:hAnsi="Arial"/>
          <w:sz w:val="19"/>
          <w:szCs w:val="19"/>
          <w:color w:val="auto"/>
        </w:rPr>
        <w:t>Financial statements, segment information and other information required to be delivered pursuant to this Section 5.1, Section 5.2 or Section 5.7 may be delivered electronically and if so delivered, shall be deemed to have been delivered on the date</w:t>
      </w:r>
    </w:p>
    <w:p>
      <w:pPr>
        <w:jc w:val="both"/>
        <w:ind w:firstLine="8"/>
        <w:spacing w:after="0" w:line="243" w:lineRule="auto"/>
        <w:tabs>
          <w:tab w:leader="none" w:pos="259" w:val="left"/>
        </w:tabs>
        <w:numPr>
          <w:ilvl w:val="0"/>
          <w:numId w:val="183"/>
        </w:numPr>
        <w:rPr>
          <w:rFonts w:ascii="Arial" w:cs="Arial" w:eastAsia="Arial" w:hAnsi="Arial"/>
          <w:sz w:val="21"/>
          <w:szCs w:val="21"/>
          <w:color w:val="auto"/>
        </w:rPr>
      </w:pPr>
      <w:r>
        <w:rPr>
          <w:rFonts w:ascii="Arial" w:cs="Arial" w:eastAsia="Arial" w:hAnsi="Arial"/>
          <w:sz w:val="21"/>
          <w:szCs w:val="21"/>
          <w:color w:val="auto"/>
        </w:rPr>
        <w:t>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provided that except in the case of clause (iii) the Borrower shall notify the Administrative Agent by facsimile or electronic mail of the posting of any such documents and provide to the Administrative Agent electronic versions of such documents.</w:t>
      </w:r>
    </w:p>
    <w:p>
      <w:pPr>
        <w:spacing w:after="0" w:line="212" w:lineRule="exact"/>
        <w:rPr>
          <w:sz w:val="20"/>
          <w:szCs w:val="20"/>
          <w:color w:val="auto"/>
        </w:rPr>
      </w:pPr>
    </w:p>
    <w:p>
      <w:pPr>
        <w:ind w:right="20" w:firstLine="1134"/>
        <w:spacing w:after="0" w:line="250"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Certificates; Other Information</w:t>
      </w:r>
      <w:r>
        <w:rPr>
          <w:rFonts w:ascii="Arial" w:cs="Arial" w:eastAsia="Arial" w:hAnsi="Arial"/>
          <w:sz w:val="22"/>
          <w:szCs w:val="22"/>
          <w:color w:val="auto"/>
        </w:rPr>
        <w:t>. Furnish to the Administrative Agent for delivery to each Lender and each Issuing Bank:</w:t>
      </w:r>
    </w:p>
    <w:p>
      <w:pPr>
        <w:spacing w:after="0" w:line="202" w:lineRule="exact"/>
        <w:rPr>
          <w:sz w:val="20"/>
          <w:szCs w:val="20"/>
          <w:color w:val="auto"/>
        </w:rPr>
      </w:pPr>
    </w:p>
    <w:p>
      <w:pPr>
        <w:jc w:val="both"/>
        <w:ind w:firstLine="1952"/>
        <w:spacing w:after="0"/>
        <w:tabs>
          <w:tab w:leader="none" w:pos="2629"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concurrently with the delivery of any financial statements pursuant to Section 5.1, a Compliance Certificate of the Borrower (the first such Compliance Certificate to be delivered for the fiscal quarter ending June 30, 2021) as of the last day of the fiscal quarter or fiscal year of the Borrower, as the case may be;</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5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no later than 60 days after the end of each fiscal year of the Borrower, beginning with the fiscal year ending December 31, 2021,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spacing w:after="0" w:line="211" w:lineRule="exact"/>
        <w:rPr>
          <w:rFonts w:ascii="Arial" w:cs="Arial" w:eastAsia="Arial" w:hAnsi="Arial"/>
          <w:sz w:val="22"/>
          <w:szCs w:val="22"/>
          <w:color w:val="auto"/>
        </w:rPr>
      </w:pPr>
    </w:p>
    <w:p>
      <w:pPr>
        <w:jc w:val="both"/>
        <w:ind w:firstLine="1952"/>
        <w:spacing w:after="0" w:line="238" w:lineRule="auto"/>
        <w:tabs>
          <w:tab w:leader="none" w:pos="271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spacing w:after="0" w:line="211" w:lineRule="exact"/>
        <w:rPr>
          <w:rFonts w:ascii="Arial" w:cs="Arial" w:eastAsia="Arial" w:hAnsi="Arial"/>
          <w:sz w:val="22"/>
          <w:szCs w:val="22"/>
          <w:color w:val="auto"/>
        </w:rPr>
      </w:pPr>
    </w:p>
    <w:p>
      <w:pPr>
        <w:jc w:val="both"/>
        <w:ind w:firstLine="1952"/>
        <w:spacing w:after="0" w:line="238" w:lineRule="auto"/>
        <w:tabs>
          <w:tab w:leader="none" w:pos="261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or Issuing Bank).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w:t>
      </w:r>
      <w:r>
        <w:rPr>
          <w:rFonts w:ascii="Arial" w:cs="Arial" w:eastAsia="Arial" w:hAnsi="Arial"/>
          <w:sz w:val="19"/>
          <w:szCs w:val="19"/>
          <w:u w:val="single" w:color="auto"/>
          <w:color w:val="auto"/>
        </w:rPr>
        <w:t>Platform</w:t>
      </w:r>
      <w:r>
        <w:rPr>
          <w:rFonts w:ascii="Arial" w:cs="Arial" w:eastAsia="Arial" w:hAnsi="Arial"/>
          <w:sz w:val="19"/>
          <w:szCs w:val="19"/>
          <w:color w:val="auto"/>
        </w:rPr>
        <w:t>”),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Arial" w:cs="Arial" w:eastAsia="Arial" w:hAnsi="Arial"/>
          <w:sz w:val="19"/>
          <w:szCs w:val="19"/>
          <w:u w:val="single" w:color="auto"/>
          <w:color w:val="auto"/>
        </w:rPr>
        <w:t>Private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Side Information</w:t>
      </w:r>
      <w:r>
        <w:rPr>
          <w:rFonts w:ascii="Arial" w:cs="Arial" w:eastAsia="Arial" w:hAnsi="Arial"/>
          <w:sz w:val="19"/>
          <w:szCs w:val="19"/>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firstLine="1134"/>
        <w:spacing w:after="0" w:line="287"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Payment of Taxes</w:t>
      </w:r>
      <w:r>
        <w:rPr>
          <w:rFonts w:ascii="Arial" w:cs="Arial" w:eastAsia="Arial" w:hAnsi="Arial"/>
          <w:sz w:val="19"/>
          <w:szCs w:val="19"/>
          <w:color w:val="auto"/>
        </w:rPr>
        <w:t>.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spacing w:after="0" w:line="171" w:lineRule="exact"/>
        <w:rPr>
          <w:sz w:val="20"/>
          <w:szCs w:val="20"/>
          <w:color w:val="auto"/>
        </w:rPr>
      </w:pPr>
    </w:p>
    <w:p>
      <w:pPr>
        <w:jc w:val="both"/>
        <w:ind w:firstLine="1134"/>
        <w:spacing w:after="0" w:line="246"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Conduct of Business and Maintenance of Existence; Compliance with Law</w:t>
      </w:r>
      <w:r>
        <w:rPr>
          <w:rFonts w:ascii="Arial" w:cs="Arial" w:eastAsia="Arial" w:hAnsi="Arial"/>
          <w:sz w:val="21"/>
          <w:szCs w:val="21"/>
          <w:color w:val="auto"/>
        </w:rPr>
        <w:t>. (a)(i) Except as otherwise permitted by Section 6.9,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spacing w:after="0" w:line="20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Maintenance of Property; Insurance</w:t>
      </w:r>
      <w:r>
        <w:rPr>
          <w:rFonts w:ascii="Arial" w:cs="Arial" w:eastAsia="Arial" w:hAnsi="Arial"/>
          <w:sz w:val="19"/>
          <w:szCs w:val="19"/>
          <w:color w:val="auto"/>
        </w:rPr>
        <w:t>.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spacing w:after="0" w:line="179"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w:t>
      </w:r>
    </w:p>
    <w:p>
      <w:pPr>
        <w:spacing w:after="0" w:line="17" w:lineRule="exact"/>
        <w:rPr>
          <w:sz w:val="20"/>
          <w:szCs w:val="20"/>
          <w:color w:val="auto"/>
        </w:rPr>
      </w:pPr>
    </w:p>
    <w:p>
      <w:pPr>
        <w:jc w:val="both"/>
        <w:ind w:firstLine="8"/>
        <w:spacing w:after="0" w:line="233" w:lineRule="auto"/>
        <w:tabs>
          <w:tab w:leader="none" w:pos="31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left="1140"/>
        <w:spacing w:after="0"/>
        <w:tabs>
          <w:tab w:leader="none" w:pos="268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after obtaining knowledge of the same, give notice to the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15" w:lineRule="exact"/>
        <w:rPr>
          <w:sz w:val="20"/>
          <w:szCs w:val="20"/>
          <w:color w:val="auto"/>
        </w:rPr>
      </w:pPr>
    </w:p>
    <w:p>
      <w:pPr>
        <w:ind w:left="2520" w:hanging="568"/>
        <w:spacing w:after="0"/>
        <w:tabs>
          <w:tab w:leader="none" w:pos="25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occurrence of any Default or Event of Default;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58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spacing w:after="0" w:line="196" w:lineRule="exact"/>
        <w:rPr>
          <w:rFonts w:ascii="Arial" w:cs="Arial" w:eastAsia="Arial" w:hAnsi="Arial"/>
          <w:sz w:val="21"/>
          <w:szCs w:val="21"/>
          <w:color w:val="auto"/>
        </w:rPr>
      </w:pPr>
    </w:p>
    <w:p>
      <w:pPr>
        <w:ind w:firstLine="1952"/>
        <w:spacing w:after="0" w:line="250" w:lineRule="auto"/>
        <w:tabs>
          <w:tab w:leader="none" w:pos="256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other development or event that has had or could reasonably be expected to have, individually or in the aggregate, a Material Adverse Effect.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spacing w:after="0" w:line="213"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5.8</w:t>
      </w:r>
      <w:r>
        <w:rPr>
          <w:sz w:val="20"/>
          <w:szCs w:val="20"/>
          <w:color w:val="auto"/>
        </w:rPr>
        <w:tab/>
      </w:r>
      <w:r>
        <w:rPr>
          <w:rFonts w:ascii="Arial" w:cs="Arial" w:eastAsia="Arial" w:hAnsi="Arial"/>
          <w:sz w:val="19"/>
          <w:szCs w:val="19"/>
          <w:u w:val="single" w:color="auto"/>
          <w:color w:val="auto"/>
        </w:rPr>
        <w:t>Environmental Laws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6" w:lineRule="auto"/>
        <w:tabs>
          <w:tab w:leader="none" w:pos="257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spacing w:after="0" w:line="214" w:lineRule="exact"/>
        <w:rPr>
          <w:rFonts w:ascii="Arial" w:cs="Arial" w:eastAsia="Arial" w:hAnsi="Arial"/>
          <w:sz w:val="22"/>
          <w:szCs w:val="22"/>
          <w:color w:val="auto"/>
        </w:rPr>
      </w:pPr>
    </w:p>
    <w:p>
      <w:pPr>
        <w:jc w:val="both"/>
        <w:ind w:firstLine="1952"/>
        <w:spacing w:after="0" w:line="287" w:lineRule="auto"/>
        <w:tabs>
          <w:tab w:leader="none" w:pos="265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spacing w:after="0" w:line="170"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21"/>
          <w:szCs w:val="21"/>
          <w:color w:val="auto"/>
        </w:rPr>
        <w:t xml:space="preserve">Section 5.9 </w:t>
      </w:r>
      <w:r>
        <w:rPr>
          <w:rFonts w:ascii="Arial" w:cs="Arial" w:eastAsia="Arial" w:hAnsi="Arial"/>
          <w:sz w:val="21"/>
          <w:szCs w:val="21"/>
          <w:u w:val="single" w:color="auto"/>
          <w:color w:val="auto"/>
        </w:rPr>
        <w:t>Plan Compliance</w:t>
      </w:r>
      <w:r>
        <w:rPr>
          <w:rFonts w:ascii="Arial" w:cs="Arial" w:eastAsia="Arial" w:hAnsi="Arial"/>
          <w:sz w:val="21"/>
          <w:szCs w:val="21"/>
          <w:color w:val="auto"/>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left="20"/>
        <w:spacing w:after="0"/>
        <w:tabs>
          <w:tab w:leader="none" w:pos="156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Additional Guarantors; Additional Collateral, Collateral Limitations.</w:t>
      </w:r>
    </w:p>
    <w:p>
      <w:pPr>
        <w:spacing w:after="0" w:line="234" w:lineRule="exact"/>
        <w:rPr>
          <w:sz w:val="20"/>
          <w:szCs w:val="20"/>
          <w:color w:val="auto"/>
        </w:rPr>
      </w:pPr>
    </w:p>
    <w:p>
      <w:pPr>
        <w:jc w:val="both"/>
        <w:ind w:left="-1120" w:firstLine="1952"/>
        <w:spacing w:after="0" w:line="270" w:lineRule="auto"/>
        <w:tabs>
          <w:tab w:leader="none" w:pos="141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Subject to Section 5.12, the Borrower shall cause each of its Wholly-Owned Restricted Subsidiaries (other than (a) the Guarantors, (b) any Qualified Liquefaction Development Entities, (c) any Receivables Subsidiaries, (d) any Immaterial Subsidiaries, (e) any Captive Insurance Subsidiaries, (f) not-for-profit or special purpose Subsidiary and (g) any Subsidiary with respect to which a guarantee by it of the Obligations would result in material adverse tax consequences to any Loan Party, as reasonably determined by the Borrower and notified to the Administrative Agent and the Collateral Agent in writing) to, within 60 days (subject to extensions, and exceptions as to scope of foreign security and perfection requirements, as are reasonably agreed by the Collateral Agent) of the later of (i) such Subsidiary becoming a Wholly-Owned Restricted Subsidiary and (ii) the Borrower determining such Subsidiary ceased to meet any of the exceptions set forth in the preceding parenthetical, execute and deliver (A) a Joinder Agreement, (B) a joinder to the Security Agreement substantially in the form of 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 Documents (including any Single Lien Security Documents) to create or perfect (to the extent required by such Security Documents) the security interests for the benefit of the 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1120" w:firstLine="1952"/>
        <w:spacing w:after="0" w:line="234" w:lineRule="auto"/>
        <w:tabs>
          <w:tab w:leader="none" w:pos="1643" w:val="left"/>
        </w:tabs>
        <w:numPr>
          <w:ilvl w:val="0"/>
          <w:numId w:val="188"/>
        </w:numPr>
        <w:rPr>
          <w:rFonts w:ascii="Arial" w:cs="Arial" w:eastAsia="Arial" w:hAnsi="Arial"/>
          <w:sz w:val="22"/>
          <w:szCs w:val="22"/>
          <w:color w:val="auto"/>
        </w:rPr>
      </w:pPr>
      <w:r>
        <w:rPr>
          <w:rFonts w:ascii="Arial" w:cs="Arial" w:eastAsia="Arial" w:hAnsi="Arial"/>
          <w:sz w:val="22"/>
          <w:szCs w:val="22"/>
          <w:color w:val="auto"/>
        </w:rPr>
        <w:t>From and after the Closing Date, and subject to the applicable time periods, limitations and exceptions set forth in the Security Documents and this Agreement (including the limitations and exceptions in this Section 5.10),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security for the Obligations within 90 days of such acquisition (subject to extensions, and exceptions as to scope of foreign security and perfection requirements, as are reasonably agreed by the Collateral Agent).</w:t>
      </w:r>
    </w:p>
    <w:p>
      <w:pPr>
        <w:spacing w:after="0" w:line="217" w:lineRule="exact"/>
        <w:rPr>
          <w:rFonts w:ascii="Arial" w:cs="Arial" w:eastAsia="Arial" w:hAnsi="Arial"/>
          <w:sz w:val="22"/>
          <w:szCs w:val="22"/>
          <w:color w:val="auto"/>
        </w:rPr>
      </w:pPr>
    </w:p>
    <w:p>
      <w:pPr>
        <w:jc w:val="both"/>
        <w:ind w:left="-1120" w:firstLine="1952"/>
        <w:spacing w:after="0" w:line="270" w:lineRule="auto"/>
        <w:tabs>
          <w:tab w:leader="none" w:pos="140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Subject to the applicable terms of the Security Documents and any Intercreditor Agreements,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Collateral Agent),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w:t>
      </w:r>
      <w:r>
        <w:rPr>
          <w:rFonts w:ascii="Arial" w:cs="Arial" w:eastAsia="Arial" w:hAnsi="Arial"/>
          <w:sz w:val="19"/>
          <w:szCs w:val="19"/>
          <w:u w:val="single" w:color="auto"/>
          <w:color w:val="auto"/>
        </w:rPr>
        <w:t>Title Policy</w:t>
      </w:r>
      <w:r>
        <w:rPr>
          <w:rFonts w:ascii="Arial" w:cs="Arial" w:eastAsia="Arial" w:hAnsi="Arial"/>
          <w:sz w:val="19"/>
          <w:szCs w:val="19"/>
          <w:color w:val="auto"/>
        </w:rPr>
        <w:t>”),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w:t>
      </w:r>
    </w:p>
    <w:p>
      <w:pPr>
        <w:spacing w:after="0" w:line="192" w:lineRule="exact"/>
        <w:rPr>
          <w:rFonts w:ascii="Arial" w:cs="Arial" w:eastAsia="Arial" w:hAnsi="Arial"/>
          <w:sz w:val="19"/>
          <w:szCs w:val="19"/>
          <w:color w:val="auto"/>
        </w:rPr>
      </w:pPr>
    </w:p>
    <w:p>
      <w:pPr>
        <w:jc w:val="both"/>
        <w:ind w:left="-1120" w:firstLine="1952"/>
        <w:spacing w:after="0" w:line="245" w:lineRule="auto"/>
        <w:tabs>
          <w:tab w:leader="none" w:pos="1373" w:val="left"/>
        </w:tabs>
        <w:numPr>
          <w:ilvl w:val="0"/>
          <w:numId w:val="188"/>
        </w:numPr>
        <w:rPr>
          <w:rFonts w:ascii="Arial" w:cs="Arial" w:eastAsia="Arial" w:hAnsi="Arial"/>
          <w:sz w:val="21"/>
          <w:szCs w:val="21"/>
          <w:color w:val="auto"/>
        </w:rPr>
      </w:pPr>
      <w:r>
        <w:rPr>
          <w:rFonts w:ascii="Arial" w:cs="Arial" w:eastAsia="Arial" w:hAnsi="Arial"/>
          <w:sz w:val="21"/>
          <w:szCs w:val="21"/>
          <w:color w:val="auto"/>
        </w:rPr>
        <w:t>Subject to the applicable terms of the Security Documents and any Intercreditor Agreements, and to the extent not otherwise constituting Excluded Assets, after the acquisition by any Loan Party of any tanker or other marine vessel with a value (as reasonably estimated by the Borrower) in excess of $40.0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$40.0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w:t>
      </w:r>
    </w:p>
    <w:p>
      <w:pPr>
        <w:sectPr>
          <w:pgSz w:w="11900" w:h="16838" w:orient="portrait"/>
          <w:cols w:equalWidth="0" w:num="1">
            <w:col w:w="10120"/>
          </w:cols>
          <w:pgMar w:left="1440" w:top="118" w:right="339" w:bottom="1004" w:gutter="0" w:footer="0" w:header="0"/>
        </w:sectPr>
      </w:pPr>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004" w:gutter="0" w:footer="0" w:header="0"/>
          <w:type w:val="continuous"/>
        </w:sectPr>
      </w:pPr>
    </w:p>
    <w:bookmarkStart w:id="155" w:name="page156"/>
    <w:bookmarkEnd w:id="155"/>
    <w:p>
      <w:pPr>
        <w:jc w:val="both"/>
        <w:ind w:firstLine="1952"/>
        <w:spacing w:after="0" w:line="234" w:lineRule="auto"/>
        <w:tabs>
          <w:tab w:leader="none" w:pos="2589" w:val="left"/>
        </w:tabs>
        <w:numPr>
          <w:ilvl w:val="2"/>
          <w:numId w:val="189"/>
        </w:numPr>
        <w:rPr>
          <w:rFonts w:ascii="Arial" w:cs="Arial" w:eastAsia="Arial" w:hAnsi="Arial"/>
          <w:sz w:val="22"/>
          <w:szCs w:val="22"/>
          <w:color w:val="auto"/>
        </w:rPr>
      </w:pPr>
      <w:r>
        <w:rPr>
          <w:rFonts w:ascii="Arial" w:cs="Arial" w:eastAsia="Arial" w:hAnsi="Arial"/>
          <w:sz w:val="22"/>
          <w:szCs w:val="22"/>
          <w:color w:val="auto"/>
        </w:rPr>
        <w:t>Notwithstanding anything to the contrary, to the extent that the Lien on any Collateral is not or cannot be created and/or perfected on the Closing Date (other than (a)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Collateral Agent acting reasonably, including those Post-Closing Actions set forth on Schedule 5.12. In addition, notwithstanding anything to the contrary, it is understood and agreed that:</w:t>
      </w:r>
    </w:p>
    <w:p>
      <w:pPr>
        <w:spacing w:after="0" w:line="218" w:lineRule="exact"/>
        <w:rPr>
          <w:rFonts w:ascii="Arial" w:cs="Arial" w:eastAsia="Arial" w:hAnsi="Arial"/>
          <w:sz w:val="22"/>
          <w:szCs w:val="22"/>
          <w:color w:val="auto"/>
        </w:rPr>
      </w:pPr>
    </w:p>
    <w:p>
      <w:pPr>
        <w:jc w:val="both"/>
        <w:ind w:left="660" w:right="20" w:firstLine="1778"/>
        <w:spacing w:after="0" w:line="297" w:lineRule="auto"/>
        <w:tabs>
          <w:tab w:leader="none" w:pos="3199" w:val="left"/>
        </w:tabs>
        <w:numPr>
          <w:ilvl w:val="3"/>
          <w:numId w:val="189"/>
        </w:numPr>
        <w:rPr>
          <w:rFonts w:ascii="Arial" w:cs="Arial" w:eastAsia="Arial" w:hAnsi="Arial"/>
          <w:sz w:val="19"/>
          <w:szCs w:val="19"/>
          <w:color w:val="auto"/>
        </w:rPr>
      </w:pPr>
      <w:r>
        <w:rPr>
          <w:rFonts w:ascii="Arial" w:cs="Arial" w:eastAsia="Arial" w:hAnsi="Arial"/>
          <w:sz w:val="19"/>
          <w:szCs w:val="19"/>
          <w:color w:val="auto"/>
        </w:rPr>
        <w:t>the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spacing w:after="0" w:line="160" w:lineRule="exact"/>
        <w:rPr>
          <w:rFonts w:ascii="Arial" w:cs="Arial" w:eastAsia="Arial" w:hAnsi="Arial"/>
          <w:sz w:val="19"/>
          <w:szCs w:val="19"/>
          <w:color w:val="auto"/>
        </w:rPr>
      </w:pPr>
    </w:p>
    <w:p>
      <w:pPr>
        <w:jc w:val="both"/>
        <w:ind w:left="660" w:firstLine="1778"/>
        <w:spacing w:after="0" w:line="249" w:lineRule="auto"/>
        <w:tabs>
          <w:tab w:leader="none" w:pos="3408" w:val="left"/>
        </w:tabs>
        <w:numPr>
          <w:ilvl w:val="3"/>
          <w:numId w:val="189"/>
        </w:numPr>
        <w:rPr>
          <w:rFonts w:ascii="Arial" w:cs="Arial" w:eastAsia="Arial" w:hAnsi="Arial"/>
          <w:sz w:val="21"/>
          <w:szCs w:val="21"/>
          <w:color w:val="auto"/>
        </w:rPr>
      </w:pPr>
      <w:r>
        <w:rPr>
          <w:rFonts w:ascii="Arial" w:cs="Arial" w:eastAsia="Arial" w:hAnsi="Arial"/>
          <w:sz w:val="21"/>
          <w:szCs w:val="21"/>
          <w:color w:val="auto"/>
        </w:rPr>
        <w:t>(1) perfection by control shall not be required with respect to assets requiring perfection through control agreements or other control arrangements, including Deposit Accounts, securities accounts and commodities accounts (other than control or possession of pledged Equity Interests (to the extent certificated) that constitute Collateral) and (2) no blocked account agreement, deposit account control agreement or similar agreement shall be required for any Deposit Account, securities account or commodities account;</w:t>
      </w:r>
    </w:p>
    <w:p>
      <w:pPr>
        <w:spacing w:after="0" w:line="205" w:lineRule="exact"/>
        <w:rPr>
          <w:rFonts w:ascii="Arial" w:cs="Arial" w:eastAsia="Arial" w:hAnsi="Arial"/>
          <w:sz w:val="21"/>
          <w:szCs w:val="21"/>
          <w:color w:val="auto"/>
        </w:rPr>
      </w:pPr>
    </w:p>
    <w:p>
      <w:pPr>
        <w:jc w:val="both"/>
        <w:ind w:left="660" w:firstLine="1778"/>
        <w:spacing w:after="0" w:line="257" w:lineRule="auto"/>
        <w:tabs>
          <w:tab w:leader="none" w:pos="3319" w:val="left"/>
        </w:tabs>
        <w:numPr>
          <w:ilvl w:val="3"/>
          <w:numId w:val="189"/>
        </w:numPr>
        <w:rPr>
          <w:rFonts w:ascii="Arial" w:cs="Arial" w:eastAsia="Arial" w:hAnsi="Arial"/>
          <w:sz w:val="21"/>
          <w:szCs w:val="21"/>
          <w:color w:val="auto"/>
        </w:rPr>
      </w:pPr>
      <w:r>
        <w:rPr>
          <w:rFonts w:ascii="Arial" w:cs="Arial" w:eastAsia="Arial" w:hAnsi="Arial"/>
          <w:sz w:val="21"/>
          <w:szCs w:val="21"/>
          <w:color w:val="auto"/>
        </w:rPr>
        <w:t>the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spacing w:after="0" w:line="196" w:lineRule="exact"/>
        <w:rPr>
          <w:rFonts w:ascii="Arial" w:cs="Arial" w:eastAsia="Arial" w:hAnsi="Arial"/>
          <w:sz w:val="21"/>
          <w:szCs w:val="21"/>
          <w:color w:val="auto"/>
        </w:rPr>
      </w:pPr>
    </w:p>
    <w:p>
      <w:pPr>
        <w:jc w:val="both"/>
        <w:ind w:left="660" w:firstLine="482"/>
        <w:spacing w:after="0"/>
        <w:tabs>
          <w:tab w:leader="none" w:pos="2275" w:val="left"/>
        </w:tabs>
        <w:numPr>
          <w:ilvl w:val="1"/>
          <w:numId w:val="190"/>
        </w:numPr>
        <w:rPr>
          <w:rFonts w:ascii="Arial" w:cs="Arial" w:eastAsia="Arial" w:hAnsi="Arial"/>
          <w:sz w:val="22"/>
          <w:szCs w:val="22"/>
          <w:color w:val="auto"/>
        </w:rPr>
      </w:pPr>
      <w:r>
        <w:rPr>
          <w:rFonts w:ascii="Arial" w:cs="Arial" w:eastAsia="Arial" w:hAnsi="Arial"/>
          <w:sz w:val="22"/>
          <w:szCs w:val="22"/>
          <w:color w:val="auto"/>
        </w:rPr>
        <w:t>with respect to Equity Interests in, and Collateral owned by, Guarantors located in Barbados as of the Closing Date, a charge over shares and debentures under the Laws of Barbados and any customary filings associated therewith;</w:t>
      </w:r>
    </w:p>
    <w:p>
      <w:pPr>
        <w:spacing w:after="0" w:line="213" w:lineRule="exact"/>
        <w:rPr>
          <w:rFonts w:ascii="Arial" w:cs="Arial" w:eastAsia="Arial" w:hAnsi="Arial"/>
          <w:sz w:val="22"/>
          <w:szCs w:val="22"/>
          <w:color w:val="auto"/>
        </w:rPr>
      </w:pPr>
    </w:p>
    <w:p>
      <w:pPr>
        <w:ind w:left="660" w:firstLine="482"/>
        <w:spacing w:after="0" w:line="274" w:lineRule="auto"/>
        <w:tabs>
          <w:tab w:leader="none" w:pos="2289" w:val="left"/>
        </w:tabs>
        <w:numPr>
          <w:ilvl w:val="1"/>
          <w:numId w:val="190"/>
        </w:numPr>
        <w:rPr>
          <w:rFonts w:ascii="Arial" w:cs="Arial" w:eastAsia="Arial" w:hAnsi="Arial"/>
          <w:sz w:val="21"/>
          <w:szCs w:val="21"/>
          <w:color w:val="auto"/>
        </w:rPr>
      </w:pPr>
      <w:r>
        <w:rPr>
          <w:rFonts w:ascii="Arial" w:cs="Arial" w:eastAsia="Arial" w:hAnsi="Arial"/>
          <w:sz w:val="21"/>
          <w:szCs w:val="21"/>
          <w:color w:val="auto"/>
        </w:rPr>
        <w:t>with respect to Equity Interests in, and Collateral owned by, Guarantors located in Bermuda as of the Closing Date, a share charge under the Laws of Bermuda and any customary filings associated therewith;</w:t>
      </w:r>
    </w:p>
    <w:p>
      <w:pPr>
        <w:spacing w:after="0" w:line="177" w:lineRule="exact"/>
        <w:rPr>
          <w:rFonts w:ascii="Arial" w:cs="Arial" w:eastAsia="Arial" w:hAnsi="Arial"/>
          <w:sz w:val="21"/>
          <w:szCs w:val="21"/>
          <w:color w:val="auto"/>
        </w:rPr>
      </w:pPr>
    </w:p>
    <w:p>
      <w:pPr>
        <w:ind w:left="660" w:right="20" w:firstLine="482"/>
        <w:spacing w:after="0" w:line="274" w:lineRule="auto"/>
        <w:tabs>
          <w:tab w:leader="none" w:pos="2370" w:val="left"/>
        </w:tabs>
        <w:numPr>
          <w:ilvl w:val="1"/>
          <w:numId w:val="190"/>
        </w:numPr>
        <w:rPr>
          <w:rFonts w:ascii="Arial" w:cs="Arial" w:eastAsia="Arial" w:hAnsi="Arial"/>
          <w:sz w:val="21"/>
          <w:szCs w:val="21"/>
          <w:color w:val="auto"/>
        </w:rPr>
      </w:pPr>
      <w:r>
        <w:rPr>
          <w:rFonts w:ascii="Arial" w:cs="Arial" w:eastAsia="Arial" w:hAnsi="Arial"/>
          <w:sz w:val="21"/>
          <w:szCs w:val="21"/>
          <w:color w:val="auto"/>
        </w:rPr>
        <w:t>with respect to Equity Interests in, and Collateral owned by, Guarantors located in Ireland as of the Closing Date, a charge over shares under the laws of Ireland and any customary filings associated therewith;</w:t>
      </w:r>
    </w:p>
    <w:p>
      <w:pPr>
        <w:spacing w:after="0" w:line="177" w:lineRule="exact"/>
        <w:rPr>
          <w:rFonts w:ascii="Arial" w:cs="Arial" w:eastAsia="Arial" w:hAnsi="Arial"/>
          <w:sz w:val="21"/>
          <w:szCs w:val="21"/>
          <w:color w:val="auto"/>
        </w:rPr>
      </w:pPr>
    </w:p>
    <w:p>
      <w:pPr>
        <w:jc w:val="both"/>
        <w:ind w:left="660" w:firstLine="482"/>
        <w:spacing w:after="0" w:line="276" w:lineRule="auto"/>
        <w:tabs>
          <w:tab w:leader="none" w:pos="2181" w:val="left"/>
        </w:tabs>
        <w:numPr>
          <w:ilvl w:val="1"/>
          <w:numId w:val="190"/>
        </w:numPr>
        <w:rPr>
          <w:rFonts w:ascii="Arial" w:cs="Arial" w:eastAsia="Arial" w:hAnsi="Arial"/>
          <w:sz w:val="19"/>
          <w:szCs w:val="19"/>
          <w:color w:val="auto"/>
        </w:rPr>
      </w:pPr>
      <w:r>
        <w:rPr>
          <w:rFonts w:ascii="Arial" w:cs="Arial" w:eastAsia="Arial" w:hAnsi="Arial"/>
          <w:sz w:val="19"/>
          <w:szCs w:val="19"/>
          <w:color w:val="auto"/>
        </w:rPr>
        <w:t>with respect to Equity Interests and Collateral located in Jamaica as of the Closing Date, (i) a debenture creating charges over Collateral, (ii) four share charges by a Barbadian parent over shares in four Jamaican subsidiaries,</w:t>
      </w:r>
    </w:p>
    <w:p>
      <w:pPr>
        <w:spacing w:after="0" w:line="1" w:lineRule="exact"/>
        <w:rPr>
          <w:rFonts w:ascii="Arial" w:cs="Arial" w:eastAsia="Arial" w:hAnsi="Arial"/>
          <w:sz w:val="19"/>
          <w:szCs w:val="19"/>
          <w:color w:val="auto"/>
        </w:rPr>
      </w:pPr>
    </w:p>
    <w:p>
      <w:pPr>
        <w:jc w:val="both"/>
        <w:ind w:left="660" w:hanging="4"/>
        <w:spacing w:after="0" w:line="234" w:lineRule="auto"/>
        <w:tabs>
          <w:tab w:leader="none" w:pos="103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 share charge by a United States parent over shares in a Jamaican subsidiary and (iv) two mortgages over certain real property interests under the Laws of Jamaica (and Barbados, as applicable, with respect to the charge over shares), and any customary filings associated therewith;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ind w:left="660" w:firstLine="482"/>
        <w:spacing w:after="0" w:line="241" w:lineRule="auto"/>
        <w:tabs>
          <w:tab w:leader="none" w:pos="2262"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with respect to Equity Interests in, and Collateral owned by, Guarantors located in Mexico as of the Closing Date, equity interests pledge agreements and non-possessory pledge agreements under the Laws of Mexico, and any customary filings associated therewith;</w:t>
      </w:r>
    </w:p>
    <w:p>
      <w:pPr>
        <w:spacing w:after="0" w:line="210" w:lineRule="exact"/>
        <w:rPr>
          <w:rFonts w:ascii="Arial" w:cs="Arial" w:eastAsia="Arial" w:hAnsi="Arial"/>
          <w:sz w:val="22"/>
          <w:szCs w:val="22"/>
          <w:color w:val="auto"/>
        </w:rPr>
      </w:pPr>
    </w:p>
    <w:p>
      <w:pPr>
        <w:jc w:val="both"/>
        <w:ind w:left="660" w:firstLine="482"/>
        <w:spacing w:after="0"/>
        <w:tabs>
          <w:tab w:leader="none" w:pos="210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with respect to Equity Interests in, and Collateral owned by, Guarantors located in The Netherlands as of the Closing Date, a pledge of shares and pledge on receivables and accounts under the Laws of The Netherlands, and any customary filings associated therewith;</w:t>
      </w:r>
    </w:p>
    <w:p>
      <w:pPr>
        <w:spacing w:after="0" w:line="213" w:lineRule="exact"/>
        <w:rPr>
          <w:rFonts w:ascii="Arial" w:cs="Arial" w:eastAsia="Arial" w:hAnsi="Arial"/>
          <w:sz w:val="22"/>
          <w:szCs w:val="22"/>
          <w:color w:val="auto"/>
        </w:rPr>
      </w:pPr>
    </w:p>
    <w:p>
      <w:pPr>
        <w:ind w:left="660" w:firstLine="482"/>
        <w:spacing w:after="0" w:line="328" w:lineRule="auto"/>
        <w:tabs>
          <w:tab w:leader="none" w:pos="2248" w:val="left"/>
        </w:tabs>
        <w:numPr>
          <w:ilvl w:val="1"/>
          <w:numId w:val="192"/>
        </w:numPr>
        <w:rPr>
          <w:rFonts w:ascii="Arial" w:cs="Arial" w:eastAsia="Arial" w:hAnsi="Arial"/>
          <w:sz w:val="19"/>
          <w:szCs w:val="19"/>
          <w:color w:val="auto"/>
        </w:rPr>
      </w:pPr>
      <w:r>
        <w:rPr>
          <w:rFonts w:ascii="Arial" w:cs="Arial" w:eastAsia="Arial" w:hAnsi="Arial"/>
          <w:sz w:val="19"/>
          <w:szCs w:val="19"/>
          <w:color w:val="auto"/>
        </w:rPr>
        <w:t>with respect to Collateral owned by, Guarantors located in Nicaragua as of the Closing Date, movable pledge over a Power Purchase Agreement under the laws of Nicaragua, and any customary filings associated therewith;</w:t>
      </w:r>
    </w:p>
    <w:p>
      <w:pPr>
        <w:spacing w:after="0" w:line="131" w:lineRule="exact"/>
        <w:rPr>
          <w:rFonts w:ascii="Arial" w:cs="Arial" w:eastAsia="Arial" w:hAnsi="Arial"/>
          <w:sz w:val="19"/>
          <w:szCs w:val="19"/>
          <w:color w:val="auto"/>
        </w:rPr>
      </w:pPr>
    </w:p>
    <w:p>
      <w:pPr>
        <w:jc w:val="both"/>
        <w:ind w:left="660" w:firstLine="482"/>
        <w:spacing w:after="0" w:line="257" w:lineRule="auto"/>
        <w:tabs>
          <w:tab w:leader="none" w:pos="214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with respect to Equity Interests in, and Collateral owned by, Guarantors located in Puerto Rico as of the Closing Date, a filing of the applicable financing statement before the Commonwealth of Puerto Rico Department of State’s Secured Transactions Registry and any customary filings associated therewith;</w:t>
      </w:r>
    </w:p>
    <w:p>
      <w:pPr>
        <w:spacing w:after="0" w:line="196" w:lineRule="exact"/>
        <w:rPr>
          <w:rFonts w:ascii="Arial" w:cs="Arial" w:eastAsia="Arial" w:hAnsi="Arial"/>
          <w:sz w:val="21"/>
          <w:szCs w:val="21"/>
          <w:color w:val="auto"/>
        </w:rPr>
      </w:pPr>
    </w:p>
    <w:p>
      <w:pPr>
        <w:jc w:val="both"/>
        <w:ind w:left="660" w:firstLine="482"/>
        <w:spacing w:after="0"/>
        <w:tabs>
          <w:tab w:leader="none" w:pos="2316"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with respect to Equity Interests in, and Collateral owned by, Guarantors incorporated in England and Wales as of the Closing Date, a charge over shares and debentures under the Laws of England and Wales and any customary filings associated therewith; and</w:t>
      </w:r>
    </w:p>
    <w:p>
      <w:pPr>
        <w:spacing w:after="0" w:line="213" w:lineRule="exact"/>
        <w:rPr>
          <w:rFonts w:ascii="Arial" w:cs="Arial" w:eastAsia="Arial" w:hAnsi="Arial"/>
          <w:sz w:val="22"/>
          <w:szCs w:val="22"/>
          <w:color w:val="auto"/>
        </w:rPr>
      </w:pPr>
    </w:p>
    <w:p>
      <w:pPr>
        <w:jc w:val="both"/>
        <w:ind w:left="660" w:firstLine="482"/>
        <w:spacing w:after="0"/>
        <w:tabs>
          <w:tab w:leader="none" w:pos="2073"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with respect to Equity Interests in, and Collateral owned by, Foreign Subsidiaries that become Guarantors after the Closing Date, only such share pledges, debentures and similar instruments as are substantially consistent with those described in the foregoing clauses (1) through (9), as applicable.</w:t>
      </w:r>
    </w:p>
    <w:p>
      <w:pPr>
        <w:spacing w:after="0" w:line="213" w:lineRule="exact"/>
        <w:rPr>
          <w:rFonts w:ascii="Arial" w:cs="Arial" w:eastAsia="Arial" w:hAnsi="Arial"/>
          <w:sz w:val="22"/>
          <w:szCs w:val="22"/>
          <w:color w:val="auto"/>
        </w:rPr>
      </w:pPr>
    </w:p>
    <w:p>
      <w:pPr>
        <w:jc w:val="both"/>
        <w:ind w:firstLine="1952"/>
        <w:spacing w:after="0" w:line="270" w:lineRule="auto"/>
        <w:tabs>
          <w:tab w:leader="none" w:pos="2605" w:val="left"/>
        </w:tabs>
        <w:numPr>
          <w:ilvl w:val="2"/>
          <w:numId w:val="192"/>
        </w:numPr>
        <w:rPr>
          <w:rFonts w:ascii="Arial" w:cs="Arial" w:eastAsia="Arial" w:hAnsi="Arial"/>
          <w:sz w:val="19"/>
          <w:szCs w:val="19"/>
          <w:color w:val="auto"/>
        </w:rPr>
      </w:pPr>
      <w:r>
        <w:rPr>
          <w:rFonts w:ascii="Arial" w:cs="Arial" w:eastAsia="Arial" w:hAnsi="Arial"/>
          <w:sz w:val="19"/>
          <w:szCs w:val="19"/>
          <w:color w:val="auto"/>
        </w:rPr>
        <w:t>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through (5), perfection actions limited solely to the filing of a UCC financing statement.</w:t>
      </w:r>
    </w:p>
    <w:p>
      <w:pPr>
        <w:spacing w:after="0" w:line="215" w:lineRule="exact"/>
        <w:rPr>
          <w:rFonts w:ascii="Arial" w:cs="Arial" w:eastAsia="Arial" w:hAnsi="Arial"/>
          <w:sz w:val="22"/>
          <w:szCs w:val="22"/>
          <w:color w:val="auto"/>
        </w:rPr>
      </w:pPr>
    </w:p>
    <w:p>
      <w:pPr>
        <w:jc w:val="both"/>
        <w:ind w:firstLine="1952"/>
        <w:spacing w:after="0" w:line="244" w:lineRule="auto"/>
        <w:tabs>
          <w:tab w:leader="none" w:pos="2493" w:val="left"/>
        </w:tabs>
        <w:numPr>
          <w:ilvl w:val="2"/>
          <w:numId w:val="193"/>
        </w:numPr>
        <w:rPr>
          <w:rFonts w:ascii="Arial" w:cs="Arial" w:eastAsia="Arial" w:hAnsi="Arial"/>
          <w:sz w:val="21"/>
          <w:szCs w:val="21"/>
          <w:color w:val="auto"/>
        </w:rPr>
      </w:pPr>
      <w:r>
        <w:rPr>
          <w:rFonts w:ascii="Arial" w:cs="Arial" w:eastAsia="Arial" w:hAnsi="Arial"/>
          <w:sz w:val="21"/>
          <w:szCs w:val="21"/>
          <w:color w:val="auto"/>
        </w:rPr>
        <w:t>Subject to Section 5.12, the Borrower shall cause each Subsidiary (other than any Captive Insurance Subsidiaries,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and other marine vessels) that constitutes collateral under any Existing Indenture and any other Equal Priority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w:t>
      </w:r>
    </w:p>
    <w:p>
      <w:pPr>
        <w:spacing w:after="0" w:line="213"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From time to time execute and deliver, or cause to be executed and delivered, such additional instruments, certificates or documents, and take such actions, as the Collateral Agent may, subject to the terms of the Intercreditor Agreement, reasonably request for the purposes of more fully creating, maintaining, preserving, perfecting or renewing the Liens granted in favor of (together with the other rights of) the Collateral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Collateral Agent of any power, right, privilege or remedy pursuant to this Agreement, the other Loan Documents, any Secured Hedge Agreement or any Secured Cash Management Agreement which requires any consent, approval, recording, qualification or authorization of any Governmental Authority, the Borrower will execute and deliver, or will cause the execution and delivery of, all applications, certifications, instruments and other documents and papers that the Collateral Agent may be reasonably required to obtain from the Borrower or any of its Subsidiaries for such governmental consent, approval, recording, qualification or authorization.</w:t>
      </w:r>
    </w:p>
    <w:p>
      <w:pPr>
        <w:sectPr>
          <w:pgSz w:w="11900" w:h="16838" w:orient="portrait"/>
          <w:cols w:equalWidth="0" w:num="1">
            <w:col w:w="11240"/>
          </w:cols>
          <w:pgMar w:left="320" w:top="118"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7" w:name="page158"/>
    <w:bookmarkEnd w:id="157"/>
    <w:p>
      <w:pPr>
        <w:jc w:val="both"/>
        <w:ind w:firstLine="1134"/>
        <w:spacing w:after="0" w:line="235"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Post-Closing Covenants</w:t>
      </w:r>
      <w:r>
        <w:rPr>
          <w:rFonts w:ascii="Arial" w:cs="Arial" w:eastAsia="Arial" w:hAnsi="Arial"/>
          <w:sz w:val="22"/>
          <w:szCs w:val="22"/>
          <w:color w:val="auto"/>
        </w:rPr>
        <w:t>. The Borrower shall, and shall cause the Restricted Subsidiaries to, take the actions set forth on Schedule 5.12 (the “</w:t>
      </w:r>
      <w:r>
        <w:rPr>
          <w:rFonts w:ascii="Arial" w:cs="Arial" w:eastAsia="Arial" w:hAnsi="Arial"/>
          <w:sz w:val="22"/>
          <w:szCs w:val="22"/>
          <w:u w:val="single" w:color="auto"/>
          <w:color w:val="auto"/>
        </w:rPr>
        <w:t>Post-Closing Actions</w:t>
      </w:r>
      <w:r>
        <w:rPr>
          <w:rFonts w:ascii="Arial" w:cs="Arial" w:eastAsia="Arial" w:hAnsi="Arial"/>
          <w:sz w:val="22"/>
          <w:szCs w:val="22"/>
          <w:color w:val="auto"/>
        </w:rPr>
        <w:t>”) within the time periods specified therein (it being understood that the Borrower and its subsidiaries shall not be required to enter into any Loan Documents governed by the laws of a jurisdiction outside of the United States until the date that is at least 90 days after the Closing Date (subject to extensions, and exceptions as to scope of foreign security and perfection requirements, as are reasonably agreed by the Collateral Agent, in each case as applicable)).</w:t>
      </w:r>
    </w:p>
    <w:p>
      <w:pPr>
        <w:spacing w:after="0" w:line="215"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 Use the proceeds of the Loans only for those purposes set forth in Section 3.16.</w:t>
      </w:r>
    </w:p>
    <w:p>
      <w:pPr>
        <w:spacing w:after="0" w:line="233"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Commodity Exchange Act Keepwell Provisions.</w:t>
      </w:r>
      <w:r>
        <w:rPr>
          <w:rFonts w:ascii="Arial" w:cs="Arial" w:eastAsia="Arial" w:hAnsi="Arial"/>
          <w:sz w:val="21"/>
          <w:szCs w:val="21"/>
          <w:color w:val="auto"/>
        </w:rPr>
        <w:t xml:space="preserve"> Each Qualified ECP Guarantor hereby jointly and severally, absolutely, unconditionally and irrevocably undertakes to provide such funds or other support as may be needed from time to time by each other Loan Party in order for such other Loan Party to honor its obligations under the Guarantee with respect to Swap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each Qualified ECP Guarantor shall only be liable under this Section 5.14 for the maximum amount of such liability that can be hereby incurred without rendering its obligations under this Section 5.14, or otherwise under this Agreement or any Loan Document, as it relates to such other Loan Parties, voidable under applicable law relating to fraudulent conveyance or fraudulent transfer, and not for any greater amount). The obligations of each Qualified ECP Guarantor under this Section 5.14 shall remain in full force and effect until the Termination Conditions are satisfied. Each Qualified ECP Guarantor intends that this Section 5.14 constitute, and this Section 5.14 shall be deemed to constitute, a "keepwell, support, or other agreement" for the benefit of each other Loan Party for all purposes of Section 1a(18)(A)(v)(II) of the Commodity Exchange Act.</w:t>
      </w:r>
    </w:p>
    <w:p>
      <w:pPr>
        <w:spacing w:after="0" w:line="21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NEGATIVE COVENANTS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agrees that, so long as the Termination Conditions are not satisfied:</w:t>
      </w:r>
    </w:p>
    <w:p>
      <w:pPr>
        <w:spacing w:after="0" w:line="233"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pacing w:after="0" w:line="233" w:lineRule="exact"/>
        <w:rPr>
          <w:sz w:val="20"/>
          <w:szCs w:val="20"/>
          <w:color w:val="auto"/>
        </w:rPr>
      </w:pPr>
    </w:p>
    <w:p>
      <w:pPr>
        <w:ind w:left="2520" w:hanging="568"/>
        <w:spacing w:after="0"/>
        <w:tabs>
          <w:tab w:leader="none" w:pos="25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Borrower shall not, and shall not permit any of its Restricted Subsidiaries to:</w:t>
      </w:r>
    </w:p>
    <w:p>
      <w:pPr>
        <w:spacing w:after="0" w:line="233" w:lineRule="exact"/>
        <w:rPr>
          <w:rFonts w:ascii="Arial" w:cs="Arial" w:eastAsia="Arial" w:hAnsi="Arial"/>
          <w:sz w:val="22"/>
          <w:szCs w:val="22"/>
          <w:color w:val="auto"/>
        </w:rPr>
      </w:pPr>
    </w:p>
    <w:p>
      <w:pPr>
        <w:jc w:val="both"/>
        <w:ind w:left="660" w:firstLine="1778"/>
        <w:spacing w:after="0" w:line="238" w:lineRule="auto"/>
        <w:tabs>
          <w:tab w:leader="none" w:pos="3604" w:val="left"/>
        </w:tabs>
        <w:numPr>
          <w:ilvl w:val="1"/>
          <w:numId w:val="194"/>
        </w:numPr>
        <w:rPr>
          <w:rFonts w:ascii="Arial" w:cs="Arial" w:eastAsia="Arial" w:hAnsi="Arial"/>
          <w:sz w:val="22"/>
          <w:szCs w:val="22"/>
          <w:color w:val="auto"/>
        </w:rPr>
      </w:pPr>
      <w:r>
        <w:rPr>
          <w:rFonts w:ascii="Arial" w:cs="Arial" w:eastAsia="Arial" w:hAnsi="Arial"/>
          <w:sz w:val="22"/>
          <w:szCs w:val="22"/>
          <w:color w:val="auto"/>
        </w:rPr>
        <w:t>declare or pay any dividend or make any payment or distribution on account of the Borrower’s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spacing w:after="0" w:line="212" w:lineRule="exact"/>
        <w:rPr>
          <w:sz w:val="20"/>
          <w:szCs w:val="20"/>
          <w:color w:val="auto"/>
        </w:rPr>
      </w:pPr>
    </w:p>
    <w:p>
      <w:pPr>
        <w:ind w:left="1140" w:firstLine="1298"/>
        <w:spacing w:after="0" w:line="274" w:lineRule="auto"/>
        <w:tabs>
          <w:tab w:leader="none" w:pos="341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dividends, payments or distributions by the Borrower payable solely in Qualified Capital Stock of the Borrower or in options, warrants or other rights to purchase Qualified Capital Stock; or</w:t>
      </w:r>
    </w:p>
    <w:p>
      <w:pPr>
        <w:spacing w:after="0" w:line="177" w:lineRule="exact"/>
        <w:rPr>
          <w:rFonts w:ascii="Arial" w:cs="Arial" w:eastAsia="Arial" w:hAnsi="Arial"/>
          <w:sz w:val="21"/>
          <w:szCs w:val="21"/>
          <w:color w:val="auto"/>
        </w:rPr>
      </w:pPr>
    </w:p>
    <w:p>
      <w:pPr>
        <w:jc w:val="both"/>
        <w:ind w:left="1140" w:firstLine="1298"/>
        <w:spacing w:after="0" w:line="236" w:lineRule="auto"/>
        <w:tabs>
          <w:tab w:leader="none" w:pos="316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both"/>
        <w:ind w:left="660" w:firstLine="1778"/>
        <w:spacing w:after="0" w:line="241" w:lineRule="auto"/>
        <w:tabs>
          <w:tab w:leader="none" w:pos="338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spacing w:after="0" w:line="210" w:lineRule="exact"/>
        <w:rPr>
          <w:rFonts w:ascii="Arial" w:cs="Arial" w:eastAsia="Arial" w:hAnsi="Arial"/>
          <w:sz w:val="22"/>
          <w:szCs w:val="22"/>
          <w:color w:val="auto"/>
        </w:rPr>
      </w:pPr>
    </w:p>
    <w:p>
      <w:pPr>
        <w:jc w:val="both"/>
        <w:ind w:left="660" w:firstLine="1778"/>
        <w:spacing w:after="0" w:line="238" w:lineRule="auto"/>
        <w:tabs>
          <w:tab w:leader="none" w:pos="349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Arial" w:cs="Arial" w:eastAsia="Arial" w:hAnsi="Arial"/>
          <w:sz w:val="22"/>
          <w:szCs w:val="22"/>
          <w:u w:val="single" w:color="auto"/>
          <w:color w:val="auto"/>
        </w:rPr>
        <w:t>Restricted Debt Payments</w:t>
      </w:r>
      <w:r>
        <w:rPr>
          <w:rFonts w:ascii="Arial" w:cs="Arial" w:eastAsia="Arial" w:hAnsi="Arial"/>
          <w:sz w:val="22"/>
          <w:szCs w:val="22"/>
          <w:color w:val="auto"/>
        </w:rPr>
        <w:t>”), other than:</w:t>
      </w:r>
    </w:p>
    <w:p>
      <w:pPr>
        <w:spacing w:after="0" w:line="212" w:lineRule="exact"/>
        <w:rPr>
          <w:sz w:val="20"/>
          <w:szCs w:val="20"/>
          <w:color w:val="auto"/>
        </w:rPr>
      </w:pPr>
    </w:p>
    <w:p>
      <w:pPr>
        <w:ind w:left="3280" w:hanging="842"/>
        <w:spacing w:after="0"/>
        <w:tabs>
          <w:tab w:leader="none" w:pos="32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Indebtedness permitted to be incurred or issued under Section 6.3(b)(iii); or</w:t>
      </w:r>
    </w:p>
    <w:p>
      <w:pPr>
        <w:spacing w:after="0" w:line="233" w:lineRule="exact"/>
        <w:rPr>
          <w:rFonts w:ascii="Arial" w:cs="Arial" w:eastAsia="Arial" w:hAnsi="Arial"/>
          <w:sz w:val="22"/>
          <w:szCs w:val="22"/>
          <w:color w:val="auto"/>
        </w:rPr>
      </w:pPr>
    </w:p>
    <w:p>
      <w:pPr>
        <w:jc w:val="both"/>
        <w:ind w:left="1140" w:firstLine="1298"/>
        <w:spacing w:after="0" w:line="238" w:lineRule="auto"/>
        <w:tabs>
          <w:tab w:leader="none" w:pos="370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spacing w:after="0" w:line="212" w:lineRule="exact"/>
        <w:rPr>
          <w:sz w:val="20"/>
          <w:szCs w:val="20"/>
          <w:color w:val="auto"/>
        </w:rPr>
      </w:pPr>
    </w:p>
    <w:p>
      <w:pPr>
        <w:ind w:left="3280" w:hanging="842"/>
        <w:spacing w:after="0"/>
        <w:tabs>
          <w:tab w:leader="none" w:pos="32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(all such payments and other actions set forth in clauses (i) through (iv) above (other than any exceptions thereto) being collectively referred to as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unless, at the time of such Restricted Payment:</w:t>
      </w:r>
    </w:p>
    <w:p>
      <w:pPr>
        <w:spacing w:after="0" w:line="202" w:lineRule="exact"/>
        <w:rPr>
          <w:sz w:val="20"/>
          <w:szCs w:val="20"/>
          <w:color w:val="auto"/>
        </w:rPr>
      </w:pPr>
    </w:p>
    <w:p>
      <w:pPr>
        <w:jc w:val="both"/>
        <w:ind w:left="660" w:firstLine="482"/>
        <w:spacing w:after="0" w:line="297" w:lineRule="auto"/>
        <w:tabs>
          <w:tab w:leader="none" w:pos="21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in the case of a Restricted Payment under any of clauses (i), (ii) and (iii) above (other than with respect to amounts attributable to subclauses (A)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below), no Event of Default described under Section 7.1(a)(1), (7) or (8) shall have occurred and be continuing or would occur as a consequence thereof; and</w:t>
      </w:r>
    </w:p>
    <w:p>
      <w:pPr>
        <w:spacing w:after="0" w:line="160" w:lineRule="exact"/>
        <w:rPr>
          <w:rFonts w:ascii="Arial" w:cs="Arial" w:eastAsia="Arial" w:hAnsi="Arial"/>
          <w:sz w:val="19"/>
          <w:szCs w:val="19"/>
          <w:color w:val="auto"/>
        </w:rPr>
      </w:pPr>
    </w:p>
    <w:p>
      <w:pPr>
        <w:jc w:val="both"/>
        <w:ind w:left="660" w:firstLine="482"/>
        <w:spacing w:after="0"/>
        <w:tabs>
          <w:tab w:leader="none" w:pos="220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such Restricted Payment, together with the aggregate amount of all other Restricted Payments made by the Borrower and its Restricted Subsidiaries after the Issue Date pursuant to this clause (2), is less than the sum of (without duplication):</w:t>
      </w:r>
    </w:p>
    <w:p>
      <w:pPr>
        <w:spacing w:after="0" w:line="213" w:lineRule="exact"/>
        <w:rPr>
          <w:rFonts w:ascii="Arial" w:cs="Arial" w:eastAsia="Arial" w:hAnsi="Arial"/>
          <w:sz w:val="22"/>
          <w:szCs w:val="22"/>
          <w:color w:val="auto"/>
        </w:rPr>
      </w:pPr>
    </w:p>
    <w:p>
      <w:pPr>
        <w:ind w:left="3280" w:hanging="842"/>
        <w:spacing w:after="0"/>
        <w:tabs>
          <w:tab w:leader="none" w:pos="328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$75.0 million; plus</w:t>
      </w:r>
    </w:p>
    <w:p>
      <w:pPr>
        <w:spacing w:after="0" w:line="233" w:lineRule="exact"/>
        <w:rPr>
          <w:rFonts w:ascii="Arial" w:cs="Arial" w:eastAsia="Arial" w:hAnsi="Arial"/>
          <w:sz w:val="22"/>
          <w:szCs w:val="22"/>
          <w:color w:val="auto"/>
        </w:rPr>
      </w:pPr>
    </w:p>
    <w:p>
      <w:pPr>
        <w:ind w:left="1140" w:right="20" w:firstLine="1298"/>
        <w:spacing w:after="0" w:line="328" w:lineRule="auto"/>
        <w:tabs>
          <w:tab w:leader="none" w:pos="3345"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50.0% of the cumulative Consolidated Net Income of the Borrower for each fiscal quarter (if greater than zero for such quarter) commencing on July 1, 2020 to the end of the most recent Test Period; </w:t>
      </w:r>
      <w:r>
        <w:rPr>
          <w:rFonts w:ascii="Arial" w:cs="Arial" w:eastAsia="Arial" w:hAnsi="Arial"/>
          <w:sz w:val="19"/>
          <w:szCs w:val="19"/>
          <w:u w:val="single" w:color="auto"/>
          <w:color w:val="auto"/>
        </w:rPr>
        <w:t>plus</w:t>
      </w:r>
    </w:p>
    <w:p>
      <w:pPr>
        <w:spacing w:after="0" w:line="131" w:lineRule="exact"/>
        <w:rPr>
          <w:rFonts w:ascii="Arial" w:cs="Arial" w:eastAsia="Arial" w:hAnsi="Arial"/>
          <w:sz w:val="19"/>
          <w:szCs w:val="19"/>
          <w:color w:val="auto"/>
        </w:rPr>
      </w:pPr>
    </w:p>
    <w:p>
      <w:pPr>
        <w:jc w:val="both"/>
        <w:ind w:left="1140" w:firstLine="1298"/>
        <w:spacing w:after="0" w:line="268" w:lineRule="auto"/>
        <w:tabs>
          <w:tab w:leader="none" w:pos="3318"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the sum of (x) the amount of any cash capital contribution to the common equity capital of the Borrower or any Restricted Subsidiary,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the cash proceeds received by the Borrower from any issuance of Qualified Capital Stock (including Treasury Capital Stock, and other than any Designated Preferred Stock or Refunding Capital Stock) of the Borrower after the Issue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(z) the Fair Market Value of Cash Equivalents, marketable securities or other property received by the Borrower or any Restricted Subsidiary as a capital contribution to the common equity capital of the Borrower or such Restricted Subsidiary, or that becomes part of the common equity capital of the Borrower or a Restricted Subsidiary as a result of any consolidation, merger or similar transaction with the Borrower or any Restricted Subsidiary (in each case, other than any amount (A) 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w:t>
      </w:r>
      <w:r>
        <w:rPr>
          <w:rFonts w:ascii="Arial" w:cs="Arial" w:eastAsia="Arial" w:hAnsi="Arial"/>
          <w:sz w:val="19"/>
          <w:szCs w:val="19"/>
          <w:u w:val="single" w:color="auto"/>
          <w:color w:val="auto"/>
        </w:rPr>
        <w:t>Section 6.1(b)(ii)</w:t>
      </w:r>
    </w:p>
    <w:p>
      <w:pPr>
        <w:spacing w:after="0" w:line="7" w:lineRule="exact"/>
        <w:rPr>
          <w:rFonts w:ascii="Arial" w:cs="Arial" w:eastAsia="Arial" w:hAnsi="Arial"/>
          <w:sz w:val="19"/>
          <w:szCs w:val="19"/>
          <w:color w:val="auto"/>
        </w:rPr>
      </w:pPr>
    </w:p>
    <w:p>
      <w:pPr>
        <w:jc w:val="both"/>
        <w:ind w:left="1140" w:firstLine="2"/>
        <w:spacing w:after="0" w:line="234" w:lineRule="auto"/>
        <w:tabs>
          <w:tab w:leader="none" w:pos="1459" w:val="left"/>
        </w:tabs>
        <w:numPr>
          <w:ilvl w:val="0"/>
          <w:numId w:val="20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or (xxix)(1)</w:t>
      </w:r>
      <w:r>
        <w:rPr>
          <w:rFonts w:ascii="Arial" w:cs="Arial" w:eastAsia="Arial" w:hAnsi="Arial"/>
          <w:sz w:val="22"/>
          <w:szCs w:val="22"/>
          <w:color w:val="auto"/>
        </w:rPr>
        <w:t xml:space="preserve">, in each case, during the period from and including the day immediately following the Issue Date through and including such time or (E) used to incur Indebtedness or issue Disqualified Stock or Preferred Stock pursuant to </w:t>
      </w:r>
      <w:r>
        <w:rPr>
          <w:rFonts w:ascii="Arial" w:cs="Arial" w:eastAsia="Arial" w:hAnsi="Arial"/>
          <w:sz w:val="22"/>
          <w:szCs w:val="22"/>
          <w:u w:val="single" w:color="auto"/>
          <w:color w:val="auto"/>
        </w:rPr>
        <w:t>Section 6.3(b)(xviii))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ind w:left="20" w:firstLine="1298"/>
        <w:spacing w:after="0" w:line="248" w:lineRule="auto"/>
        <w:tabs>
          <w:tab w:leader="none" w:pos="226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period from and including the day immediately following the Issue Date through and including such time; </w:t>
      </w:r>
      <w:r>
        <w:rPr>
          <w:rFonts w:ascii="Arial" w:cs="Arial" w:eastAsia="Arial" w:hAnsi="Arial"/>
          <w:sz w:val="21"/>
          <w:szCs w:val="21"/>
          <w:u w:val="single" w:color="auto"/>
          <w:color w:val="auto"/>
        </w:rPr>
        <w:t>plus</w:t>
      </w:r>
    </w:p>
    <w:p>
      <w:pPr>
        <w:spacing w:after="0" w:line="204" w:lineRule="exact"/>
        <w:rPr>
          <w:rFonts w:ascii="Arial" w:cs="Arial" w:eastAsia="Arial" w:hAnsi="Arial"/>
          <w:sz w:val="21"/>
          <w:szCs w:val="21"/>
          <w:color w:val="auto"/>
        </w:rPr>
      </w:pPr>
    </w:p>
    <w:p>
      <w:pPr>
        <w:jc w:val="both"/>
        <w:ind w:left="20" w:firstLine="1298"/>
        <w:spacing w:after="0" w:line="238" w:lineRule="auto"/>
        <w:tabs>
          <w:tab w:leader="none" w:pos="232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w:t>
      </w:r>
      <w:r>
        <w:rPr>
          <w:rFonts w:ascii="Arial" w:cs="Arial" w:eastAsia="Arial" w:hAnsi="Arial"/>
          <w:sz w:val="22"/>
          <w:szCs w:val="22"/>
          <w:u w:val="single" w:color="auto"/>
          <w:color w:val="auto"/>
        </w:rPr>
        <w:t>plus</w:t>
      </w:r>
    </w:p>
    <w:p>
      <w:pPr>
        <w:spacing w:after="0" w:line="211" w:lineRule="exact"/>
        <w:rPr>
          <w:rFonts w:ascii="Arial" w:cs="Arial" w:eastAsia="Arial" w:hAnsi="Arial"/>
          <w:sz w:val="22"/>
          <w:szCs w:val="22"/>
          <w:color w:val="auto"/>
        </w:rPr>
      </w:pPr>
    </w:p>
    <w:p>
      <w:pPr>
        <w:jc w:val="both"/>
        <w:ind w:left="20" w:firstLine="1298"/>
        <w:spacing w:after="0" w:line="282" w:lineRule="auto"/>
        <w:tabs>
          <w:tab w:leader="none" w:pos="2174"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to the extent not already reflected as a Return with respect to such Investment for purposes of determining the amount of such Investment, the proceeds received by the Borrower or any Restricted Subsidiary during the period from and including the day immediately following the Issue Date through and including such time in connection with cash Returns and similar cash amounts, including cash principal repayments of loans, in each case received in respect of any Investment made after the Issue Date pursuant to this clause (2); </w:t>
      </w:r>
      <w:r>
        <w:rPr>
          <w:rFonts w:ascii="Arial" w:cs="Arial" w:eastAsia="Arial" w:hAnsi="Arial"/>
          <w:sz w:val="19"/>
          <w:szCs w:val="19"/>
          <w:u w:val="single" w:color="auto"/>
          <w:color w:val="auto"/>
        </w:rPr>
        <w:t>plus</w:t>
      </w:r>
    </w:p>
    <w:p>
      <w:pPr>
        <w:spacing w:after="0" w:line="174" w:lineRule="exact"/>
        <w:rPr>
          <w:rFonts w:ascii="Arial" w:cs="Arial" w:eastAsia="Arial" w:hAnsi="Arial"/>
          <w:sz w:val="19"/>
          <w:szCs w:val="19"/>
          <w:color w:val="auto"/>
        </w:rPr>
      </w:pPr>
    </w:p>
    <w:p>
      <w:pPr>
        <w:jc w:val="both"/>
        <w:ind w:left="20" w:firstLine="1298"/>
        <w:spacing w:after="0" w:line="271" w:lineRule="auto"/>
        <w:tabs>
          <w:tab w:leader="none" w:pos="221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an amount equal to the sum of (A) the amount of any Investment by the Borrower or any Restricted Subsidiary pursuant to this clause (2) in any Unrestricted Subsidiary that has been re-designated as a Restricted Subsidiary or has been merged, consolidated or amalgamated with or into, or is liquidated, wound up or dissolved into, the Borrower or any Restricted Subsidiary (equal to the lesser of (1) the Fair Market Value of the Investment of the Borrower and the Restricted Subsidiaries in such Unrestricted Subsidiary at the time of such re-designation or merger, consolidation or amalgamation and (2) the Fair Market Value of the original Investments by the Borrower and the Restricted Subsidiaries in such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original Investments made in cash, the Fair Market Value thereof shall be such cash value), (B) the Fair Market Value of the assets of any Unrestricted Subsidiary that have been transferred, conveyed or otherwise distributed to the Borrower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immediately following the Issue Date through and including such time; </w:t>
      </w:r>
      <w:r>
        <w:rPr>
          <w:rFonts w:ascii="Arial" w:cs="Arial" w:eastAsia="Arial" w:hAnsi="Arial"/>
          <w:sz w:val="19"/>
          <w:szCs w:val="19"/>
          <w:u w:val="single" w:color="auto"/>
          <w:color w:val="auto"/>
        </w:rPr>
        <w:t>plus</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left="20" w:firstLine="1298"/>
        <w:spacing w:after="0" w:line="235" w:lineRule="auto"/>
        <w:tabs>
          <w:tab w:leader="none" w:pos="206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0" w:name="page161"/>
    <w:bookmarkEnd w:id="160"/>
    <w:p>
      <w:pPr>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duplication, any item or amount that increases the amount of Excluded Contributions shall not also increase the amount available under this clause (2).</w:t>
      </w:r>
    </w:p>
    <w:p>
      <w:pPr>
        <w:spacing w:after="0" w:line="201" w:lineRule="exact"/>
        <w:rPr>
          <w:sz w:val="20"/>
          <w:szCs w:val="20"/>
          <w:color w:val="auto"/>
        </w:rPr>
      </w:pPr>
    </w:p>
    <w:p>
      <w:pPr>
        <w:ind w:left="2520" w:hanging="568"/>
        <w:spacing w:after="0"/>
        <w:tabs>
          <w:tab w:leader="none" w:pos="25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Section 6.1(a) shall not prohibit any of the following:</w:t>
      </w:r>
    </w:p>
    <w:p>
      <w:pPr>
        <w:spacing w:after="0" w:line="233" w:lineRule="exact"/>
        <w:rPr>
          <w:rFonts w:ascii="Arial" w:cs="Arial" w:eastAsia="Arial" w:hAnsi="Arial"/>
          <w:sz w:val="22"/>
          <w:szCs w:val="22"/>
          <w:color w:val="auto"/>
        </w:rPr>
      </w:pPr>
    </w:p>
    <w:p>
      <w:pPr>
        <w:ind w:left="3240" w:hanging="802"/>
        <w:spacing w:after="0"/>
        <w:tabs>
          <w:tab w:leader="none" w:pos="324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660" w:firstLine="1778"/>
        <w:spacing w:after="0" w:line="274" w:lineRule="auto"/>
        <w:tabs>
          <w:tab w:leader="none" w:pos="3151" w:val="left"/>
        </w:tabs>
        <w:numPr>
          <w:ilvl w:val="1"/>
          <w:numId w:val="202"/>
        </w:numPr>
        <w:rPr>
          <w:rFonts w:ascii="Arial" w:cs="Arial" w:eastAsia="Arial" w:hAnsi="Arial"/>
          <w:sz w:val="19"/>
          <w:szCs w:val="19"/>
          <w:color w:val="auto"/>
        </w:rPr>
      </w:pPr>
      <w:r>
        <w:rPr>
          <w:rFonts w:ascii="Arial" w:cs="Arial" w:eastAsia="Arial" w:hAnsi="Arial"/>
          <w:sz w:val="19"/>
          <w:szCs w:val="19"/>
          <w:color w:val="auto"/>
        </w:rPr>
        <w:t>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spacing w:after="0" w:line="185" w:lineRule="exact"/>
        <w:rPr>
          <w:sz w:val="20"/>
          <w:szCs w:val="20"/>
          <w:color w:val="auto"/>
        </w:rPr>
      </w:pPr>
    </w:p>
    <w:p>
      <w:pPr>
        <w:jc w:val="both"/>
        <w:ind w:left="1140" w:firstLine="812"/>
        <w:spacing w:after="0" w:line="273" w:lineRule="auto"/>
        <w:tabs>
          <w:tab w:leader="none" w:pos="2607"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such Restricted Payments made pursuant to this clause (ii)(1) in any fiscal year shall not exceed the greater of $35.0 million and 10.0% of Annualized EBITDA of the Borrower and its Restricted Subsidiaries, which, if not used in such fiscal year, may be carried forward to succeeding fiscal years;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1140" w:firstLine="812"/>
        <w:spacing w:after="0"/>
        <w:tabs>
          <w:tab w:leader="none" w:pos="2512"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with the proceeds of any sale or issuance of the Equity Interests of the Borrower (to the extent such proceeds have not otherwise been applied to the payment of Restricted Payments by virtue of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6.1(a)</w:t>
      </w:r>
      <w:r>
        <w:rPr>
          <w:rFonts w:ascii="Arial" w:cs="Arial" w:eastAsia="Arial" w:hAnsi="Arial"/>
          <w:sz w:val="22"/>
          <w:szCs w:val="22"/>
          <w:color w:val="auto"/>
        </w:rPr>
        <w:t xml:space="preserve"> or are not an Excluded Contribution);</w:t>
      </w:r>
    </w:p>
    <w:p>
      <w:pPr>
        <w:spacing w:after="0" w:line="213" w:lineRule="exact"/>
        <w:rPr>
          <w:rFonts w:ascii="Arial" w:cs="Arial" w:eastAsia="Arial" w:hAnsi="Arial"/>
          <w:sz w:val="22"/>
          <w:szCs w:val="22"/>
          <w:color w:val="auto"/>
        </w:rPr>
      </w:pPr>
    </w:p>
    <w:p>
      <w:pPr>
        <w:ind w:left="2520" w:hanging="568"/>
        <w:spacing w:after="0"/>
        <w:tabs>
          <w:tab w:leader="none" w:pos="25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with the net proceeds of any key-man life insurance policy; or</w:t>
      </w:r>
    </w:p>
    <w:p>
      <w:pPr>
        <w:spacing w:after="0" w:line="233" w:lineRule="exact"/>
        <w:rPr>
          <w:rFonts w:ascii="Arial" w:cs="Arial" w:eastAsia="Arial" w:hAnsi="Arial"/>
          <w:sz w:val="22"/>
          <w:szCs w:val="22"/>
          <w:color w:val="auto"/>
        </w:rPr>
      </w:pPr>
    </w:p>
    <w:p>
      <w:pPr>
        <w:jc w:val="both"/>
        <w:ind w:left="1140" w:firstLine="812"/>
        <w:spacing w:after="0" w:line="236" w:lineRule="auto"/>
        <w:tabs>
          <w:tab w:leader="none" w:pos="248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amount of any cash bonuses otherwise payable to future, present or former employees, directors, members of management, officers, managers, members, 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cancellation of Indebtedness owing to the Borrower or any Restricted Subsidiary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any other provision of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both"/>
        <w:ind w:left="-460" w:firstLine="1778"/>
        <w:spacing w:after="0" w:line="236" w:lineRule="auto"/>
        <w:tabs>
          <w:tab w:leader="none" w:pos="2321"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w:t>
      </w:r>
    </w:p>
    <w:p>
      <w:pPr>
        <w:spacing w:after="0" w:line="214" w:lineRule="exact"/>
        <w:rPr>
          <w:rFonts w:ascii="Arial" w:cs="Arial" w:eastAsia="Arial" w:hAnsi="Arial"/>
          <w:sz w:val="22"/>
          <w:szCs w:val="22"/>
          <w:color w:val="auto"/>
        </w:rPr>
      </w:pPr>
    </w:p>
    <w:p>
      <w:pPr>
        <w:jc w:val="both"/>
        <w:ind w:left="-460" w:firstLine="1778"/>
        <w:spacing w:after="0" w:line="273" w:lineRule="auto"/>
        <w:tabs>
          <w:tab w:leader="none" w:pos="220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spacing w:after="0" w:line="187" w:lineRule="exact"/>
        <w:rPr>
          <w:rFonts w:ascii="Arial" w:cs="Arial" w:eastAsia="Arial" w:hAnsi="Arial"/>
          <w:sz w:val="19"/>
          <w:szCs w:val="19"/>
          <w:color w:val="auto"/>
        </w:rPr>
      </w:pPr>
    </w:p>
    <w:p>
      <w:pPr>
        <w:jc w:val="both"/>
        <w:ind w:left="-460" w:firstLine="1778"/>
        <w:spacing w:after="0" w:line="236" w:lineRule="auto"/>
        <w:tabs>
          <w:tab w:leader="none" w:pos="2289"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w:t>
      </w:r>
    </w:p>
    <w:p>
      <w:pPr>
        <w:spacing w:after="0" w:line="214" w:lineRule="exact"/>
        <w:rPr>
          <w:rFonts w:ascii="Arial" w:cs="Arial" w:eastAsia="Arial" w:hAnsi="Arial"/>
          <w:sz w:val="22"/>
          <w:szCs w:val="22"/>
          <w:color w:val="auto"/>
        </w:rPr>
      </w:pPr>
    </w:p>
    <w:p>
      <w:pPr>
        <w:ind w:left="2160" w:hanging="842"/>
        <w:spacing w:after="0"/>
        <w:tabs>
          <w:tab w:leader="none" w:pos="216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1778"/>
        <w:spacing w:after="0"/>
        <w:tabs>
          <w:tab w:leader="none" w:pos="228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declaration and payment of regular quarterly dividends or distributions, including the initial dividend or distribution following the Closing Date, to holders of the Borrower’s common equity, in each case to the extent approved by the Board of Directors of the Borrower in good faith;</w:t>
      </w:r>
    </w:p>
    <w:p>
      <w:pPr>
        <w:spacing w:after="0" w:line="213" w:lineRule="exact"/>
        <w:rPr>
          <w:rFonts w:ascii="Arial" w:cs="Arial" w:eastAsia="Arial" w:hAnsi="Arial"/>
          <w:sz w:val="22"/>
          <w:szCs w:val="22"/>
          <w:color w:val="auto"/>
        </w:rPr>
      </w:pPr>
    </w:p>
    <w:p>
      <w:pPr>
        <w:jc w:val="both"/>
        <w:ind w:left="-460" w:firstLine="1778"/>
        <w:spacing w:after="0" w:line="272" w:lineRule="auto"/>
        <w:tabs>
          <w:tab w:leader="none" w:pos="2213" w:val="left"/>
        </w:tabs>
        <w:numPr>
          <w:ilvl w:val="0"/>
          <w:numId w:val="204"/>
        </w:numPr>
        <w:rPr>
          <w:rFonts w:ascii="Arial" w:cs="Arial" w:eastAsia="Arial" w:hAnsi="Arial"/>
          <w:sz w:val="19"/>
          <w:szCs w:val="19"/>
          <w:color w:val="auto"/>
        </w:rPr>
      </w:pPr>
      <w:r>
        <w:rPr>
          <w:rFonts w:ascii="Arial" w:cs="Arial" w:eastAsia="Arial" w:hAnsi="Arial"/>
          <w:sz w:val="19"/>
          <w:szCs w:val="19"/>
          <w:color w:val="auto"/>
        </w:rPr>
        <w:t>(1) Restricted Payments to (A) redeem, repurchase, retire, defease, discharge or otherwise acquire any Equity Interests (“</w:t>
      </w:r>
      <w:r>
        <w:rPr>
          <w:rFonts w:ascii="Arial" w:cs="Arial" w:eastAsia="Arial" w:hAnsi="Arial"/>
          <w:sz w:val="19"/>
          <w:szCs w:val="19"/>
          <w:u w:val="single" w:color="auto"/>
          <w:color w:val="auto"/>
        </w:rPr>
        <w:t>Treasury Capital Stock</w:t>
      </w:r>
      <w:r>
        <w:rPr>
          <w:rFonts w:ascii="Arial" w:cs="Arial" w:eastAsia="Arial" w:hAnsi="Arial"/>
          <w:sz w:val="19"/>
          <w:szCs w:val="19"/>
          <w:color w:val="auto"/>
        </w:rPr>
        <w:t>”)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 days of such sale or issuance to the extent any such proceeds are received by or contributed to the capital of the Borrower and/or any Restricted Subsidiary in respect of Qualified Capital Stock after the Issue Date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and (B) declare and pay dividends on any Treasury Capital Stock out of the proceeds of such sale (other than to the Borrower or a Restricted Subsidiary) of any Refunding Capital Stock or (2) if immediately prior to the retirement of Treasury Capital Stock, the declaration and payment of dividends thereon was permitted under Section 6.1(b)(xvii), the declaration and payment of dividends on the Refunding Capital Stock in an aggregate amount per fiscal year no greater than the aggregate amount of dividends per annum that were declarable and payable on such Treasury Capital Stock immediately prior to such retirement;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2" w:name="page163"/>
    <w:bookmarkEnd w:id="162"/>
    <w:p>
      <w:pPr>
        <w:jc w:val="both"/>
        <w:ind w:left="-460" w:firstLine="1778"/>
        <w:spacing w:after="0" w:line="298" w:lineRule="auto"/>
        <w:tabs>
          <w:tab w:leader="none" w:pos="222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paragraph);</w:t>
      </w:r>
    </w:p>
    <w:p>
      <w:pPr>
        <w:spacing w:after="0" w:line="158" w:lineRule="exact"/>
        <w:rPr>
          <w:rFonts w:ascii="Arial" w:cs="Arial" w:eastAsia="Arial" w:hAnsi="Arial"/>
          <w:sz w:val="19"/>
          <w:szCs w:val="19"/>
          <w:color w:val="auto"/>
        </w:rPr>
      </w:pPr>
    </w:p>
    <w:p>
      <w:pPr>
        <w:jc w:val="both"/>
        <w:ind w:left="-460" w:firstLine="1778"/>
        <w:spacing w:after="0" w:line="238" w:lineRule="auto"/>
        <w:tabs>
          <w:tab w:leader="none" w:pos="214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so long as no Event of Default under Section 7.1(a)(1), (7) or (8) then exists or would result therefrom, additional Restricted Payments;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Restricted Payments made and then outstanding pursuant to this clause (x) shall not exceed the greater of $100.0 million and 25.0% of Annualized EBITDA of the Borrower and its Restricted Subsidiaries;</w:t>
      </w:r>
    </w:p>
    <w:p>
      <w:pPr>
        <w:spacing w:after="0" w:line="211" w:lineRule="exact"/>
        <w:rPr>
          <w:rFonts w:ascii="Arial" w:cs="Arial" w:eastAsia="Arial" w:hAnsi="Arial"/>
          <w:sz w:val="22"/>
          <w:szCs w:val="22"/>
          <w:color w:val="auto"/>
        </w:rPr>
      </w:pPr>
    </w:p>
    <w:p>
      <w:pPr>
        <w:jc w:val="both"/>
        <w:ind w:left="-460" w:firstLine="1778"/>
        <w:spacing w:after="0"/>
        <w:tabs>
          <w:tab w:leader="none" w:pos="2174"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so long as no Event of Default under Section 7.1(a)(1), (7) or (8) then exists or would result therefrom, additional Restricted Payments so long as the Consolidated Total Debt Ratio, calculated on a pro forma basis at the time of the determination thereof, would not exceed 2.00 to 1.00;</w:t>
      </w:r>
    </w:p>
    <w:p>
      <w:pPr>
        <w:spacing w:after="0" w:line="213" w:lineRule="exact"/>
        <w:rPr>
          <w:rFonts w:ascii="Arial" w:cs="Arial" w:eastAsia="Arial" w:hAnsi="Arial"/>
          <w:sz w:val="22"/>
          <w:szCs w:val="22"/>
          <w:color w:val="auto"/>
        </w:rPr>
      </w:pPr>
    </w:p>
    <w:p>
      <w:pPr>
        <w:jc w:val="both"/>
        <w:ind w:left="-460" w:firstLine="1778"/>
        <w:spacing w:after="0" w:line="238" w:lineRule="auto"/>
        <w:tabs>
          <w:tab w:leader="none" w:pos="213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w:t>
      </w:r>
    </w:p>
    <w:p>
      <w:pPr>
        <w:spacing w:after="0" w:line="211" w:lineRule="exact"/>
        <w:rPr>
          <w:rFonts w:ascii="Arial" w:cs="Arial" w:eastAsia="Arial" w:hAnsi="Arial"/>
          <w:sz w:val="22"/>
          <w:szCs w:val="22"/>
          <w:color w:val="auto"/>
        </w:rPr>
      </w:pPr>
    </w:p>
    <w:p>
      <w:pPr>
        <w:jc w:val="both"/>
        <w:ind w:left="-460" w:firstLine="1778"/>
        <w:spacing w:after="0" w:line="235" w:lineRule="auto"/>
        <w:tabs>
          <w:tab w:leader="none" w:pos="219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spacing w:after="0" w:line="214" w:lineRule="exact"/>
        <w:rPr>
          <w:rFonts w:ascii="Arial" w:cs="Arial" w:eastAsia="Arial" w:hAnsi="Arial"/>
          <w:sz w:val="22"/>
          <w:szCs w:val="22"/>
          <w:color w:val="auto"/>
        </w:rPr>
      </w:pPr>
    </w:p>
    <w:p>
      <w:pPr>
        <w:jc w:val="both"/>
        <w:ind w:left="-460" w:firstLine="1778"/>
        <w:spacing w:after="0"/>
        <w:tabs>
          <w:tab w:leader="none" w:pos="222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Restricted Payments constituting fixed dividend payments in respect of Disqualified Stock incurred in accordance with Section 6.3 to the extent such Restricted Payments are included in the calculation of Fixed Charges;</w:t>
      </w:r>
    </w:p>
    <w:p>
      <w:pPr>
        <w:spacing w:after="0" w:line="213" w:lineRule="exact"/>
        <w:rPr>
          <w:rFonts w:ascii="Arial" w:cs="Arial" w:eastAsia="Arial" w:hAnsi="Arial"/>
          <w:sz w:val="22"/>
          <w:szCs w:val="22"/>
          <w:color w:val="auto"/>
        </w:rPr>
      </w:pPr>
    </w:p>
    <w:p>
      <w:pPr>
        <w:jc w:val="both"/>
        <w:ind w:left="-460" w:firstLine="1778"/>
        <w:spacing w:after="0" w:line="297" w:lineRule="auto"/>
        <w:tabs>
          <w:tab w:leader="none" w:pos="2451"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declaration and payment of regular dividends or distributions to holders of Golar Target’s Preferred Stock for so long as such Preferred Stock is outstanding, provided that the amount of such dividends or distributions are not increased from the amounts of such dividends or distributions in effect on the Closing Date;</w:t>
      </w:r>
    </w:p>
    <w:p>
      <w:pPr>
        <w:spacing w:after="0" w:line="160" w:lineRule="exact"/>
        <w:rPr>
          <w:rFonts w:ascii="Arial" w:cs="Arial" w:eastAsia="Arial" w:hAnsi="Arial"/>
          <w:sz w:val="19"/>
          <w:szCs w:val="19"/>
          <w:color w:val="auto"/>
        </w:rPr>
      </w:pPr>
    </w:p>
    <w:p>
      <w:pPr>
        <w:ind w:left="2160" w:hanging="842"/>
        <w:spacing w:after="0"/>
        <w:tabs>
          <w:tab w:leader="none" w:pos="216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1778"/>
        <w:spacing w:after="0" w:line="277" w:lineRule="auto"/>
        <w:tabs>
          <w:tab w:leader="none" w:pos="219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the Borrower would have had a Fixed Charge Coverage Ratio of at least 2.00 to 1.00;</w:t>
      </w:r>
    </w:p>
    <w:p>
      <w:pPr>
        <w:spacing w:after="0" w:line="178" w:lineRule="exact"/>
        <w:rPr>
          <w:rFonts w:ascii="Arial" w:cs="Arial" w:eastAsia="Arial" w:hAnsi="Arial"/>
          <w:sz w:val="19"/>
          <w:szCs w:val="19"/>
          <w:color w:val="auto"/>
        </w:rPr>
      </w:pPr>
    </w:p>
    <w:p>
      <w:pPr>
        <w:ind w:left="2180" w:hanging="862"/>
        <w:spacing w:after="0"/>
        <w:tabs>
          <w:tab w:leader="none" w:pos="21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3" w:name="page164"/>
    <w:bookmarkEnd w:id="163"/>
    <w:p>
      <w:pPr>
        <w:ind w:firstLine="1778"/>
        <w:spacing w:after="0" w:line="251" w:lineRule="auto"/>
        <w:tabs>
          <w:tab w:leader="none" w:pos="271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distributions or payments of Receivables Fees and purchases of receivables in connection with any Permitted Receivables Financing or any repurchase obligation in connection therewith;</w:t>
      </w:r>
    </w:p>
    <w:p>
      <w:pPr>
        <w:spacing w:after="0" w:line="200" w:lineRule="exact"/>
        <w:rPr>
          <w:rFonts w:ascii="Arial" w:cs="Arial" w:eastAsia="Arial" w:hAnsi="Arial"/>
          <w:sz w:val="22"/>
          <w:szCs w:val="22"/>
          <w:color w:val="auto"/>
        </w:rPr>
      </w:pPr>
    </w:p>
    <w:p>
      <w:pPr>
        <w:jc w:val="both"/>
        <w:ind w:firstLine="1778"/>
        <w:spacing w:after="0" w:line="272" w:lineRule="auto"/>
        <w:tabs>
          <w:tab w:leader="none" w:pos="262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(1) payments made to optionholders or holders of phantom equity or profits interests of the Borrower in connection with, or as a result of, any distribution made to stockholders of the Borrower (to the extent such distribution is otherwise permitted under this Agreement),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Section 6.1) and (2) Restricted Payments to pay for the redemption, purchase, repurchase, defeasance or other acquisition or retirement of Equity Interests of the Borrower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620" w:hanging="842"/>
        <w:spacing w:after="0"/>
        <w:tabs>
          <w:tab w:leader="none" w:pos="26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778"/>
        <w:spacing w:after="0" w:line="282" w:lineRule="auto"/>
        <w:tabs>
          <w:tab w:leader="none" w:pos="258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w:t>
      </w:r>
    </w:p>
    <w:p>
      <w:pPr>
        <w:spacing w:after="0" w:line="174" w:lineRule="exact"/>
        <w:rPr>
          <w:rFonts w:ascii="Arial" w:cs="Arial" w:eastAsia="Arial" w:hAnsi="Arial"/>
          <w:sz w:val="19"/>
          <w:szCs w:val="19"/>
          <w:color w:val="auto"/>
        </w:rPr>
      </w:pPr>
    </w:p>
    <w:p>
      <w:pPr>
        <w:jc w:val="both"/>
        <w:ind w:firstLine="1778"/>
        <w:spacing w:after="0" w:line="252" w:lineRule="auto"/>
        <w:tabs>
          <w:tab w:leader="none" w:pos="2943" w:val="left"/>
        </w:tabs>
        <w:numPr>
          <w:ilvl w:val="0"/>
          <w:numId w:val="206"/>
        </w:numPr>
        <w:rPr>
          <w:rFonts w:ascii="Arial" w:cs="Arial" w:eastAsia="Arial" w:hAnsi="Arial"/>
          <w:sz w:val="21"/>
          <w:szCs w:val="21"/>
          <w:color w:val="auto"/>
        </w:rPr>
      </w:pPr>
      <w:r>
        <w:rPr>
          <w:rFonts w:ascii="Arial" w:cs="Arial" w:eastAsia="Arial" w:hAnsi="Arial"/>
          <w:sz w:val="21"/>
          <w:szCs w:val="21"/>
          <w:color w:val="auto"/>
        </w:rPr>
        <w:t>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applicable, from any Declined Proceeds (as each term is defined in the Existing Indentures);</w:t>
      </w:r>
    </w:p>
    <w:p>
      <w:pPr>
        <w:spacing w:after="0" w:line="200" w:lineRule="exact"/>
        <w:rPr>
          <w:rFonts w:ascii="Arial" w:cs="Arial" w:eastAsia="Arial" w:hAnsi="Arial"/>
          <w:sz w:val="21"/>
          <w:szCs w:val="21"/>
          <w:color w:val="auto"/>
        </w:rPr>
      </w:pPr>
    </w:p>
    <w:p>
      <w:pPr>
        <w:ind w:left="2620" w:hanging="842"/>
        <w:spacing w:after="0"/>
        <w:tabs>
          <w:tab w:leader="none" w:pos="26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1778"/>
        <w:spacing w:after="0" w:line="250" w:lineRule="auto"/>
        <w:tabs>
          <w:tab w:leader="none" w:pos="2749"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Restricted Debt Payments made by exchange for, or out of the proceeds of, Refinancing Indebtedness permitted under Section 6.3;</w:t>
      </w:r>
    </w:p>
    <w:p>
      <w:pPr>
        <w:spacing w:after="0" w:line="201" w:lineRule="exact"/>
        <w:rPr>
          <w:rFonts w:ascii="Arial" w:cs="Arial" w:eastAsia="Arial" w:hAnsi="Arial"/>
          <w:sz w:val="22"/>
          <w:szCs w:val="22"/>
          <w:color w:val="auto"/>
        </w:rPr>
      </w:pPr>
    </w:p>
    <w:p>
      <w:pPr>
        <w:ind w:left="2660" w:hanging="882"/>
        <w:spacing w:after="0"/>
        <w:tabs>
          <w:tab w:leader="none" w:pos="26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any Restricted Debt Payments made as part of an applicable high yield discount obligation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catch-up payment;</w:t>
      </w:r>
    </w:p>
    <w:p>
      <w:pPr>
        <w:spacing w:after="0" w:line="215" w:lineRule="exact"/>
        <w:rPr>
          <w:rFonts w:ascii="Arial" w:cs="Arial" w:eastAsia="Arial" w:hAnsi="Arial"/>
          <w:sz w:val="19"/>
          <w:szCs w:val="19"/>
          <w:color w:val="auto"/>
        </w:rPr>
      </w:pPr>
    </w:p>
    <w:p>
      <w:pPr>
        <w:ind w:left="2640" w:hanging="862"/>
        <w:spacing w:after="0"/>
        <w:tabs>
          <w:tab w:leader="none" w:pos="26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640" w:hanging="862"/>
        <w:spacing w:after="0"/>
        <w:tabs>
          <w:tab w:leader="none" w:pos="26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778"/>
        <w:spacing w:after="0" w:line="279" w:lineRule="auto"/>
        <w:tabs>
          <w:tab w:leader="none" w:pos="2809" w:val="left"/>
        </w:tabs>
        <w:numPr>
          <w:ilvl w:val="0"/>
          <w:numId w:val="206"/>
        </w:numPr>
        <w:rPr>
          <w:rFonts w:ascii="Arial" w:cs="Arial" w:eastAsia="Arial" w:hAnsi="Arial"/>
          <w:sz w:val="19"/>
          <w:szCs w:val="19"/>
          <w:color w:val="auto"/>
        </w:rPr>
      </w:pPr>
      <w:r>
        <w:rPr>
          <w:rFonts w:ascii="Arial" w:cs="Arial" w:eastAsia="Arial" w:hAnsi="Arial"/>
          <w:sz w:val="19"/>
          <w:szCs w:val="19"/>
          <w:color w:val="auto"/>
        </w:rPr>
        <w:t>(1)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w:t>
      </w:r>
    </w:p>
    <w:p>
      <w:pPr>
        <w:spacing w:after="0" w:line="35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164" w:name="page165"/>
    <w:bookmarkEnd w:id="164"/>
    <w:p>
      <w:pPr>
        <w:ind w:left="3280" w:hanging="842"/>
        <w:spacing w:after="0"/>
        <w:tabs>
          <w:tab w:leader="none" w:pos="32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660" w:firstLine="1778"/>
        <w:spacing w:after="0" w:line="277" w:lineRule="auto"/>
        <w:tabs>
          <w:tab w:leader="none" w:pos="3307" w:val="left"/>
        </w:tabs>
        <w:numPr>
          <w:ilvl w:val="0"/>
          <w:numId w:val="207"/>
        </w:numPr>
        <w:rPr>
          <w:rFonts w:ascii="Arial" w:cs="Arial" w:eastAsia="Arial" w:hAnsi="Arial"/>
          <w:sz w:val="19"/>
          <w:szCs w:val="19"/>
          <w:color w:val="auto"/>
        </w:rPr>
      </w:pPr>
      <w:r>
        <w:rPr>
          <w:rFonts w:ascii="Arial" w:cs="Arial" w:eastAsia="Arial" w:hAnsi="Arial"/>
          <w:sz w:val="19"/>
          <w:szCs w:val="19"/>
          <w:color w:val="auto"/>
        </w:rPr>
        <w:t>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spacing w:after="0" w:line="178" w:lineRule="exact"/>
        <w:rPr>
          <w:rFonts w:ascii="Arial" w:cs="Arial" w:eastAsia="Arial" w:hAnsi="Arial"/>
          <w:sz w:val="19"/>
          <w:szCs w:val="19"/>
          <w:color w:val="auto"/>
        </w:rPr>
      </w:pPr>
    </w:p>
    <w:p>
      <w:pPr>
        <w:ind w:left="660" w:firstLine="1778"/>
        <w:spacing w:after="0" w:line="328" w:lineRule="auto"/>
        <w:tabs>
          <w:tab w:leader="none" w:pos="3637"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any mandatory redemption, repurchase, retirement, termination or cancellation of Disqualified Stock (to the extent treated as Indebtedness outstanding and/or incurred in compliance with Section 6.3).</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w:t>
      </w:r>
    </w:p>
    <w:p>
      <w:pPr>
        <w:spacing w:after="0" w:line="161" w:lineRule="exact"/>
        <w:rPr>
          <w:sz w:val="20"/>
          <w:szCs w:val="20"/>
          <w:color w:val="auto"/>
        </w:rPr>
      </w:pPr>
    </w:p>
    <w:p>
      <w:pPr>
        <w:jc w:val="both"/>
        <w:ind w:firstLine="1952"/>
        <w:spacing w:after="0" w:line="282" w:lineRule="auto"/>
        <w:tabs>
          <w:tab w:leader="none" w:pos="262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As of the Closing Date, NFE South Power Holdings Limited, a company incorporated under the laws of Jamaica, and each of its Subsidiaries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w:t>
      </w:r>
    </w:p>
    <w:p>
      <w:pPr>
        <w:spacing w:after="0" w:line="174" w:lineRule="exact"/>
        <w:rPr>
          <w:rFonts w:ascii="Arial" w:cs="Arial" w:eastAsia="Arial" w:hAnsi="Arial"/>
          <w:sz w:val="19"/>
          <w:szCs w:val="19"/>
          <w:color w:val="auto"/>
        </w:rPr>
      </w:pPr>
    </w:p>
    <w:p>
      <w:pPr>
        <w:jc w:val="both"/>
        <w:ind w:firstLine="1952"/>
        <w:spacing w:after="0" w:line="249" w:lineRule="auto"/>
        <w:tabs>
          <w:tab w:leader="none" w:pos="2871" w:val="left"/>
        </w:tabs>
        <w:numPr>
          <w:ilvl w:val="0"/>
          <w:numId w:val="208"/>
        </w:numPr>
        <w:rPr>
          <w:rFonts w:ascii="Arial" w:cs="Arial" w:eastAsia="Arial" w:hAnsi="Arial"/>
          <w:sz w:val="21"/>
          <w:szCs w:val="21"/>
          <w:color w:val="auto"/>
        </w:rPr>
      </w:pPr>
      <w:r>
        <w:rPr>
          <w:rFonts w:ascii="Arial" w:cs="Arial" w:eastAsia="Arial" w:hAnsi="Arial"/>
          <w:sz w:val="21"/>
          <w:szCs w:val="21"/>
          <w:color w:val="auto"/>
        </w:rPr>
        <w:t>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 Subsidiary or to Affiliates thereof, and such purchase, acquisition, or transfer will not be deemed to be a “direct or indirect” action by the Borrower or its Restricted Subsidiaries.</w:t>
      </w:r>
    </w:p>
    <w:p>
      <w:pPr>
        <w:spacing w:after="0" w:line="205"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Dividend and Other Payment Restrictions Affecting Restricted Subsidiaries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tabs>
          <w:tab w:leader="none" w:pos="272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Borrower shall not, and shall not permit any of its Restricted Subsidiaries to, directly or indirectly, create or otherwise cause to become effective any consensual encumbrance or consensual restriction on the ability of any Restricted Subsidiary that is not a Guarantor to:</w:t>
      </w:r>
    </w:p>
    <w:p>
      <w:pPr>
        <w:spacing w:after="0" w:line="213" w:lineRule="exact"/>
        <w:rPr>
          <w:rFonts w:ascii="Arial" w:cs="Arial" w:eastAsia="Arial" w:hAnsi="Arial"/>
          <w:sz w:val="22"/>
          <w:szCs w:val="22"/>
          <w:color w:val="auto"/>
        </w:rPr>
      </w:pPr>
    </w:p>
    <w:p>
      <w:pPr>
        <w:jc w:val="both"/>
        <w:ind w:left="660" w:firstLine="1778"/>
        <w:spacing w:after="0" w:line="297" w:lineRule="auto"/>
        <w:tabs>
          <w:tab w:leader="none" w:pos="3334" w:val="left"/>
        </w:tabs>
        <w:numPr>
          <w:ilvl w:val="1"/>
          <w:numId w:val="209"/>
        </w:numPr>
        <w:rPr>
          <w:rFonts w:ascii="Arial" w:cs="Arial" w:eastAsia="Arial" w:hAnsi="Arial"/>
          <w:sz w:val="19"/>
          <w:szCs w:val="19"/>
          <w:color w:val="auto"/>
        </w:rPr>
      </w:pPr>
      <w:r>
        <w:rPr>
          <w:rFonts w:ascii="Arial" w:cs="Arial" w:eastAsia="Arial" w:hAnsi="Arial"/>
          <w:sz w:val="19"/>
          <w:szCs w:val="19"/>
          <w:color w:val="auto"/>
        </w:rPr>
        <w:t>(1) pay dividends or make any other distributions to the Borrower or any of its Restricted Subsidiaries that is a Guarantor on its Equity Interests or with respect to any other interest or participation in, or measured by, its profits, or (2) pay any Indebtedness owed to the Borrower or any of its Restricted Subsidiaries that is a Guarantor;</w:t>
      </w:r>
    </w:p>
    <w:p>
      <w:pPr>
        <w:spacing w:after="0" w:line="160" w:lineRule="exact"/>
        <w:rPr>
          <w:rFonts w:ascii="Arial" w:cs="Arial" w:eastAsia="Arial" w:hAnsi="Arial"/>
          <w:sz w:val="19"/>
          <w:szCs w:val="19"/>
          <w:color w:val="auto"/>
        </w:rPr>
      </w:pPr>
    </w:p>
    <w:p>
      <w:pPr>
        <w:ind w:left="3340" w:hanging="902"/>
        <w:spacing w:after="0"/>
        <w:tabs>
          <w:tab w:leader="none" w:pos="3340" w:val="left"/>
        </w:tabs>
        <w:numPr>
          <w:ilvl w:val="1"/>
          <w:numId w:val="209"/>
        </w:numPr>
        <w:rPr>
          <w:rFonts w:ascii="Arial" w:cs="Arial" w:eastAsia="Arial" w:hAnsi="Arial"/>
          <w:sz w:val="21"/>
          <w:szCs w:val="21"/>
          <w:color w:val="auto"/>
        </w:rPr>
      </w:pPr>
      <w:r>
        <w:rPr>
          <w:rFonts w:ascii="Arial" w:cs="Arial" w:eastAsia="Arial" w:hAnsi="Arial"/>
          <w:sz w:val="21"/>
          <w:szCs w:val="21"/>
          <w:color w:val="auto"/>
        </w:rPr>
        <w:t>make loans or advances to the Borrower or any of its Restricted Subsidiaries that 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 Guarantor;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ind w:left="-460" w:right="660" w:firstLine="2264"/>
        <w:spacing w:after="0" w:line="251" w:lineRule="auto"/>
        <w:tabs>
          <w:tab w:leader="none" w:pos="2739" w:val="left"/>
        </w:tabs>
        <w:numPr>
          <w:ilvl w:val="2"/>
          <w:numId w:val="210"/>
        </w:numPr>
        <w:rPr>
          <w:rFonts w:ascii="Arial" w:cs="Arial" w:eastAsia="Arial" w:hAnsi="Arial"/>
          <w:sz w:val="22"/>
          <w:szCs w:val="22"/>
          <w:color w:val="auto"/>
        </w:rPr>
      </w:pPr>
      <w:r>
        <w:rPr>
          <w:rFonts w:ascii="Arial" w:cs="Arial" w:eastAsia="Arial" w:hAnsi="Arial"/>
          <w:sz w:val="22"/>
          <w:szCs w:val="22"/>
          <w:color w:val="auto"/>
        </w:rPr>
        <w:t>sell, lease or transfer any of its properties or assets to the Borrower or any of its Restricted Subsidiaries that is a Guarantor.</w:t>
      </w:r>
    </w:p>
    <w:p>
      <w:pPr>
        <w:spacing w:after="0" w:line="200" w:lineRule="exact"/>
        <w:rPr>
          <w:rFonts w:ascii="Arial" w:cs="Arial" w:eastAsia="Arial" w:hAnsi="Arial"/>
          <w:sz w:val="22"/>
          <w:szCs w:val="22"/>
          <w:color w:val="auto"/>
        </w:rPr>
      </w:pPr>
    </w:p>
    <w:p>
      <w:pPr>
        <w:ind w:left="1400" w:hanging="568"/>
        <w:spacing w:after="0"/>
        <w:tabs>
          <w:tab w:leader="none" w:pos="140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restrictions in Section 6.2(a) shall not apply to encumbrances or restrictions:</w:t>
      </w:r>
    </w:p>
    <w:p>
      <w:pPr>
        <w:spacing w:after="0" w:line="233" w:lineRule="exact"/>
        <w:rPr>
          <w:rFonts w:ascii="Arial" w:cs="Arial" w:eastAsia="Arial" w:hAnsi="Arial"/>
          <w:sz w:val="22"/>
          <w:szCs w:val="22"/>
          <w:color w:val="auto"/>
        </w:rPr>
      </w:pPr>
    </w:p>
    <w:p>
      <w:pPr>
        <w:jc w:val="both"/>
        <w:ind w:left="-460" w:firstLine="1778"/>
        <w:spacing w:after="0" w:line="274" w:lineRule="auto"/>
        <w:tabs>
          <w:tab w:leader="none" w:pos="248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set forth in any agreement evidencing or governing (1) Indebtedness of a Restricted Subsidiary that is not a Guarantor permitted to be incurred pursuant to Section 6.3 and any corresponding Organizational Documents of any such Restricted Subsidiary structured as a special purpose entity incurring such Indebtedness, (2) 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6.3(b)(xviii), (xxi), (xxv), (xxxix), (xli) and/or (xlii) and (4) any Permitted Receivables Financing solely with respect to the assets subject to such Permitted Receivables Financing;</w:t>
      </w:r>
    </w:p>
    <w:p>
      <w:pPr>
        <w:spacing w:after="0" w:line="185" w:lineRule="exact"/>
        <w:rPr>
          <w:rFonts w:ascii="Arial" w:cs="Arial" w:eastAsia="Arial" w:hAnsi="Arial"/>
          <w:sz w:val="19"/>
          <w:szCs w:val="19"/>
          <w:color w:val="auto"/>
        </w:rPr>
      </w:pPr>
    </w:p>
    <w:p>
      <w:pPr>
        <w:jc w:val="both"/>
        <w:ind w:left="-460" w:firstLine="1778"/>
        <w:spacing w:after="0"/>
        <w:tabs>
          <w:tab w:leader="none" w:pos="234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213" w:lineRule="exact"/>
        <w:rPr>
          <w:rFonts w:ascii="Arial" w:cs="Arial" w:eastAsia="Arial" w:hAnsi="Arial"/>
          <w:sz w:val="22"/>
          <w:szCs w:val="22"/>
          <w:color w:val="auto"/>
        </w:rPr>
      </w:pPr>
    </w:p>
    <w:p>
      <w:pPr>
        <w:jc w:val="both"/>
        <w:ind w:left="-460" w:firstLine="1778"/>
        <w:spacing w:after="0"/>
        <w:tabs>
          <w:tab w:leader="none" w:pos="2429"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that are or were created by virtue of any Lien granted upon, transfer of, agreement to transfer or grant of, any option or right with respect to any assets or Equity Interests not otherwise prohibited under this Agreement;</w:t>
      </w:r>
    </w:p>
    <w:p>
      <w:pPr>
        <w:spacing w:after="0" w:line="213" w:lineRule="exact"/>
        <w:rPr>
          <w:rFonts w:ascii="Arial" w:cs="Arial" w:eastAsia="Arial" w:hAnsi="Arial"/>
          <w:sz w:val="22"/>
          <w:szCs w:val="22"/>
          <w:color w:val="auto"/>
        </w:rPr>
      </w:pPr>
    </w:p>
    <w:p>
      <w:pPr>
        <w:jc w:val="both"/>
        <w:ind w:left="-460" w:firstLine="1778"/>
        <w:spacing w:after="0" w:line="238" w:lineRule="auto"/>
        <w:tabs>
          <w:tab w:leader="none" w:pos="228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211" w:lineRule="exact"/>
        <w:rPr>
          <w:rFonts w:ascii="Arial" w:cs="Arial" w:eastAsia="Arial" w:hAnsi="Arial"/>
          <w:sz w:val="22"/>
          <w:szCs w:val="22"/>
          <w:color w:val="auto"/>
        </w:rPr>
      </w:pPr>
    </w:p>
    <w:p>
      <w:pPr>
        <w:jc w:val="both"/>
        <w:ind w:left="-460" w:firstLine="1778"/>
        <w:spacing w:after="0"/>
        <w:tabs>
          <w:tab w:leader="none" w:pos="2424" w:val="left"/>
        </w:tabs>
        <w:numPr>
          <w:ilvl w:val="1"/>
          <w:numId w:val="211"/>
        </w:numPr>
        <w:rPr>
          <w:rFonts w:ascii="Arial" w:cs="Arial" w:eastAsia="Arial" w:hAnsi="Arial"/>
          <w:sz w:val="22"/>
          <w:szCs w:val="22"/>
          <w:color w:val="auto"/>
        </w:rPr>
      </w:pPr>
      <w:r>
        <w:rPr>
          <w:rFonts w:ascii="Arial" w:cs="Arial" w:eastAsia="Arial" w:hAnsi="Arial"/>
          <w:sz w:val="22"/>
          <w:szCs w:val="22"/>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213" w:lineRule="exact"/>
        <w:rPr>
          <w:rFonts w:ascii="Arial" w:cs="Arial" w:eastAsia="Arial" w:hAnsi="Arial"/>
          <w:sz w:val="22"/>
          <w:szCs w:val="22"/>
          <w:color w:val="auto"/>
        </w:rPr>
      </w:pPr>
    </w:p>
    <w:p>
      <w:pPr>
        <w:jc w:val="both"/>
        <w:ind w:left="-460" w:right="20" w:firstLine="1778"/>
        <w:spacing w:after="0" w:line="328" w:lineRule="auto"/>
        <w:tabs>
          <w:tab w:leader="none" w:pos="2228"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set forth in provisions in agreements or instruments that prohibit the payment of dividends or the making of other distributions with respect to any class of Equity Interests of a Person other than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w:t>
      </w:r>
    </w:p>
    <w:p>
      <w:pPr>
        <w:spacing w:after="0" w:line="131" w:lineRule="exact"/>
        <w:rPr>
          <w:rFonts w:ascii="Arial" w:cs="Arial" w:eastAsia="Arial" w:hAnsi="Arial"/>
          <w:sz w:val="19"/>
          <w:szCs w:val="19"/>
          <w:color w:val="auto"/>
        </w:rPr>
      </w:pPr>
    </w:p>
    <w:p>
      <w:pPr>
        <w:ind w:left="-460" w:right="20" w:firstLine="1778"/>
        <w:spacing w:after="0" w:line="328" w:lineRule="auto"/>
        <w:tabs>
          <w:tab w:leader="none" w:pos="2396" w:val="left"/>
        </w:tabs>
        <w:numPr>
          <w:ilvl w:val="1"/>
          <w:numId w:val="211"/>
        </w:numPr>
        <w:rPr>
          <w:rFonts w:ascii="Arial" w:cs="Arial" w:eastAsia="Arial" w:hAnsi="Arial"/>
          <w:sz w:val="19"/>
          <w:szCs w:val="19"/>
          <w:color w:val="auto"/>
        </w:rPr>
      </w:pPr>
      <w:r>
        <w:rPr>
          <w:rFonts w:ascii="Arial" w:cs="Arial" w:eastAsia="Arial" w:hAnsi="Arial"/>
          <w:sz w:val="19"/>
          <w:szCs w:val="19"/>
          <w:color w:val="auto"/>
        </w:rPr>
        <w:t>imposed by customary provisions in partnership agreements, limited liability company agreements, joint venture agreements, other organizational and governance documents and other similar agreements;</w:t>
      </w:r>
    </w:p>
    <w:p>
      <w:pPr>
        <w:spacing w:after="0" w:line="131" w:lineRule="exact"/>
        <w:rPr>
          <w:rFonts w:ascii="Arial" w:cs="Arial" w:eastAsia="Arial" w:hAnsi="Arial"/>
          <w:sz w:val="19"/>
          <w:szCs w:val="19"/>
          <w:color w:val="auto"/>
        </w:rPr>
      </w:pPr>
    </w:p>
    <w:p>
      <w:pPr>
        <w:jc w:val="both"/>
        <w:ind w:left="-460" w:firstLine="1778"/>
        <w:spacing w:after="0"/>
        <w:tabs>
          <w:tab w:leader="none" w:pos="213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213" w:lineRule="exact"/>
        <w:rPr>
          <w:rFonts w:ascii="Arial" w:cs="Arial" w:eastAsia="Arial" w:hAnsi="Arial"/>
          <w:sz w:val="22"/>
          <w:szCs w:val="22"/>
          <w:color w:val="auto"/>
        </w:rPr>
      </w:pPr>
    </w:p>
    <w:p>
      <w:pPr>
        <w:jc w:val="both"/>
        <w:ind w:left="-460" w:firstLine="1778"/>
        <w:spacing w:after="0"/>
        <w:tabs>
          <w:tab w:leader="none" w:pos="232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set forth in documents that exist on the Closing Date, including pursuant to the Existing Notes, the Existing Note Guarantees, the Existing Notes Indentures, this Agreement and the other Loan Documents and, in each case, related documentation and related Derivative Transactions;</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6" w:name="page167"/>
    <w:bookmarkEnd w:id="166"/>
    <w:p>
      <w:pPr>
        <w:jc w:val="both"/>
        <w:ind w:firstLine="1778"/>
        <w:spacing w:after="0" w:line="245" w:lineRule="auto"/>
        <w:tabs>
          <w:tab w:leader="none" w:pos="260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spacing w:after="0" w:line="212" w:lineRule="exact"/>
        <w:rPr>
          <w:rFonts w:ascii="Arial" w:cs="Arial" w:eastAsia="Arial" w:hAnsi="Arial"/>
          <w:sz w:val="21"/>
          <w:szCs w:val="21"/>
          <w:color w:val="auto"/>
        </w:rPr>
      </w:pPr>
    </w:p>
    <w:p>
      <w:pPr>
        <w:ind w:firstLine="1778"/>
        <w:spacing w:after="0" w:line="250" w:lineRule="auto"/>
        <w:tabs>
          <w:tab w:leader="none" w:pos="268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arising under or as a result of applicable Requirements of Law or the terms of any license, authorization, concession or permit;</w:t>
      </w:r>
    </w:p>
    <w:p>
      <w:pPr>
        <w:spacing w:after="0" w:line="201" w:lineRule="exact"/>
        <w:rPr>
          <w:rFonts w:ascii="Arial" w:cs="Arial" w:eastAsia="Arial" w:hAnsi="Arial"/>
          <w:sz w:val="22"/>
          <w:szCs w:val="22"/>
          <w:color w:val="auto"/>
        </w:rPr>
      </w:pPr>
    </w:p>
    <w:p>
      <w:pPr>
        <w:ind w:left="2640" w:hanging="862"/>
        <w:spacing w:after="0"/>
        <w:tabs>
          <w:tab w:leader="none" w:pos="264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arising in any Hedge Agreement and/or any agreement relating to Banking Services;</w:t>
      </w:r>
    </w:p>
    <w:p>
      <w:pPr>
        <w:spacing w:after="0" w:line="244" w:lineRule="exact"/>
        <w:rPr>
          <w:rFonts w:ascii="Arial" w:cs="Arial" w:eastAsia="Arial" w:hAnsi="Arial"/>
          <w:sz w:val="21"/>
          <w:szCs w:val="21"/>
          <w:color w:val="auto"/>
        </w:rPr>
      </w:pPr>
    </w:p>
    <w:p>
      <w:pPr>
        <w:jc w:val="both"/>
        <w:ind w:firstLine="1778"/>
        <w:spacing w:after="0" w:line="238" w:lineRule="auto"/>
        <w:tabs>
          <w:tab w:leader="none" w:pos="279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spacing w:after="0" w:line="211" w:lineRule="exact"/>
        <w:rPr>
          <w:rFonts w:ascii="Arial" w:cs="Arial" w:eastAsia="Arial" w:hAnsi="Arial"/>
          <w:sz w:val="22"/>
          <w:szCs w:val="22"/>
          <w:color w:val="auto"/>
        </w:rPr>
      </w:pPr>
    </w:p>
    <w:p>
      <w:pPr>
        <w:ind w:left="2900" w:hanging="1122"/>
        <w:spacing w:after="0"/>
        <w:tabs>
          <w:tab w:leader="none" w:pos="290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set forth in any agreement relating to any Permitted Lien that limits the right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Borrower or any Restricted Subsidiary to dispose of or encumber the assets subject thereto;</w:t>
      </w:r>
    </w:p>
    <w:p>
      <w:pPr>
        <w:spacing w:after="0" w:line="215" w:lineRule="exact"/>
        <w:rPr>
          <w:rFonts w:ascii="Arial" w:cs="Arial" w:eastAsia="Arial" w:hAnsi="Arial"/>
          <w:sz w:val="21"/>
          <w:szCs w:val="21"/>
          <w:color w:val="auto"/>
        </w:rPr>
      </w:pPr>
    </w:p>
    <w:p>
      <w:pPr>
        <w:jc w:val="both"/>
        <w:ind w:firstLine="1778"/>
        <w:spacing w:after="0" w:line="275" w:lineRule="auto"/>
        <w:tabs>
          <w:tab w:leader="none" w:pos="2628"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w:t>
      </w:r>
    </w:p>
    <w:p>
      <w:pPr>
        <w:spacing w:after="0" w:line="184" w:lineRule="exact"/>
        <w:rPr>
          <w:rFonts w:ascii="Arial" w:cs="Arial" w:eastAsia="Arial" w:hAnsi="Arial"/>
          <w:sz w:val="19"/>
          <w:szCs w:val="19"/>
          <w:color w:val="auto"/>
        </w:rPr>
      </w:pPr>
    </w:p>
    <w:p>
      <w:pPr>
        <w:jc w:val="both"/>
        <w:ind w:firstLine="1778"/>
        <w:spacing w:after="0" w:line="234" w:lineRule="auto"/>
        <w:tabs>
          <w:tab w:leader="none" w:pos="291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w:t>
      </w:r>
    </w:p>
    <w:p>
      <w:pPr>
        <w:spacing w:after="0" w:line="396"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167" w:name="page168"/>
    <w:bookmarkEnd w:id="167"/>
    <w:p>
      <w:pPr>
        <w:jc w:val="both"/>
        <w:ind w:left="660" w:firstLine="1778"/>
        <w:spacing w:after="0" w:line="248" w:lineRule="auto"/>
        <w:tabs>
          <w:tab w:leader="none" w:pos="3394" w:val="left"/>
        </w:tabs>
        <w:numPr>
          <w:ilvl w:val="0"/>
          <w:numId w:val="213"/>
        </w:numPr>
        <w:rPr>
          <w:rFonts w:ascii="Arial" w:cs="Arial" w:eastAsia="Arial" w:hAnsi="Arial"/>
          <w:sz w:val="21"/>
          <w:szCs w:val="21"/>
          <w:color w:val="auto"/>
        </w:rPr>
      </w:pPr>
      <w:r>
        <w:rPr>
          <w:rFonts w:ascii="Arial" w:cs="Arial" w:eastAsia="Arial" w:hAnsi="Arial"/>
          <w:sz w:val="21"/>
          <w:szCs w:val="21"/>
          <w:color w:val="auto"/>
        </w:rPr>
        <w:t>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spacing w:after="0" w:line="215"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Limitation on Incurrence of Indebtedness and Issuance of Disqualified Stock and Preferred Stock</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73" w:lineRule="auto"/>
        <w:tabs>
          <w:tab w:leader="none" w:pos="272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Borrower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spacing w:after="0" w:line="182" w:lineRule="exact"/>
        <w:rPr>
          <w:rFonts w:ascii="Arial" w:cs="Arial" w:eastAsia="Arial" w:hAnsi="Arial"/>
          <w:sz w:val="19"/>
          <w:szCs w:val="19"/>
          <w:color w:val="auto"/>
        </w:rPr>
      </w:pPr>
    </w:p>
    <w:p>
      <w:pPr>
        <w:ind w:left="2520" w:hanging="568"/>
        <w:spacing w:after="0"/>
        <w:tabs>
          <w:tab w:leader="none" w:pos="25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provisions of Section 6.3(a) shall not apply to:</w:t>
      </w:r>
    </w:p>
    <w:p>
      <w:pPr>
        <w:spacing w:after="0" w:line="233" w:lineRule="exact"/>
        <w:rPr>
          <w:rFonts w:ascii="Arial" w:cs="Arial" w:eastAsia="Arial" w:hAnsi="Arial"/>
          <w:sz w:val="22"/>
          <w:szCs w:val="22"/>
          <w:color w:val="auto"/>
        </w:rPr>
      </w:pPr>
    </w:p>
    <w:p>
      <w:pPr>
        <w:jc w:val="both"/>
        <w:ind w:left="660" w:firstLine="1778"/>
        <w:spacing w:after="0" w:line="246" w:lineRule="auto"/>
        <w:tabs>
          <w:tab w:leader="none" w:pos="3483" w:val="left"/>
        </w:tabs>
        <w:numPr>
          <w:ilvl w:val="1"/>
          <w:numId w:val="214"/>
        </w:numPr>
        <w:rPr>
          <w:rFonts w:ascii="Arial" w:cs="Arial" w:eastAsia="Arial" w:hAnsi="Arial"/>
          <w:sz w:val="21"/>
          <w:szCs w:val="21"/>
          <w:color w:val="auto"/>
        </w:rPr>
      </w:pPr>
      <w:r>
        <w:rPr>
          <w:rFonts w:ascii="Arial" w:cs="Arial" w:eastAsia="Arial" w:hAnsi="Arial"/>
          <w:sz w:val="21"/>
          <w:szCs w:val="21"/>
          <w:color w:val="auto"/>
        </w:rPr>
        <w:t>the incurrence of Indebtedness under Credit Facilities (including the incurrence of the Obligations under this Agreement) by the Borrower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Section 6.3(b)(xvii) in respect of such Indebtedness then outstanding) not to exceed, except as contemplated by Section 6.3(b)(xvii), the greater of (i) $175.0 million and (ii) 50.0% of Annualized EBITDA;</w:t>
      </w:r>
    </w:p>
    <w:p>
      <w:pPr>
        <w:spacing w:after="0" w:line="211" w:lineRule="exact"/>
        <w:rPr>
          <w:rFonts w:ascii="Arial" w:cs="Arial" w:eastAsia="Arial" w:hAnsi="Arial"/>
          <w:sz w:val="21"/>
          <w:szCs w:val="21"/>
          <w:color w:val="auto"/>
        </w:rPr>
      </w:pPr>
    </w:p>
    <w:p>
      <w:pPr>
        <w:ind w:left="660" w:firstLine="1778"/>
        <w:spacing w:after="0" w:line="250" w:lineRule="auto"/>
        <w:tabs>
          <w:tab w:leader="none" w:pos="3313"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the Indebtedness represented by the Existing Notes (including any Existing Note Guarantee thereof) outstanding on the Closing Date;</w:t>
      </w:r>
    </w:p>
    <w:p>
      <w:pPr>
        <w:spacing w:after="0" w:line="201" w:lineRule="exact"/>
        <w:rPr>
          <w:rFonts w:ascii="Arial" w:cs="Arial" w:eastAsia="Arial" w:hAnsi="Arial"/>
          <w:sz w:val="22"/>
          <w:szCs w:val="22"/>
          <w:color w:val="auto"/>
        </w:rPr>
      </w:pPr>
    </w:p>
    <w:p>
      <w:pPr>
        <w:jc w:val="both"/>
        <w:ind w:left="660" w:firstLine="1778"/>
        <w:spacing w:after="0" w:line="246" w:lineRule="auto"/>
        <w:tabs>
          <w:tab w:leader="none" w:pos="3373" w:val="left"/>
        </w:tabs>
        <w:numPr>
          <w:ilvl w:val="1"/>
          <w:numId w:val="214"/>
        </w:numPr>
        <w:rPr>
          <w:rFonts w:ascii="Arial" w:cs="Arial" w:eastAsia="Arial" w:hAnsi="Arial"/>
          <w:sz w:val="21"/>
          <w:szCs w:val="21"/>
          <w:color w:val="auto"/>
        </w:rPr>
      </w:pPr>
      <w:r>
        <w:rPr>
          <w:rFonts w:ascii="Arial" w:cs="Arial" w:eastAsia="Arial" w:hAnsi="Arial"/>
          <w:sz w:val="21"/>
          <w:szCs w:val="21"/>
          <w:color w:val="auto"/>
        </w:rPr>
        <w:t xml:space="preserve">Indebtedness, Disqualified Stock and Preferred Stock of the Borrower issued or owing to any Restricted Subsidiary and/or of any Restricted Subsidiary issued or owing to the Borrower and/or any other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ind w:left="2160" w:hanging="842"/>
        <w:spacing w:after="0"/>
        <w:tabs>
          <w:tab w:leader="none" w:pos="21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Indebtedness in respect of Permitted Receivables Financings;</w:t>
      </w:r>
    </w:p>
    <w:p>
      <w:pPr>
        <w:spacing w:after="0" w:line="233" w:lineRule="exact"/>
        <w:rPr>
          <w:rFonts w:ascii="Arial" w:cs="Arial" w:eastAsia="Arial" w:hAnsi="Arial"/>
          <w:sz w:val="22"/>
          <w:szCs w:val="22"/>
          <w:color w:val="auto"/>
        </w:rPr>
      </w:pPr>
    </w:p>
    <w:p>
      <w:pPr>
        <w:jc w:val="both"/>
        <w:ind w:left="-460" w:firstLine="1778"/>
        <w:spacing w:after="0" w:line="277" w:lineRule="auto"/>
        <w:tabs>
          <w:tab w:leader="none" w:pos="247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Indebtedness, Disqualified Stock and Preferred Stock (1) 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Interests, and (2) arising from guaranties, letters of credit, bank guaranties, surety bonds, performance bonds, completion bonds or similar instruments securing the performance of the Borrower or any such Restricted Subsidiary pursuant to any such agreement described in the foregoing subclause (1);</w:t>
      </w:r>
    </w:p>
    <w:p>
      <w:pPr>
        <w:spacing w:after="0" w:line="178" w:lineRule="exact"/>
        <w:rPr>
          <w:rFonts w:ascii="Arial" w:cs="Arial" w:eastAsia="Arial" w:hAnsi="Arial"/>
          <w:sz w:val="19"/>
          <w:szCs w:val="19"/>
          <w:color w:val="auto"/>
        </w:rPr>
      </w:pPr>
    </w:p>
    <w:p>
      <w:pPr>
        <w:jc w:val="both"/>
        <w:ind w:left="-460" w:firstLine="1778"/>
        <w:spacing w:after="0" w:line="234" w:lineRule="auto"/>
        <w:tabs>
          <w:tab w:leader="none" w:pos="263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w:t>
      </w:r>
    </w:p>
    <w:p>
      <w:pPr>
        <w:spacing w:after="0" w:line="217" w:lineRule="exact"/>
        <w:rPr>
          <w:rFonts w:ascii="Arial" w:cs="Arial" w:eastAsia="Arial" w:hAnsi="Arial"/>
          <w:sz w:val="22"/>
          <w:szCs w:val="22"/>
          <w:color w:val="auto"/>
        </w:rPr>
      </w:pPr>
    </w:p>
    <w:p>
      <w:pPr>
        <w:jc w:val="both"/>
        <w:ind w:left="-460" w:firstLine="1778"/>
        <w:spacing w:after="0" w:line="236" w:lineRule="auto"/>
        <w:tabs>
          <w:tab w:leader="none" w:pos="243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w:t>
      </w:r>
    </w:p>
    <w:p>
      <w:pPr>
        <w:spacing w:after="0" w:line="214" w:lineRule="exact"/>
        <w:rPr>
          <w:rFonts w:ascii="Arial" w:cs="Arial" w:eastAsia="Arial" w:hAnsi="Arial"/>
          <w:sz w:val="22"/>
          <w:szCs w:val="22"/>
          <w:color w:val="auto"/>
        </w:rPr>
      </w:pPr>
    </w:p>
    <w:p>
      <w:pPr>
        <w:jc w:val="both"/>
        <w:ind w:left="-460" w:firstLine="1778"/>
        <w:spacing w:after="0" w:line="246" w:lineRule="auto"/>
        <w:tabs>
          <w:tab w:leader="none" w:pos="241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(1) guaranties by the Borrower and/or any Restricted Subsidiary of the obligations of suppliers, customers and licensees in the ordinary course of business, consistent with past practice or consistent with industry norm, (2) Indebtedness incurred in the ordinary course of business,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spacing w:after="0" w:line="206" w:lineRule="exact"/>
        <w:rPr>
          <w:rFonts w:ascii="Arial" w:cs="Arial" w:eastAsia="Arial" w:hAnsi="Arial"/>
          <w:sz w:val="21"/>
          <w:szCs w:val="21"/>
          <w:color w:val="auto"/>
        </w:rPr>
      </w:pPr>
    </w:p>
    <w:p>
      <w:pPr>
        <w:jc w:val="both"/>
        <w:ind w:left="-460" w:firstLine="1778"/>
        <w:spacing w:after="0" w:line="297" w:lineRule="auto"/>
        <w:tabs>
          <w:tab w:leader="none" w:pos="268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w:t>
      </w:r>
    </w:p>
    <w:p>
      <w:pPr>
        <w:spacing w:after="0" w:line="160" w:lineRule="exact"/>
        <w:rPr>
          <w:rFonts w:ascii="Arial" w:cs="Arial" w:eastAsia="Arial" w:hAnsi="Arial"/>
          <w:sz w:val="19"/>
          <w:szCs w:val="19"/>
          <w:color w:val="auto"/>
        </w:rPr>
      </w:pPr>
    </w:p>
    <w:p>
      <w:pPr>
        <w:ind w:left="-460" w:right="20" w:firstLine="1778"/>
        <w:spacing w:after="0" w:line="328" w:lineRule="auto"/>
        <w:tabs>
          <w:tab w:leader="none" w:pos="239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existing, or pursuant to commitments existing on the Closing Date (other than Indebtedness described in clause (i) or (ii) above);</w:t>
      </w:r>
    </w:p>
    <w:p>
      <w:pPr>
        <w:spacing w:after="0" w:line="310"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9" w:name="page170"/>
    <w:bookmarkEnd w:id="169"/>
    <w:p>
      <w:pPr>
        <w:jc w:val="both"/>
        <w:ind w:left="-460" w:firstLine="1778"/>
        <w:spacing w:after="0" w:line="234" w:lineRule="auto"/>
        <w:tabs>
          <w:tab w:leader="none" w:pos="2214"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Indebtedness, Disqualified Stock or Preferred Stock of Restricted Subsidiaries that are not Guarantors;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$100.0 million and 25.0% of Annualized EBITDA;</w:t>
      </w:r>
    </w:p>
    <w:p>
      <w:pPr>
        <w:spacing w:after="0" w:line="218" w:lineRule="exact"/>
        <w:rPr>
          <w:rFonts w:ascii="Arial" w:cs="Arial" w:eastAsia="Arial" w:hAnsi="Arial"/>
          <w:sz w:val="22"/>
          <w:szCs w:val="22"/>
          <w:color w:val="auto"/>
        </w:rPr>
      </w:pPr>
    </w:p>
    <w:p>
      <w:pPr>
        <w:jc w:val="both"/>
        <w:ind w:left="-460" w:firstLine="1778"/>
        <w:spacing w:after="0"/>
        <w:tabs>
          <w:tab w:leader="none" w:pos="232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Indebtedness of the Borrower and/or any Restricted Subsidiary consisting of obligations owing under incentive, supply, license or similar agreements entered into in the ordinary course of business, consistent with past practice or consistent with industry norm;</w:t>
      </w:r>
    </w:p>
    <w:p>
      <w:pPr>
        <w:spacing w:after="0" w:line="213" w:lineRule="exact"/>
        <w:rPr>
          <w:rFonts w:ascii="Arial" w:cs="Arial" w:eastAsia="Arial" w:hAnsi="Arial"/>
          <w:sz w:val="22"/>
          <w:szCs w:val="22"/>
          <w:color w:val="auto"/>
        </w:rPr>
      </w:pPr>
    </w:p>
    <w:p>
      <w:pPr>
        <w:jc w:val="both"/>
        <w:ind w:left="-460" w:firstLine="1778"/>
        <w:spacing w:after="0" w:line="236" w:lineRule="auto"/>
        <w:tabs>
          <w:tab w:leader="none" w:pos="242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w:t>
      </w:r>
    </w:p>
    <w:p>
      <w:pPr>
        <w:spacing w:after="0" w:line="214" w:lineRule="exact"/>
        <w:rPr>
          <w:rFonts w:ascii="Arial" w:cs="Arial" w:eastAsia="Arial" w:hAnsi="Arial"/>
          <w:sz w:val="22"/>
          <w:szCs w:val="22"/>
          <w:color w:val="auto"/>
        </w:rPr>
      </w:pPr>
    </w:p>
    <w:p>
      <w:pPr>
        <w:jc w:val="both"/>
        <w:ind w:left="-460" w:firstLine="1778"/>
        <w:spacing w:after="0" w:line="275" w:lineRule="auto"/>
        <w:tabs>
          <w:tab w:leader="none" w:pos="2646"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incurrence or issuance is prior to, at the time of or within two years after the completion of such acquisition, construction, lease, expansion, development, installation, repair, replacement, relocation, renewal, maintenance, upgrade or improvement;</w:t>
      </w:r>
    </w:p>
    <w:p>
      <w:pPr>
        <w:spacing w:after="0" w:line="184" w:lineRule="exact"/>
        <w:rPr>
          <w:rFonts w:ascii="Arial" w:cs="Arial" w:eastAsia="Arial" w:hAnsi="Arial"/>
          <w:sz w:val="19"/>
          <w:szCs w:val="19"/>
          <w:color w:val="auto"/>
        </w:rPr>
      </w:pPr>
    </w:p>
    <w:p>
      <w:pPr>
        <w:jc w:val="both"/>
        <w:ind w:left="-460" w:firstLine="1778"/>
        <w:spacing w:after="0" w:line="274" w:lineRule="auto"/>
        <w:tabs>
          <w:tab w:leader="none" w:pos="234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(1) of the Borrower or a Restricted Subsidiary incurred or issued to finance an acquisition or Investment or (2)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pro forma effect to such Investment, acquisition, merger, amalgamation or consolidation, either: (A) the Borrower would be permitted to incur at least $1.00 of additional Indebtedness pursuant to the Fixed Charge Coverage Ratio test set forth in Section 6.3(a) or (B) the Fixed Charge Coverage Ratio of the Borrower is equal to or greater than immediately prior to such Investment, acquisition, merger, amalgamation or consolidation;</w:t>
      </w:r>
    </w:p>
    <w:p>
      <w:pPr>
        <w:spacing w:after="0" w:line="185" w:lineRule="exact"/>
        <w:rPr>
          <w:rFonts w:ascii="Arial" w:cs="Arial" w:eastAsia="Arial" w:hAnsi="Arial"/>
          <w:sz w:val="19"/>
          <w:szCs w:val="19"/>
          <w:color w:val="auto"/>
        </w:rPr>
      </w:pPr>
    </w:p>
    <w:p>
      <w:pPr>
        <w:jc w:val="both"/>
        <w:ind w:left="-460" w:firstLine="1778"/>
        <w:spacing w:after="0" w:line="287" w:lineRule="auto"/>
        <w:tabs>
          <w:tab w:leader="none" w:pos="214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Borrower or any Subsidiary to finance the purchase or redemption of Equity Interests of the Borrower permitted under Section 6.1;</w:t>
      </w:r>
    </w:p>
    <w:p>
      <w:pPr>
        <w:spacing w:after="0" w:line="348"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0" w:name="page171"/>
    <w:bookmarkEnd w:id="170"/>
    <w:p>
      <w:pPr>
        <w:jc w:val="both"/>
        <w:ind w:left="4" w:firstLine="1778"/>
        <w:spacing w:after="0" w:line="243" w:lineRule="auto"/>
        <w:tabs>
          <w:tab w:leader="none" w:pos="2873" w:val="left"/>
        </w:tabs>
        <w:numPr>
          <w:ilvl w:val="3"/>
          <w:numId w:val="217"/>
        </w:numPr>
        <w:rPr>
          <w:rFonts w:ascii="Arial" w:cs="Arial" w:eastAsia="Arial" w:hAnsi="Arial"/>
          <w:sz w:val="21"/>
          <w:szCs w:val="21"/>
          <w:color w:val="auto"/>
        </w:rPr>
      </w:pPr>
      <w:r>
        <w:rPr>
          <w:rFonts w:ascii="Arial" w:cs="Arial" w:eastAsia="Arial" w:hAnsi="Arial"/>
          <w:sz w:val="21"/>
          <w:szCs w:val="21"/>
          <w:color w:val="auto"/>
        </w:rPr>
        <w:t>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 (xxi), (xxiii), (xxiv), (xxv), (xxxvi), (xli) and (xlii) of this Section 6.3(b) (in any case, including any refinancing Indebtedness incurred in respect thereof, “</w:t>
      </w:r>
      <w:r>
        <w:rPr>
          <w:rFonts w:ascii="Arial" w:cs="Arial" w:eastAsia="Arial" w:hAnsi="Arial"/>
          <w:sz w:val="21"/>
          <w:szCs w:val="21"/>
          <w:u w:val="single" w:color="auto"/>
          <w:color w:val="auto"/>
        </w:rPr>
        <w:t>Refinancing Indebtedness</w:t>
      </w:r>
      <w:r>
        <w:rPr>
          <w:rFonts w:ascii="Arial" w:cs="Arial" w:eastAsia="Arial" w:hAnsi="Arial"/>
          <w:sz w:val="21"/>
          <w:szCs w:val="21"/>
          <w:color w:val="auto"/>
        </w:rPr>
        <w:t>” and such Indebtedness, Disqualified Stock or Preferred Stock being refinanced, the “</w:t>
      </w:r>
      <w:r>
        <w:rPr>
          <w:rFonts w:ascii="Arial" w:cs="Arial" w:eastAsia="Arial" w:hAnsi="Arial"/>
          <w:sz w:val="21"/>
          <w:szCs w:val="21"/>
          <w:u w:val="single" w:color="auto"/>
          <w:color w:val="auto"/>
        </w:rPr>
        <w:t>Refinanced Indebtedness</w:t>
      </w:r>
      <w:r>
        <w:rPr>
          <w:rFonts w:ascii="Arial" w:cs="Arial" w:eastAsia="Arial" w:hAnsi="Arial"/>
          <w:sz w:val="21"/>
          <w:szCs w:val="21"/>
          <w:color w:val="auto"/>
        </w:rPr>
        <w:t>”) and any subsequent Refinancing Indebtedness in respect thereof; provided that:</w:t>
      </w:r>
    </w:p>
    <w:p>
      <w:pPr>
        <w:spacing w:after="0" w:line="221" w:lineRule="exact"/>
        <w:rPr>
          <w:rFonts w:ascii="Arial" w:cs="Arial" w:eastAsia="Arial" w:hAnsi="Arial"/>
          <w:sz w:val="21"/>
          <w:szCs w:val="21"/>
          <w:color w:val="auto"/>
        </w:rPr>
      </w:pPr>
    </w:p>
    <w:p>
      <w:pPr>
        <w:jc w:val="both"/>
        <w:ind w:left="4" w:firstLine="482"/>
        <w:spacing w:after="0" w:line="269" w:lineRule="auto"/>
        <w:tabs>
          <w:tab w:leader="none" w:pos="141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 6.3 (provided that (1) any additional Indebtedness, Disqualified Stock or Preferred Stock referenced in this clause</w:t>
      </w:r>
    </w:p>
    <w:p>
      <w:pPr>
        <w:spacing w:after="0" w:line="2" w:lineRule="exact"/>
        <w:rPr>
          <w:rFonts w:ascii="Arial" w:cs="Arial" w:eastAsia="Arial" w:hAnsi="Arial"/>
          <w:sz w:val="19"/>
          <w:szCs w:val="19"/>
          <w:color w:val="auto"/>
        </w:rPr>
      </w:pPr>
    </w:p>
    <w:p>
      <w:pPr>
        <w:jc w:val="both"/>
        <w:ind w:left="4" w:hanging="4"/>
        <w:spacing w:after="0" w:line="233" w:lineRule="auto"/>
        <w:tabs>
          <w:tab w:leader="none" w:pos="363" w:val="left"/>
        </w:tabs>
        <w:numPr>
          <w:ilvl w:val="0"/>
          <w:numId w:val="219"/>
        </w:numPr>
        <w:rPr>
          <w:rFonts w:ascii="Arial" w:cs="Arial" w:eastAsia="Arial" w:hAnsi="Arial"/>
          <w:sz w:val="22"/>
          <w:szCs w:val="22"/>
          <w:color w:val="auto"/>
        </w:rPr>
      </w:pPr>
      <w:r>
        <w:rPr>
          <w:rFonts w:ascii="Arial" w:cs="Arial" w:eastAsia="Arial" w:hAnsi="Arial"/>
          <w:sz w:val="22"/>
          <w:szCs w:val="22"/>
          <w:color w:val="auto"/>
        </w:rPr>
        <w:t>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Section 6.6);</w:t>
      </w:r>
    </w:p>
    <w:p>
      <w:pPr>
        <w:spacing w:after="0" w:line="214" w:lineRule="exact"/>
        <w:rPr>
          <w:rFonts w:ascii="Arial" w:cs="Arial" w:eastAsia="Arial" w:hAnsi="Arial"/>
          <w:sz w:val="22"/>
          <w:szCs w:val="22"/>
          <w:color w:val="auto"/>
        </w:rPr>
      </w:pPr>
    </w:p>
    <w:p>
      <w:pPr>
        <w:jc w:val="both"/>
        <w:ind w:left="484" w:firstLine="812"/>
        <w:spacing w:after="0" w:line="233" w:lineRule="auto"/>
        <w:tabs>
          <w:tab w:leader="none" w:pos="1937" w:val="left"/>
        </w:tabs>
        <w:numPr>
          <w:ilvl w:val="2"/>
          <w:numId w:val="219"/>
        </w:numPr>
        <w:rPr>
          <w:rFonts w:ascii="Arial" w:cs="Arial" w:eastAsia="Arial" w:hAnsi="Arial"/>
          <w:sz w:val="22"/>
          <w:szCs w:val="22"/>
          <w:color w:val="auto"/>
        </w:rPr>
      </w:pPr>
      <w:r>
        <w:rPr>
          <w:rFonts w:ascii="Arial" w:cs="Arial" w:eastAsia="Arial" w:hAnsi="Arial"/>
          <w:sz w:val="22"/>
          <w:szCs w:val="22"/>
          <w:color w:val="auto"/>
        </w:rPr>
        <w:t>solely in the case of Refinancing Indebtedness with respect to Indebtedness, Disqualified Stock or Preferred Stock incurred or issued under Section 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spacing w:after="0" w:line="219" w:lineRule="exact"/>
        <w:rPr>
          <w:rFonts w:ascii="Arial" w:cs="Arial" w:eastAsia="Arial" w:hAnsi="Arial"/>
          <w:sz w:val="22"/>
          <w:szCs w:val="22"/>
          <w:color w:val="auto"/>
        </w:rPr>
      </w:pPr>
    </w:p>
    <w:p>
      <w:pPr>
        <w:ind w:left="1864" w:hanging="568"/>
        <w:spacing w:after="0"/>
        <w:tabs>
          <w:tab w:leader="none" w:pos="1864" w:val="left"/>
        </w:tabs>
        <w:numPr>
          <w:ilvl w:val="2"/>
          <w:numId w:val="219"/>
        </w:numPr>
        <w:rPr>
          <w:rFonts w:ascii="Arial" w:cs="Arial" w:eastAsia="Arial" w:hAnsi="Arial"/>
          <w:sz w:val="22"/>
          <w:szCs w:val="22"/>
          <w:color w:val="auto"/>
        </w:rPr>
      </w:pPr>
      <w:r>
        <w:rPr>
          <w:rFonts w:ascii="Arial" w:cs="Arial" w:eastAsia="Arial" w:hAnsi="Arial"/>
          <w:sz w:val="22"/>
          <w:szCs w:val="22"/>
          <w:color w:val="auto"/>
        </w:rPr>
        <w:t>such Refinancing Indebtedness shall not include:</w:t>
      </w:r>
    </w:p>
    <w:p>
      <w:pPr>
        <w:spacing w:after="0" w:line="233" w:lineRule="exact"/>
        <w:rPr>
          <w:sz w:val="20"/>
          <w:szCs w:val="20"/>
          <w:color w:val="auto"/>
        </w:rPr>
      </w:pPr>
    </w:p>
    <w:p>
      <w:pPr>
        <w:ind w:left="484" w:firstLine="812"/>
        <w:spacing w:after="0" w:line="250" w:lineRule="auto"/>
        <w:tabs>
          <w:tab w:leader="none" w:pos="195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Indebtedness, Disqualified Stock or Preferred Stock of a Subsidiary of the Borrower that is not a Guarantor that refinances Indebtedness or Disqualified Stock of the Borrower;</w:t>
      </w:r>
    </w:p>
    <w:p>
      <w:pPr>
        <w:spacing w:after="0" w:line="380" w:lineRule="exact"/>
        <w:rPr>
          <w:sz w:val="20"/>
          <w:szCs w:val="20"/>
          <w:color w:val="auto"/>
        </w:rPr>
      </w:pPr>
    </w:p>
    <w:p>
      <w:pPr>
        <w:ind w:left="4864"/>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71" w:name="page172"/>
    <w:bookmarkEnd w:id="171"/>
    <w:p>
      <w:pPr>
        <w:ind w:left="20" w:firstLine="812"/>
        <w:spacing w:after="0" w:line="274" w:lineRule="auto"/>
        <w:tabs>
          <w:tab w:leader="none" w:pos="1482" w:val="left"/>
        </w:tabs>
        <w:numPr>
          <w:ilvl w:val="0"/>
          <w:numId w:val="221"/>
        </w:numPr>
        <w:rPr>
          <w:rFonts w:ascii="Arial" w:cs="Arial" w:eastAsia="Arial" w:hAnsi="Arial"/>
          <w:sz w:val="21"/>
          <w:szCs w:val="21"/>
          <w:color w:val="auto"/>
        </w:rPr>
      </w:pPr>
      <w:r>
        <w:rPr>
          <w:rFonts w:ascii="Arial" w:cs="Arial" w:eastAsia="Arial" w:hAnsi="Arial"/>
          <w:sz w:val="21"/>
          <w:szCs w:val="21"/>
          <w:color w:val="auto"/>
        </w:rPr>
        <w:t>Indebtedness, Disqualified Stock or Preferred Stock of a Subsidiary of the Borrower that is not a Guarantor that refinances Indebtedness, Disqualified Stock or Preferred Stock of a Guarantor; or</w:t>
      </w:r>
    </w:p>
    <w:p>
      <w:pPr>
        <w:spacing w:after="0" w:line="178" w:lineRule="exact"/>
        <w:rPr>
          <w:rFonts w:ascii="Arial" w:cs="Arial" w:eastAsia="Arial" w:hAnsi="Arial"/>
          <w:sz w:val="21"/>
          <w:szCs w:val="21"/>
          <w:color w:val="auto"/>
        </w:rPr>
      </w:pPr>
    </w:p>
    <w:p>
      <w:pPr>
        <w:jc w:val="both"/>
        <w:ind w:left="20" w:firstLine="812"/>
        <w:spacing w:after="0"/>
        <w:tabs>
          <w:tab w:leader="none" w:pos="138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Indebtedness or Disqualified Stock of the Borrower or Indebtedness, Disqualified Stock or Preferred Stock of a Restricted Subsidiary that refinances Indebtedness, Disqualified Stock or Preferred Stock of an Unrestricted Subsidiary; and</w:t>
      </w:r>
    </w:p>
    <w:p>
      <w:pPr>
        <w:spacing w:after="0" w:line="213" w:lineRule="exact"/>
        <w:rPr>
          <w:sz w:val="20"/>
          <w:szCs w:val="20"/>
          <w:color w:val="auto"/>
        </w:rPr>
      </w:pPr>
    </w:p>
    <w:p>
      <w:pPr>
        <w:jc w:val="both"/>
        <w:ind w:left="20" w:firstLine="812"/>
        <w:spacing w:after="0" w:line="233" w:lineRule="auto"/>
        <w:tabs>
          <w:tab w:leader="none" w:pos="146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in the case of Refinancing Indebtedness incurred in respect of Indebtedness incurred under Section 6.3(b)(i) or that is secured by Liens on the 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w:t>
      </w:r>
    </w:p>
    <w:p>
      <w:pPr>
        <w:spacing w:after="0" w:line="219" w:lineRule="exact"/>
        <w:rPr>
          <w:rFonts w:ascii="Arial" w:cs="Arial" w:eastAsia="Arial" w:hAnsi="Arial"/>
          <w:sz w:val="22"/>
          <w:szCs w:val="22"/>
          <w:color w:val="auto"/>
        </w:rPr>
      </w:pPr>
    </w:p>
    <w:p>
      <w:pPr>
        <w:jc w:val="both"/>
        <w:ind w:left="-460" w:firstLine="1778"/>
        <w:spacing w:after="0" w:line="273" w:lineRule="auto"/>
        <w:tabs>
          <w:tab w:leader="none" w:pos="2132" w:val="left"/>
        </w:tabs>
        <w:numPr>
          <w:ilvl w:val="1"/>
          <w:numId w:val="222"/>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of the Borrower and/or any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6.3(b)(xvii), exceed an amount equal to 100.0% of the net proceeds received by the Borrower since immediately after the Issue Date from the issue 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 clause (2) of Section 6.1(a) or to make Permitted Investments (other than Permitted Investments specified in any of clauses (a), (b) and (e) of the definition thereof);</w:t>
      </w:r>
    </w:p>
    <w:p>
      <w:pPr>
        <w:spacing w:after="0" w:line="182" w:lineRule="exact"/>
        <w:rPr>
          <w:rFonts w:ascii="Arial" w:cs="Arial" w:eastAsia="Arial" w:hAnsi="Arial"/>
          <w:sz w:val="19"/>
          <w:szCs w:val="19"/>
          <w:color w:val="auto"/>
        </w:rPr>
      </w:pPr>
    </w:p>
    <w:p>
      <w:pPr>
        <w:ind w:left="-460" w:right="20" w:firstLine="1778"/>
        <w:spacing w:after="0" w:line="250" w:lineRule="auto"/>
        <w:tabs>
          <w:tab w:leader="none" w:pos="2444"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Indebtedness of the Borrower and/or any Restricted Subsidiary under any Derivative Transaction that was, at the time entered into, not for speculative purposes;</w:t>
      </w:r>
    </w:p>
    <w:p>
      <w:pPr>
        <w:spacing w:after="0" w:line="201" w:lineRule="exact"/>
        <w:rPr>
          <w:rFonts w:ascii="Arial" w:cs="Arial" w:eastAsia="Arial" w:hAnsi="Arial"/>
          <w:sz w:val="22"/>
          <w:szCs w:val="22"/>
          <w:color w:val="auto"/>
        </w:rPr>
      </w:pPr>
    </w:p>
    <w:p>
      <w:pPr>
        <w:jc w:val="both"/>
        <w:ind w:left="-460" w:firstLine="1778"/>
        <w:spacing w:after="0" w:line="235" w:lineRule="auto"/>
        <w:tabs>
          <w:tab w:leader="none" w:pos="227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Indebtedness of the Borrower and/or any Restricted Subsidiary representing (1) deferred compensation to current or former directors, officers, employees, members of management, managers, members, partners, independent contractors and consultants of the Borrower and/or any Restricted Subsidiary in the ordinary course of business, consistent with past practice or consistent with industry norm of the Borrower and/or its Subsidiaries and (2) deferred compensation or other similar arrangements in connection with any Investment or any acquisition permitted under this Agreement;</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2" w:name="page173"/>
    <w:bookmarkEnd w:id="172"/>
    <w:p>
      <w:pPr>
        <w:jc w:val="both"/>
        <w:ind w:left="-460" w:firstLine="1778"/>
        <w:spacing w:after="0" w:line="277" w:lineRule="auto"/>
        <w:tabs>
          <w:tab w:leader="none" w:pos="222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of the Borrower and/or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$215.0 million and 60.0% of Annualized EBITDA of the Borrower and its Restricted Subsidiaries;</w:t>
      </w:r>
    </w:p>
    <w:p>
      <w:pPr>
        <w:spacing w:after="0" w:line="179" w:lineRule="exact"/>
        <w:rPr>
          <w:rFonts w:ascii="Arial" w:cs="Arial" w:eastAsia="Arial" w:hAnsi="Arial"/>
          <w:sz w:val="19"/>
          <w:szCs w:val="19"/>
          <w:color w:val="auto"/>
        </w:rPr>
      </w:pPr>
    </w:p>
    <w:p>
      <w:pPr>
        <w:ind w:left="2180" w:hanging="862"/>
        <w:spacing w:after="0"/>
        <w:tabs>
          <w:tab w:leader="none" w:pos="21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1778"/>
        <w:spacing w:after="0" w:line="277" w:lineRule="auto"/>
        <w:tabs>
          <w:tab w:leader="none" w:pos="2213"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incurrence of Indebtedness constituting Junior Priority Obligations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(xxiii), all Indebtedness incurred under this clause (xxiii) shall be deemed to be Consolidated Secured Debt;</w:t>
      </w:r>
    </w:p>
    <w:p>
      <w:pPr>
        <w:spacing w:after="0" w:line="178" w:lineRule="exact"/>
        <w:rPr>
          <w:rFonts w:ascii="Arial" w:cs="Arial" w:eastAsia="Arial" w:hAnsi="Arial"/>
          <w:sz w:val="19"/>
          <w:szCs w:val="19"/>
          <w:color w:val="auto"/>
        </w:rPr>
      </w:pPr>
    </w:p>
    <w:p>
      <w:pPr>
        <w:jc w:val="both"/>
        <w:ind w:left="-460" w:firstLine="1778"/>
        <w:spacing w:after="0" w:line="274" w:lineRule="auto"/>
        <w:tabs>
          <w:tab w:leader="none" w:pos="226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incurrence of Indebtedness that is secured by Liens on assets that do not constitute Collateral (assuming, for purposes of this clause (xxiv) and future ratio calculations for so long as such Indebtedness remains outstanding, that such assets constitute Collateral),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(xxiv), all Indebtedness incurred under this clause (xxiv) shall be deemed to be Consolidated Secured Debt;</w:t>
      </w:r>
    </w:p>
    <w:p>
      <w:pPr>
        <w:spacing w:after="0" w:line="185" w:lineRule="exact"/>
        <w:rPr>
          <w:rFonts w:ascii="Arial" w:cs="Arial" w:eastAsia="Arial" w:hAnsi="Arial"/>
          <w:sz w:val="19"/>
          <w:szCs w:val="19"/>
          <w:color w:val="auto"/>
        </w:rPr>
      </w:pPr>
    </w:p>
    <w:p>
      <w:pPr>
        <w:ind w:left="-460" w:firstLine="1778"/>
        <w:spacing w:after="0" w:line="250" w:lineRule="auto"/>
        <w:tabs>
          <w:tab w:leader="none" w:pos="2384"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Indebtedness (including in the form of Financing Leases) of the Borrower and/or any Restricted Subsidiary incurred in connection with Sale and Lease-Back Transactions;</w:t>
      </w:r>
    </w:p>
    <w:p>
      <w:pPr>
        <w:spacing w:after="0" w:line="201" w:lineRule="exact"/>
        <w:rPr>
          <w:rFonts w:ascii="Arial" w:cs="Arial" w:eastAsia="Arial" w:hAnsi="Arial"/>
          <w:sz w:val="22"/>
          <w:szCs w:val="22"/>
          <w:color w:val="auto"/>
        </w:rPr>
      </w:pPr>
    </w:p>
    <w:p>
      <w:pPr>
        <w:ind w:left="2160" w:hanging="842"/>
        <w:spacing w:after="0"/>
        <w:tabs>
          <w:tab w:leader="none" w:pos="21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1778"/>
        <w:spacing w:after="0" w:line="279" w:lineRule="auto"/>
        <w:tabs>
          <w:tab w:leader="none" w:pos="220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spacing w:after="0" w:line="177" w:lineRule="exact"/>
        <w:rPr>
          <w:rFonts w:ascii="Arial" w:cs="Arial" w:eastAsia="Arial" w:hAnsi="Arial"/>
          <w:sz w:val="19"/>
          <w:szCs w:val="19"/>
          <w:color w:val="auto"/>
        </w:rPr>
      </w:pPr>
    </w:p>
    <w:p>
      <w:pPr>
        <w:ind w:left="2180" w:hanging="862"/>
        <w:spacing w:after="0"/>
        <w:tabs>
          <w:tab w:leader="none" w:pos="21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160" w:hanging="842"/>
        <w:spacing w:after="0"/>
        <w:tabs>
          <w:tab w:leader="none" w:pos="21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1778"/>
        <w:spacing w:after="0"/>
        <w:tabs>
          <w:tab w:leader="none" w:pos="2168"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Indebtedness of the Borrower or any Restricted Subsidiary supported by any letter of credit, bank guaranty or similar instrument issued in compliance with this Section 6.3 in a principal amount not exceeding the face amount of such instrument;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3" w:name="page174"/>
    <w:bookmarkEnd w:id="173"/>
    <w:p>
      <w:pPr>
        <w:jc w:val="both"/>
        <w:ind w:left="4" w:firstLine="1778"/>
        <w:spacing w:after="0" w:line="241" w:lineRule="auto"/>
        <w:tabs>
          <w:tab w:leader="none" w:pos="2624" w:val="left"/>
        </w:tabs>
        <w:numPr>
          <w:ilvl w:val="1"/>
          <w:numId w:val="224"/>
        </w:numPr>
        <w:rPr>
          <w:rFonts w:ascii="Arial" w:cs="Arial" w:eastAsia="Arial" w:hAnsi="Arial"/>
          <w:sz w:val="22"/>
          <w:szCs w:val="22"/>
          <w:color w:val="auto"/>
        </w:rPr>
      </w:pPr>
      <w:r>
        <w:rPr>
          <w:rFonts w:ascii="Arial" w:cs="Arial" w:eastAsia="Arial" w:hAnsi="Arial"/>
          <w:sz w:val="22"/>
          <w:szCs w:val="22"/>
          <w:color w:val="auto"/>
        </w:rPr>
        <w:t>unfunded pension fund and other employee benefit plan obligations and liabilities incurred by the Borrower and/or any Restricted Subsidiary in the ordinary course of business, consistent with past practice or consistent with industry norm;</w:t>
      </w:r>
    </w:p>
    <w:p>
      <w:pPr>
        <w:spacing w:after="0" w:line="210" w:lineRule="exact"/>
        <w:rPr>
          <w:rFonts w:ascii="Arial" w:cs="Arial" w:eastAsia="Arial" w:hAnsi="Arial"/>
          <w:sz w:val="22"/>
          <w:szCs w:val="22"/>
          <w:color w:val="auto"/>
        </w:rPr>
      </w:pPr>
    </w:p>
    <w:p>
      <w:pPr>
        <w:jc w:val="both"/>
        <w:ind w:left="4" w:firstLine="1778"/>
        <w:spacing w:after="0" w:line="238" w:lineRule="auto"/>
        <w:tabs>
          <w:tab w:leader="none" w:pos="2617" w:val="left"/>
        </w:tabs>
        <w:numPr>
          <w:ilvl w:val="1"/>
          <w:numId w:val="224"/>
        </w:numPr>
        <w:rPr>
          <w:rFonts w:ascii="Arial" w:cs="Arial" w:eastAsia="Arial" w:hAnsi="Arial"/>
          <w:sz w:val="22"/>
          <w:szCs w:val="22"/>
          <w:color w:val="auto"/>
        </w:rPr>
      </w:pPr>
      <w:r>
        <w:rPr>
          <w:rFonts w:ascii="Arial" w:cs="Arial" w:eastAsia="Arial" w:hAnsi="Arial"/>
          <w:sz w:val="22"/>
          <w:szCs w:val="22"/>
          <w:color w:val="auto"/>
        </w:rPr>
        <w:t>(i)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spacing w:after="0" w:line="211" w:lineRule="exact"/>
        <w:rPr>
          <w:rFonts w:ascii="Arial" w:cs="Arial" w:eastAsia="Arial" w:hAnsi="Arial"/>
          <w:sz w:val="22"/>
          <w:szCs w:val="22"/>
          <w:color w:val="auto"/>
        </w:rPr>
      </w:pPr>
    </w:p>
    <w:p>
      <w:pPr>
        <w:jc w:val="both"/>
        <w:ind w:left="4" w:firstLine="1778"/>
        <w:spacing w:after="0" w:line="238" w:lineRule="auto"/>
        <w:tabs>
          <w:tab w:leader="none" w:pos="2731" w:val="left"/>
        </w:tabs>
        <w:numPr>
          <w:ilvl w:val="1"/>
          <w:numId w:val="224"/>
        </w:numPr>
        <w:rPr>
          <w:rFonts w:ascii="Arial" w:cs="Arial" w:eastAsia="Arial" w:hAnsi="Arial"/>
          <w:sz w:val="22"/>
          <w:szCs w:val="22"/>
          <w:color w:val="auto"/>
        </w:rPr>
      </w:pPr>
      <w:r>
        <w:rPr>
          <w:rFonts w:ascii="Arial" w:cs="Arial" w:eastAsia="Arial" w:hAnsi="Arial"/>
          <w:sz w:val="22"/>
          <w:szCs w:val="22"/>
          <w:color w:val="auto"/>
        </w:rPr>
        <w:t>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Borrower and/or any Restricted Subsidiary otherwise permitted under this Agreement;</w:t>
      </w:r>
    </w:p>
    <w:p>
      <w:pPr>
        <w:spacing w:after="0" w:line="211" w:lineRule="exact"/>
        <w:rPr>
          <w:rFonts w:ascii="Arial" w:cs="Arial" w:eastAsia="Arial" w:hAnsi="Arial"/>
          <w:sz w:val="22"/>
          <w:szCs w:val="22"/>
          <w:color w:val="auto"/>
        </w:rPr>
      </w:pPr>
    </w:p>
    <w:p>
      <w:pPr>
        <w:ind w:left="2624" w:hanging="842"/>
        <w:spacing w:after="0"/>
        <w:tabs>
          <w:tab w:leader="none" w:pos="2624" w:val="left"/>
        </w:tabs>
        <w:numPr>
          <w:ilvl w:val="1"/>
          <w:numId w:val="22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624" w:hanging="842"/>
        <w:spacing w:after="0"/>
        <w:tabs>
          <w:tab w:leader="none" w:pos="2624" w:val="left"/>
        </w:tabs>
        <w:numPr>
          <w:ilvl w:val="1"/>
          <w:numId w:val="22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 w:firstLine="1778"/>
        <w:spacing w:after="0" w:line="270" w:lineRule="auto"/>
        <w:tabs>
          <w:tab w:leader="none" w:pos="2624" w:val="left"/>
        </w:tabs>
        <w:numPr>
          <w:ilvl w:val="1"/>
          <w:numId w:val="224"/>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incurred or issued by the Borrower or any Restricted Subsidiary for the benefit of joint ventures;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w:t>
      </w:r>
    </w:p>
    <w:p>
      <w:pPr>
        <w:spacing w:after="0" w:line="4" w:lineRule="exact"/>
        <w:rPr>
          <w:rFonts w:ascii="Arial" w:cs="Arial" w:eastAsia="Arial" w:hAnsi="Arial"/>
          <w:sz w:val="19"/>
          <w:szCs w:val="19"/>
          <w:color w:val="auto"/>
        </w:rPr>
      </w:pPr>
    </w:p>
    <w:p>
      <w:pPr>
        <w:jc w:val="both"/>
        <w:ind w:left="4" w:hanging="4"/>
        <w:spacing w:after="0" w:line="234" w:lineRule="auto"/>
        <w:tabs>
          <w:tab w:leader="none" w:pos="54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in respect of such Indebtedness then outstanding) shall not, except as contemplated by Section 6.3(b)(xvii), exceed an amount equal to the greater of $50.0 million and 15.0% of Annualized EBITDA of the Borrower and its Restricted Subsidiaries;</w:t>
      </w:r>
    </w:p>
    <w:p>
      <w:pPr>
        <w:spacing w:after="0" w:line="214" w:lineRule="exact"/>
        <w:rPr>
          <w:rFonts w:ascii="Arial" w:cs="Arial" w:eastAsia="Arial" w:hAnsi="Arial"/>
          <w:sz w:val="22"/>
          <w:szCs w:val="22"/>
          <w:color w:val="auto"/>
        </w:rPr>
      </w:pPr>
    </w:p>
    <w:p>
      <w:pPr>
        <w:ind w:left="2584" w:hanging="802"/>
        <w:spacing w:after="0"/>
        <w:tabs>
          <w:tab w:leader="none" w:pos="258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584" w:hanging="802"/>
        <w:spacing w:after="0"/>
        <w:tabs>
          <w:tab w:leader="none" w:pos="258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 w:firstLine="1778"/>
        <w:spacing w:after="0" w:line="297" w:lineRule="auto"/>
        <w:tabs>
          <w:tab w:leader="none" w:pos="2624" w:val="left"/>
        </w:tabs>
        <w:numPr>
          <w:ilvl w:val="1"/>
          <w:numId w:val="225"/>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w:t>
      </w:r>
    </w:p>
    <w:p>
      <w:pPr>
        <w:spacing w:after="0" w:line="161" w:lineRule="exact"/>
        <w:rPr>
          <w:sz w:val="20"/>
          <w:szCs w:val="20"/>
          <w:color w:val="auto"/>
        </w:rPr>
      </w:pPr>
    </w:p>
    <w:p>
      <w:pPr>
        <w:jc w:val="both"/>
        <w:ind w:left="4" w:firstLine="1782"/>
        <w:spacing w:after="0" w:line="236" w:lineRule="auto"/>
        <w:rPr>
          <w:sz w:val="20"/>
          <w:szCs w:val="20"/>
          <w:color w:val="auto"/>
        </w:rPr>
      </w:pPr>
      <w:r>
        <w:rPr>
          <w:rFonts w:ascii="Arial" w:cs="Arial" w:eastAsia="Arial" w:hAnsi="Arial"/>
          <w:sz w:val="22"/>
          <w:szCs w:val="22"/>
          <w:color w:val="auto"/>
        </w:rPr>
        <w:t>(xl) Indebtedness of the Borrower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 amount required by such governmental or regulatory authority;</w:t>
      </w:r>
    </w:p>
    <w:p>
      <w:pPr>
        <w:spacing w:after="0" w:line="214" w:lineRule="exact"/>
        <w:rPr>
          <w:sz w:val="20"/>
          <w:szCs w:val="20"/>
          <w:color w:val="auto"/>
        </w:rPr>
      </w:pPr>
    </w:p>
    <w:p>
      <w:pPr>
        <w:ind w:left="1784"/>
        <w:spacing w:after="0"/>
        <w:tabs>
          <w:tab w:leader="none" w:pos="2664" w:val="left"/>
        </w:tabs>
        <w:rPr>
          <w:sz w:val="20"/>
          <w:szCs w:val="20"/>
          <w:color w:val="auto"/>
        </w:rPr>
      </w:pPr>
      <w:r>
        <w:rPr>
          <w:rFonts w:ascii="Arial" w:cs="Arial" w:eastAsia="Arial" w:hAnsi="Arial"/>
          <w:sz w:val="19"/>
          <w:szCs w:val="19"/>
          <w:color w:val="auto"/>
        </w:rPr>
        <w:t>(xli)</w:t>
      </w:r>
      <w:r>
        <w:rPr>
          <w:sz w:val="20"/>
          <w:szCs w:val="20"/>
          <w:color w:val="auto"/>
        </w:rPr>
        <w:tab/>
      </w:r>
      <w:r>
        <w:rPr>
          <w:rFonts w:ascii="Arial" w:cs="Arial" w:eastAsia="Arial" w:hAnsi="Arial"/>
          <w:sz w:val="19"/>
          <w:szCs w:val="19"/>
          <w:color w:val="auto"/>
        </w:rPr>
        <w:t>the incurrence by the Borrower or any Restricted Subsidiary of Indebtedness in relation to:</w:t>
      </w:r>
    </w:p>
    <w:p>
      <w:pPr>
        <w:spacing w:after="0" w:line="43" w:lineRule="exact"/>
        <w:rPr>
          <w:sz w:val="20"/>
          <w:szCs w:val="20"/>
          <w:color w:val="auto"/>
        </w:rPr>
      </w:pPr>
    </w:p>
    <w:p>
      <w:pPr>
        <w:jc w:val="both"/>
        <w:ind w:left="4" w:hanging="4"/>
        <w:spacing w:after="0" w:line="233" w:lineRule="auto"/>
        <w:tabs>
          <w:tab w:leader="none" w:pos="26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w:t>
      </w:r>
    </w:p>
    <w:p>
      <w:pPr>
        <w:spacing w:after="0" w:line="393" w:lineRule="exact"/>
        <w:rPr>
          <w:sz w:val="20"/>
          <w:szCs w:val="20"/>
          <w:color w:val="auto"/>
        </w:rPr>
      </w:pPr>
    </w:p>
    <w:p>
      <w:pPr>
        <w:ind w:left="4864"/>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74" w:name="page175"/>
    <w:bookmarkEnd w:id="174"/>
    <w:p>
      <w:pPr>
        <w:ind w:left="2440"/>
        <w:spacing w:after="0"/>
        <w:tabs>
          <w:tab w:leader="none" w:pos="3260" w:val="left"/>
        </w:tabs>
        <w:rPr>
          <w:sz w:val="20"/>
          <w:szCs w:val="20"/>
          <w:color w:val="auto"/>
        </w:rPr>
      </w:pPr>
      <w:r>
        <w:rPr>
          <w:rFonts w:ascii="Arial" w:cs="Arial" w:eastAsia="Arial" w:hAnsi="Arial"/>
          <w:sz w:val="19"/>
          <w:szCs w:val="19"/>
          <w:color w:val="auto"/>
        </w:rPr>
        <w:t>(xlii)</w:t>
      </w:r>
      <w:r>
        <w:rPr>
          <w:sz w:val="20"/>
          <w:szCs w:val="20"/>
          <w:color w:val="auto"/>
        </w:rPr>
        <w:tab/>
      </w:r>
      <w:r>
        <w:rPr>
          <w:rFonts w:ascii="Arial" w:cs="Arial" w:eastAsia="Arial" w:hAnsi="Arial"/>
          <w:sz w:val="19"/>
          <w:szCs w:val="19"/>
          <w:color w:val="auto"/>
        </w:rPr>
        <w:t>the incurrence by the Borrower or any Restricted Subsidiary of Indebtedness to finance the</w:t>
      </w:r>
    </w:p>
    <w:p>
      <w:pPr>
        <w:spacing w:after="0" w:line="43"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replacement of a marine vessel upon the total loss, destruction, condemnation, confiscation, requisition, seizure or forfeiture of, or other taking of title to or use of, such marine vessel (collectively, a “</w:t>
      </w:r>
      <w:r>
        <w:rPr>
          <w:rFonts w:ascii="Arial" w:cs="Arial" w:eastAsia="Arial" w:hAnsi="Arial"/>
          <w:sz w:val="19"/>
          <w:szCs w:val="19"/>
          <w:u w:val="single" w:color="auto"/>
          <w:color w:val="auto"/>
        </w:rPr>
        <w:t>Total Loss</w:t>
      </w:r>
      <w:r>
        <w:rPr>
          <w:rFonts w:ascii="Arial" w:cs="Arial" w:eastAsia="Arial" w:hAnsi="Arial"/>
          <w:sz w:val="19"/>
          <w:szCs w:val="19"/>
          <w:color w:val="auto"/>
        </w:rPr>
        <w:t>”)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w:t>
      </w:r>
    </w:p>
    <w:p>
      <w:pPr>
        <w:spacing w:after="0" w:line="181" w:lineRule="exact"/>
        <w:rPr>
          <w:sz w:val="20"/>
          <w:szCs w:val="20"/>
          <w:color w:val="auto"/>
        </w:rPr>
      </w:pPr>
    </w:p>
    <w:p>
      <w:pPr>
        <w:jc w:val="both"/>
        <w:ind w:firstLine="1952"/>
        <w:spacing w:after="0" w:line="246" w:lineRule="auto"/>
        <w:tabs>
          <w:tab w:leader="none" w:pos="2629" w:val="left"/>
        </w:tabs>
        <w:numPr>
          <w:ilvl w:val="0"/>
          <w:numId w:val="227"/>
        </w:numPr>
        <w:rPr>
          <w:rFonts w:ascii="Arial" w:cs="Arial" w:eastAsia="Arial" w:hAnsi="Arial"/>
          <w:sz w:val="21"/>
          <w:szCs w:val="21"/>
          <w:color w:val="auto"/>
        </w:rPr>
      </w:pPr>
      <w:r>
        <w:rPr>
          <w:rFonts w:ascii="Arial" w:cs="Arial" w:eastAsia="Arial" w:hAnsi="Arial"/>
          <w:sz w:val="21"/>
          <w:szCs w:val="21"/>
          <w:color w:val="auto"/>
        </w:rPr>
        <w:t>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w:t>
      </w:r>
    </w:p>
    <w:p>
      <w:pPr>
        <w:spacing w:after="0" w:line="211" w:lineRule="exact"/>
        <w:rPr>
          <w:rFonts w:ascii="Arial" w:cs="Arial" w:eastAsia="Arial" w:hAnsi="Arial"/>
          <w:sz w:val="21"/>
          <w:szCs w:val="21"/>
          <w:color w:val="auto"/>
        </w:rPr>
      </w:pPr>
    </w:p>
    <w:p>
      <w:pPr>
        <w:jc w:val="both"/>
        <w:ind w:firstLine="1952"/>
        <w:spacing w:after="0" w:line="252" w:lineRule="auto"/>
        <w:tabs>
          <w:tab w:leader="none" w:pos="253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spacing w:after="0" w:line="212"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8"/>
          <w:szCs w:val="18"/>
          <w:u w:val="single" w:color="auto"/>
          <w:color w:val="auto"/>
        </w:rPr>
        <w:t>Asset Sales</w:t>
      </w:r>
      <w:r>
        <w:rPr>
          <w:rFonts w:ascii="Arial" w:cs="Arial" w:eastAsia="Arial" w:hAnsi="Arial"/>
          <w:sz w:val="18"/>
          <w:szCs w:val="18"/>
          <w:color w:val="auto"/>
        </w:rPr>
        <w:t>.</w:t>
      </w:r>
    </w:p>
    <w:p>
      <w:pPr>
        <w:spacing w:after="0" w:line="233" w:lineRule="exact"/>
        <w:rPr>
          <w:sz w:val="20"/>
          <w:szCs w:val="20"/>
          <w:color w:val="auto"/>
        </w:rPr>
      </w:pPr>
    </w:p>
    <w:p>
      <w:pPr>
        <w:ind w:right="20" w:firstLine="1952"/>
        <w:spacing w:after="0" w:line="250" w:lineRule="auto"/>
        <w:tabs>
          <w:tab w:leader="none" w:pos="2656"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Borrower shall not, and shall not permit any of its Restricted Subsidiaries to, consummate, directly or indirectly, an Asset Sale unless:</w:t>
      </w:r>
    </w:p>
    <w:p>
      <w:pPr>
        <w:spacing w:after="0" w:line="201" w:lineRule="exact"/>
        <w:rPr>
          <w:rFonts w:ascii="Arial" w:cs="Arial" w:eastAsia="Arial" w:hAnsi="Arial"/>
          <w:sz w:val="22"/>
          <w:szCs w:val="22"/>
          <w:color w:val="auto"/>
        </w:rPr>
      </w:pPr>
    </w:p>
    <w:p>
      <w:pPr>
        <w:jc w:val="both"/>
        <w:ind w:left="660" w:firstLine="1778"/>
        <w:spacing w:after="0" w:line="287" w:lineRule="auto"/>
        <w:tabs>
          <w:tab w:leader="none" w:pos="3483"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and</w:t>
      </w:r>
    </w:p>
    <w:p>
      <w:pPr>
        <w:spacing w:after="0" w:line="169" w:lineRule="exact"/>
        <w:rPr>
          <w:rFonts w:ascii="Arial" w:cs="Arial" w:eastAsia="Arial" w:hAnsi="Arial"/>
          <w:sz w:val="19"/>
          <w:szCs w:val="19"/>
          <w:color w:val="auto"/>
        </w:rPr>
      </w:pPr>
    </w:p>
    <w:p>
      <w:pPr>
        <w:jc w:val="both"/>
        <w:ind w:left="660" w:firstLine="1778"/>
        <w:spacing w:after="0" w:line="287" w:lineRule="auto"/>
        <w:tabs>
          <w:tab w:leader="none" w:pos="3273" w:val="left"/>
        </w:tabs>
        <w:numPr>
          <w:ilvl w:val="1"/>
          <w:numId w:val="228"/>
        </w:numPr>
        <w:rPr>
          <w:rFonts w:ascii="Arial" w:cs="Arial" w:eastAsia="Arial" w:hAnsi="Arial"/>
          <w:sz w:val="19"/>
          <w:szCs w:val="19"/>
          <w:color w:val="auto"/>
        </w:rPr>
      </w:pPr>
      <w:r>
        <w:rPr>
          <w:rFonts w:ascii="Arial" w:cs="Arial" w:eastAsia="Arial" w:hAnsi="Arial"/>
          <w:sz w:val="19"/>
          <w:szCs w:val="19"/>
          <w:color w:val="auto"/>
        </w:rPr>
        <w:t>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w:t>
      </w:r>
    </w:p>
    <w:p>
      <w:pPr>
        <w:spacing w:after="0" w:line="169" w:lineRule="exact"/>
        <w:rPr>
          <w:rFonts w:ascii="Arial" w:cs="Arial" w:eastAsia="Arial" w:hAnsi="Arial"/>
          <w:sz w:val="19"/>
          <w:szCs w:val="19"/>
          <w:color w:val="auto"/>
        </w:rPr>
      </w:pPr>
    </w:p>
    <w:p>
      <w:pPr>
        <w:ind w:left="1960" w:hanging="8"/>
        <w:spacing w:after="0" w:line="250" w:lineRule="auto"/>
        <w:tabs>
          <w:tab w:leader="none" w:pos="272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For purposes of Section 6.4(a)(ii) (and no other provision), the following shall be deemed to be cash or Cash Equivalents: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both"/>
        <w:ind w:left="660" w:firstLine="1778"/>
        <w:spacing w:after="0" w:line="274" w:lineRule="auto"/>
        <w:tabs>
          <w:tab w:leader="none" w:pos="330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greater of the principal amount and the carrying value of any liabilities (as reflected on the most recent balance sheet of the Borrower or such Restricted Subsidiary or in the footnotes thereto, or if incurred, accrued or increased subsequent to the date of such balance sheet, such liabilities that would have been reflected on the balance sheet of the Borrower or such Restricted Subsidiary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of any such assets (or are otherwise extinguished in connection with the transactions relating to such Asset Sale) pursuant to a written agreement which releases or indemnifies the Borrower or such Restricted Subsidiary from such liabilities;</w:t>
      </w:r>
    </w:p>
    <w:p>
      <w:pPr>
        <w:spacing w:after="0" w:line="185" w:lineRule="exact"/>
        <w:rPr>
          <w:rFonts w:ascii="Arial" w:cs="Arial" w:eastAsia="Arial" w:hAnsi="Arial"/>
          <w:sz w:val="19"/>
          <w:szCs w:val="19"/>
          <w:color w:val="auto"/>
        </w:rPr>
      </w:pPr>
    </w:p>
    <w:p>
      <w:pPr>
        <w:ind w:left="660" w:firstLine="1778"/>
        <w:spacing w:after="0" w:line="250" w:lineRule="auto"/>
        <w:tabs>
          <w:tab w:leader="none" w:pos="339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amount of any trade-in value applied to the purchase price of any replacement assets acquired in connection with such Asset Sale;</w:t>
      </w:r>
    </w:p>
    <w:p>
      <w:pPr>
        <w:spacing w:after="0" w:line="201" w:lineRule="exact"/>
        <w:rPr>
          <w:rFonts w:ascii="Arial" w:cs="Arial" w:eastAsia="Arial" w:hAnsi="Arial"/>
          <w:sz w:val="22"/>
          <w:szCs w:val="22"/>
          <w:color w:val="auto"/>
        </w:rPr>
      </w:pPr>
    </w:p>
    <w:p>
      <w:pPr>
        <w:jc w:val="both"/>
        <w:ind w:left="660" w:firstLine="1778"/>
        <w:spacing w:after="0" w:line="249" w:lineRule="auto"/>
        <w:tabs>
          <w:tab w:leader="none" w:pos="3562" w:val="left"/>
        </w:tabs>
        <w:numPr>
          <w:ilvl w:val="0"/>
          <w:numId w:val="229"/>
        </w:numPr>
        <w:rPr>
          <w:rFonts w:ascii="Arial" w:cs="Arial" w:eastAsia="Arial" w:hAnsi="Arial"/>
          <w:sz w:val="21"/>
          <w:szCs w:val="21"/>
          <w:color w:val="auto"/>
        </w:rPr>
      </w:pPr>
      <w:r>
        <w:rPr>
          <w:rFonts w:ascii="Arial" w:cs="Arial" w:eastAsia="Arial" w:hAnsi="Arial"/>
          <w:sz w:val="21"/>
          <w:szCs w:val="21"/>
          <w:color w:val="auto"/>
        </w:rPr>
        <w:t>any securities, notes or other obligations or assets received by the Borrower or such Restricted Subsidiary from such transferee that are converted or reasonably expected by the Borrower acting in good faith to be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205" w:lineRule="exact"/>
        <w:rPr>
          <w:rFonts w:ascii="Arial" w:cs="Arial" w:eastAsia="Arial" w:hAnsi="Arial"/>
          <w:sz w:val="21"/>
          <w:szCs w:val="21"/>
          <w:color w:val="auto"/>
        </w:rPr>
      </w:pPr>
    </w:p>
    <w:p>
      <w:pPr>
        <w:jc w:val="both"/>
        <w:ind w:left="660" w:firstLine="1778"/>
        <w:spacing w:after="0" w:line="236" w:lineRule="auto"/>
        <w:tabs>
          <w:tab w:leader="none" w:pos="334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(iv) that is outstanding at such time, not in excess of the greater of $50.0 million and 15.0% of Annualized EBITDA of the Borrower and its Restricted Subsidiaries.</w:t>
      </w:r>
    </w:p>
    <w:p>
      <w:pPr>
        <w:spacing w:after="0" w:line="214"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5" w:lineRule="auto"/>
        <w:tabs>
          <w:tab w:leader="none" w:pos="280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involving aggregate payments or consideration in excess of (at the time of the relevant transaction) the greater of $25.0 million and 7.5% of Annualized EBITDA of the Borrower and its Restricted Subsidiaries, unless:</w:t>
      </w:r>
    </w:p>
    <w:p>
      <w:pPr>
        <w:spacing w:after="0" w:line="214" w:lineRule="exact"/>
        <w:rPr>
          <w:rFonts w:ascii="Arial" w:cs="Arial" w:eastAsia="Arial" w:hAnsi="Arial"/>
          <w:sz w:val="22"/>
          <w:szCs w:val="22"/>
          <w:color w:val="auto"/>
        </w:rPr>
      </w:pPr>
    </w:p>
    <w:p>
      <w:pPr>
        <w:jc w:val="both"/>
        <w:ind w:left="660" w:firstLine="1778"/>
        <w:spacing w:after="0" w:line="248" w:lineRule="auto"/>
        <w:tabs>
          <w:tab w:leader="none" w:pos="3186" w:val="left"/>
        </w:tabs>
        <w:numPr>
          <w:ilvl w:val="1"/>
          <w:numId w:val="230"/>
        </w:numPr>
        <w:rPr>
          <w:rFonts w:ascii="Arial" w:cs="Arial" w:eastAsia="Arial" w:hAnsi="Arial"/>
          <w:sz w:val="21"/>
          <w:szCs w:val="21"/>
          <w:color w:val="auto"/>
        </w:rPr>
      </w:pPr>
      <w:r>
        <w:rPr>
          <w:rFonts w:ascii="Arial" w:cs="Arial" w:eastAsia="Arial" w:hAnsi="Arial"/>
          <w:sz w:val="21"/>
          <w:szCs w:val="21"/>
          <w:color w:val="auto"/>
        </w:rPr>
        <w:t>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w:t>
      </w:r>
    </w:p>
    <w:p>
      <w:pPr>
        <w:spacing w:after="0" w:line="203" w:lineRule="exact"/>
        <w:rPr>
          <w:rFonts w:ascii="Arial" w:cs="Arial" w:eastAsia="Arial" w:hAnsi="Arial"/>
          <w:sz w:val="21"/>
          <w:szCs w:val="21"/>
          <w:color w:val="auto"/>
        </w:rPr>
      </w:pPr>
    </w:p>
    <w:p>
      <w:pPr>
        <w:jc w:val="both"/>
        <w:ind w:left="660" w:firstLine="1778"/>
        <w:spacing w:after="0" w:line="252" w:lineRule="auto"/>
        <w:tabs>
          <w:tab w:leader="none" w:pos="3259" w:val="left"/>
        </w:tabs>
        <w:numPr>
          <w:ilvl w:val="1"/>
          <w:numId w:val="230"/>
        </w:numPr>
        <w:rPr>
          <w:rFonts w:ascii="Arial" w:cs="Arial" w:eastAsia="Arial" w:hAnsi="Arial"/>
          <w:sz w:val="21"/>
          <w:szCs w:val="21"/>
          <w:color w:val="auto"/>
        </w:rPr>
      </w:pPr>
      <w:r>
        <w:rPr>
          <w:rFonts w:ascii="Arial" w:cs="Arial" w:eastAsia="Arial" w:hAnsi="Arial"/>
          <w:sz w:val="21"/>
          <w:szCs w:val="21"/>
          <w:color w:val="auto"/>
        </w:rPr>
        <w:t>the Borrower delivers to the Administrative Agent with respect to any Affiliate Transaction or series of related Affiliate Transactions involving aggregate payments or consideration in excess of the greater of $50.0 million and 15.0% of Annualized EBITDA of the Borrower and its Restricted Subsidiaries, a resolution adopted by the Board of Directors of the Borrower approving such Affiliate Transaction.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ind w:left="1460" w:hanging="628"/>
        <w:spacing w:after="0"/>
        <w:tabs>
          <w:tab w:leader="none" w:pos="146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Section 6.5(a) shall not apply to the following:</w:t>
      </w:r>
    </w:p>
    <w:p>
      <w:pPr>
        <w:spacing w:after="0" w:line="233" w:lineRule="exact"/>
        <w:rPr>
          <w:rFonts w:ascii="Arial" w:cs="Arial" w:eastAsia="Arial" w:hAnsi="Arial"/>
          <w:sz w:val="22"/>
          <w:szCs w:val="22"/>
          <w:color w:val="auto"/>
        </w:rPr>
      </w:pPr>
    </w:p>
    <w:p>
      <w:pPr>
        <w:jc w:val="both"/>
        <w:ind w:left="-460" w:firstLine="1778"/>
        <w:spacing w:after="0" w:line="238" w:lineRule="auto"/>
        <w:tabs>
          <w:tab w:leader="none" w:pos="2133" w:val="left"/>
        </w:tabs>
        <w:numPr>
          <w:ilvl w:val="1"/>
          <w:numId w:val="231"/>
        </w:numPr>
        <w:rPr>
          <w:rFonts w:ascii="Arial" w:cs="Arial" w:eastAsia="Arial" w:hAnsi="Arial"/>
          <w:sz w:val="22"/>
          <w:szCs w:val="22"/>
          <w:color w:val="auto"/>
        </w:rPr>
      </w:pPr>
      <w:r>
        <w:rPr>
          <w:rFonts w:ascii="Arial" w:cs="Arial" w:eastAsia="Arial" w:hAnsi="Arial"/>
          <w:sz w:val="22"/>
          <w:szCs w:val="22"/>
          <w:color w:val="auto"/>
        </w:rPr>
        <w:t>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w:t>
      </w:r>
    </w:p>
    <w:p>
      <w:pPr>
        <w:spacing w:after="0" w:line="211" w:lineRule="exact"/>
        <w:rPr>
          <w:rFonts w:ascii="Arial" w:cs="Arial" w:eastAsia="Arial" w:hAnsi="Arial"/>
          <w:sz w:val="22"/>
          <w:szCs w:val="22"/>
          <w:color w:val="auto"/>
        </w:rPr>
      </w:pPr>
    </w:p>
    <w:p>
      <w:pPr>
        <w:jc w:val="both"/>
        <w:ind w:left="-460" w:firstLine="1778"/>
        <w:spacing w:after="0"/>
        <w:tabs>
          <w:tab w:leader="none" w:pos="2477" w:val="left"/>
        </w:tabs>
        <w:numPr>
          <w:ilvl w:val="1"/>
          <w:numId w:val="231"/>
        </w:numPr>
        <w:rPr>
          <w:rFonts w:ascii="Arial" w:cs="Arial" w:eastAsia="Arial" w:hAnsi="Arial"/>
          <w:sz w:val="22"/>
          <w:szCs w:val="22"/>
          <w:color w:val="auto"/>
        </w:rPr>
      </w:pPr>
      <w:r>
        <w:rPr>
          <w:rFonts w:ascii="Arial" w:cs="Arial" w:eastAsia="Arial" w:hAnsi="Arial"/>
          <w:sz w:val="22"/>
          <w:szCs w:val="22"/>
          <w:color w:val="auto"/>
        </w:rPr>
        <w:t>any issuance, sale or grant of securities or other payments, awards or grants in cash, securities or otherwise pursuant to, or the funding of, employment arrangements, stock options and stock ownership plans approved by the Board of Directors of the Borrower;</w:t>
      </w:r>
    </w:p>
    <w:p>
      <w:pPr>
        <w:spacing w:after="0" w:line="213" w:lineRule="exact"/>
        <w:rPr>
          <w:rFonts w:ascii="Arial" w:cs="Arial" w:eastAsia="Arial" w:hAnsi="Arial"/>
          <w:sz w:val="22"/>
          <w:szCs w:val="22"/>
          <w:color w:val="auto"/>
        </w:rPr>
      </w:pPr>
    </w:p>
    <w:p>
      <w:pPr>
        <w:jc w:val="both"/>
        <w:ind w:left="-460" w:firstLine="1778"/>
        <w:spacing w:after="0" w:line="272" w:lineRule="auto"/>
        <w:tabs>
          <w:tab w:leader="none" w:pos="2483" w:val="left"/>
        </w:tabs>
        <w:numPr>
          <w:ilvl w:val="1"/>
          <w:numId w:val="231"/>
        </w:numPr>
        <w:rPr>
          <w:rFonts w:ascii="Arial" w:cs="Arial" w:eastAsia="Arial" w:hAnsi="Arial"/>
          <w:sz w:val="19"/>
          <w:szCs w:val="19"/>
          <w:color w:val="auto"/>
        </w:rPr>
      </w:pPr>
      <w:r>
        <w:rPr>
          <w:rFonts w:ascii="Arial" w:cs="Arial" w:eastAsia="Arial" w:hAnsi="Arial"/>
          <w:sz w:val="19"/>
          <w:szCs w:val="19"/>
          <w:color w:val="auto"/>
        </w:rPr>
        <w:t>(1)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members, partners, consultants or independent contractors, (2)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(3)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(4) any transaction with an Immediate Family Member of a current or former officer, director, member of management, manager, employee, member, partner, consultant or independent contractor of the Borrower or any of its Restricted Subsidiaries, in connection with any agreement, arrangement or transaction described in the foregoing clauses (1) through (3);</w:t>
      </w:r>
    </w:p>
    <w:p>
      <w:pPr>
        <w:spacing w:after="0" w:line="182" w:lineRule="exact"/>
        <w:rPr>
          <w:rFonts w:ascii="Arial" w:cs="Arial" w:eastAsia="Arial" w:hAnsi="Arial"/>
          <w:sz w:val="19"/>
          <w:szCs w:val="19"/>
          <w:color w:val="auto"/>
        </w:rPr>
      </w:pPr>
    </w:p>
    <w:p>
      <w:pPr>
        <w:jc w:val="both"/>
        <w:ind w:left="-460" w:firstLine="1778"/>
        <w:spacing w:after="0" w:line="238" w:lineRule="auto"/>
        <w:tabs>
          <w:tab w:leader="none" w:pos="210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(1) Restricted Payments not prohibited by Section 6.1 (other than pursuant to Section 6.1(b) (ix)) and the definition of “Permitted Investments” (other than clause (ll) of such definition) and (2) issuances of Equity Interests and issuances and incurrences of Indebtedness, Disqualified Stock and Preferred Stock not restricted by this Agreement;</w:t>
      </w:r>
    </w:p>
    <w:p>
      <w:pPr>
        <w:spacing w:after="0" w:line="211" w:lineRule="exact"/>
        <w:rPr>
          <w:rFonts w:ascii="Arial" w:cs="Arial" w:eastAsia="Arial" w:hAnsi="Arial"/>
          <w:sz w:val="22"/>
          <w:szCs w:val="22"/>
          <w:color w:val="auto"/>
        </w:rPr>
      </w:pPr>
    </w:p>
    <w:p>
      <w:pPr>
        <w:jc w:val="both"/>
        <w:ind w:left="-460" w:firstLine="1778"/>
        <w:spacing w:after="0" w:line="236" w:lineRule="auto"/>
        <w:tabs>
          <w:tab w:leader="none" w:pos="2114"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 in each case as determined in the good faith judgment of the Board of Directors or the senior management of the Borrower;</w:t>
      </w:r>
    </w:p>
    <w:p>
      <w:pPr>
        <w:spacing w:after="0" w:line="214" w:lineRule="exact"/>
        <w:rPr>
          <w:rFonts w:ascii="Arial" w:cs="Arial" w:eastAsia="Arial" w:hAnsi="Arial"/>
          <w:sz w:val="22"/>
          <w:szCs w:val="22"/>
          <w:color w:val="auto"/>
        </w:rPr>
      </w:pPr>
    </w:p>
    <w:p>
      <w:pPr>
        <w:jc w:val="both"/>
        <w:ind w:left="-460" w:firstLine="1778"/>
        <w:spacing w:after="0" w:line="236" w:lineRule="auto"/>
        <w:tabs>
          <w:tab w:leader="none" w:pos="2295"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214" w:lineRule="exact"/>
        <w:rPr>
          <w:rFonts w:ascii="Arial" w:cs="Arial" w:eastAsia="Arial" w:hAnsi="Arial"/>
          <w:sz w:val="22"/>
          <w:szCs w:val="22"/>
          <w:color w:val="auto"/>
        </w:rPr>
      </w:pPr>
    </w:p>
    <w:p>
      <w:pPr>
        <w:ind w:left="2120" w:hanging="802"/>
        <w:spacing w:after="0"/>
        <w:tabs>
          <w:tab w:leader="none" w:pos="212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[Reserved];</w:t>
      </w:r>
    </w:p>
    <w:p>
      <w:pPr>
        <w:spacing w:after="0" w:line="168"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7" w:name="page178"/>
    <w:bookmarkEnd w:id="177"/>
    <w:p>
      <w:pPr>
        <w:jc w:val="both"/>
        <w:ind w:firstLine="1778"/>
        <w:spacing w:after="0" w:line="236" w:lineRule="auto"/>
        <w:tabs>
          <w:tab w:leader="none" w:pos="274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Borrower in good faith;</w:t>
      </w:r>
    </w:p>
    <w:p>
      <w:pPr>
        <w:spacing w:after="0" w:line="214" w:lineRule="exact"/>
        <w:rPr>
          <w:rFonts w:ascii="Arial" w:cs="Arial" w:eastAsia="Arial" w:hAnsi="Arial"/>
          <w:sz w:val="22"/>
          <w:szCs w:val="22"/>
          <w:color w:val="auto"/>
        </w:rPr>
      </w:pPr>
    </w:p>
    <w:p>
      <w:pPr>
        <w:ind w:left="2940" w:hanging="1162"/>
        <w:spacing w:after="0"/>
        <w:tabs>
          <w:tab w:leader="none" w:pos="294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guarantees not prohibited by Section 6.1, Section 6.3 or the definition of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Investments”;</w:t>
      </w:r>
    </w:p>
    <w:p>
      <w:pPr>
        <w:spacing w:after="0" w:line="215" w:lineRule="exact"/>
        <w:rPr>
          <w:rFonts w:ascii="Arial" w:cs="Arial" w:eastAsia="Arial" w:hAnsi="Arial"/>
          <w:sz w:val="19"/>
          <w:szCs w:val="19"/>
          <w:color w:val="auto"/>
        </w:rPr>
      </w:pPr>
    </w:p>
    <w:p>
      <w:pPr>
        <w:ind w:left="2560" w:hanging="782"/>
        <w:spacing w:after="0"/>
        <w:tabs>
          <w:tab w:leader="none" w:pos="25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778"/>
        <w:spacing w:after="0" w:line="238" w:lineRule="auto"/>
        <w:tabs>
          <w:tab w:leader="none" w:pos="2742"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spacing w:after="0" w:line="211" w:lineRule="exact"/>
        <w:rPr>
          <w:rFonts w:ascii="Arial" w:cs="Arial" w:eastAsia="Arial" w:hAnsi="Arial"/>
          <w:sz w:val="22"/>
          <w:szCs w:val="22"/>
          <w:color w:val="auto"/>
        </w:rPr>
      </w:pPr>
    </w:p>
    <w:p>
      <w:pPr>
        <w:jc w:val="both"/>
        <w:ind w:firstLine="1778"/>
        <w:spacing w:after="0" w:line="279" w:lineRule="auto"/>
        <w:tabs>
          <w:tab w:leader="none" w:pos="257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transactions with customers, clients, suppliers, joint ventures, purchasers or sellers of goods or services or providers of employees or other labor entered into in the ordinary course of business, consistent with past practice or consistent with industry norm,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spacing w:after="0" w:line="177" w:lineRule="exact"/>
        <w:rPr>
          <w:rFonts w:ascii="Arial" w:cs="Arial" w:eastAsia="Arial" w:hAnsi="Arial"/>
          <w:sz w:val="19"/>
          <w:szCs w:val="19"/>
          <w:color w:val="auto"/>
        </w:rPr>
      </w:pPr>
    </w:p>
    <w:p>
      <w:pPr>
        <w:jc w:val="both"/>
        <w:ind w:firstLine="1778"/>
        <w:spacing w:after="0" w:line="272" w:lineRule="auto"/>
        <w:tabs>
          <w:tab w:leader="none" w:pos="253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existence of, or the performance by the Borrower or any of its Restricted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w:t>
      </w:r>
    </w:p>
    <w:p>
      <w:pPr>
        <w:spacing w:after="0" w:line="187" w:lineRule="exact"/>
        <w:rPr>
          <w:rFonts w:ascii="Arial" w:cs="Arial" w:eastAsia="Arial" w:hAnsi="Arial"/>
          <w:sz w:val="19"/>
          <w:szCs w:val="19"/>
          <w:color w:val="auto"/>
        </w:rPr>
      </w:pPr>
    </w:p>
    <w:p>
      <w:pPr>
        <w:ind w:left="2580" w:hanging="802"/>
        <w:spacing w:after="0"/>
        <w:tabs>
          <w:tab w:leader="none" w:pos="258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778"/>
        <w:spacing w:after="0" w:line="235" w:lineRule="auto"/>
        <w:tabs>
          <w:tab w:leader="none" w:pos="25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any transaction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stating that the terms are not materially less favorable, when taken as a whole, to the Borrower or the relevant Restricted Subsidiary than those that would have been obtained in a comparable transaction by the Borrower or such Restricted Subsidiary with an unrelated Person on an arm’s length basis;</w:t>
      </w:r>
    </w:p>
    <w:p>
      <w:pPr>
        <w:spacing w:after="0" w:line="214" w:lineRule="exact"/>
        <w:rPr>
          <w:rFonts w:ascii="Arial" w:cs="Arial" w:eastAsia="Arial" w:hAnsi="Arial"/>
          <w:sz w:val="22"/>
          <w:szCs w:val="22"/>
          <w:color w:val="auto"/>
        </w:rPr>
      </w:pPr>
    </w:p>
    <w:p>
      <w:pPr>
        <w:ind w:left="2580" w:hanging="802"/>
        <w:spacing w:after="0"/>
        <w:tabs>
          <w:tab w:leader="none" w:pos="258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transactions in connection with any Permitted Receivables Financing;</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178" w:name="page179"/>
    <w:bookmarkEnd w:id="178"/>
    <w:p>
      <w:pPr>
        <w:jc w:val="both"/>
        <w:ind w:left="-460" w:firstLine="1778"/>
        <w:spacing w:after="0" w:line="274" w:lineRule="auto"/>
        <w:tabs>
          <w:tab w:leader="none" w:pos="228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(1) Affiliate purchases of the Existing Notes to the extent permitted under the Existing Indentures, the holding of such Existing Notes and the payments and other related transactions in respect thereof (including any payment of out-of-pocket expenses incurred by such Affiliate in connection therewith), (2) other investments by Fortress, its Affiliates or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(3) payments to Fortress, its Affiliates or Permitted Holders in respect of securities or loans of the Borrower or any of its Restricted Subsidiaries contemplated in the foregoing subclause (2) or that were acquired from Persons other than the Borrower and its Restricted Subsidiaries, in each case, in accordance with the terms of such securities or loans;</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460" w:right="20" w:firstLine="1778"/>
        <w:spacing w:after="0" w:line="250" w:lineRule="auto"/>
        <w:tabs>
          <w:tab w:leader="none" w:pos="245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transactions undertaken pursuant to a shared services agreement or pursuant to a membership in a purchasing consortium;</w:t>
      </w:r>
    </w:p>
    <w:p>
      <w:pPr>
        <w:spacing w:after="0" w:line="201" w:lineRule="exact"/>
        <w:rPr>
          <w:rFonts w:ascii="Arial" w:cs="Arial" w:eastAsia="Arial" w:hAnsi="Arial"/>
          <w:sz w:val="22"/>
          <w:szCs w:val="22"/>
          <w:color w:val="auto"/>
        </w:rPr>
      </w:pPr>
    </w:p>
    <w:p>
      <w:pPr>
        <w:ind w:left="-460" w:firstLine="1778"/>
        <w:spacing w:after="0" w:line="250" w:lineRule="auto"/>
        <w:tabs>
          <w:tab w:leader="none" w:pos="2282" w:val="left"/>
        </w:tabs>
        <w:numPr>
          <w:ilvl w:val="0"/>
          <w:numId w:val="233"/>
        </w:numPr>
        <w:rPr>
          <w:rFonts w:ascii="Arial" w:cs="Arial" w:eastAsia="Arial" w:hAnsi="Arial"/>
          <w:sz w:val="22"/>
          <w:szCs w:val="22"/>
          <w:color w:val="auto"/>
        </w:rPr>
      </w:pPr>
      <w:r>
        <w:rPr>
          <w:rFonts w:ascii="Arial" w:cs="Arial" w:eastAsia="Arial" w:hAnsi="Arial"/>
          <w:sz w:val="22"/>
          <w:szCs w:val="22"/>
          <w:color w:val="auto"/>
        </w:rPr>
        <w:t>payment to any Permitted Holder of out of pocket expenses incurred by such Permitted Holder in connection with any direct or indirect Investment in the Borrower and its Subsidiaries;</w:t>
      </w:r>
    </w:p>
    <w:p>
      <w:pPr>
        <w:spacing w:after="0" w:line="201" w:lineRule="exact"/>
        <w:rPr>
          <w:rFonts w:ascii="Arial" w:cs="Arial" w:eastAsia="Arial" w:hAnsi="Arial"/>
          <w:sz w:val="22"/>
          <w:szCs w:val="22"/>
          <w:color w:val="auto"/>
        </w:rPr>
      </w:pPr>
    </w:p>
    <w:p>
      <w:pPr>
        <w:jc w:val="both"/>
        <w:ind w:left="-460" w:firstLine="1778"/>
        <w:spacing w:after="0"/>
        <w:tabs>
          <w:tab w:leader="none" w:pos="2397"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issuance or transfer of (1) Equity Interests (other than Disqualified Stock) of the Borrower and the granting and performing of customary registration rights and (2) directors’ qualifying shares and shares issued to foreign nationals as required by applicable law;</w:t>
      </w:r>
    </w:p>
    <w:p>
      <w:pPr>
        <w:spacing w:after="0" w:line="213" w:lineRule="exact"/>
        <w:rPr>
          <w:rFonts w:ascii="Arial" w:cs="Arial" w:eastAsia="Arial" w:hAnsi="Arial"/>
          <w:sz w:val="22"/>
          <w:szCs w:val="22"/>
          <w:color w:val="auto"/>
        </w:rPr>
      </w:pPr>
    </w:p>
    <w:p>
      <w:pPr>
        <w:jc w:val="both"/>
        <w:ind w:left="-460" w:firstLine="1778"/>
        <w:spacing w:after="0"/>
        <w:tabs>
          <w:tab w:leader="none" w:pos="21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transactions with a Person (other than an Unrestricted Subsidiary) that is an Affiliate of the Borrower arising solely because the Borrower or any Restricted Subsidiary owns any Equity Interests in, or controls, such Person;</w:t>
      </w:r>
    </w:p>
    <w:p>
      <w:pPr>
        <w:spacing w:after="0" w:line="213" w:lineRule="exact"/>
        <w:rPr>
          <w:rFonts w:ascii="Arial" w:cs="Arial" w:eastAsia="Arial" w:hAnsi="Arial"/>
          <w:sz w:val="22"/>
          <w:szCs w:val="22"/>
          <w:color w:val="auto"/>
        </w:rPr>
      </w:pPr>
    </w:p>
    <w:p>
      <w:pPr>
        <w:jc w:val="both"/>
        <w:ind w:left="-460" w:right="20" w:firstLine="1778"/>
        <w:spacing w:after="0"/>
        <w:tabs>
          <w:tab w:leader="none" w:pos="215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lease entered into between the Borrower or any Restricted Subsidiary, on the one hand, and any Affiliate of the Borrower, on the other hand, which is approved by the Board of Directors of the Borrower or is entered into in the ordinary course of business;</w:t>
      </w:r>
    </w:p>
    <w:p>
      <w:pPr>
        <w:spacing w:after="0" w:line="213" w:lineRule="exact"/>
        <w:rPr>
          <w:rFonts w:ascii="Arial" w:cs="Arial" w:eastAsia="Arial" w:hAnsi="Arial"/>
          <w:sz w:val="22"/>
          <w:szCs w:val="22"/>
          <w:color w:val="auto"/>
        </w:rPr>
      </w:pPr>
    </w:p>
    <w:p>
      <w:pPr>
        <w:ind w:left="-460" w:firstLine="1778"/>
        <w:spacing w:after="0" w:line="250" w:lineRule="auto"/>
        <w:tabs>
          <w:tab w:leader="none" w:pos="2145"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intellectual property licenses entered into in the ordinary course of business, consistent with past practice or consistent with industry norm;</w:t>
      </w:r>
    </w:p>
    <w:p>
      <w:pPr>
        <w:spacing w:after="0" w:line="201" w:lineRule="exact"/>
        <w:rPr>
          <w:rFonts w:ascii="Arial" w:cs="Arial" w:eastAsia="Arial" w:hAnsi="Arial"/>
          <w:sz w:val="22"/>
          <w:szCs w:val="22"/>
          <w:color w:val="auto"/>
        </w:rPr>
      </w:pPr>
    </w:p>
    <w:p>
      <w:pPr>
        <w:jc w:val="both"/>
        <w:ind w:left="-460" w:firstLine="1778"/>
        <w:spacing w:after="0" w:line="297" w:lineRule="auto"/>
        <w:tabs>
          <w:tab w:leader="none" w:pos="2187"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w:t>
      </w:r>
    </w:p>
    <w:p>
      <w:pPr>
        <w:spacing w:after="0" w:line="160" w:lineRule="exact"/>
        <w:rPr>
          <w:rFonts w:ascii="Arial" w:cs="Arial" w:eastAsia="Arial" w:hAnsi="Arial"/>
          <w:sz w:val="19"/>
          <w:szCs w:val="19"/>
          <w:color w:val="auto"/>
        </w:rPr>
      </w:pPr>
    </w:p>
    <w:p>
      <w:pPr>
        <w:jc w:val="both"/>
        <w:ind w:left="-460" w:firstLine="1778"/>
        <w:spacing w:after="0"/>
        <w:tabs>
          <w:tab w:leader="none" w:pos="219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(1) pledges of Equity Interests of Unrestricted Subsidiaries and (2) in connection with the incurrence of any Indebtedness not prohibited by Section 6.3, pledges of equity interests of a Qualified Liquefaction Development Entity to secure such Indebtedness;</w:t>
      </w:r>
    </w:p>
    <w:p>
      <w:pPr>
        <w:spacing w:after="0" w:line="213" w:lineRule="exact"/>
        <w:rPr>
          <w:rFonts w:ascii="Arial" w:cs="Arial" w:eastAsia="Arial" w:hAnsi="Arial"/>
          <w:sz w:val="22"/>
          <w:szCs w:val="22"/>
          <w:color w:val="auto"/>
        </w:rPr>
      </w:pPr>
    </w:p>
    <w:p>
      <w:pPr>
        <w:jc w:val="both"/>
        <w:ind w:left="-460" w:firstLine="1778"/>
        <w:spacing w:after="0" w:line="252" w:lineRule="auto"/>
        <w:tabs>
          <w:tab w:leader="none" w:pos="21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9" w:name="page180"/>
    <w:bookmarkEnd w:id="179"/>
    <w:p>
      <w:pPr>
        <w:jc w:val="both"/>
        <w:ind w:left="660" w:firstLine="1778"/>
        <w:spacing w:after="0" w:line="298" w:lineRule="auto"/>
        <w:tabs>
          <w:tab w:leader="none" w:pos="343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transactions entered into by an Unrestricted Subsidiary with an Affiliate prior to the redesignation of such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transaction was not entered into in anticipation of such Unrestricted Subsidiary becoming or being redesignated as a Restricted Subsidiary;</w:t>
      </w:r>
    </w:p>
    <w:p>
      <w:pPr>
        <w:spacing w:after="0" w:line="158" w:lineRule="exact"/>
        <w:rPr>
          <w:rFonts w:ascii="Arial" w:cs="Arial" w:eastAsia="Arial" w:hAnsi="Arial"/>
          <w:sz w:val="19"/>
          <w:szCs w:val="19"/>
          <w:color w:val="auto"/>
        </w:rPr>
      </w:pPr>
    </w:p>
    <w:p>
      <w:pPr>
        <w:jc w:val="both"/>
        <w:ind w:left="660" w:firstLine="1778"/>
        <w:spacing w:after="0" w:line="287" w:lineRule="auto"/>
        <w:tabs>
          <w:tab w:leader="none" w:pos="3292" w:val="left"/>
        </w:tabs>
        <w:numPr>
          <w:ilvl w:val="0"/>
          <w:numId w:val="234"/>
        </w:numPr>
        <w:rPr>
          <w:rFonts w:ascii="Arial" w:cs="Arial" w:eastAsia="Arial" w:hAnsi="Arial"/>
          <w:sz w:val="19"/>
          <w:szCs w:val="19"/>
          <w:color w:val="auto"/>
        </w:rPr>
      </w:pPr>
      <w:r>
        <w:rPr>
          <w:rFonts w:ascii="Arial" w:cs="Arial" w:eastAsia="Arial" w:hAnsi="Arial"/>
          <w:sz w:val="19"/>
          <w:szCs w:val="19"/>
          <w:color w:val="auto"/>
        </w:rPr>
        <w:t>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w:t>
      </w:r>
    </w:p>
    <w:p>
      <w:pPr>
        <w:spacing w:after="0" w:line="169" w:lineRule="exact"/>
        <w:rPr>
          <w:rFonts w:ascii="Arial" w:cs="Arial" w:eastAsia="Arial" w:hAnsi="Arial"/>
          <w:sz w:val="19"/>
          <w:szCs w:val="19"/>
          <w:color w:val="auto"/>
        </w:rPr>
      </w:pPr>
    </w:p>
    <w:p>
      <w:pPr>
        <w:jc w:val="both"/>
        <w:ind w:left="660" w:firstLine="1778"/>
        <w:spacing w:after="0"/>
        <w:tabs>
          <w:tab w:leader="none" w:pos="32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payments to and from, and transactions with, any joint ventures or Unrestricted Subsidiary entered into in the ordinary course of business, consistent with past practice or consistent with industry norm (including any cash management activities related thereto); and</w:t>
      </w:r>
    </w:p>
    <w:p>
      <w:pPr>
        <w:spacing w:after="0" w:line="213" w:lineRule="exact"/>
        <w:rPr>
          <w:rFonts w:ascii="Arial" w:cs="Arial" w:eastAsia="Arial" w:hAnsi="Arial"/>
          <w:sz w:val="22"/>
          <w:szCs w:val="22"/>
          <w:color w:val="auto"/>
        </w:rPr>
      </w:pPr>
    </w:p>
    <w:p>
      <w:pPr>
        <w:jc w:val="both"/>
        <w:ind w:left="660" w:firstLine="1778"/>
        <w:spacing w:after="0" w:line="297" w:lineRule="auto"/>
        <w:tabs>
          <w:tab w:leader="none" w:pos="3301"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w:t>
      </w:r>
    </w:p>
    <w:p>
      <w:pPr>
        <w:spacing w:after="0" w:line="161"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tabs>
          <w:tab w:leader="none" w:pos="248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Borrower shall not, and shall not permit any Guarantor to, directly or indirectly, create, incur or assume any Lien (except Permitted Liens) (each, a “</w:t>
      </w:r>
      <w:r>
        <w:rPr>
          <w:rFonts w:ascii="Arial" w:cs="Arial" w:eastAsia="Arial" w:hAnsi="Arial"/>
          <w:sz w:val="22"/>
          <w:szCs w:val="22"/>
          <w:u w:val="single" w:color="auto"/>
          <w:color w:val="auto"/>
        </w:rPr>
        <w:t>Subject Lien</w:t>
      </w:r>
      <w:r>
        <w:rPr>
          <w:rFonts w:ascii="Arial" w:cs="Arial" w:eastAsia="Arial" w:hAnsi="Arial"/>
          <w:sz w:val="22"/>
          <w:szCs w:val="22"/>
          <w:color w:val="auto"/>
        </w:rPr>
        <w:t>”) that secures obligations under any Indebtedness on any asset or property of the Borrower or any Guarantor, unless:</w:t>
      </w:r>
    </w:p>
    <w:p>
      <w:pPr>
        <w:spacing w:after="0" w:line="213" w:lineRule="exact"/>
        <w:rPr>
          <w:rFonts w:ascii="Arial" w:cs="Arial" w:eastAsia="Arial" w:hAnsi="Arial"/>
          <w:sz w:val="22"/>
          <w:szCs w:val="22"/>
          <w:color w:val="auto"/>
        </w:rPr>
      </w:pPr>
    </w:p>
    <w:p>
      <w:pPr>
        <w:ind w:left="3280" w:hanging="842"/>
        <w:spacing w:after="0"/>
        <w:tabs>
          <w:tab w:leader="none" w:pos="328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in the case of Subject Liens on any Collateral, such Subject Lien is a Permitted Lien; and</w:t>
      </w:r>
    </w:p>
    <w:p>
      <w:pPr>
        <w:spacing w:after="0" w:line="267" w:lineRule="exact"/>
        <w:rPr>
          <w:rFonts w:ascii="Arial" w:cs="Arial" w:eastAsia="Arial" w:hAnsi="Arial"/>
          <w:sz w:val="19"/>
          <w:szCs w:val="19"/>
          <w:color w:val="auto"/>
        </w:rPr>
      </w:pPr>
    </w:p>
    <w:p>
      <w:pPr>
        <w:jc w:val="both"/>
        <w:ind w:left="660" w:firstLine="1778"/>
        <w:spacing w:after="0" w:line="238" w:lineRule="auto"/>
        <w:tabs>
          <w:tab w:leader="none" w:pos="335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in the case of any Subject Lien on any such asset or property that is not Collateral, (i) the Obligations are equally and ratably secured with (or, at the Borrower’s option or if such Subject Lien secures Subordinated Indebtedness, on a senior basis to) the obligations secured by such Subject Lien until such time as such obligations are no longer secured by such Subject Lien.</w:t>
      </w:r>
    </w:p>
    <w:p>
      <w:pPr>
        <w:spacing w:after="0" w:line="211" w:lineRule="exact"/>
        <w:rPr>
          <w:rFonts w:ascii="Arial" w:cs="Arial" w:eastAsia="Arial" w:hAnsi="Arial"/>
          <w:sz w:val="22"/>
          <w:szCs w:val="22"/>
          <w:color w:val="auto"/>
        </w:rPr>
      </w:pPr>
    </w:p>
    <w:p>
      <w:pPr>
        <w:jc w:val="both"/>
        <w:ind w:firstLine="1952"/>
        <w:spacing w:after="0" w:line="235" w:lineRule="auto"/>
        <w:tabs>
          <w:tab w:leader="none" w:pos="252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Lien created for the benefit of the Secured Parties pursuant to clause (a)(ii) of this Section 6.6 shall provide by its terms that such Lien shall be automatically and unconditionally released and discharged upon the release and discharge of the Subject Lien that gave rise to the obligation to secure the Obligations. In addition, in the event that a Subject Lien is or becomes a Permitted Lien, the Borrower may, at its option and without consent from the Collateral Agent or any other Secured Party, elect to release and discharge any Lien created for the benefit of the Secured Parties pursuant to Section 6.6(a) in respect of such Subject Lien.</w:t>
      </w:r>
    </w:p>
    <w:p>
      <w:pPr>
        <w:spacing w:after="0" w:line="214" w:lineRule="exact"/>
        <w:rPr>
          <w:rFonts w:ascii="Arial" w:cs="Arial" w:eastAsia="Arial" w:hAnsi="Arial"/>
          <w:sz w:val="22"/>
          <w:szCs w:val="22"/>
          <w:color w:val="auto"/>
        </w:rPr>
      </w:pPr>
    </w:p>
    <w:p>
      <w:pPr>
        <w:jc w:val="both"/>
        <w:ind w:firstLine="1952"/>
        <w:spacing w:after="0" w:line="246" w:lineRule="auto"/>
        <w:tabs>
          <w:tab w:leader="none" w:pos="2454" w:val="left"/>
        </w:tabs>
        <w:numPr>
          <w:ilvl w:val="0"/>
          <w:numId w:val="235"/>
        </w:numPr>
        <w:rPr>
          <w:rFonts w:ascii="Arial" w:cs="Arial" w:eastAsia="Arial" w:hAnsi="Arial"/>
          <w:sz w:val="21"/>
          <w:szCs w:val="21"/>
          <w:color w:val="auto"/>
        </w:rPr>
      </w:pPr>
      <w:r>
        <w:rPr>
          <w:rFonts w:ascii="Arial" w:cs="Arial" w:eastAsia="Arial" w:hAnsi="Arial"/>
          <w:sz w:val="21"/>
          <w:szCs w:val="21"/>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1"/>
          <w:szCs w:val="21"/>
          <w:u w:val="single" w:color="auto"/>
          <w:color w:val="auto"/>
        </w:rPr>
        <w:t>Increased Amount</w:t>
      </w:r>
      <w:r>
        <w:rPr>
          <w:rFonts w:ascii="Arial" w:cs="Arial" w:eastAsia="Arial" w:hAnsi="Arial"/>
          <w:sz w:val="21"/>
          <w:szCs w:val="21"/>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211"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[Reserved].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ind w:left="1140"/>
        <w:spacing w:after="0"/>
        <w:tabs>
          <w:tab w:leader="none" w:pos="26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[Reserved]</w:t>
      </w:r>
    </w:p>
    <w:p>
      <w:pPr>
        <w:spacing w:after="0" w:line="2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Merger, Consolidation or Sale of All or Substantially All Assets</w:t>
      </w:r>
      <w:r>
        <w:rPr>
          <w:rFonts w:ascii="Arial" w:cs="Arial" w:eastAsia="Arial" w:hAnsi="Arial"/>
          <w:sz w:val="22"/>
          <w:szCs w:val="22"/>
          <w:color w:val="auto"/>
        </w:rPr>
        <w:t>.</w:t>
      </w:r>
    </w:p>
    <w:p>
      <w:pPr>
        <w:spacing w:after="0" w:line="233" w:lineRule="exact"/>
        <w:rPr>
          <w:sz w:val="20"/>
          <w:szCs w:val="20"/>
          <w:color w:val="auto"/>
        </w:rPr>
      </w:pPr>
    </w:p>
    <w:p>
      <w:pPr>
        <w:jc w:val="both"/>
        <w:ind w:firstLine="1952"/>
        <w:spacing w:after="0" w:line="238" w:lineRule="auto"/>
        <w:tabs>
          <w:tab w:leader="none" w:pos="2508"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unless:</w:t>
      </w:r>
    </w:p>
    <w:p>
      <w:pPr>
        <w:spacing w:after="0" w:line="211" w:lineRule="exact"/>
        <w:rPr>
          <w:rFonts w:ascii="Arial" w:cs="Arial" w:eastAsia="Arial" w:hAnsi="Arial"/>
          <w:sz w:val="22"/>
          <w:szCs w:val="22"/>
          <w:color w:val="auto"/>
        </w:rPr>
      </w:pPr>
    </w:p>
    <w:p>
      <w:pPr>
        <w:jc w:val="both"/>
        <w:ind w:left="660" w:firstLine="1778"/>
        <w:spacing w:after="0" w:line="282" w:lineRule="auto"/>
        <w:tabs>
          <w:tab w:leader="none" w:pos="3226" w:val="left"/>
        </w:tabs>
        <w:numPr>
          <w:ilvl w:val="2"/>
          <w:numId w:val="236"/>
        </w:numPr>
        <w:rPr>
          <w:rFonts w:ascii="Arial" w:cs="Arial" w:eastAsia="Arial" w:hAnsi="Arial"/>
          <w:sz w:val="19"/>
          <w:szCs w:val="19"/>
          <w:color w:val="auto"/>
        </w:rPr>
      </w:pPr>
      <w:r>
        <w:rPr>
          <w:rFonts w:ascii="Arial" w:cs="Arial" w:eastAsia="Arial" w:hAnsi="Arial"/>
          <w:sz w:val="19"/>
          <w:szCs w:val="19"/>
          <w:color w:val="auto"/>
        </w:rPr>
        <w:t>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Borrower or such Person, as the case may be, being herein called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left="660" w:firstLine="1778"/>
        <w:spacing w:after="0" w:line="246" w:lineRule="auto"/>
        <w:tabs>
          <w:tab w:leader="none" w:pos="3205" w:val="left"/>
        </w:tabs>
        <w:numPr>
          <w:ilvl w:val="2"/>
          <w:numId w:val="236"/>
        </w:numPr>
        <w:rPr>
          <w:rFonts w:ascii="Arial" w:cs="Arial" w:eastAsia="Arial" w:hAnsi="Arial"/>
          <w:sz w:val="21"/>
          <w:szCs w:val="21"/>
          <w:color w:val="auto"/>
        </w:rPr>
      </w:pPr>
      <w:r>
        <w:rPr>
          <w:rFonts w:ascii="Arial" w:cs="Arial" w:eastAsia="Arial" w:hAnsi="Arial"/>
          <w:sz w:val="21"/>
          <w:szCs w:val="21"/>
          <w:color w:val="auto"/>
        </w:rPr>
        <w:t>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the Equal Priority Intercreditor Agreement, any Junior Priority Intercreditor Agreement, or other documents or instruments in form reasonably satisfactory to the Administrative Agent and has provided all documentation and other information required by the Agents, the Issuing Banks and the Lenders under applicable “know your customer” and anti-money laundering rules and regulations, including the PATRIOT Act;</w:t>
      </w:r>
    </w:p>
    <w:p>
      <w:pPr>
        <w:spacing w:after="0" w:line="211" w:lineRule="exact"/>
        <w:rPr>
          <w:rFonts w:ascii="Arial" w:cs="Arial" w:eastAsia="Arial" w:hAnsi="Arial"/>
          <w:sz w:val="21"/>
          <w:szCs w:val="21"/>
          <w:color w:val="auto"/>
        </w:rPr>
      </w:pPr>
    </w:p>
    <w:p>
      <w:pPr>
        <w:ind w:left="3600" w:hanging="1162"/>
        <w:spacing w:after="0"/>
        <w:tabs>
          <w:tab w:leader="none" w:pos="3600" w:val="left"/>
        </w:tabs>
        <w:numPr>
          <w:ilvl w:val="2"/>
          <w:numId w:val="236"/>
        </w:numPr>
        <w:rPr>
          <w:rFonts w:ascii="Arial" w:cs="Arial" w:eastAsia="Arial" w:hAnsi="Arial"/>
          <w:sz w:val="19"/>
          <w:szCs w:val="19"/>
          <w:color w:val="auto"/>
        </w:rPr>
      </w:pPr>
      <w:r>
        <w:rPr>
          <w:rFonts w:ascii="Arial" w:cs="Arial" w:eastAsia="Arial" w:hAnsi="Arial"/>
          <w:sz w:val="19"/>
          <w:szCs w:val="19"/>
          <w:color w:val="auto"/>
        </w:rPr>
        <w:t>immediately after such transaction, no Event of Default shall have occurred and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15" w:lineRule="exact"/>
        <w:rPr>
          <w:rFonts w:ascii="Arial" w:cs="Arial" w:eastAsia="Arial" w:hAnsi="Arial"/>
          <w:sz w:val="19"/>
          <w:szCs w:val="19"/>
          <w:color w:val="auto"/>
        </w:rPr>
      </w:pPr>
    </w:p>
    <w:p>
      <w:pPr>
        <w:ind w:left="660" w:firstLine="1778"/>
        <w:spacing w:after="0" w:line="328" w:lineRule="auto"/>
        <w:tabs>
          <w:tab w:leader="none" w:pos="3348" w:val="left"/>
        </w:tabs>
        <w:numPr>
          <w:ilvl w:val="2"/>
          <w:numId w:val="236"/>
        </w:numPr>
        <w:rPr>
          <w:rFonts w:ascii="Arial" w:cs="Arial" w:eastAsia="Arial" w:hAnsi="Arial"/>
          <w:sz w:val="19"/>
          <w:szCs w:val="19"/>
          <w:color w:val="auto"/>
        </w:rPr>
      </w:pPr>
      <w:r>
        <w:rPr>
          <w:rFonts w:ascii="Arial" w:cs="Arial" w:eastAsia="Arial" w:hAnsi="Arial"/>
          <w:sz w:val="19"/>
          <w:szCs w:val="19"/>
          <w:color w:val="auto"/>
        </w:rPr>
        <w:t xml:space="preserve">in the case of the Borrower, immediately 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transaction and any related financing transactions, as if such transactions had occurred at the beginning of the Test Period, either:</w:t>
      </w:r>
    </w:p>
    <w:p>
      <w:pPr>
        <w:spacing w:after="0" w:line="131" w:lineRule="exact"/>
        <w:rPr>
          <w:rFonts w:ascii="Arial" w:cs="Arial" w:eastAsia="Arial" w:hAnsi="Arial"/>
          <w:sz w:val="19"/>
          <w:szCs w:val="19"/>
          <w:color w:val="auto"/>
        </w:rPr>
      </w:pPr>
    </w:p>
    <w:p>
      <w:pPr>
        <w:ind w:left="660" w:firstLine="482"/>
        <w:spacing w:after="0" w:line="250" w:lineRule="auto"/>
        <w:tabs>
          <w:tab w:leader="none" w:pos="2127"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Successor Company would be permitted to incur at least $1.00 of additional Indebtedness pursuant to the Fixed Charge Coverage Ratio test set forth in Section 6.3(a), or</w:t>
      </w:r>
    </w:p>
    <w:p>
      <w:pPr>
        <w:spacing w:after="0" w:line="201" w:lineRule="exact"/>
        <w:rPr>
          <w:rFonts w:ascii="Arial" w:cs="Arial" w:eastAsia="Arial" w:hAnsi="Arial"/>
          <w:sz w:val="22"/>
          <w:szCs w:val="22"/>
          <w:color w:val="auto"/>
        </w:rPr>
      </w:pPr>
    </w:p>
    <w:p>
      <w:pPr>
        <w:ind w:left="660" w:firstLine="482"/>
        <w:spacing w:after="0" w:line="250" w:lineRule="auto"/>
        <w:tabs>
          <w:tab w:leader="none" w:pos="223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Fixed Charge Coverage Ratio immediately after such transaction would be equal to or greater than the Fixed Charge Coverage Ratio of the Borrower immediately prior to such transaction;</w:t>
      </w:r>
    </w:p>
    <w:p>
      <w:pPr>
        <w:spacing w:after="0" w:line="201" w:lineRule="exact"/>
        <w:rPr>
          <w:rFonts w:ascii="Arial" w:cs="Arial" w:eastAsia="Arial" w:hAnsi="Arial"/>
          <w:sz w:val="22"/>
          <w:szCs w:val="22"/>
          <w:color w:val="auto"/>
        </w:rPr>
      </w:pPr>
    </w:p>
    <w:p>
      <w:pPr>
        <w:jc w:val="both"/>
        <w:ind w:left="660" w:firstLine="1778"/>
        <w:spacing w:after="0" w:line="248" w:lineRule="auto"/>
        <w:tabs>
          <w:tab w:leader="none" w:pos="3301" w:val="left"/>
        </w:tabs>
        <w:numPr>
          <w:ilvl w:val="2"/>
          <w:numId w:val="237"/>
        </w:numPr>
        <w:rPr>
          <w:rFonts w:ascii="Arial" w:cs="Arial" w:eastAsia="Arial" w:hAnsi="Arial"/>
          <w:sz w:val="21"/>
          <w:szCs w:val="21"/>
          <w:color w:val="auto"/>
        </w:rPr>
      </w:pPr>
      <w:r>
        <w:rPr>
          <w:rFonts w:ascii="Arial" w:cs="Arial" w:eastAsia="Arial" w:hAnsi="Arial"/>
          <w:sz w:val="21"/>
          <w:szCs w:val="21"/>
          <w:color w:val="auto"/>
        </w:rPr>
        <w:t>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w:t>
      </w:r>
    </w:p>
    <w:p>
      <w:pPr>
        <w:spacing w:after="0" w:line="203" w:lineRule="exact"/>
        <w:rPr>
          <w:rFonts w:ascii="Arial" w:cs="Arial" w:eastAsia="Arial" w:hAnsi="Arial"/>
          <w:sz w:val="21"/>
          <w:szCs w:val="21"/>
          <w:color w:val="auto"/>
        </w:rPr>
      </w:pPr>
    </w:p>
    <w:p>
      <w:pPr>
        <w:jc w:val="both"/>
        <w:ind w:firstLine="1952"/>
        <w:spacing w:after="0" w:line="236" w:lineRule="auto"/>
        <w:tabs>
          <w:tab w:leader="none" w:pos="250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 xml:space="preserve">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w:t>
      </w:r>
      <w:r>
        <w:rPr>
          <w:rFonts w:ascii="Arial" w:cs="Arial" w:eastAsia="Arial" w:hAnsi="Arial"/>
          <w:sz w:val="22"/>
          <w:szCs w:val="22"/>
          <w:u w:val="single" w:color="auto"/>
          <w:color w:val="auto"/>
        </w:rPr>
        <w:t>clauses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6.9(a)</w:t>
      </w:r>
      <w:r>
        <w:rPr>
          <w:rFonts w:ascii="Arial" w:cs="Arial" w:eastAsia="Arial" w:hAnsi="Arial"/>
          <w:sz w:val="22"/>
          <w:szCs w:val="22"/>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jc w:val="both"/>
        <w:ind w:left="660" w:firstLine="1778"/>
        <w:spacing w:after="0" w:line="241" w:lineRule="auto"/>
        <w:tabs>
          <w:tab w:leader="none" w:pos="3267"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any Restricted Subsidiary may merge, consolidate or amalgamate with or into, wind up into or sell, assign, transfer, lease, convey or otherwise dispose of all or part of its properties and assets to the Borrower or any Restricted Subsidiary,</w:t>
      </w:r>
    </w:p>
    <w:p>
      <w:pPr>
        <w:spacing w:after="0" w:line="210" w:lineRule="exact"/>
        <w:rPr>
          <w:rFonts w:ascii="Arial" w:cs="Arial" w:eastAsia="Arial" w:hAnsi="Arial"/>
          <w:sz w:val="22"/>
          <w:szCs w:val="22"/>
          <w:color w:val="auto"/>
        </w:rPr>
      </w:pPr>
    </w:p>
    <w:p>
      <w:pPr>
        <w:jc w:val="both"/>
        <w:ind w:left="660" w:firstLine="1778"/>
        <w:spacing w:after="0"/>
        <w:tabs>
          <w:tab w:leader="none" w:pos="3489"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Borrower may merge, consolidate or amalgamate with or into or wind up into an Affiliate of the Borrower solely for the purpose of reincorporating the Borrower in the United States, any state or territory thereof or the District of Columbia, and</w:t>
      </w:r>
    </w:p>
    <w:p>
      <w:pPr>
        <w:spacing w:after="0" w:line="213" w:lineRule="exact"/>
        <w:rPr>
          <w:rFonts w:ascii="Arial" w:cs="Arial" w:eastAsia="Arial" w:hAnsi="Arial"/>
          <w:sz w:val="22"/>
          <w:szCs w:val="22"/>
          <w:color w:val="auto"/>
        </w:rPr>
      </w:pPr>
    </w:p>
    <w:p>
      <w:pPr>
        <w:ind w:left="660" w:firstLine="1778"/>
        <w:spacing w:after="0" w:line="328" w:lineRule="auto"/>
        <w:tabs>
          <w:tab w:leader="none" w:pos="3441"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Borrower may merge, consolidate or amalgamate with or into, wind up into or sell, assign, transfer, lease convey or otherwise dispose of all or part of its properties and assets to any Guarantor.</w:t>
      </w:r>
    </w:p>
    <w:p>
      <w:pPr>
        <w:spacing w:after="0" w:line="131" w:lineRule="exact"/>
        <w:rPr>
          <w:rFonts w:ascii="Arial" w:cs="Arial" w:eastAsia="Arial" w:hAnsi="Arial"/>
          <w:sz w:val="19"/>
          <w:szCs w:val="19"/>
          <w:color w:val="auto"/>
        </w:rPr>
      </w:pPr>
    </w:p>
    <w:p>
      <w:pPr>
        <w:jc w:val="both"/>
        <w:ind w:firstLine="1952"/>
        <w:spacing w:after="0" w:line="236" w:lineRule="auto"/>
        <w:tabs>
          <w:tab w:leader="none" w:pos="246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spacing w:after="0" w:line="214" w:lineRule="exact"/>
        <w:rPr>
          <w:rFonts w:ascii="Arial" w:cs="Arial" w:eastAsia="Arial" w:hAnsi="Arial"/>
          <w:sz w:val="22"/>
          <w:szCs w:val="22"/>
          <w:color w:val="auto"/>
        </w:rPr>
      </w:pPr>
    </w:p>
    <w:p>
      <w:pPr>
        <w:jc w:val="both"/>
        <w:ind w:left="660" w:firstLine="1778"/>
        <w:spacing w:after="0" w:line="279" w:lineRule="auto"/>
        <w:tabs>
          <w:tab w:leader="none" w:pos="3442" w:val="left"/>
        </w:tabs>
        <w:numPr>
          <w:ilvl w:val="1"/>
          <w:numId w:val="239"/>
        </w:numPr>
        <w:rPr>
          <w:rFonts w:ascii="Arial" w:cs="Arial" w:eastAsia="Arial" w:hAnsi="Arial"/>
          <w:sz w:val="19"/>
          <w:szCs w:val="19"/>
          <w:color w:val="auto"/>
        </w:rPr>
      </w:pPr>
      <w:r>
        <w:rPr>
          <w:rFonts w:ascii="Arial" w:cs="Arial" w:eastAsia="Arial" w:hAnsi="Arial"/>
          <w:sz w:val="19"/>
          <w:szCs w:val="19"/>
          <w:color w:val="auto"/>
        </w:rPr>
        <w:t>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Arial" w:cs="Arial" w:eastAsia="Arial" w:hAnsi="Arial"/>
          <w:sz w:val="19"/>
          <w:szCs w:val="19"/>
          <w:u w:val="single" w:color="auto"/>
          <w:color w:val="auto"/>
        </w:rPr>
        <w:t>Successor Guarantor</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660" w:firstLine="1778"/>
        <w:spacing w:after="0" w:line="287" w:lineRule="auto"/>
        <w:tabs>
          <w:tab w:leader="none" w:pos="3273" w:val="left"/>
        </w:tabs>
        <w:numPr>
          <w:ilvl w:val="1"/>
          <w:numId w:val="239"/>
        </w:numPr>
        <w:rPr>
          <w:rFonts w:ascii="Arial" w:cs="Arial" w:eastAsia="Arial" w:hAnsi="Arial"/>
          <w:sz w:val="19"/>
          <w:szCs w:val="19"/>
          <w:color w:val="auto"/>
        </w:rPr>
      </w:pPr>
      <w:r>
        <w:rPr>
          <w:rFonts w:ascii="Arial" w:cs="Arial" w:eastAsia="Arial" w:hAnsi="Arial"/>
          <w:sz w:val="19"/>
          <w:szCs w:val="19"/>
          <w:color w:val="auto"/>
        </w:rPr>
        <w:t>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w:t>
      </w:r>
    </w:p>
    <w:p>
      <w:pPr>
        <w:spacing w:after="0" w:line="169" w:lineRule="exact"/>
        <w:rPr>
          <w:rFonts w:ascii="Arial" w:cs="Arial" w:eastAsia="Arial" w:hAnsi="Arial"/>
          <w:sz w:val="19"/>
          <w:szCs w:val="19"/>
          <w:color w:val="auto"/>
        </w:rPr>
      </w:pPr>
    </w:p>
    <w:p>
      <w:pPr>
        <w:jc w:val="both"/>
        <w:ind w:left="660" w:firstLine="1778"/>
        <w:spacing w:after="0" w:line="248" w:lineRule="auto"/>
        <w:tabs>
          <w:tab w:leader="none" w:pos="3306" w:val="left"/>
        </w:tabs>
        <w:numPr>
          <w:ilvl w:val="1"/>
          <w:numId w:val="239"/>
        </w:numPr>
        <w:rPr>
          <w:rFonts w:ascii="Arial" w:cs="Arial" w:eastAsia="Arial" w:hAnsi="Arial"/>
          <w:sz w:val="21"/>
          <w:szCs w:val="21"/>
          <w:color w:val="auto"/>
        </w:rPr>
      </w:pPr>
      <w:r>
        <w:rPr>
          <w:rFonts w:ascii="Arial" w:cs="Arial" w:eastAsia="Arial" w:hAnsi="Arial"/>
          <w:sz w:val="21"/>
          <w:szCs w:val="21"/>
          <w:color w:val="auto"/>
        </w:rPr>
        <w:t>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spacing w:after="0" w:line="203" w:lineRule="exact"/>
        <w:rPr>
          <w:rFonts w:ascii="Arial" w:cs="Arial" w:eastAsia="Arial" w:hAnsi="Arial"/>
          <w:sz w:val="21"/>
          <w:szCs w:val="21"/>
          <w:color w:val="auto"/>
        </w:rPr>
      </w:pPr>
    </w:p>
    <w:p>
      <w:pPr>
        <w:ind w:left="3240" w:hanging="802"/>
        <w:spacing w:after="0"/>
        <w:tabs>
          <w:tab w:leader="none" w:pos="324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transaction is not prohibited by Section 6.4.</w:t>
      </w:r>
    </w:p>
    <w:p>
      <w:pPr>
        <w:spacing w:after="0" w:line="233" w:lineRule="exact"/>
        <w:rPr>
          <w:rFonts w:ascii="Arial" w:cs="Arial" w:eastAsia="Arial" w:hAnsi="Arial"/>
          <w:sz w:val="22"/>
          <w:szCs w:val="22"/>
          <w:color w:val="auto"/>
        </w:rPr>
      </w:pPr>
    </w:p>
    <w:p>
      <w:pPr>
        <w:jc w:val="both"/>
        <w:ind w:firstLine="1952"/>
        <w:spacing w:after="0" w:line="236" w:lineRule="auto"/>
        <w:tabs>
          <w:tab w:leader="none" w:pos="270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Successor Guarantor will succeed to, and be substituted for, such Guarantor under this Agreement, the Equal Priority Intercreditor Agreement, any Junior Priority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jc w:val="both"/>
        <w:ind w:firstLine="1952"/>
        <w:spacing w:after="0" w:line="273" w:lineRule="auto"/>
        <w:tabs>
          <w:tab w:leader="none" w:pos="261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w:t>
      </w:r>
      <w:r>
        <w:rPr>
          <w:rFonts w:ascii="Arial" w:cs="Arial" w:eastAsia="Arial" w:hAnsi="Arial"/>
          <w:sz w:val="19"/>
          <w:szCs w:val="19"/>
          <w:u w:val="single" w:color="auto"/>
          <w:color w:val="auto"/>
        </w:rPr>
        <w:t>Section 6.9(c)</w:t>
      </w:r>
      <w:r>
        <w:rPr>
          <w:rFonts w:ascii="Arial" w:cs="Arial" w:eastAsia="Arial" w:hAnsi="Arial"/>
          <w:sz w:val="19"/>
          <w:szCs w:val="19"/>
          <w:color w:val="auto"/>
        </w:rPr>
        <w:t>.</w:t>
      </w:r>
    </w:p>
    <w:p>
      <w:pPr>
        <w:spacing w:after="0" w:line="188"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33" w:lineRule="exact"/>
        <w:rPr>
          <w:sz w:val="20"/>
          <w:szCs w:val="20"/>
          <w:color w:val="auto"/>
        </w:rPr>
      </w:pPr>
    </w:p>
    <w:p>
      <w:pPr>
        <w:ind w:firstLine="1952"/>
        <w:spacing w:after="0" w:line="328" w:lineRule="auto"/>
        <w:tabs>
          <w:tab w:leader="none" w:pos="2575"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Debt to Total Capitalization Ratio</w:t>
      </w:r>
      <w:r>
        <w:rPr>
          <w:rFonts w:ascii="Arial" w:cs="Arial" w:eastAsia="Arial" w:hAnsi="Arial"/>
          <w:sz w:val="19"/>
          <w:szCs w:val="19"/>
          <w:color w:val="auto"/>
        </w:rPr>
        <w:t>. The Borrower shall not permit the Debt to Total Capitalization Ratio for the Borrower and the Restricted Subsidiaries as of the last day of any Test Period to exceed 0.70 to 1.00.</w:t>
      </w:r>
    </w:p>
    <w:p>
      <w:pPr>
        <w:spacing w:after="0" w:line="131" w:lineRule="exact"/>
        <w:rPr>
          <w:rFonts w:ascii="Arial" w:cs="Arial" w:eastAsia="Arial" w:hAnsi="Arial"/>
          <w:sz w:val="19"/>
          <w:szCs w:val="19"/>
          <w:color w:val="auto"/>
        </w:rPr>
      </w:pPr>
    </w:p>
    <w:p>
      <w:pPr>
        <w:jc w:val="both"/>
        <w:ind w:firstLine="1952"/>
        <w:spacing w:after="0" w:line="236" w:lineRule="auto"/>
        <w:tabs>
          <w:tab w:leader="none" w:pos="2439"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Consolidated First Lien Debt Ratio</w:t>
      </w:r>
      <w:r>
        <w:rPr>
          <w:rFonts w:ascii="Arial" w:cs="Arial" w:eastAsia="Arial" w:hAnsi="Arial"/>
          <w:sz w:val="22"/>
          <w:szCs w:val="22"/>
          <w:color w:val="auto"/>
        </w:rPr>
        <w:t>. Commencing with the fiscal quarter ending December 31, 2021, if, as of the last Business Day of any Test Period, the Revolving Facility Usage is equal to or greater than 50%, the Borrower shall not permit the Consolidated First Lien Debt Ratio as of the last day of such Test Period to be greater than (i) 5.00 to 1.00, for the fiscal quarters ending December 31, 2021 through September 30, 2023 and (ii) 4.00 to 1.00, for the fiscal quarter ending December 31, 2023 and each fiscal quarter thereafter.</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EVENTS OF DEFAULT</w:t>
      </w:r>
    </w:p>
    <w:p>
      <w:pPr>
        <w:spacing w:after="0" w:line="233"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w:t>
      </w:r>
    </w:p>
    <w:p>
      <w:pPr>
        <w:spacing w:after="0" w:line="233" w:lineRule="exact"/>
        <w:rPr>
          <w:sz w:val="20"/>
          <w:szCs w:val="20"/>
          <w:color w:val="auto"/>
        </w:rPr>
      </w:pPr>
    </w:p>
    <w:p>
      <w:pPr>
        <w:ind w:left="2520" w:hanging="568"/>
        <w:spacing w:after="0"/>
        <w:tabs>
          <w:tab w:leader="none" w:pos="25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Each of the following events shall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33" w:lineRule="exact"/>
        <w:rPr>
          <w:sz w:val="20"/>
          <w:szCs w:val="20"/>
          <w:color w:val="auto"/>
        </w:rPr>
      </w:pPr>
    </w:p>
    <w:p>
      <w:pPr>
        <w:jc w:val="both"/>
        <w:ind w:left="1140" w:firstLine="812"/>
        <w:spacing w:after="0" w:line="238" w:lineRule="auto"/>
        <w:tabs>
          <w:tab w:leader="none" w:pos="258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when due in accordance with the terms hereof; or the Borrower shall fail to pay any interest on any Loan, or any other amount payable hereunder or under any other Loan Document, within 30 Business Days after any such interest or other amount becomes due in accordance with the terms hereof or thereof; or</w:t>
      </w:r>
    </w:p>
    <w:p>
      <w:pPr>
        <w:spacing w:after="0" w:line="211" w:lineRule="exact"/>
        <w:rPr>
          <w:rFonts w:ascii="Arial" w:cs="Arial" w:eastAsia="Arial" w:hAnsi="Arial"/>
          <w:sz w:val="22"/>
          <w:szCs w:val="22"/>
          <w:color w:val="auto"/>
        </w:rPr>
      </w:pPr>
    </w:p>
    <w:p>
      <w:pPr>
        <w:jc w:val="both"/>
        <w:ind w:left="1140" w:firstLine="812"/>
        <w:spacing w:after="0" w:line="252" w:lineRule="auto"/>
        <w:tabs>
          <w:tab w:leader="none" w:pos="2485" w:val="left"/>
        </w:tabs>
        <w:numPr>
          <w:ilvl w:val="1"/>
          <w:numId w:val="243"/>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200" w:lineRule="exact"/>
        <w:rPr>
          <w:rFonts w:ascii="Arial" w:cs="Arial" w:eastAsia="Arial" w:hAnsi="Arial"/>
          <w:sz w:val="21"/>
          <w:szCs w:val="21"/>
          <w:color w:val="auto"/>
        </w:rPr>
      </w:pPr>
    </w:p>
    <w:p>
      <w:pPr>
        <w:ind w:left="2500" w:hanging="548"/>
        <w:spacing w:after="0"/>
        <w:tabs>
          <w:tab w:leader="none" w:pos="250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any Loan Party shall default in the observance or performance of any agreement contained in clause</w:t>
      </w:r>
    </w:p>
    <w:p>
      <w:pPr>
        <w:spacing w:after="0" w:line="42" w:lineRule="exact"/>
        <w:rPr>
          <w:rFonts w:ascii="Arial" w:cs="Arial" w:eastAsia="Arial" w:hAnsi="Arial"/>
          <w:sz w:val="19"/>
          <w:szCs w:val="19"/>
          <w:color w:val="auto"/>
        </w:rPr>
      </w:pPr>
    </w:p>
    <w:p>
      <w:pPr>
        <w:ind w:left="1400" w:hanging="258"/>
        <w:spacing w:after="0"/>
        <w:tabs>
          <w:tab w:leader="none" w:pos="140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of Section 5.4(a) (with respect to the Borrower only), Section 5.7(a) or Section 6; or</w:t>
      </w:r>
    </w:p>
    <w:p>
      <w:pPr>
        <w:spacing w:after="0" w:line="215" w:lineRule="exact"/>
        <w:rPr>
          <w:rFonts w:ascii="Arial" w:cs="Arial" w:eastAsia="Arial" w:hAnsi="Arial"/>
          <w:sz w:val="22"/>
          <w:szCs w:val="22"/>
          <w:color w:val="auto"/>
        </w:rPr>
      </w:pPr>
    </w:p>
    <w:p>
      <w:pPr>
        <w:jc w:val="both"/>
        <w:ind w:left="1140" w:firstLine="812"/>
        <w:spacing w:after="0" w:line="245" w:lineRule="auto"/>
        <w:tabs>
          <w:tab w:leader="none" w:pos="2526" w:val="left"/>
        </w:tabs>
        <w:numPr>
          <w:ilvl w:val="1"/>
          <w:numId w:val="244"/>
        </w:numPr>
        <w:rPr>
          <w:rFonts w:ascii="Arial" w:cs="Arial" w:eastAsia="Arial" w:hAnsi="Arial"/>
          <w:sz w:val="21"/>
          <w:szCs w:val="21"/>
          <w:color w:val="auto"/>
        </w:rPr>
      </w:pPr>
      <w:r>
        <w:rPr>
          <w:rFonts w:ascii="Arial" w:cs="Arial" w:eastAsia="Arial" w:hAnsi="Arial"/>
          <w:sz w:val="21"/>
          <w:szCs w:val="21"/>
          <w:color w:val="auto"/>
        </w:rPr>
        <w:t xml:space="preserve">any Loan Party shall default in the observance or performance of any other agreement contained in this Agreement or any other Loan Document (other than as provided in paragraphs (1) through (3) of this Section 7.1(a)), and such default shall continue unremedied for a period of 60 days after the earlier of (i) the date on which a Responsible Officer of any Loan Party obtains knowledge of such default and (ii) the date on which the Borrower has received written notice of such default from the Administrative Agent, or if such default is of a nature that it cannot with reasonable effort be completely remedied within said period of 60 days, such additional period of time as may be reasonably necessary to cure same,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applicable Loan Party commences such cure within such 60 day period and diligently prosecutes same, until completion, but in no event shall such extended period exceed 90 days;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jc w:val="both"/>
        <w:ind w:left="20" w:firstLine="812"/>
        <w:spacing w:after="0" w:line="273" w:lineRule="auto"/>
        <w:tabs>
          <w:tab w:leader="none" w:pos="1365" w:val="left"/>
        </w:tabs>
        <w:numPr>
          <w:ilvl w:val="0"/>
          <w:numId w:val="245"/>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is issued or by which there is secured or evidenced any Indebtedness for money borrowed by the Borrower or any of its Restricted Subsidiaries or the payment of which is guaranteed by the Borrower or any of its Restricted Subsidiaries (other than (i) Indebtedness owed to the Borrower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Borrower or any Restricted Subsidiary and (iv) Indebtedness of a Restricted Subsidiary as to which the Borrower delivers to the Administrative Agent an Officer’s Certificate certifying a resolution adopted by the Borrower to the effect that the obligees of such Indebtedness have no recourse to the assets of the Borrower or any Guarantor), whether such Indebtedness or guarantee now exists or is created after the Closing Date, if both:</w:t>
      </w:r>
    </w:p>
    <w:p>
      <w:pPr>
        <w:spacing w:after="0" w:line="188" w:lineRule="exact"/>
        <w:rPr>
          <w:rFonts w:ascii="Arial" w:cs="Arial" w:eastAsia="Arial" w:hAnsi="Arial"/>
          <w:sz w:val="19"/>
          <w:szCs w:val="19"/>
          <w:color w:val="auto"/>
        </w:rPr>
      </w:pPr>
    </w:p>
    <w:p>
      <w:pPr>
        <w:jc w:val="both"/>
        <w:ind w:left="20" w:firstLine="1298"/>
        <w:spacing w:after="0" w:line="287" w:lineRule="auto"/>
        <w:tabs>
          <w:tab w:leader="none" w:pos="2208" w:val="left"/>
        </w:tabs>
        <w:numPr>
          <w:ilvl w:val="1"/>
          <w:numId w:val="245"/>
        </w:numPr>
        <w:rPr>
          <w:rFonts w:ascii="Arial" w:cs="Arial" w:eastAsia="Arial" w:hAnsi="Arial"/>
          <w:sz w:val="19"/>
          <w:szCs w:val="19"/>
          <w:color w:val="auto"/>
        </w:rPr>
      </w:pPr>
      <w:r>
        <w:rPr>
          <w:rFonts w:ascii="Arial" w:cs="Arial" w:eastAsia="Arial" w:hAnsi="Arial"/>
          <w:sz w:val="19"/>
          <w:szCs w:val="19"/>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169" w:lineRule="exact"/>
        <w:rPr>
          <w:rFonts w:ascii="Arial" w:cs="Arial" w:eastAsia="Arial" w:hAnsi="Arial"/>
          <w:sz w:val="19"/>
          <w:szCs w:val="19"/>
          <w:color w:val="auto"/>
        </w:rPr>
      </w:pPr>
    </w:p>
    <w:p>
      <w:pPr>
        <w:jc w:val="both"/>
        <w:ind w:left="20" w:firstLine="1298"/>
        <w:spacing w:after="0" w:line="248" w:lineRule="auto"/>
        <w:tabs>
          <w:tab w:leader="none" w:pos="2157" w:val="left"/>
        </w:tabs>
        <w:numPr>
          <w:ilvl w:val="1"/>
          <w:numId w:val="245"/>
        </w:numPr>
        <w:rPr>
          <w:rFonts w:ascii="Arial" w:cs="Arial" w:eastAsia="Arial" w:hAnsi="Arial"/>
          <w:sz w:val="21"/>
          <w:szCs w:val="21"/>
          <w:color w:val="auto"/>
        </w:rPr>
      </w:pPr>
      <w:r>
        <w:rPr>
          <w:rFonts w:ascii="Arial" w:cs="Arial" w:eastAsia="Arial" w:hAnsi="Arial"/>
          <w:sz w:val="21"/>
          <w:szCs w:val="21"/>
          <w:color w:val="auto"/>
        </w:rPr>
        <w:t xml:space="preserve">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such acceleration is being contested in good faith by appropriate proceedings promptly instituted and diligently concluded, then the Event of Default by reason thereof would not be deemed to have occurred until the conclusion of such proceedings;</w:t>
      </w:r>
    </w:p>
    <w:p>
      <w:pPr>
        <w:spacing w:after="0" w:line="203" w:lineRule="exact"/>
        <w:rPr>
          <w:rFonts w:ascii="Arial" w:cs="Arial" w:eastAsia="Arial" w:hAnsi="Arial"/>
          <w:sz w:val="21"/>
          <w:szCs w:val="21"/>
          <w:color w:val="auto"/>
        </w:rPr>
      </w:pPr>
    </w:p>
    <w:p>
      <w:pPr>
        <w:jc w:val="both"/>
        <w:ind w:left="20" w:firstLine="812"/>
        <w:spacing w:after="0" w:line="271" w:lineRule="auto"/>
        <w:tabs>
          <w:tab w:leader="none" w:pos="137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failure by the Borrower or any Restricted Subsidiary that is a Significant Subsidiary (other than any Receivables Subsidiary) (or group of Restricted Subsidiaries that 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provided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4" w:name="page185"/>
    <w:bookmarkEnd w:id="184"/>
    <w:p>
      <w:pPr>
        <w:jc w:val="both"/>
        <w:ind w:left="20" w:firstLine="812"/>
        <w:spacing w:after="0" w:line="238" w:lineRule="auto"/>
        <w:tabs>
          <w:tab w:leader="none" w:pos="1406" w:val="left"/>
        </w:tabs>
        <w:numPr>
          <w:ilvl w:val="1"/>
          <w:numId w:val="246"/>
        </w:numPr>
        <w:rPr>
          <w:rFonts w:ascii="Arial" w:cs="Arial" w:eastAsia="Arial" w:hAnsi="Arial"/>
          <w:sz w:val="22"/>
          <w:szCs w:val="22"/>
          <w:color w:val="auto"/>
        </w:rPr>
      </w:pPr>
      <w:r>
        <w:rPr>
          <w:rFonts w:ascii="Arial" w:cs="Arial" w:eastAsia="Arial" w:hAnsi="Arial"/>
          <w:sz w:val="22"/>
          <w:szCs w:val="22"/>
          <w:color w:val="auto"/>
        </w:rPr>
        <w:t>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pursuant to or within the meaning of any Bankruptcy Law:</w:t>
      </w:r>
    </w:p>
    <w:p>
      <w:pPr>
        <w:spacing w:after="0" w:line="212" w:lineRule="exact"/>
        <w:rPr>
          <w:rFonts w:ascii="Arial" w:cs="Arial" w:eastAsia="Arial" w:hAnsi="Arial"/>
          <w:sz w:val="22"/>
          <w:szCs w:val="22"/>
          <w:color w:val="auto"/>
        </w:rPr>
      </w:pPr>
    </w:p>
    <w:p>
      <w:pPr>
        <w:ind w:left="2120" w:hanging="802"/>
        <w:spacing w:after="0"/>
        <w:tabs>
          <w:tab w:leader="none" w:pos="2120" w:val="left"/>
        </w:tabs>
        <w:numPr>
          <w:ilvl w:val="2"/>
          <w:numId w:val="246"/>
        </w:numPr>
        <w:rPr>
          <w:rFonts w:ascii="Arial" w:cs="Arial" w:eastAsia="Arial" w:hAnsi="Arial"/>
          <w:sz w:val="22"/>
          <w:szCs w:val="22"/>
          <w:color w:val="auto"/>
        </w:rPr>
      </w:pPr>
      <w:r>
        <w:rPr>
          <w:rFonts w:ascii="Arial" w:cs="Arial" w:eastAsia="Arial" w:hAnsi="Arial"/>
          <w:sz w:val="22"/>
          <w:szCs w:val="22"/>
          <w:color w:val="auto"/>
        </w:rPr>
        <w:t>commences proceedings to be adjudicated bankrupt or insolvent;</w:t>
      </w:r>
    </w:p>
    <w:p>
      <w:pPr>
        <w:spacing w:after="0" w:line="233" w:lineRule="exact"/>
        <w:rPr>
          <w:rFonts w:ascii="Arial" w:cs="Arial" w:eastAsia="Arial" w:hAnsi="Arial"/>
          <w:sz w:val="22"/>
          <w:szCs w:val="22"/>
          <w:color w:val="auto"/>
        </w:rPr>
      </w:pPr>
    </w:p>
    <w:p>
      <w:pPr>
        <w:ind w:left="840" w:firstLine="478"/>
        <w:spacing w:after="0" w:line="328" w:lineRule="auto"/>
        <w:tabs>
          <w:tab w:leader="none" w:pos="2224" w:val="left"/>
        </w:tabs>
        <w:numPr>
          <w:ilvl w:val="2"/>
          <w:numId w:val="246"/>
        </w:numPr>
        <w:rPr>
          <w:rFonts w:ascii="Arial" w:cs="Arial" w:eastAsia="Arial" w:hAnsi="Arial"/>
          <w:sz w:val="19"/>
          <w:szCs w:val="19"/>
          <w:color w:val="auto"/>
        </w:rPr>
      </w:pPr>
      <w:r>
        <w:rPr>
          <w:rFonts w:ascii="Arial" w:cs="Arial" w:eastAsia="Arial" w:hAnsi="Arial"/>
          <w:sz w:val="19"/>
          <w:szCs w:val="19"/>
          <w:color w:val="auto"/>
        </w:rPr>
        <w:t>consents to the institution of bankruptcy or insolvency proceedings against it, or the filing by it of a petition or answer or consent seeking reorganization or relief under applicable Bankruptcy Law;</w:t>
      </w:r>
    </w:p>
    <w:p>
      <w:pPr>
        <w:spacing w:after="0" w:line="131" w:lineRule="exact"/>
        <w:rPr>
          <w:rFonts w:ascii="Arial" w:cs="Arial" w:eastAsia="Arial" w:hAnsi="Arial"/>
          <w:sz w:val="19"/>
          <w:szCs w:val="19"/>
          <w:color w:val="auto"/>
        </w:rPr>
      </w:pPr>
    </w:p>
    <w:p>
      <w:pPr>
        <w:ind w:left="840" w:firstLine="478"/>
        <w:spacing w:after="0" w:line="250" w:lineRule="auto"/>
        <w:tabs>
          <w:tab w:leader="none" w:pos="2176" w:val="left"/>
        </w:tabs>
        <w:numPr>
          <w:ilvl w:val="2"/>
          <w:numId w:val="246"/>
        </w:numPr>
        <w:rPr>
          <w:rFonts w:ascii="Arial" w:cs="Arial" w:eastAsia="Arial" w:hAnsi="Arial"/>
          <w:sz w:val="22"/>
          <w:szCs w:val="22"/>
          <w:color w:val="auto"/>
        </w:rPr>
      </w:pPr>
      <w:r>
        <w:rPr>
          <w:rFonts w:ascii="Arial" w:cs="Arial" w:eastAsia="Arial" w:hAnsi="Arial"/>
          <w:sz w:val="22"/>
          <w:szCs w:val="22"/>
          <w:color w:val="auto"/>
        </w:rPr>
        <w:t>consents to the appointment of a receiver, liquidator, assignee, trustee, sequestrator or other similar official of it or for all or substantially all of its property;</w:t>
      </w:r>
    </w:p>
    <w:p>
      <w:pPr>
        <w:spacing w:after="0" w:line="201" w:lineRule="exact"/>
        <w:rPr>
          <w:rFonts w:ascii="Arial" w:cs="Arial" w:eastAsia="Arial" w:hAnsi="Arial"/>
          <w:sz w:val="22"/>
          <w:szCs w:val="22"/>
          <w:color w:val="auto"/>
        </w:rPr>
      </w:pPr>
    </w:p>
    <w:p>
      <w:pPr>
        <w:ind w:left="2160" w:hanging="842"/>
        <w:spacing w:after="0"/>
        <w:tabs>
          <w:tab w:leader="none" w:pos="2160" w:val="left"/>
        </w:tabs>
        <w:numPr>
          <w:ilvl w:val="2"/>
          <w:numId w:val="246"/>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820" w:hanging="798"/>
        <w:spacing w:after="0"/>
        <w:tabs>
          <w:tab w:leader="none" w:pos="82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makes an admission in writing of its inability generally to pay its debts as they become due; or</w:t>
      </w:r>
    </w:p>
    <w:p>
      <w:pPr>
        <w:spacing w:after="0" w:line="233" w:lineRule="exact"/>
        <w:rPr>
          <w:rFonts w:ascii="Arial" w:cs="Arial" w:eastAsia="Arial" w:hAnsi="Arial"/>
          <w:sz w:val="22"/>
          <w:szCs w:val="22"/>
          <w:color w:val="auto"/>
        </w:rPr>
      </w:pPr>
    </w:p>
    <w:p>
      <w:pPr>
        <w:ind w:left="1400" w:hanging="568"/>
        <w:spacing w:after="0"/>
        <w:tabs>
          <w:tab w:leader="none" w:pos="140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a court of competent jurisdiction enters an order or decree under any Bankruptcy Law that:</w:t>
      </w:r>
    </w:p>
    <w:p>
      <w:pPr>
        <w:spacing w:after="0" w:line="244" w:lineRule="exact"/>
        <w:rPr>
          <w:rFonts w:ascii="Arial" w:cs="Arial" w:eastAsia="Arial" w:hAnsi="Arial"/>
          <w:sz w:val="21"/>
          <w:szCs w:val="21"/>
          <w:color w:val="auto"/>
        </w:rPr>
      </w:pPr>
    </w:p>
    <w:p>
      <w:pPr>
        <w:jc w:val="both"/>
        <w:ind w:left="20" w:firstLine="1298"/>
        <w:spacing w:after="0" w:line="277" w:lineRule="auto"/>
        <w:tabs>
          <w:tab w:leader="none" w:pos="2168" w:val="left"/>
        </w:tabs>
        <w:numPr>
          <w:ilvl w:val="2"/>
          <w:numId w:val="247"/>
        </w:numPr>
        <w:rPr>
          <w:rFonts w:ascii="Arial" w:cs="Arial" w:eastAsia="Arial" w:hAnsi="Arial"/>
          <w:sz w:val="19"/>
          <w:szCs w:val="19"/>
          <w:color w:val="auto"/>
        </w:rPr>
      </w:pPr>
      <w:r>
        <w:rPr>
          <w:rFonts w:ascii="Arial" w:cs="Arial" w:eastAsia="Arial" w:hAnsi="Arial"/>
          <w:sz w:val="19"/>
          <w:szCs w:val="19"/>
          <w:color w:val="auto"/>
        </w:rPr>
        <w:t>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w:t>
      </w:r>
    </w:p>
    <w:p>
      <w:pPr>
        <w:spacing w:after="0" w:line="178" w:lineRule="exact"/>
        <w:rPr>
          <w:rFonts w:ascii="Arial" w:cs="Arial" w:eastAsia="Arial" w:hAnsi="Arial"/>
          <w:sz w:val="19"/>
          <w:szCs w:val="19"/>
          <w:color w:val="auto"/>
        </w:rPr>
      </w:pPr>
    </w:p>
    <w:p>
      <w:pPr>
        <w:jc w:val="both"/>
        <w:ind w:left="20" w:firstLine="1298"/>
        <w:spacing w:after="0" w:line="246" w:lineRule="auto"/>
        <w:tabs>
          <w:tab w:leader="none" w:pos="2187" w:val="left"/>
        </w:tabs>
        <w:numPr>
          <w:ilvl w:val="2"/>
          <w:numId w:val="247"/>
        </w:numPr>
        <w:rPr>
          <w:rFonts w:ascii="Arial" w:cs="Arial" w:eastAsia="Arial" w:hAnsi="Arial"/>
          <w:sz w:val="21"/>
          <w:szCs w:val="21"/>
          <w:color w:val="auto"/>
        </w:rPr>
      </w:pPr>
      <w:r>
        <w:rPr>
          <w:rFonts w:ascii="Arial" w:cs="Arial" w:eastAsia="Arial" w:hAnsi="Arial"/>
          <w:sz w:val="21"/>
          <w:szCs w:val="21"/>
          <w:color w:val="auto"/>
        </w:rPr>
        <w:t>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property of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or</w:t>
      </w:r>
    </w:p>
    <w:p>
      <w:pPr>
        <w:spacing w:after="0" w:line="206" w:lineRule="exact"/>
        <w:rPr>
          <w:rFonts w:ascii="Arial" w:cs="Arial" w:eastAsia="Arial" w:hAnsi="Arial"/>
          <w:sz w:val="21"/>
          <w:szCs w:val="21"/>
          <w:color w:val="auto"/>
        </w:rPr>
      </w:pPr>
    </w:p>
    <w:p>
      <w:pPr>
        <w:jc w:val="both"/>
        <w:ind w:left="20" w:firstLine="1298"/>
        <w:spacing w:after="0" w:line="236" w:lineRule="auto"/>
        <w:tabs>
          <w:tab w:leader="none" w:pos="2396" w:val="left"/>
        </w:tabs>
        <w:numPr>
          <w:ilvl w:val="2"/>
          <w:numId w:val="247"/>
        </w:numPr>
        <w:rPr>
          <w:rFonts w:ascii="Arial" w:cs="Arial" w:eastAsia="Arial" w:hAnsi="Arial"/>
          <w:sz w:val="22"/>
          <w:szCs w:val="22"/>
          <w:color w:val="auto"/>
        </w:rPr>
      </w:pPr>
      <w:r>
        <w:rPr>
          <w:rFonts w:ascii="Arial" w:cs="Arial" w:eastAsia="Arial" w:hAnsi="Arial"/>
          <w:sz w:val="22"/>
          <w:szCs w:val="22"/>
          <w:color w:val="auto"/>
        </w:rPr>
        <w:t>orders the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or</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5" w:name="page186"/>
    <w:bookmarkEnd w:id="185"/>
    <w:p>
      <w:pPr>
        <w:jc w:val="both"/>
        <w:ind w:left="1140" w:firstLine="812"/>
        <w:spacing w:after="0" w:line="272" w:lineRule="auto"/>
        <w:tabs>
          <w:tab w:leader="none" w:pos="252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1140" w:firstLine="812"/>
        <w:spacing w:after="0" w:line="275" w:lineRule="auto"/>
        <w:tabs>
          <w:tab w:leader="none" w:pos="2472"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 the Liens created by the Security Documents shall at any time not constitute a valid and perfected Lien on any material portion of the Collateral intended to be covered thereby (unless perfection is not required by this Agreement or the Security Documents) other than (A) in accordance with the terms of the relevant Security Document and this Agreement, (B) as a result of the satisfaction of the Termination Conditions or (C) any loss of perfection that results from the failure of the Controlling Authorized Representative or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Administrative Agent or the Required Lenders; or</w:t>
      </w:r>
    </w:p>
    <w:p>
      <w:pPr>
        <w:spacing w:after="0" w:line="184" w:lineRule="exact"/>
        <w:rPr>
          <w:rFonts w:ascii="Arial" w:cs="Arial" w:eastAsia="Arial" w:hAnsi="Arial"/>
          <w:sz w:val="19"/>
          <w:szCs w:val="19"/>
          <w:color w:val="auto"/>
        </w:rPr>
      </w:pPr>
    </w:p>
    <w:p>
      <w:pPr>
        <w:jc w:val="both"/>
        <w:ind w:left="1140" w:firstLine="812"/>
        <w:spacing w:after="0" w:line="235" w:lineRule="auto"/>
        <w:tabs>
          <w:tab w:leader="none" w:pos="246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Guarantee of any Guarantor that is a Significant Subsidiary (or group of Guarantors that together (as determined as of the most recent consolidated 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w:t>
      </w:r>
    </w:p>
    <w:p>
      <w:pPr>
        <w:spacing w:after="0" w:line="214" w:lineRule="exact"/>
        <w:rPr>
          <w:rFonts w:ascii="Arial" w:cs="Arial" w:eastAsia="Arial" w:hAnsi="Arial"/>
          <w:sz w:val="22"/>
          <w:szCs w:val="22"/>
          <w:color w:val="auto"/>
        </w:rPr>
      </w:pPr>
    </w:p>
    <w:p>
      <w:pPr>
        <w:jc w:val="both"/>
        <w:ind w:left="1140" w:firstLine="812"/>
        <w:spacing w:after="0" w:line="277" w:lineRule="auto"/>
        <w:tabs>
          <w:tab w:leader="none" w:pos="255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Borrower or any Guarantor that is a Significant Subsidiary (or any group of Guarantors that together (as determined as of the most recent consolidated 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w:t>
      </w:r>
    </w:p>
    <w:p>
      <w:pPr>
        <w:spacing w:after="0" w:line="178" w:lineRule="exact"/>
        <w:rPr>
          <w:rFonts w:ascii="Arial" w:cs="Arial" w:eastAsia="Arial" w:hAnsi="Arial"/>
          <w:sz w:val="19"/>
          <w:szCs w:val="19"/>
          <w:color w:val="auto"/>
        </w:rPr>
      </w:pPr>
    </w:p>
    <w:p>
      <w:pPr>
        <w:ind w:left="2480" w:hanging="528"/>
        <w:spacing w:after="0"/>
        <w:tabs>
          <w:tab w:leader="none" w:pos="248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Change of Control shall occur.</w:t>
      </w:r>
    </w:p>
    <w:p>
      <w:pPr>
        <w:spacing w:after="0" w:line="233" w:lineRule="exact"/>
        <w:rPr>
          <w:sz w:val="20"/>
          <w:szCs w:val="20"/>
          <w:color w:val="auto"/>
        </w:rPr>
      </w:pPr>
    </w:p>
    <w:p>
      <w:pPr>
        <w:jc w:val="both"/>
        <w:ind w:firstLine="1952"/>
        <w:spacing w:after="0" w:line="244" w:lineRule="auto"/>
        <w:tabs>
          <w:tab w:leader="none" w:pos="2547" w:val="left"/>
        </w:tabs>
        <w:numPr>
          <w:ilvl w:val="0"/>
          <w:numId w:val="249"/>
        </w:numPr>
        <w:rPr>
          <w:rFonts w:ascii="Arial" w:cs="Arial" w:eastAsia="Arial" w:hAnsi="Arial"/>
          <w:sz w:val="21"/>
          <w:szCs w:val="21"/>
          <w:color w:val="auto"/>
        </w:rPr>
      </w:pPr>
      <w:r>
        <w:rPr>
          <w:rFonts w:ascii="Arial" w:cs="Arial" w:eastAsia="Arial" w:hAnsi="Arial"/>
          <w:sz w:val="21"/>
          <w:szCs w:val="21"/>
          <w:color w:val="auto"/>
        </w:rPr>
        <w:t>If any Event of Default shall have occurred and be continuing, then, and in any such event, (A) if such event is an Event of Default specified in Section 7.1(a)(7) or Section 7.1(a)(8), with respect to the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with the consent of the Required Lenders, the Administrative Agent may, or upon the request of the Required Lenders, the Administrative Agent shall, by notice to the Borrower, declare (i) the Commitment of each Lender to make Loans and any obligation of each Issuing Bank to issue Letters of Credit to be terminated, whereupon such Commitments and obligation shall be terminated and (ii) the Loans hereunder (with accrued interest thereon) and all other amounts owing under this Agreement and the other Loan Documents to be due and payable forthwith, whereupon the same shall immediately become due and payable.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both"/>
        <w:ind w:firstLine="1952"/>
        <w:spacing w:after="0" w:line="238" w:lineRule="auto"/>
        <w:tabs>
          <w:tab w:leader="none" w:pos="2548"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In the event of any Event of Default specified in Section 7.1(a)(5),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30 days after such Event of Default arose:</w:t>
      </w:r>
    </w:p>
    <w:p>
      <w:pPr>
        <w:spacing w:after="0" w:line="212" w:lineRule="exact"/>
        <w:rPr>
          <w:rFonts w:ascii="Arial" w:cs="Arial" w:eastAsia="Arial" w:hAnsi="Arial"/>
          <w:sz w:val="22"/>
          <w:szCs w:val="22"/>
          <w:color w:val="auto"/>
        </w:rPr>
      </w:pPr>
    </w:p>
    <w:p>
      <w:pPr>
        <w:ind w:left="4020" w:hanging="934"/>
        <w:spacing w:after="0"/>
        <w:tabs>
          <w:tab w:leader="none" w:pos="402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the Indebtedness or guarantee that is the basis for such Event of Default has been</w:t>
      </w:r>
    </w:p>
    <w:p>
      <w:pPr>
        <w:spacing w:after="0" w:line="42"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discharged; or</w:t>
      </w:r>
    </w:p>
    <w:p>
      <w:pPr>
        <w:spacing w:after="0" w:line="215" w:lineRule="exact"/>
        <w:rPr>
          <w:rFonts w:ascii="Arial" w:cs="Arial" w:eastAsia="Arial" w:hAnsi="Arial"/>
          <w:sz w:val="19"/>
          <w:szCs w:val="19"/>
          <w:color w:val="auto"/>
        </w:rPr>
      </w:pPr>
    </w:p>
    <w:p>
      <w:pPr>
        <w:ind w:left="1960" w:firstLine="1126"/>
        <w:spacing w:after="0" w:line="250" w:lineRule="auto"/>
        <w:tabs>
          <w:tab w:leader="none" w:pos="4075"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requisite holders thereof have rescinded or waived the acceleration, notice or action (as the case may be) giving rise to such Event of Default; or</w:t>
      </w:r>
    </w:p>
    <w:p>
      <w:pPr>
        <w:spacing w:after="0" w:line="201" w:lineRule="exact"/>
        <w:rPr>
          <w:rFonts w:ascii="Arial" w:cs="Arial" w:eastAsia="Arial" w:hAnsi="Arial"/>
          <w:sz w:val="22"/>
          <w:szCs w:val="22"/>
          <w:color w:val="auto"/>
        </w:rPr>
      </w:pPr>
    </w:p>
    <w:p>
      <w:pPr>
        <w:ind w:left="3880" w:hanging="794"/>
        <w:spacing w:after="0"/>
        <w:tabs>
          <w:tab w:leader="none" w:pos="388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default that is the basis for such Event of Default has been cured;</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foregoing shall not apply (A) to the failure to provide notice of a Default or Event of Default resulting</w:t>
      </w:r>
      <w:r>
        <w:rPr>
          <w:rFonts w:ascii="Arial" w:cs="Arial" w:eastAsia="Arial" w:hAnsi="Arial"/>
          <w:sz w:val="21"/>
          <w:szCs w:val="21"/>
          <w:i w:val="1"/>
          <w:iCs w:val="1"/>
          <w:color w:val="auto"/>
        </w:rPr>
        <w:t xml:space="preserve"> </w:t>
      </w:r>
      <w:r>
        <w:rPr>
          <w:rFonts w:ascii="Arial" w:cs="Arial" w:eastAsia="Arial" w:hAnsi="Arial"/>
          <w:sz w:val="21"/>
          <w:szCs w:val="21"/>
          <w:color w:val="auto"/>
        </w:rPr>
        <w:t>from taking such prohibited action, (B) following the acceleration of the Loans and all other amounts due under this Agreement pursuant to Section 7.1(b) or (C) following receipt by the Borrower of written notice from the Required Lenders of any Default or Event of Default in respect of which the Required Lenders have expressly reserved their rights.</w:t>
      </w:r>
    </w:p>
    <w:p>
      <w:pPr>
        <w:spacing w:after="0" w:line="201"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Application of Proceeds</w:t>
      </w:r>
      <w:r>
        <w:rPr>
          <w:rFonts w:ascii="Arial" w:cs="Arial" w:eastAsia="Arial" w:hAnsi="Arial"/>
          <w:sz w:val="22"/>
          <w:szCs w:val="22"/>
          <w:color w:val="auto"/>
        </w:rPr>
        <w:t>. Subject to the terms of the Equal Priority Intercreditor Agreement, all proceeds collected by the Collateral Agent upon any collection, sale, foreclosure or other realization upon any Collateral (including any distribution pursuant to a plan of reorganization), including any Collateral consisting of cash, shall be applied as follows:</w:t>
      </w:r>
    </w:p>
    <w:p>
      <w:pPr>
        <w:spacing w:after="0" w:line="212" w:lineRule="exact"/>
        <w:rPr>
          <w:sz w:val="20"/>
          <w:szCs w:val="20"/>
          <w:color w:val="auto"/>
        </w:rPr>
      </w:pPr>
    </w:p>
    <w:p>
      <w:pPr>
        <w:jc w:val="both"/>
        <w:ind w:left="660" w:firstLine="486"/>
        <w:spacing w:after="0" w:line="246" w:lineRule="auto"/>
        <w:rPr>
          <w:sz w:val="20"/>
          <w:szCs w:val="20"/>
          <w:color w:val="auto"/>
        </w:rPr>
      </w:pPr>
      <w:r>
        <w:rPr>
          <w:rFonts w:ascii="Arial" w:cs="Arial" w:eastAsia="Arial" w:hAnsi="Arial"/>
          <w:sz w:val="21"/>
          <w:szCs w:val="21"/>
          <w:color w:val="auto"/>
        </w:rPr>
        <w:t>FIRST, to the payment of all costs and expenses incurred by the Administrative Agent or the Collateral Agent (in their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or the Collateral Agent hereunder or under any other Loan Document on behalf of any Loan Party and any other costs or expenses incurred in connection with the exercise of any right or remedy hereunder or under any other Loan Document;</w:t>
      </w:r>
    </w:p>
    <w:p>
      <w:pPr>
        <w:spacing w:after="0" w:line="211" w:lineRule="exact"/>
        <w:rPr>
          <w:sz w:val="20"/>
          <w:szCs w:val="20"/>
          <w:color w:val="auto"/>
        </w:rPr>
      </w:pPr>
    </w:p>
    <w:p>
      <w:pPr>
        <w:jc w:val="both"/>
        <w:ind w:left="660" w:firstLine="486"/>
        <w:spacing w:after="0" w:line="328" w:lineRule="auto"/>
        <w:rPr>
          <w:sz w:val="20"/>
          <w:szCs w:val="20"/>
          <w:color w:val="auto"/>
        </w:rPr>
      </w:pPr>
      <w:r>
        <w:rPr>
          <w:rFonts w:ascii="Arial" w:cs="Arial" w:eastAsia="Arial" w:hAnsi="Arial"/>
          <w:sz w:val="19"/>
          <w:szCs w:val="19"/>
          <w:color w:val="auto"/>
        </w:rPr>
        <w:t>SECOND, to the payment in full of all Obligations (the amounts so applied to be distributed among the Secured Parties pro rata in accordance with the amounts of the Obligations owed to them on the date of any such distribution);</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THIRD, to the Loan Parties, their successors or assigns, or as a court of competent jurisdiction may otherwise direct.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both"/>
        <w:ind w:firstLine="648"/>
        <w:spacing w:after="0" w:line="274" w:lineRule="auto"/>
        <w:rPr>
          <w:sz w:val="20"/>
          <w:szCs w:val="20"/>
          <w:color w:val="auto"/>
        </w:rPr>
      </w:pPr>
      <w:r>
        <w:rPr>
          <w:rFonts w:ascii="Arial" w:cs="Arial" w:eastAsia="Arial" w:hAnsi="Arial"/>
          <w:sz w:val="19"/>
          <w:szCs w:val="19"/>
          <w:color w:val="auto"/>
        </w:rPr>
        <w:t xml:space="preserve">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apply any cash distribution in accordance with this Section 7.2 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1"/>
          <w:szCs w:val="21"/>
          <w:u w:val="single" w:color="auto"/>
          <w:color w:val="auto"/>
        </w:rPr>
        <w:t>THE ADMINISTRATIVE AGENT AND THE COLLATERAL AGENT.</w:t>
      </w:r>
    </w:p>
    <w:p>
      <w:pPr>
        <w:spacing w:after="0" w:line="233"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46" w:lineRule="auto"/>
        <w:tabs>
          <w:tab w:leader="none" w:pos="268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nor any other Loan Party shall have rights as a third party beneficiary of any of such provisions (except as provided in Section 8.6 below).</w:t>
      </w:r>
    </w:p>
    <w:p>
      <w:pPr>
        <w:spacing w:after="0" w:line="211" w:lineRule="exact"/>
        <w:rPr>
          <w:rFonts w:ascii="Arial" w:cs="Arial" w:eastAsia="Arial" w:hAnsi="Arial"/>
          <w:sz w:val="21"/>
          <w:szCs w:val="21"/>
          <w:color w:val="auto"/>
        </w:rPr>
      </w:pPr>
    </w:p>
    <w:p>
      <w:pPr>
        <w:jc w:val="both"/>
        <w:ind w:firstLine="1952"/>
        <w:spacing w:after="0" w:line="245" w:lineRule="auto"/>
        <w:tabs>
          <w:tab w:leader="none" w:pos="256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MSSF shall also act as the Collateral Agent hereunder and under the other Loan Documents, and each of the Lenders and the Issuing Banks hereby irrevocably appoints and authorizes MSSF act as the Collateral Agent of such Lender or such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and any co-agents, sub-agents and attorneys-in-fact appointed by the Collateral Agent pursuant to Section 8.5 for purposes of holding or enforcing any Lien on the Collateral (or any portion thereof) granted under the Security Documents, or for exercising any rights and remedies thereunder at the direction of the Collateral Agent, shall be entitled to the benefits of all provisions of this Section 8 and Section 9 (including Section 9.5(c), as though such co-agents, sub-agents and attorneys-in-fact were the Collateral Agent under the Loan Documents) as if set forth in full herein with respect thereto.</w:t>
      </w:r>
    </w:p>
    <w:p>
      <w:pPr>
        <w:spacing w:after="0" w:line="207" w:lineRule="exact"/>
        <w:rPr>
          <w:rFonts w:ascii="Arial" w:cs="Arial" w:eastAsia="Arial" w:hAnsi="Arial"/>
          <w:sz w:val="21"/>
          <w:szCs w:val="21"/>
          <w:color w:val="auto"/>
        </w:rPr>
      </w:pPr>
    </w:p>
    <w:p>
      <w:pPr>
        <w:jc w:val="both"/>
        <w:ind w:firstLine="1952"/>
        <w:spacing w:after="0" w:line="287" w:lineRule="auto"/>
        <w:tabs>
          <w:tab w:leader="none" w:pos="245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the Issuing Banks.</w:t>
      </w:r>
    </w:p>
    <w:p>
      <w:pPr>
        <w:spacing w:after="0" w:line="214"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The Agents shall not have any duties or obligations except those expressly set forth herein and in the other Loan Documents, and its duties hereunder shall be administrative in nature. Without limiting the generality of the foregoing, the Agents: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ind w:left="2640" w:hanging="688"/>
        <w:spacing w:after="0"/>
        <w:tabs>
          <w:tab w:leader="none" w:pos="26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occurred and is continuing;</w:t>
      </w:r>
    </w:p>
    <w:p>
      <w:pPr>
        <w:spacing w:after="0" w:line="215" w:lineRule="exact"/>
        <w:rPr>
          <w:rFonts w:ascii="Arial" w:cs="Arial" w:eastAsia="Arial" w:hAnsi="Arial"/>
          <w:sz w:val="19"/>
          <w:szCs w:val="19"/>
          <w:color w:val="auto"/>
        </w:rPr>
      </w:pPr>
    </w:p>
    <w:p>
      <w:pPr>
        <w:jc w:val="both"/>
        <w:ind w:firstLine="1952"/>
        <w:spacing w:after="0" w:line="246" w:lineRule="auto"/>
        <w:tabs>
          <w:tab w:leader="none" w:pos="2479"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except discretionary rights and powers expressly contemplated hereby or by the other Loan Documents that the applicable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6" w:lineRule="exact"/>
        <w:rPr>
          <w:rFonts w:ascii="Arial" w:cs="Arial" w:eastAsia="Arial" w:hAnsi="Arial"/>
          <w:sz w:val="21"/>
          <w:szCs w:val="21"/>
          <w:color w:val="auto"/>
        </w:rPr>
      </w:pPr>
    </w:p>
    <w:p>
      <w:pPr>
        <w:jc w:val="both"/>
        <w:ind w:firstLine="1952"/>
        <w:spacing w:after="0" w:line="257" w:lineRule="auto"/>
        <w:tabs>
          <w:tab w:leader="none" w:pos="260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Affiliates in any capacity;</w:t>
      </w:r>
    </w:p>
    <w:p>
      <w:pPr>
        <w:spacing w:after="0" w:line="196" w:lineRule="exact"/>
        <w:rPr>
          <w:rFonts w:ascii="Arial" w:cs="Arial" w:eastAsia="Arial" w:hAnsi="Arial"/>
          <w:sz w:val="21"/>
          <w:szCs w:val="21"/>
          <w:color w:val="auto"/>
        </w:rPr>
      </w:pPr>
    </w:p>
    <w:p>
      <w:pPr>
        <w:jc w:val="both"/>
        <w:ind w:firstLine="1952"/>
        <w:spacing w:after="0" w:line="248" w:lineRule="auto"/>
        <w:tabs>
          <w:tab w:leader="none" w:pos="2493" w:val="left"/>
        </w:tabs>
        <w:numPr>
          <w:ilvl w:val="0"/>
          <w:numId w:val="252"/>
        </w:numPr>
        <w:rPr>
          <w:rFonts w:ascii="Arial" w:cs="Arial" w:eastAsia="Arial" w:hAnsi="Arial"/>
          <w:sz w:val="21"/>
          <w:szCs w:val="21"/>
          <w:color w:val="auto"/>
        </w:rPr>
      </w:pPr>
      <w:r>
        <w:rPr>
          <w:rFonts w:ascii="Arial" w:cs="Arial" w:eastAsia="Arial" w:hAnsi="Arial"/>
          <w:sz w:val="21"/>
          <w:szCs w:val="21"/>
          <w:color w:val="auto"/>
        </w:rPr>
        <w:t>shall not be liable for any action taken or not taken by it (i) with the consent or at the request of the Required Lenders (or such other number or percentage of the Lenders as shall be necessary, or as the Agents shall believe in good faith shall be necessary, under the circumstances as provided in Sections 9.1 and 7.1) or (ii) 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a Lender or an Issuing Bank;</w:t>
      </w:r>
    </w:p>
    <w:p>
      <w:pPr>
        <w:spacing w:after="0" w:line="203" w:lineRule="exact"/>
        <w:rPr>
          <w:rFonts w:ascii="Arial" w:cs="Arial" w:eastAsia="Arial" w:hAnsi="Arial"/>
          <w:sz w:val="21"/>
          <w:szCs w:val="21"/>
          <w:color w:val="auto"/>
        </w:rPr>
      </w:pPr>
    </w:p>
    <w:p>
      <w:pPr>
        <w:jc w:val="both"/>
        <w:ind w:firstLine="1952"/>
        <w:spacing w:after="0" w:line="272" w:lineRule="auto"/>
        <w:tabs>
          <w:tab w:leader="none" w:pos="254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Agents;</w:t>
      </w:r>
    </w:p>
    <w:p>
      <w:pPr>
        <w:spacing w:after="0" w:line="182" w:lineRule="exact"/>
        <w:rPr>
          <w:rFonts w:ascii="Arial" w:cs="Arial" w:eastAsia="Arial" w:hAnsi="Arial"/>
          <w:sz w:val="19"/>
          <w:szCs w:val="19"/>
          <w:color w:val="auto"/>
        </w:rPr>
      </w:pPr>
    </w:p>
    <w:p>
      <w:pPr>
        <w:ind w:left="2540" w:hanging="588"/>
        <w:spacing w:after="0"/>
        <w:tabs>
          <w:tab w:leader="none" w:pos="25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shall not be required to qualify in any jurisdiction in which it is not presently qualified to perform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obligations as an Agent;</w:t>
      </w:r>
    </w:p>
    <w:p>
      <w:pPr>
        <w:spacing w:after="0" w:line="215" w:lineRule="exact"/>
        <w:rPr>
          <w:rFonts w:ascii="Arial" w:cs="Arial" w:eastAsia="Arial" w:hAnsi="Arial"/>
          <w:sz w:val="19"/>
          <w:szCs w:val="19"/>
          <w:color w:val="auto"/>
        </w:rPr>
      </w:pPr>
    </w:p>
    <w:p>
      <w:pPr>
        <w:jc w:val="both"/>
        <w:ind w:firstLine="1952"/>
        <w:spacing w:after="0" w:line="282" w:lineRule="auto"/>
        <w:tabs>
          <w:tab w:leader="none" w:pos="247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both"/>
        <w:ind w:firstLine="1952"/>
        <w:spacing w:after="0" w:line="235" w:lineRule="auto"/>
        <w:tabs>
          <w:tab w:leader="none" w:pos="260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or Issuing Bank shall assert, and each Lender and each Issuing Bank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w:t>
      </w:r>
    </w:p>
    <w:p>
      <w:pPr>
        <w:spacing w:after="0" w:line="184"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8.4 </w:t>
      </w:r>
      <w:r>
        <w:rPr>
          <w:rFonts w:ascii="Arial" w:cs="Arial" w:eastAsia="Arial" w:hAnsi="Arial"/>
          <w:sz w:val="21"/>
          <w:szCs w:val="21"/>
          <w:u w:val="single" w:color="auto"/>
          <w:color w:val="auto"/>
        </w:rPr>
        <w:t>Reliance by Administrative Agent</w:t>
      </w:r>
      <w:r>
        <w:rPr>
          <w:rFonts w:ascii="Arial" w:cs="Arial" w:eastAsia="Arial" w:hAnsi="Arial"/>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amendment or extension of such Letter of Credit. The Administrative Agent may consult with legal counsel (who may be counsel for the Borrower or any Lender or Issuing Bank), independent accountants and other experts, and shall not be liable for any action taken or not taken by it in accordance with the advice of any such counsel, accountants or experts.</w:t>
      </w:r>
    </w:p>
    <w:p>
      <w:pPr>
        <w:spacing w:after="0" w:line="210" w:lineRule="exact"/>
        <w:rPr>
          <w:sz w:val="20"/>
          <w:szCs w:val="20"/>
          <w:color w:val="auto"/>
        </w:rPr>
      </w:pPr>
    </w:p>
    <w:p>
      <w:pPr>
        <w:jc w:val="both"/>
        <w:ind w:firstLine="1134"/>
        <w:spacing w:after="0" w:line="248"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 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 activities as an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firstLine="1134"/>
        <w:spacing w:after="0" w:line="269"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Resignation of the Agents</w:t>
      </w:r>
      <w:r>
        <w:rPr>
          <w:rFonts w:ascii="Arial" w:cs="Arial" w:eastAsia="Arial" w:hAnsi="Arial"/>
          <w:sz w:val="19"/>
          <w:szCs w:val="19"/>
          <w:color w:val="auto"/>
        </w:rPr>
        <w:t xml:space="preserve">. The Administrative Agent may at any time give notice of its resignation to the Lenders, the Issuing Banks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with the consent of the Borrower (not to be unreasonably withheld or delayed) unless an Event of Default under Section 7.1(a)(1), (7) or (8) is continuing,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 the Lenders and the Issuing Banks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until such time as a successor Collateral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38"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Non-Reliance on the Agents and Other Lenders</w:t>
      </w:r>
      <w:r>
        <w:rPr>
          <w:rFonts w:ascii="Arial" w:cs="Arial" w:eastAsia="Arial" w:hAnsi="Arial"/>
          <w:sz w:val="19"/>
          <w:szCs w:val="19"/>
          <w:color w:val="auto"/>
        </w:rPr>
        <w:t>. Each Lender and Issuing Bank acknowledges that it has, independently and without reliance upon any Agent or any other Lender or Issuing Bank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8.8</w:t>
      </w:r>
      <w:r>
        <w:rPr>
          <w:sz w:val="20"/>
          <w:szCs w:val="20"/>
          <w:color w:val="auto"/>
        </w:rPr>
        <w:tab/>
      </w:r>
      <w:r>
        <w:rPr>
          <w:rFonts w:ascii="Arial" w:cs="Arial" w:eastAsia="Arial" w:hAnsi="Arial"/>
          <w:sz w:val="19"/>
          <w:szCs w:val="19"/>
          <w:u w:val="single" w:color="auto"/>
          <w:color w:val="auto"/>
        </w:rPr>
        <w:t>No Other Duties, Etc.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Anything herein to the contrary notwithstanding, the Arrangers listed on the cover page hereof shall not have any powers, duties or responsibilities under this Agreement or any of the other Loan Documents, except in their capacities, as applicable, as the Administrative Agent, a Lender or an Issuing Bank hereunder.</w:t>
      </w:r>
    </w:p>
    <w:p>
      <w:pPr>
        <w:spacing w:after="0" w:line="213"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8.9 </w:t>
      </w:r>
      <w:r>
        <w:rPr>
          <w:rFonts w:ascii="Arial" w:cs="Arial" w:eastAsia="Arial" w:hAnsi="Arial"/>
          <w:sz w:val="22"/>
          <w:szCs w:val="22"/>
          <w:u w:val="single" w:color="auto"/>
          <w:color w:val="auto"/>
        </w:rPr>
        <w:t>Administrative Agent May File Proofs of Claim</w:t>
      </w:r>
      <w:r>
        <w:rPr>
          <w:rFonts w:ascii="Arial" w:cs="Arial" w:eastAsia="Arial" w:hAnsi="Arial"/>
          <w:sz w:val="22"/>
          <w:szCs w:val="22"/>
          <w:color w:val="auto"/>
        </w:rPr>
        <w:t>.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14" w:lineRule="exact"/>
        <w:rPr>
          <w:sz w:val="20"/>
          <w:szCs w:val="20"/>
          <w:color w:val="auto"/>
        </w:rPr>
      </w:pPr>
    </w:p>
    <w:p>
      <w:pPr>
        <w:jc w:val="both"/>
        <w:ind w:firstLine="1952"/>
        <w:spacing w:after="0" w:line="248" w:lineRule="auto"/>
        <w:tabs>
          <w:tab w:leader="none" w:pos="2616" w:val="left"/>
        </w:tabs>
        <w:numPr>
          <w:ilvl w:val="0"/>
          <w:numId w:val="254"/>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and the Administrative Agent under Sections 2.8 and 9.5) allowed in such judicial proceeding; and</w:t>
      </w:r>
    </w:p>
    <w:p>
      <w:pPr>
        <w:sectPr>
          <w:pgSz w:w="11900" w:h="16838" w:orient="portrait"/>
          <w:cols w:equalWidth="0" w:num="1">
            <w:col w:w="11240"/>
          </w:cols>
          <w:pgMar w:left="320" w:top="118"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1" w:name="page192"/>
    <w:bookmarkEnd w:id="191"/>
    <w:p>
      <w:pPr>
        <w:ind w:left="2520" w:hanging="568"/>
        <w:spacing w:after="0"/>
        <w:tabs>
          <w:tab w:leader="none" w:pos="252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distribute the same;</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w:t>
      </w:r>
    </w:p>
    <w:p>
      <w:pPr>
        <w:spacing w:after="0" w:line="212"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u w:val="single" w:color="auto"/>
          <w:color w:val="auto"/>
        </w:rPr>
        <w:t>Collateral and Guaranty Matters; Rights Under Hedge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87" w:lineRule="auto"/>
        <w:tabs>
          <w:tab w:leader="none" w:pos="2589" w:val="left"/>
        </w:tabs>
        <w:numPr>
          <w:ilvl w:val="0"/>
          <w:numId w:val="256"/>
        </w:numPr>
        <w:rPr>
          <w:rFonts w:ascii="Arial" w:cs="Arial" w:eastAsia="Arial" w:hAnsi="Arial"/>
          <w:sz w:val="19"/>
          <w:szCs w:val="19"/>
          <w:color w:val="auto"/>
        </w:rPr>
      </w:pPr>
      <w:r>
        <w:rPr>
          <w:rFonts w:ascii="Arial" w:cs="Arial" w:eastAsia="Arial" w:hAnsi="Arial"/>
          <w:sz w:val="19"/>
          <w:szCs w:val="19"/>
          <w:color w:val="auto"/>
        </w:rPr>
        <w:t>Each of the Lenders and Issuing Banks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Section 9.20.</w:t>
      </w:r>
    </w:p>
    <w:p>
      <w:pPr>
        <w:spacing w:after="0" w:line="169" w:lineRule="exact"/>
        <w:rPr>
          <w:rFonts w:ascii="Arial" w:cs="Arial" w:eastAsia="Arial" w:hAnsi="Arial"/>
          <w:sz w:val="19"/>
          <w:szCs w:val="19"/>
          <w:color w:val="auto"/>
        </w:rPr>
      </w:pPr>
    </w:p>
    <w:p>
      <w:pPr>
        <w:jc w:val="both"/>
        <w:ind w:firstLine="1952"/>
        <w:spacing w:after="0"/>
        <w:tabs>
          <w:tab w:leader="none" w:pos="2506" w:val="left"/>
        </w:tabs>
        <w:numPr>
          <w:ilvl w:val="0"/>
          <w:numId w:val="256"/>
        </w:numPr>
        <w:rPr>
          <w:rFonts w:ascii="Arial" w:cs="Arial" w:eastAsia="Arial" w:hAnsi="Arial"/>
          <w:sz w:val="22"/>
          <w:szCs w:val="22"/>
          <w:color w:val="auto"/>
        </w:rPr>
      </w:pPr>
      <w:r>
        <w:rPr>
          <w:rFonts w:ascii="Arial" w:cs="Arial" w:eastAsia="Arial" w:hAnsi="Arial"/>
          <w:sz w:val="22"/>
          <w:szCs w:val="22"/>
          <w:color w:val="auto"/>
        </w:rPr>
        <w:t>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Section 9.20.</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508" w:val="left"/>
        </w:tabs>
        <w:numPr>
          <w:ilvl w:val="0"/>
          <w:numId w:val="256"/>
        </w:numPr>
        <w:rPr>
          <w:rFonts w:ascii="Arial" w:cs="Arial" w:eastAsia="Arial" w:hAnsi="Arial"/>
          <w:sz w:val="22"/>
          <w:szCs w:val="22"/>
          <w:color w:val="auto"/>
        </w:rPr>
      </w:pPr>
      <w:r>
        <w:rPr>
          <w:rFonts w:ascii="Arial" w:cs="Arial" w:eastAsia="Arial" w:hAnsi="Arial"/>
          <w:sz w:val="22"/>
          <w:szCs w:val="22"/>
          <w:color w:val="auto"/>
        </w:rPr>
        <w:t>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Collateral Agent as its agent and agreed to be bound by the Loan Documents as a Secured Party.</w:t>
      </w:r>
    </w:p>
    <w:p>
      <w:pPr>
        <w:spacing w:after="0" w:line="214"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Withholding Taxes</w:t>
      </w:r>
      <w:r>
        <w:rPr>
          <w:rFonts w:ascii="Arial" w:cs="Arial" w:eastAsia="Arial" w:hAnsi="Arial"/>
          <w:sz w:val="19"/>
          <w:szCs w:val="19"/>
          <w:color w:val="auto"/>
        </w:rPr>
        <w:t>.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both"/>
        <w:ind w:firstLine="1134"/>
        <w:spacing w:after="0" w:line="238"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Intercreditor and Subordination Agreements</w:t>
      </w:r>
      <w:r>
        <w:rPr>
          <w:rFonts w:ascii="Arial" w:cs="Arial" w:eastAsia="Arial" w:hAnsi="Arial"/>
          <w:sz w:val="22"/>
          <w:szCs w:val="22"/>
          <w:color w:val="auto"/>
        </w:rPr>
        <w:t>. Each Lender and Issuing Bank hereby irrevocably appoints, designates and authorizes the Agents to enter into any intercreditor or subordination agreement pertaining to any permitted subordinated debt or other debt permitted to be secured by the Collateral or any portion thereof on its behalf and to take such action on its behalf under the provisions of any such agreement.</w:t>
      </w:r>
    </w:p>
    <w:p>
      <w:pPr>
        <w:spacing w:after="0" w:line="212"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Credit Bidding</w:t>
      </w:r>
      <w:r>
        <w:rPr>
          <w:rFonts w:ascii="Arial" w:cs="Arial" w:eastAsia="Arial" w:hAnsi="Arial"/>
          <w:sz w:val="19"/>
          <w:szCs w:val="19"/>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ind w:left="1140"/>
        <w:spacing w:after="0"/>
        <w:tabs>
          <w:tab w:leader="none" w:pos="2640" w:val="left"/>
        </w:tabs>
        <w:rPr>
          <w:sz w:val="20"/>
          <w:szCs w:val="20"/>
          <w:color w:val="auto"/>
        </w:rPr>
      </w:pPr>
      <w:r>
        <w:rPr>
          <w:rFonts w:ascii="Arial" w:cs="Arial" w:eastAsia="Arial" w:hAnsi="Arial"/>
          <w:sz w:val="22"/>
          <w:szCs w:val="22"/>
          <w:color w:val="auto"/>
        </w:rPr>
        <w:t>Section 8.14</w:t>
      </w:r>
      <w:r>
        <w:rPr>
          <w:sz w:val="20"/>
          <w:szCs w:val="20"/>
          <w:color w:val="auto"/>
        </w:rPr>
        <w:tab/>
      </w:r>
      <w:r>
        <w:rPr>
          <w:rFonts w:ascii="Arial" w:cs="Arial" w:eastAsia="Arial" w:hAnsi="Arial"/>
          <w:sz w:val="19"/>
          <w:szCs w:val="19"/>
          <w:u w:val="single" w:color="auto"/>
          <w:color w:val="auto"/>
        </w:rPr>
        <w:t>Return of Certain Payments</w:t>
      </w:r>
      <w:r>
        <w:rPr>
          <w:rFonts w:ascii="Arial" w:cs="Arial" w:eastAsia="Arial" w:hAnsi="Arial"/>
          <w:sz w:val="19"/>
          <w:szCs w:val="19"/>
          <w:color w:val="auto"/>
        </w:rPr>
        <w:t>.</w:t>
      </w:r>
    </w:p>
    <w:p>
      <w:pPr>
        <w:spacing w:after="0" w:line="234" w:lineRule="exact"/>
        <w:rPr>
          <w:sz w:val="20"/>
          <w:szCs w:val="20"/>
          <w:color w:val="auto"/>
        </w:rPr>
      </w:pPr>
    </w:p>
    <w:p>
      <w:pPr>
        <w:jc w:val="both"/>
        <w:ind w:firstLine="1952"/>
        <w:spacing w:after="0" w:line="274" w:lineRule="auto"/>
        <w:tabs>
          <w:tab w:leader="none" w:pos="249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Arial" w:cs="Arial" w:eastAsia="Arial" w:hAnsi="Arial"/>
          <w:sz w:val="19"/>
          <w:szCs w:val="19"/>
          <w:u w:val="single" w:color="auto"/>
          <w:color w:val="auto"/>
        </w:rPr>
        <w:t>Recipient</w:t>
      </w:r>
      <w:r>
        <w:rPr>
          <w:rFonts w:ascii="Arial" w:cs="Arial" w:eastAsia="Arial" w:hAnsi="Arial"/>
          <w:sz w:val="19"/>
          <w:szCs w:val="19"/>
          <w:color w:val="auto"/>
        </w:rPr>
        <w: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spacing w:after="0" w:line="185" w:lineRule="exact"/>
        <w:rPr>
          <w:rFonts w:ascii="Arial" w:cs="Arial" w:eastAsia="Arial" w:hAnsi="Arial"/>
          <w:sz w:val="19"/>
          <w:szCs w:val="19"/>
          <w:color w:val="auto"/>
        </w:rPr>
      </w:pPr>
    </w:p>
    <w:p>
      <w:pPr>
        <w:jc w:val="both"/>
        <w:ind w:firstLine="1952"/>
        <w:spacing w:after="0" w:line="245" w:lineRule="auto"/>
        <w:tabs>
          <w:tab w:leader="none" w:pos="2506" w:val="left"/>
        </w:tabs>
        <w:numPr>
          <w:ilvl w:val="0"/>
          <w:numId w:val="257"/>
        </w:numPr>
        <w:rPr>
          <w:rFonts w:ascii="Arial" w:cs="Arial" w:eastAsia="Arial" w:hAnsi="Arial"/>
          <w:sz w:val="21"/>
          <w:szCs w:val="21"/>
          <w:color w:val="auto"/>
        </w:rPr>
      </w:pPr>
      <w:r>
        <w:rPr>
          <w:rFonts w:ascii="Arial" w:cs="Arial" w:eastAsia="Arial" w:hAnsi="Arial"/>
          <w:sz w:val="21"/>
          <w:szCs w:val="21"/>
          <w:color w:val="auto"/>
        </w:rPr>
        <w:t>Without limitation of clause (a) above, each Recipient further acknowledges and agrees that if such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“Payment Notice”),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207" w:lineRule="exact"/>
        <w:rPr>
          <w:rFonts w:ascii="Arial" w:cs="Arial" w:eastAsia="Arial" w:hAnsi="Arial"/>
          <w:sz w:val="21"/>
          <w:szCs w:val="21"/>
          <w:color w:val="auto"/>
        </w:rPr>
      </w:pPr>
    </w:p>
    <w:p>
      <w:pPr>
        <w:jc w:val="both"/>
        <w:ind w:firstLine="1952"/>
        <w:spacing w:after="0" w:line="275" w:lineRule="auto"/>
        <w:tabs>
          <w:tab w:leader="none" w:pos="252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Any Payment required to be returned by a Recipient under this Section shall be made in same day funds in the currency so received, together with interest thereon in respect of each day from and including the date such Payment (or portion thereof) was received by such Recipient to the date such amount is repaid to the Administrative Agent at the greater of the Federal Funds Effective Rate and a rate determined by the Administrative Agent in accordance with banking industry rules on interbank compensation from time to time in effect. Each Recipient hereby agrees that it shall not assert and, to the fullest extent permitted by applicable law,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84" w:lineRule="exact"/>
        <w:rPr>
          <w:rFonts w:ascii="Arial" w:cs="Arial" w:eastAsia="Arial" w:hAnsi="Arial"/>
          <w:sz w:val="19"/>
          <w:szCs w:val="19"/>
          <w:color w:val="auto"/>
        </w:rPr>
      </w:pPr>
    </w:p>
    <w:p>
      <w:pPr>
        <w:jc w:val="both"/>
        <w:ind w:firstLine="1952"/>
        <w:spacing w:after="0"/>
        <w:tabs>
          <w:tab w:leader="none" w:pos="264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Borrower and each other Loan Party hereby agrees that the receipt by any Recipient of a Payment shall not pay, prepay, repay, discharge or otherwise satisfy any Obligations owed to such Lender or Issuing Bank by the Borrower or any other Loan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ind w:left="660"/>
        <w:spacing w:after="0"/>
        <w:tabs>
          <w:tab w:leader="none" w:pos="17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u w:val="single" w:color="auto"/>
          <w:color w:val="auto"/>
        </w:rPr>
        <w:t>MISCELLANEOUS</w:t>
      </w:r>
    </w:p>
    <w:p>
      <w:pPr>
        <w:spacing w:after="0" w:line="234"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Except as provided in Section 2.21 (with respect to the extension of any Applicable Maturity Date) or in Section 2.12,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waiver and no such amendment, supplement or modification shall:</w:t>
      </w:r>
    </w:p>
    <w:p>
      <w:pPr>
        <w:spacing w:after="0" w:line="195" w:lineRule="exact"/>
        <w:rPr>
          <w:sz w:val="20"/>
          <w:szCs w:val="20"/>
          <w:color w:val="auto"/>
        </w:rPr>
      </w:pPr>
    </w:p>
    <w:p>
      <w:pPr>
        <w:jc w:val="both"/>
        <w:ind w:left="660" w:firstLine="1778"/>
        <w:spacing w:after="0" w:line="235" w:lineRule="auto"/>
        <w:tabs>
          <w:tab w:leader="none" w:pos="3213"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forgive the principal amount of any Loan, extend the final scheduled date of maturity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214" w:lineRule="exact"/>
        <w:rPr>
          <w:rFonts w:ascii="Arial" w:cs="Arial" w:eastAsia="Arial" w:hAnsi="Arial"/>
          <w:sz w:val="22"/>
          <w:szCs w:val="22"/>
          <w:color w:val="auto"/>
        </w:rPr>
      </w:pPr>
    </w:p>
    <w:p>
      <w:pPr>
        <w:jc w:val="both"/>
        <w:ind w:left="660" w:firstLine="1778"/>
        <w:spacing w:after="0" w:line="249" w:lineRule="auto"/>
        <w:tabs>
          <w:tab w:leader="none" w:pos="3448" w:val="left"/>
        </w:tabs>
        <w:numPr>
          <w:ilvl w:val="0"/>
          <w:numId w:val="258"/>
        </w:numPr>
        <w:rPr>
          <w:rFonts w:ascii="Arial" w:cs="Arial" w:eastAsia="Arial" w:hAnsi="Arial"/>
          <w:sz w:val="21"/>
          <w:szCs w:val="21"/>
          <w:color w:val="auto"/>
        </w:rPr>
      </w:pPr>
      <w:r>
        <w:rPr>
          <w:rFonts w:ascii="Arial" w:cs="Arial" w:eastAsia="Arial" w:hAnsi="Arial"/>
          <w:sz w:val="21"/>
          <w:szCs w:val="21"/>
          <w:color w:val="auto"/>
        </w:rPr>
        <w:t xml:space="preserve">amend, modify or waive any provision of this Section 9.1 or the definition of Required Lenders to reduce any percentage specified in the definition of “Required Lenders” or reduce the consent required under any provision pursuant to which the consent of Required Lenders is necessary, in each case without the consent of each Lender directly affected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certain agreements may be amended without the consent of the Required Lenders as contemplated by the last paragraph of this Section 9.1;</w:t>
      </w:r>
    </w:p>
    <w:p>
      <w:pPr>
        <w:spacing w:after="0" w:line="205" w:lineRule="exact"/>
        <w:rPr>
          <w:rFonts w:ascii="Arial" w:cs="Arial" w:eastAsia="Arial" w:hAnsi="Arial"/>
          <w:sz w:val="21"/>
          <w:szCs w:val="21"/>
          <w:color w:val="auto"/>
        </w:rPr>
      </w:pPr>
    </w:p>
    <w:p>
      <w:pPr>
        <w:ind w:left="660" w:firstLine="1778"/>
        <w:spacing w:after="0" w:line="250" w:lineRule="auto"/>
        <w:tabs>
          <w:tab w:leader="none" w:pos="3373" w:val="left"/>
        </w:tabs>
        <w:numPr>
          <w:ilvl w:val="0"/>
          <w:numId w:val="258"/>
        </w:numPr>
        <w:rPr>
          <w:rFonts w:ascii="Arial" w:cs="Arial" w:eastAsia="Arial" w:hAnsi="Arial"/>
          <w:sz w:val="22"/>
          <w:szCs w:val="22"/>
          <w:color w:val="auto"/>
        </w:rPr>
      </w:pPr>
      <w:r>
        <w:rPr>
          <w:rFonts w:ascii="Arial" w:cs="Arial" w:eastAsia="Arial" w:hAnsi="Arial"/>
          <w:sz w:val="22"/>
          <w:szCs w:val="22"/>
          <w:color w:val="auto"/>
        </w:rPr>
        <w:t>consent to the assignment or transfer by the Borrower of any of its rights and obligations under this Agreement and the other Loan Documents without the consent of each Lender;</w:t>
      </w:r>
    </w:p>
    <w:p>
      <w:pPr>
        <w:spacing w:after="0" w:line="201" w:lineRule="exact"/>
        <w:rPr>
          <w:rFonts w:ascii="Arial" w:cs="Arial" w:eastAsia="Arial" w:hAnsi="Arial"/>
          <w:sz w:val="22"/>
          <w:szCs w:val="22"/>
          <w:color w:val="auto"/>
        </w:rPr>
      </w:pPr>
    </w:p>
    <w:p>
      <w:pPr>
        <w:jc w:val="both"/>
        <w:ind w:left="660" w:firstLine="1778"/>
        <w:spacing w:after="0" w:line="236" w:lineRule="auto"/>
        <w:tabs>
          <w:tab w:leader="none" w:pos="338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amend, modify or waive any provision of Section 8, or any other provision affecting the rights, duties or obligations of the Administrative Agent or the Collateral Agent, without the consent of the Administrative Agent and the Collateral Agent, as applicable, or amend, modify or waive any provision of Section 2.3, or any other provision affecting the rights, duties or obligations of any Issuing Bank, without the consent of such Issuing Bank;</w:t>
      </w:r>
    </w:p>
    <w:p>
      <w:pPr>
        <w:spacing w:after="0" w:line="214" w:lineRule="exact"/>
        <w:rPr>
          <w:rFonts w:ascii="Arial" w:cs="Arial" w:eastAsia="Arial" w:hAnsi="Arial"/>
          <w:sz w:val="22"/>
          <w:szCs w:val="22"/>
          <w:color w:val="auto"/>
        </w:rPr>
      </w:pPr>
    </w:p>
    <w:p>
      <w:pPr>
        <w:ind w:left="3320" w:hanging="882"/>
        <w:spacing w:after="0"/>
        <w:tabs>
          <w:tab w:leader="none" w:pos="332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amend, modify or waive any provision of Section 2.14 without the consent of each Lender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directly affected thereby;</w:t>
      </w:r>
    </w:p>
    <w:p>
      <w:pPr>
        <w:spacing w:after="0" w:line="215" w:lineRule="exact"/>
        <w:rPr>
          <w:rFonts w:ascii="Arial" w:cs="Arial" w:eastAsia="Arial" w:hAnsi="Arial"/>
          <w:sz w:val="19"/>
          <w:szCs w:val="19"/>
          <w:color w:val="auto"/>
        </w:rPr>
      </w:pPr>
    </w:p>
    <w:p>
      <w:pPr>
        <w:jc w:val="both"/>
        <w:ind w:left="660" w:firstLine="1778"/>
        <w:spacing w:after="0" w:line="238" w:lineRule="auto"/>
        <w:tabs>
          <w:tab w:leader="none" w:pos="3483" w:val="left"/>
        </w:tabs>
        <w:numPr>
          <w:ilvl w:val="0"/>
          <w:numId w:val="258"/>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w:t>
      </w:r>
    </w:p>
    <w:p>
      <w:pPr>
        <w:spacing w:after="0" w:line="211" w:lineRule="exact"/>
        <w:rPr>
          <w:rFonts w:ascii="Arial" w:cs="Arial" w:eastAsia="Arial" w:hAnsi="Arial"/>
          <w:sz w:val="22"/>
          <w:szCs w:val="22"/>
          <w:color w:val="auto"/>
        </w:rPr>
      </w:pPr>
    </w:p>
    <w:p>
      <w:pPr>
        <w:jc w:val="both"/>
        <w:ind w:left="660" w:firstLine="1778"/>
        <w:spacing w:after="0" w:line="238" w:lineRule="auto"/>
        <w:tabs>
          <w:tab w:leader="none" w:pos="3286" w:val="left"/>
        </w:tabs>
        <w:numPr>
          <w:ilvl w:val="0"/>
          <w:numId w:val="258"/>
        </w:numPr>
        <w:rPr>
          <w:rFonts w:ascii="Arial" w:cs="Arial" w:eastAsia="Arial" w:hAnsi="Arial"/>
          <w:sz w:val="22"/>
          <w:szCs w:val="22"/>
          <w:color w:val="auto"/>
        </w:rPr>
      </w:pPr>
      <w:r>
        <w:rPr>
          <w:rFonts w:ascii="Arial" w:cs="Arial" w:eastAsia="Arial" w:hAnsi="Arial"/>
          <w:sz w:val="22"/>
          <w:szCs w:val="22"/>
          <w:color w:val="auto"/>
        </w:rPr>
        <w:t>release all or substantially all of the value of the Guarantees, without the written consent of each Lender, except (A) to the extent the release of any Subsidiary from a Guarantee is permitted pursuant to Section 9.20 (in which case such release may be made without the consent of any Lender) or (B) upon satisfaction of the Termination Conditions;</w:t>
      </w:r>
    </w:p>
    <w:p>
      <w:pPr>
        <w:sectPr>
          <w:pgSz w:w="11900" w:h="16838" w:orient="portrait"/>
          <w:cols w:equalWidth="0" w:num="1">
            <w:col w:w="11240"/>
          </w:cols>
          <w:pgMar w:left="320" w:top="118"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5" w:name="page196"/>
    <w:bookmarkEnd w:id="195"/>
    <w:p>
      <w:pPr>
        <w:jc w:val="both"/>
        <w:spacing w:after="0" w:line="23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Any such waiver and any such amendment, supplement or modification shall apply equally to each of the Lenders and shall be binding upon the Loan Parties, the Lenders, the Administrative Agent, the Collateral Agent, the Issuing Banks and all future holders of the Loans and issuers of Letters of Credit. In the case of any waiver, the Loan Parties, the Lenders, the Collateral Agent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delivery of an executed signature page of any such instrument by facsimile transmission shall be effective as delivery of a manually executed counterpart thereof.</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Notwithstanding the foregoing, (A)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delivered solely to the extent necessary to (i) 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(it being understood that any such amendment or supplement may make such other changes to the applicable intercreditor agreement are required to effectuate the foregoing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other changes are not adverse, in any respect, to the interests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agreement shall amend, modify or otherwise affect the rights or duties of the Administrative Agent or the Collateral Agent hereunder or under any other Loan Document without the prior written consent of the Administrative Agent or the Collateral Agent.</w:t>
      </w:r>
    </w:p>
    <w:p>
      <w:pPr>
        <w:spacing w:after="0" w:line="187"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Loan Parties, the Collateral Agent and the Administrative Agent, as follows and (b) in the case of the Lenders and Issuing Banks, at their primary address set forth below their name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or otherwise indicated to Administrative Agent in writing or, in the case of a Lender or Issuing Bank which becomes a party to this Agreement pursuant to an Assignment and Acceptance, in such Assignment and Acceptance or (c) in the case of any party, to such other address as such party may hereafter notify to the other parties 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tbl>
      <w:tblPr>
        <w:tblLayout w:type="fixed"/>
        <w:tblInd w:w="66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the Loan Parties:</w:t>
            </w: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rPr>
              <w:t>C/o New Fortress Energy Inc.</w:t>
            </w:r>
          </w:p>
        </w:tc>
      </w:tr>
      <w:tr>
        <w:trPr>
          <w:trHeight w:val="249"/>
        </w:trPr>
        <w:tc>
          <w:tcPr>
            <w:tcW w:w="1740" w:type="dxa"/>
            <w:vAlign w:val="bottom"/>
          </w:tcPr>
          <w:p>
            <w:pPr>
              <w:spacing w:after="0"/>
              <w:rPr>
                <w:sz w:val="21"/>
                <w:szCs w:val="21"/>
                <w:color w:val="auto"/>
              </w:rPr>
            </w:pPr>
          </w:p>
        </w:tc>
        <w:tc>
          <w:tcPr>
            <w:tcW w:w="4640" w:type="dxa"/>
            <w:vAlign w:val="bottom"/>
            <w:gridSpan w:val="3"/>
          </w:tcPr>
          <w:p>
            <w:pPr>
              <w:ind w:left="520"/>
              <w:spacing w:after="0" w:line="249" w:lineRule="exact"/>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tc>
      </w:tr>
      <w:tr>
        <w:trPr>
          <w:trHeight w:val="250"/>
        </w:trPr>
        <w:tc>
          <w:tcPr>
            <w:tcW w:w="1740" w:type="dxa"/>
            <w:vAlign w:val="bottom"/>
          </w:tcPr>
          <w:p>
            <w:pPr>
              <w:spacing w:after="0"/>
              <w:rPr>
                <w:sz w:val="21"/>
                <w:szCs w:val="21"/>
                <w:color w:val="auto"/>
              </w:rPr>
            </w:pPr>
          </w:p>
        </w:tc>
        <w:tc>
          <w:tcPr>
            <w:tcW w:w="4640" w:type="dxa"/>
            <w:vAlign w:val="bottom"/>
            <w:gridSpan w:val="3"/>
          </w:tcPr>
          <w:p>
            <w:pPr>
              <w:ind w:left="520"/>
              <w:spacing w:after="0" w:line="250" w:lineRule="exact"/>
              <w:rPr>
                <w:sz w:val="20"/>
                <w:szCs w:val="20"/>
                <w:color w:val="auto"/>
              </w:rPr>
            </w:pPr>
            <w:r>
              <w:rPr>
                <w:rFonts w:ascii="Arial" w:cs="Arial" w:eastAsia="Arial" w:hAnsi="Arial"/>
                <w:sz w:val="22"/>
                <w:szCs w:val="22"/>
                <w:color w:val="auto"/>
              </w:rPr>
              <w:t>New York, NY 10011</w:t>
            </w:r>
          </w:p>
        </w:tc>
      </w:tr>
      <w:tr>
        <w:trPr>
          <w:trHeight w:val="216"/>
        </w:trPr>
        <w:tc>
          <w:tcPr>
            <w:tcW w:w="1740" w:type="dxa"/>
            <w:vAlign w:val="bottom"/>
          </w:tcPr>
          <w:p>
            <w:pPr>
              <w:spacing w:after="0"/>
              <w:rPr>
                <w:sz w:val="18"/>
                <w:szCs w:val="18"/>
                <w:color w:val="auto"/>
              </w:rPr>
            </w:pP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w w:val="93"/>
              </w:rPr>
              <w:t>Attention: Christopher S. Guinta – Chief Financial Offer</w:t>
            </w:r>
          </w:p>
        </w:tc>
      </w:tr>
      <w:tr>
        <w:trPr>
          <w:trHeight w:val="216"/>
        </w:trPr>
        <w:tc>
          <w:tcPr>
            <w:tcW w:w="1740" w:type="dxa"/>
            <w:vAlign w:val="bottom"/>
          </w:tcPr>
          <w:p>
            <w:pPr>
              <w:spacing w:after="0"/>
              <w:rPr>
                <w:sz w:val="18"/>
                <w:szCs w:val="18"/>
                <w:color w:val="auto"/>
              </w:rPr>
            </w:pP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rPr>
              <w:t>Telephone:516-268-7406</w:t>
            </w:r>
          </w:p>
        </w:tc>
      </w:tr>
      <w:tr>
        <w:trPr>
          <w:trHeight w:val="190"/>
        </w:trPr>
        <w:tc>
          <w:tcPr>
            <w:tcW w:w="1740" w:type="dxa"/>
            <w:vAlign w:val="bottom"/>
          </w:tcPr>
          <w:p>
            <w:pPr>
              <w:spacing w:after="0"/>
              <w:rPr>
                <w:sz w:val="16"/>
                <w:szCs w:val="16"/>
                <w:color w:val="auto"/>
              </w:rPr>
            </w:pPr>
          </w:p>
        </w:tc>
        <w:tc>
          <w:tcPr>
            <w:tcW w:w="464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Email:cguinta@newfortressenergy.com</w:t>
            </w:r>
          </w:p>
        </w:tc>
      </w:tr>
      <w:tr>
        <w:trPr>
          <w:trHeight w:val="20"/>
        </w:trPr>
        <w:tc>
          <w:tcPr>
            <w:tcW w:w="1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8"/>
        </w:trPr>
        <w:tc>
          <w:tcPr>
            <w:tcW w:w="1740" w:type="dxa"/>
            <w:vAlign w:val="bottom"/>
          </w:tcPr>
          <w:p>
            <w:pPr>
              <w:spacing w:after="0"/>
              <w:rPr>
                <w:sz w:val="20"/>
                <w:szCs w:val="20"/>
                <w:color w:val="auto"/>
              </w:rPr>
            </w:pPr>
            <w:r>
              <w:rPr>
                <w:rFonts w:ascii="Arial" w:cs="Arial" w:eastAsia="Arial" w:hAnsi="Arial"/>
                <w:sz w:val="18"/>
                <w:szCs w:val="18"/>
                <w:color w:val="auto"/>
              </w:rPr>
              <w:t>with a copy to:</w:t>
            </w: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rPr>
              <w:t>Skadden, Arps, Slate, Meagher &amp; Flom LLP</w:t>
            </w:r>
          </w:p>
        </w:tc>
      </w:tr>
      <w:tr>
        <w:trPr>
          <w:trHeight w:val="243"/>
        </w:trPr>
        <w:tc>
          <w:tcPr>
            <w:tcW w:w="1740" w:type="dxa"/>
            <w:vAlign w:val="bottom"/>
          </w:tcPr>
          <w:p>
            <w:pPr>
              <w:spacing w:after="0"/>
              <w:rPr>
                <w:sz w:val="21"/>
                <w:szCs w:val="21"/>
                <w:color w:val="auto"/>
              </w:rPr>
            </w:pPr>
          </w:p>
        </w:tc>
        <w:tc>
          <w:tcPr>
            <w:tcW w:w="4640" w:type="dxa"/>
            <w:vAlign w:val="bottom"/>
            <w:gridSpan w:val="3"/>
          </w:tcPr>
          <w:p>
            <w:pPr>
              <w:ind w:left="520"/>
              <w:spacing w:after="0" w:line="243" w:lineRule="exact"/>
              <w:rPr>
                <w:sz w:val="20"/>
                <w:szCs w:val="20"/>
                <w:color w:val="auto"/>
              </w:rPr>
            </w:pPr>
            <w:r>
              <w:rPr>
                <w:rFonts w:ascii="Arial" w:cs="Arial" w:eastAsia="Arial" w:hAnsi="Arial"/>
                <w:sz w:val="22"/>
                <w:szCs w:val="22"/>
                <w:color w:val="auto"/>
              </w:rPr>
              <w:t>Attention: Seth E. Jacobson</w:t>
            </w:r>
          </w:p>
        </w:tc>
      </w:tr>
      <w:tr>
        <w:trPr>
          <w:trHeight w:val="243"/>
        </w:trPr>
        <w:tc>
          <w:tcPr>
            <w:tcW w:w="1740" w:type="dxa"/>
            <w:vAlign w:val="bottom"/>
          </w:tcPr>
          <w:p>
            <w:pPr>
              <w:spacing w:after="0"/>
              <w:rPr>
                <w:sz w:val="21"/>
                <w:szCs w:val="21"/>
                <w:color w:val="auto"/>
              </w:rPr>
            </w:pPr>
          </w:p>
        </w:tc>
        <w:tc>
          <w:tcPr>
            <w:tcW w:w="4640" w:type="dxa"/>
            <w:vAlign w:val="bottom"/>
            <w:gridSpan w:val="3"/>
          </w:tcPr>
          <w:p>
            <w:pPr>
              <w:ind w:left="520"/>
              <w:spacing w:after="0" w:line="243" w:lineRule="exact"/>
              <w:rPr>
                <w:sz w:val="20"/>
                <w:szCs w:val="20"/>
                <w:color w:val="auto"/>
              </w:rPr>
            </w:pPr>
            <w:r>
              <w:rPr>
                <w:rFonts w:ascii="Arial" w:cs="Arial" w:eastAsia="Arial" w:hAnsi="Arial"/>
                <w:sz w:val="22"/>
                <w:szCs w:val="22"/>
                <w:color w:val="auto"/>
              </w:rPr>
              <w:t>155 N. Wacker Drive</w:t>
            </w:r>
          </w:p>
        </w:tc>
      </w:tr>
      <w:tr>
        <w:trPr>
          <w:trHeight w:val="250"/>
        </w:trPr>
        <w:tc>
          <w:tcPr>
            <w:tcW w:w="1740" w:type="dxa"/>
            <w:vAlign w:val="bottom"/>
          </w:tcPr>
          <w:p>
            <w:pPr>
              <w:spacing w:after="0"/>
              <w:rPr>
                <w:sz w:val="21"/>
                <w:szCs w:val="21"/>
                <w:color w:val="auto"/>
              </w:rPr>
            </w:pPr>
          </w:p>
        </w:tc>
        <w:tc>
          <w:tcPr>
            <w:tcW w:w="4640" w:type="dxa"/>
            <w:vAlign w:val="bottom"/>
            <w:gridSpan w:val="3"/>
          </w:tcPr>
          <w:p>
            <w:pPr>
              <w:ind w:left="520"/>
              <w:spacing w:after="0" w:line="250" w:lineRule="exact"/>
              <w:rPr>
                <w:sz w:val="20"/>
                <w:szCs w:val="20"/>
                <w:color w:val="auto"/>
              </w:rPr>
            </w:pPr>
            <w:r>
              <w:rPr>
                <w:rFonts w:ascii="Arial" w:cs="Arial" w:eastAsia="Arial" w:hAnsi="Arial"/>
                <w:sz w:val="22"/>
                <w:szCs w:val="22"/>
                <w:color w:val="auto"/>
              </w:rPr>
              <w:t>Chicago, IL 60606</w:t>
            </w:r>
          </w:p>
        </w:tc>
      </w:tr>
      <w:tr>
        <w:trPr>
          <w:trHeight w:val="216"/>
        </w:trPr>
        <w:tc>
          <w:tcPr>
            <w:tcW w:w="1740" w:type="dxa"/>
            <w:vAlign w:val="bottom"/>
          </w:tcPr>
          <w:p>
            <w:pPr>
              <w:spacing w:after="0"/>
              <w:rPr>
                <w:sz w:val="18"/>
                <w:szCs w:val="18"/>
                <w:color w:val="auto"/>
              </w:rPr>
            </w:pP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rPr>
              <w:t>Telephone:(312) 409-0889</w:t>
            </w:r>
          </w:p>
        </w:tc>
      </w:tr>
      <w:tr>
        <w:trPr>
          <w:trHeight w:val="230"/>
        </w:trPr>
        <w:tc>
          <w:tcPr>
            <w:tcW w:w="1740" w:type="dxa"/>
            <w:vAlign w:val="bottom"/>
          </w:tcPr>
          <w:p>
            <w:pPr>
              <w:spacing w:after="0"/>
              <w:rPr>
                <w:sz w:val="20"/>
                <w:szCs w:val="20"/>
                <w:color w:val="auto"/>
              </w:rPr>
            </w:pPr>
          </w:p>
        </w:tc>
        <w:tc>
          <w:tcPr>
            <w:tcW w:w="4640" w:type="dxa"/>
            <w:vAlign w:val="bottom"/>
            <w:gridSpan w:val="3"/>
          </w:tcPr>
          <w:p>
            <w:pPr>
              <w:ind w:left="520"/>
              <w:spacing w:after="0"/>
              <w:rPr>
                <w:sz w:val="20"/>
                <w:szCs w:val="20"/>
                <w:color w:val="auto"/>
              </w:rPr>
            </w:pPr>
            <w:r>
              <w:rPr>
                <w:rFonts w:ascii="Arial" w:cs="Arial" w:eastAsia="Arial" w:hAnsi="Arial"/>
                <w:sz w:val="18"/>
                <w:szCs w:val="18"/>
                <w:color w:val="auto"/>
              </w:rPr>
              <w:t>Email:seth.jacobson@skadden.com</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Administrative Agent</w:t>
      </w:r>
    </w:p>
    <w:p>
      <w:pPr>
        <w:spacing w:after="0" w:line="13"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color w:val="auto"/>
        </w:rPr>
        <w:t>and the Collateral Agent:</w:t>
      </w:r>
      <w:r>
        <w:rPr>
          <w:sz w:val="20"/>
          <w:szCs w:val="20"/>
          <w:color w:val="auto"/>
        </w:rPr>
        <w:tab/>
      </w:r>
      <w:r>
        <w:rPr>
          <w:rFonts w:ascii="Arial" w:cs="Arial" w:eastAsia="Arial" w:hAnsi="Arial"/>
          <w:sz w:val="16"/>
          <w:szCs w:val="16"/>
          <w:color w:val="auto"/>
        </w:rPr>
        <w:t>Morgan Stanley Senior Funding, Inc.</w:t>
      </w:r>
    </w:p>
    <w:p>
      <w:pPr>
        <w:ind w:left="2920"/>
        <w:spacing w:after="0" w:line="234" w:lineRule="auto"/>
        <w:rPr>
          <w:sz w:val="20"/>
          <w:szCs w:val="20"/>
          <w:color w:val="auto"/>
        </w:rPr>
      </w:pPr>
      <w:r>
        <w:rPr>
          <w:rFonts w:ascii="Arial" w:cs="Arial" w:eastAsia="Arial" w:hAnsi="Arial"/>
          <w:sz w:val="22"/>
          <w:szCs w:val="22"/>
          <w:color w:val="auto"/>
        </w:rPr>
        <w:t>1300 Thames Street, 4th Floor</w:t>
      </w:r>
    </w:p>
    <w:p>
      <w:pPr>
        <w:ind w:left="2920"/>
        <w:spacing w:after="0" w:line="230" w:lineRule="auto"/>
        <w:rPr>
          <w:sz w:val="20"/>
          <w:szCs w:val="20"/>
          <w:color w:val="auto"/>
        </w:rPr>
      </w:pPr>
      <w:r>
        <w:rPr>
          <w:rFonts w:ascii="Arial" w:cs="Arial" w:eastAsia="Arial" w:hAnsi="Arial"/>
          <w:sz w:val="22"/>
          <w:szCs w:val="22"/>
          <w:color w:val="auto"/>
        </w:rPr>
        <w:t>Thames Street Wharf</w:t>
      </w:r>
    </w:p>
    <w:p>
      <w:pPr>
        <w:ind w:left="2920"/>
        <w:spacing w:after="0" w:line="231" w:lineRule="auto"/>
        <w:rPr>
          <w:sz w:val="20"/>
          <w:szCs w:val="20"/>
          <w:color w:val="auto"/>
        </w:rPr>
      </w:pPr>
      <w:r>
        <w:rPr>
          <w:rFonts w:ascii="Arial" w:cs="Arial" w:eastAsia="Arial" w:hAnsi="Arial"/>
          <w:sz w:val="22"/>
          <w:szCs w:val="22"/>
          <w:color w:val="auto"/>
        </w:rPr>
        <w:t>Baltimore, MD 21231</w:t>
      </w:r>
    </w:p>
    <w:p>
      <w:pPr>
        <w:ind w:left="2920"/>
        <w:spacing w:after="0" w:line="230" w:lineRule="auto"/>
        <w:rPr>
          <w:sz w:val="20"/>
          <w:szCs w:val="20"/>
          <w:color w:val="auto"/>
        </w:rPr>
      </w:pPr>
      <w:r>
        <w:rPr>
          <w:rFonts w:ascii="Arial" w:cs="Arial" w:eastAsia="Arial" w:hAnsi="Arial"/>
          <w:sz w:val="22"/>
          <w:szCs w:val="22"/>
          <w:color w:val="auto"/>
        </w:rPr>
        <w:t>Group Hotline: (917) 260-0588</w:t>
      </w:r>
    </w:p>
    <w:p>
      <w:pPr>
        <w:ind w:left="2920"/>
        <w:spacing w:after="0" w:line="231" w:lineRule="auto"/>
        <w:rPr>
          <w:sz w:val="20"/>
          <w:szCs w:val="20"/>
          <w:color w:val="auto"/>
        </w:rPr>
      </w:pPr>
      <w:r>
        <w:rPr>
          <w:rFonts w:ascii="Arial" w:cs="Arial" w:eastAsia="Arial" w:hAnsi="Arial"/>
          <w:sz w:val="22"/>
          <w:szCs w:val="22"/>
          <w:color w:val="auto"/>
        </w:rPr>
        <w:t>Email for Borrowers:</w:t>
      </w:r>
    </w:p>
    <w:p>
      <w:pPr>
        <w:ind w:left="2920"/>
        <w:spacing w:after="0" w:line="230" w:lineRule="auto"/>
        <w:rPr>
          <w:sz w:val="20"/>
          <w:szCs w:val="20"/>
          <w:color w:val="auto"/>
        </w:rPr>
      </w:pPr>
      <w:r>
        <w:rPr>
          <w:rFonts w:ascii="Arial" w:cs="Arial" w:eastAsia="Arial" w:hAnsi="Arial"/>
          <w:sz w:val="22"/>
          <w:szCs w:val="22"/>
          <w:color w:val="auto"/>
        </w:rPr>
        <w:t>AGENCY.BORROWERS@morganstanley.com</w:t>
      </w:r>
    </w:p>
    <w:p>
      <w:pPr>
        <w:ind w:left="2920"/>
        <w:spacing w:after="0" w:line="231" w:lineRule="auto"/>
        <w:rPr>
          <w:sz w:val="20"/>
          <w:szCs w:val="20"/>
          <w:color w:val="auto"/>
        </w:rPr>
      </w:pPr>
      <w:r>
        <w:rPr>
          <w:rFonts w:ascii="Arial" w:cs="Arial" w:eastAsia="Arial" w:hAnsi="Arial"/>
          <w:sz w:val="22"/>
          <w:szCs w:val="22"/>
          <w:color w:val="auto"/>
        </w:rPr>
        <w:t>Email for Lenders: MSAGENCY@morganstanley.com</w:t>
      </w:r>
    </w:p>
    <w:p>
      <w:pPr>
        <w:ind w:left="2920"/>
        <w:spacing w:after="0" w:line="231" w:lineRule="auto"/>
        <w:rPr>
          <w:sz w:val="20"/>
          <w:szCs w:val="20"/>
          <w:color w:val="auto"/>
        </w:rPr>
      </w:pPr>
      <w:r>
        <w:rPr>
          <w:rFonts w:ascii="Arial" w:cs="Arial" w:eastAsia="Arial" w:hAnsi="Arial"/>
          <w:sz w:val="22"/>
          <w:szCs w:val="22"/>
          <w:color w:val="auto"/>
        </w:rPr>
        <w:t>For all data site postings, please send to:</w:t>
      </w:r>
    </w:p>
    <w:p>
      <w:pPr>
        <w:ind w:left="2920"/>
        <w:spacing w:after="0"/>
        <w:rPr>
          <w:sz w:val="20"/>
          <w:szCs w:val="20"/>
          <w:color w:val="auto"/>
        </w:rPr>
      </w:pPr>
      <w:r>
        <w:rPr>
          <w:rFonts w:ascii="Arial" w:cs="Arial" w:eastAsia="Arial" w:hAnsi="Arial"/>
          <w:sz w:val="22"/>
          <w:szCs w:val="22"/>
          <w:color w:val="auto"/>
        </w:rPr>
        <w:t>Borrower.Documents@morganstanley.com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notice, request or demand to or upon the Agents or any Lender shall not be effective until received.</w:t>
      </w:r>
    </w:p>
    <w:p>
      <w:pPr>
        <w:spacing w:after="0" w:line="24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PLATFORM IS PROVIDED “AS IS” AND “AS AVAILABLE.” THE AGENT PARTIES (AS DEFINED BELOW) DO NOT WARRANT THE ACCURACY OR COMPLETENESS OF THE MATERIALS AND/OR INFORMATION PROVIDED BY OR ON BEHALF OF THE BORROWER HEREUNDER (“</w:t>
      </w:r>
      <w:r>
        <w:rPr>
          <w:rFonts w:ascii="Arial" w:cs="Arial" w:eastAsia="Arial" w:hAnsi="Arial"/>
          <w:sz w:val="19"/>
          <w:szCs w:val="19"/>
          <w:u w:val="single" w:color="auto"/>
          <w:color w:val="auto"/>
        </w:rPr>
        <w:t>BORROWER MATERIALS</w:t>
      </w:r>
      <w:r>
        <w:rPr>
          <w:rFonts w:ascii="Arial" w:cs="Arial" w:eastAsia="Arial" w:hAnsi="Arial"/>
          <w:sz w:val="19"/>
          <w:szCs w:val="19"/>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w:t>
      </w:r>
      <w:r>
        <w:rPr>
          <w:rFonts w:ascii="Arial" w:cs="Arial" w:eastAsia="Arial" w:hAnsi="Arial"/>
          <w:sz w:val="19"/>
          <w:szCs w:val="19"/>
          <w:u w:val="single" w:color="auto"/>
          <w:color w:val="auto"/>
        </w:rPr>
        <w:t>Agent Party</w:t>
      </w:r>
      <w:r>
        <w:rPr>
          <w:rFonts w:ascii="Arial" w:cs="Arial" w:eastAsia="Arial" w:hAnsi="Arial"/>
          <w:sz w:val="19"/>
          <w:szCs w:val="19"/>
          <w:color w:val="auto"/>
        </w:rPr>
        <w:t xml:space="preserve">”)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the Borrower, any Lender or any other Person for indirect, special, incidental, consequential or punitive damages (as opposed to direct or actual damages).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both"/>
        <w:ind w:firstLine="1134"/>
        <w:spacing w:after="0" w:line="282"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5" w:lineRule="exact"/>
        <w:rPr>
          <w:sz w:val="20"/>
          <w:szCs w:val="20"/>
          <w:color w:val="auto"/>
        </w:rPr>
      </w:pPr>
    </w:p>
    <w:p>
      <w:pPr>
        <w:jc w:val="both"/>
        <w:ind w:firstLine="1134"/>
        <w:spacing w:after="0" w:line="297"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61"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Payment of Expenses; Indemnification</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both"/>
        <w:ind w:left="-1120" w:firstLine="1952"/>
        <w:spacing w:after="0" w:line="267" w:lineRule="auto"/>
        <w:tabs>
          <w:tab w:leader="none" w:pos="1415"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Borrower agrees (i) to pay or reimburse each of the Agents and each of the Arrangers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(ii) to pay or reimburse each Lender, each Issuing Bank and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limited in the case of counsel fees to the reasonable and documented fees and disbursements of a single law firm as counsel to the Lenders and the Agents 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each Issuing Bank and the Agents for; and hold each Lender and the Agent harmless from, any and all reasonable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 this Agreement, the other Loan Documents and any such other documents and (iv) to pay, indemnify or reimburse each Lender, each Issuing Bank, each Agent, the Arrangers, their respective affiliates, and their respective officers, directors, members employees, advisors, agents and controlling persons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but excluding, in each case, Taxes other than any Taxes that represent losses, claims or damages arising from a non-tax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an Agent or an Arranger.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sentence shall limit any Indemnitee’s indemnification and reimbursement obligations to the extent such special, indirect, consequential or punitive damages are included in any third party claim with respect to which such Indemnified Party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termination of the Commitments and the repayment of the Loans and all other amounts payable hereunder.</w:t>
      </w:r>
    </w:p>
    <w:p>
      <w:pPr>
        <w:sectPr>
          <w:pgSz w:w="11900" w:h="16838" w:orient="portrait"/>
          <w:cols w:equalWidth="0" w:num="1">
            <w:col w:w="10120"/>
          </w:cols>
          <w:pgMar w:left="1440" w:top="118" w:right="339" w:bottom="7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761" w:gutter="0" w:footer="0" w:header="0"/>
          <w:type w:val="continuous"/>
        </w:sectPr>
      </w:pPr>
    </w:p>
    <w:bookmarkStart w:id="199" w:name="page200"/>
    <w:bookmarkEnd w:id="199"/>
    <w:p>
      <w:pPr>
        <w:jc w:val="both"/>
        <w:ind w:firstLine="1952"/>
        <w:spacing w:after="0" w:line="269" w:lineRule="auto"/>
        <w:tabs>
          <w:tab w:leader="none" w:pos="2479"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Without duplication of Section 2.17(d) or clause (a) above, Borrower agrees (i) to hold each Lender and each Agent harmless from, any and all reasonable recording and filing fees and any and all reasonably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represent losses, claims or damages arising from a non-tax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the Administrative Agent, the Collateral Agent or an Arranger.</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952"/>
        <w:spacing w:after="0" w:line="275" w:lineRule="auto"/>
        <w:tabs>
          <w:tab w:leader="none" w:pos="2521" w:val="left"/>
        </w:tabs>
        <w:numPr>
          <w:ilvl w:val="0"/>
          <w:numId w:val="260"/>
        </w:numPr>
        <w:rPr>
          <w:rFonts w:ascii="Arial" w:cs="Arial" w:eastAsia="Arial" w:hAnsi="Arial"/>
          <w:sz w:val="19"/>
          <w:szCs w:val="19"/>
          <w:color w:val="auto"/>
        </w:rPr>
      </w:pPr>
      <w:r>
        <w:rPr>
          <w:rFonts w:ascii="Arial" w:cs="Arial" w:eastAsia="Arial" w:hAnsi="Arial"/>
          <w:sz w:val="19"/>
          <w:szCs w:val="19"/>
          <w:color w:val="auto"/>
        </w:rPr>
        <w:t>Reimbursement by Lenders. To the extent that the Borrower for any reason fails to indefeasibly pay any amount required under subsection (a) of this Section 9.5 to be paid by it to any Agent (or any sub-agent thereof), and any Issuing Bank or any Related Party of any of the foregoing, each Lender severally agrees to pay to such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or such Issuing Bank in its capacity as such, or against any Related Party of any of the foregoing acting for such Agent (or any such sub-agent) or such Issuing Bank in connection with such capacity.</w:t>
      </w:r>
    </w:p>
    <w:p>
      <w:pPr>
        <w:spacing w:after="0" w:line="184"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49" w:lineRule="auto"/>
        <w:tabs>
          <w:tab w:leader="none" w:pos="2562" w:val="left"/>
        </w:tabs>
        <w:numPr>
          <w:ilvl w:val="0"/>
          <w:numId w:val="261"/>
        </w:numPr>
        <w:rPr>
          <w:rFonts w:ascii="Arial" w:cs="Arial" w:eastAsia="Arial" w:hAnsi="Arial"/>
          <w:sz w:val="21"/>
          <w:szCs w:val="21"/>
          <w:color w:val="auto"/>
        </w:rPr>
      </w:pPr>
      <w:r>
        <w:rPr>
          <w:rFonts w:ascii="Arial" w:cs="Arial" w:eastAsia="Arial" w:hAnsi="Arial"/>
          <w:sz w:val="21"/>
          <w:szCs w:val="21"/>
          <w:color w:val="auto"/>
        </w:rPr>
        <w:t>This Agreement shall be binding upon and inure to the benefit of the Borrower, the Lenders, the Issuing Banks, the Administrative Agent, the Collateral Agent, the Arrangers,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Section 9.6.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jc w:val="both"/>
        <w:ind w:firstLine="1952"/>
        <w:spacing w:after="0" w:line="268" w:lineRule="auto"/>
        <w:tabs>
          <w:tab w:leader="none" w:pos="2547" w:val="left"/>
        </w:tabs>
        <w:numPr>
          <w:ilvl w:val="0"/>
          <w:numId w:val="262"/>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in accordance with applicable Law, at any time sell to one or more banks, financial institutions or other entities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participating interests in any Loan owing to such Lender, any Commitment of such Lender or any other interest of such Lender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Lender shall be permitted to sell any such participating interest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both"/>
        <w:ind w:left="-1120" w:firstLine="1952"/>
        <w:spacing w:after="0" w:line="269" w:lineRule="auto"/>
        <w:tabs>
          <w:tab w:leader="none" w:pos="137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Any Lender (an “</w:t>
      </w:r>
      <w:r>
        <w:rPr>
          <w:rFonts w:ascii="Arial" w:cs="Arial" w:eastAsia="Arial" w:hAnsi="Arial"/>
          <w:sz w:val="19"/>
          <w:szCs w:val="19"/>
          <w:u w:val="single" w:color="auto"/>
          <w:color w:val="auto"/>
        </w:rPr>
        <w:t>Assignor</w:t>
      </w:r>
      <w:r>
        <w:rPr>
          <w:rFonts w:ascii="Arial" w:cs="Arial" w:eastAsia="Arial" w:hAnsi="Arial"/>
          <w:sz w:val="19"/>
          <w:szCs w:val="19"/>
          <w:color w:val="auto"/>
        </w:rPr>
        <w:t xml:space="preserve">”) may, in accordance with applicable Law and the written consent of the Administrative Agent and each Issuing Bank (which shall not be unreasonably withheld or delayed) and, so long as no Event of Default under Section 7.1(a)(1), (7) or (8) has occurred and is continuing, the Borrower (such consent not to be unreasonably withheld, conditioned or delayed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assignments made to any Lender, an affiliate of a Lender or a Related Fund will not be subject to the above described consents of the Administrative Agent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assignment to an Assignee (other than any Lender or any affiliate thereof) of Commitments shall be in an aggregate principal amount of less than $1,000,000 (other than in the case of an assignment of all of a Lender’s interests in the Revolving Loan Facility under this Agreement) and, after giving effect thereto, the assigning Lender (if it shall retain any Commitment) shall have a Commitment of at least $1,000,000 unless otherwise agreed by the Administrative Agent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 Lender shall be permitted to assign all or any part of its rights and obligations under this Agreement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left="-1120" w:firstLine="1952"/>
        <w:spacing w:after="0" w:line="248" w:lineRule="auto"/>
        <w:tabs>
          <w:tab w:leader="none" w:pos="1454" w:val="left"/>
        </w:tabs>
        <w:numPr>
          <w:ilvl w:val="0"/>
          <w:numId w:val="263"/>
        </w:numPr>
        <w:rPr>
          <w:rFonts w:ascii="Arial" w:cs="Arial" w:eastAsia="Arial" w:hAnsi="Arial"/>
          <w:sz w:val="21"/>
          <w:szCs w:val="21"/>
          <w:color w:val="auto"/>
        </w:rPr>
      </w:pPr>
      <w:r>
        <w:rPr>
          <w:rFonts w:ascii="Arial" w:cs="Arial" w:eastAsia="Arial" w:hAnsi="Arial"/>
          <w:sz w:val="21"/>
          <w:szCs w:val="21"/>
          <w:color w:val="auto"/>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spacing w:after="0" w:line="203" w:lineRule="exact"/>
        <w:rPr>
          <w:rFonts w:ascii="Arial" w:cs="Arial" w:eastAsia="Arial" w:hAnsi="Arial"/>
          <w:sz w:val="21"/>
          <w:szCs w:val="21"/>
          <w:color w:val="auto"/>
        </w:rPr>
      </w:pPr>
    </w:p>
    <w:p>
      <w:pPr>
        <w:jc w:val="both"/>
        <w:ind w:left="-1120" w:firstLine="1952"/>
        <w:spacing w:after="0" w:line="272" w:lineRule="auto"/>
        <w:tabs>
          <w:tab w:leader="none" w:pos="133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spacing w:after="0" w:line="182" w:lineRule="exact"/>
        <w:rPr>
          <w:rFonts w:ascii="Arial" w:cs="Arial" w:eastAsia="Arial" w:hAnsi="Arial"/>
          <w:sz w:val="19"/>
          <w:szCs w:val="19"/>
          <w:color w:val="auto"/>
        </w:rPr>
      </w:pPr>
    </w:p>
    <w:p>
      <w:pPr>
        <w:jc w:val="both"/>
        <w:ind w:left="-1120" w:firstLine="1952"/>
        <w:spacing w:after="0" w:line="252" w:lineRule="auto"/>
        <w:tabs>
          <w:tab w:leader="none" w:pos="1566" w:val="left"/>
        </w:tabs>
        <w:numPr>
          <w:ilvl w:val="0"/>
          <w:numId w:val="263"/>
        </w:numPr>
        <w:rPr>
          <w:rFonts w:ascii="Arial" w:cs="Arial" w:eastAsia="Arial" w:hAnsi="Arial"/>
          <w:sz w:val="21"/>
          <w:szCs w:val="21"/>
          <w:color w:val="auto"/>
        </w:rPr>
      </w:pPr>
      <w:r>
        <w:rPr>
          <w:rFonts w:ascii="Arial" w:cs="Arial" w:eastAsia="Arial" w:hAnsi="Arial"/>
          <w:sz w:val="21"/>
          <w:szCs w:val="21"/>
          <w:color w:val="auto"/>
        </w:rPr>
        <w:t>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sectPr>
          <w:pgSz w:w="11900" w:h="16838" w:orient="portrait"/>
          <w:cols w:equalWidth="0" w:num="1">
            <w:col w:w="10120"/>
          </w:cols>
          <w:pgMar w:left="1440" w:top="118" w:right="339" w:bottom="1440" w:gutter="0" w:footer="0" w:header="0"/>
        </w:sectPr>
      </w:pPr>
    </w:p>
    <w:p>
      <w:pPr>
        <w:spacing w:after="0" w:line="379"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type w:val="continuous"/>
        </w:sectPr>
      </w:pPr>
    </w:p>
    <w:bookmarkStart w:id="202" w:name="page203"/>
    <w:bookmarkEnd w:id="202"/>
    <w:p>
      <w:pPr>
        <w:jc w:val="both"/>
        <w:ind w:firstLine="1952"/>
        <w:spacing w:after="0" w:line="268" w:lineRule="auto"/>
        <w:tabs>
          <w:tab w:leader="none" w:pos="2533"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non-public information with respect to the Borrower or its Affiliates may be disclosed only with the Borrower’s consent which will not be unreasonably withheld. This Section 9.6(g) may not be amended without the 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w:t>
      </w:r>
      <w:r>
        <w:rPr>
          <w:rFonts w:ascii="Arial" w:cs="Arial" w:eastAsia="Arial" w:hAnsi="Arial"/>
          <w:sz w:val="19"/>
          <w:szCs w:val="19"/>
          <w:u w:val="single" w:color="auto"/>
          <w:color w:val="auto"/>
        </w:rPr>
        <w:t>SPC Register</w:t>
      </w:r>
      <w:r>
        <w:rPr>
          <w:rFonts w:ascii="Arial" w:cs="Arial" w:eastAsia="Arial" w:hAnsi="Arial"/>
          <w:sz w:val="19"/>
          <w:szCs w:val="19"/>
          <w:color w:val="auto"/>
        </w:rPr>
        <w:t>”).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ind w:left="1140"/>
        <w:spacing w:after="0"/>
        <w:tabs>
          <w:tab w:leader="none" w:pos="2640" w:val="left"/>
        </w:tabs>
        <w:rPr>
          <w:sz w:val="20"/>
          <w:szCs w:val="20"/>
          <w:color w:val="auto"/>
        </w:rPr>
      </w:pPr>
      <w:r>
        <w:rPr>
          <w:rFonts w:ascii="Arial" w:cs="Arial" w:eastAsia="Arial" w:hAnsi="Arial"/>
          <w:sz w:val="22"/>
          <w:szCs w:val="22"/>
          <w:color w:val="auto"/>
        </w:rPr>
        <w:t>Section 9.7</w:t>
      </w:r>
      <w:r>
        <w:rPr>
          <w:sz w:val="20"/>
          <w:szCs w:val="20"/>
          <w:color w:val="auto"/>
        </w:rPr>
        <w:tab/>
      </w:r>
      <w:r>
        <w:rPr>
          <w:rFonts w:ascii="Arial" w:cs="Arial" w:eastAsia="Arial" w:hAnsi="Arial"/>
          <w:sz w:val="19"/>
          <w:szCs w:val="19"/>
          <w:u w:val="single" w:color="auto"/>
          <w:color w:val="auto"/>
        </w:rPr>
        <w:t>Set-off</w:t>
      </w:r>
    </w:p>
    <w:p>
      <w:pPr>
        <w:spacing w:after="0" w:line="234" w:lineRule="exact"/>
        <w:rPr>
          <w:sz w:val="20"/>
          <w:szCs w:val="20"/>
          <w:color w:val="auto"/>
        </w:rPr>
      </w:pPr>
    </w:p>
    <w:p>
      <w:pPr>
        <w:jc w:val="both"/>
        <w:ind w:firstLine="1952"/>
        <w:spacing w:after="0" w:line="273" w:lineRule="auto"/>
        <w:tabs>
          <w:tab w:leader="none" w:pos="262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In addition to any rights and remedies of the Lenders provided by law, upon the occurrence and during the continuation of any Event of Default, each Lender and Issuing Bank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the Borrower. Each Lender and Issuing Bank agrees promptly to notify the Borrower and the Administrative Agent after any such setoff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88"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9.8</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6" w:lineRule="auto"/>
        <w:tabs>
          <w:tab w:leader="none" w:pos="248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214" w:lineRule="exact"/>
        <w:rPr>
          <w:rFonts w:ascii="Arial" w:cs="Arial" w:eastAsia="Arial" w:hAnsi="Arial"/>
          <w:sz w:val="22"/>
          <w:szCs w:val="22"/>
          <w:color w:val="auto"/>
        </w:rPr>
      </w:pPr>
    </w:p>
    <w:p>
      <w:pPr>
        <w:jc w:val="both"/>
        <w:ind w:firstLine="1952"/>
        <w:spacing w:after="0" w:line="275" w:lineRule="auto"/>
        <w:tabs>
          <w:tab w:leader="none" w:pos="250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w:t>
      </w:r>
    </w:p>
    <w:p>
      <w:pPr>
        <w:spacing w:after="0" w:line="184"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9.9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2"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214"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UNDER THIS AGREEMENT SHALL BE GOVERNED BY, AND CONSTRUED AND INTERPRETED IN ACCORDANCE WITH, THE LAW OF THE STATE OF NEW YORK.</w:t>
      </w:r>
    </w:p>
    <w:p>
      <w:pPr>
        <w:spacing w:after="0" w:line="213"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9.12</w:t>
      </w:r>
      <w:r>
        <w:rPr>
          <w:sz w:val="20"/>
          <w:szCs w:val="20"/>
          <w:color w:val="auto"/>
        </w:rPr>
        <w:tab/>
      </w:r>
      <w:r>
        <w:rPr>
          <w:rFonts w:ascii="Arial" w:cs="Arial" w:eastAsia="Arial" w:hAnsi="Arial"/>
          <w:sz w:val="19"/>
          <w:szCs w:val="19"/>
          <w:u w:val="single" w:color="auto"/>
          <w:color w:val="auto"/>
        </w:rPr>
        <w:t>Submission To Jurisdiction; Waivers</w:t>
      </w:r>
      <w:r>
        <w:rPr>
          <w:rFonts w:ascii="Arial" w:cs="Arial" w:eastAsia="Arial" w:hAnsi="Arial"/>
          <w:sz w:val="19"/>
          <w:szCs w:val="19"/>
          <w:color w:val="auto"/>
        </w:rPr>
        <w:t>. Each party hereto hereby irrevocably and unconditionally: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jc w:val="both"/>
        <w:ind w:firstLine="1952"/>
        <w:spacing w:after="0" w:line="287" w:lineRule="auto"/>
        <w:tabs>
          <w:tab w:leader="none" w:pos="257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70" w:lineRule="exact"/>
        <w:rPr>
          <w:rFonts w:ascii="Arial" w:cs="Arial" w:eastAsia="Arial" w:hAnsi="Arial"/>
          <w:sz w:val="19"/>
          <w:szCs w:val="19"/>
          <w:color w:val="auto"/>
        </w:rPr>
      </w:pPr>
    </w:p>
    <w:p>
      <w:pPr>
        <w:jc w:val="both"/>
        <w:ind w:firstLine="1952"/>
        <w:spacing w:after="0"/>
        <w:tabs>
          <w:tab w:leader="none" w:pos="2479" w:val="left"/>
        </w:tabs>
        <w:numPr>
          <w:ilvl w:val="0"/>
          <w:numId w:val="267"/>
        </w:numPr>
        <w:rPr>
          <w:rFonts w:ascii="Arial" w:cs="Arial" w:eastAsia="Arial" w:hAnsi="Arial"/>
          <w:sz w:val="22"/>
          <w:szCs w:val="22"/>
          <w:color w:val="auto"/>
        </w:rPr>
      </w:pPr>
      <w:r>
        <w:rPr>
          <w:rFonts w:ascii="Arial" w:cs="Arial" w:eastAsia="Arial" w:hAnsi="Arial"/>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52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211" w:lineRule="exact"/>
        <w:rPr>
          <w:rFonts w:ascii="Arial" w:cs="Arial" w:eastAsia="Arial" w:hAnsi="Arial"/>
          <w:sz w:val="22"/>
          <w:szCs w:val="22"/>
          <w:color w:val="auto"/>
        </w:rPr>
      </w:pPr>
    </w:p>
    <w:p>
      <w:pPr>
        <w:jc w:val="both"/>
        <w:ind w:right="20" w:firstLine="1952"/>
        <w:spacing w:after="0"/>
        <w:tabs>
          <w:tab w:leader="none" w:pos="261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agrees that the Agents, the Issuing Banks and the Lenders retain the right to bring proceedings against any Loan Party in the courts of any other jurisdiction in connection with the exercise of any rights under any Security Document or the enforcement of any judgment;</w:t>
      </w:r>
    </w:p>
    <w:p>
      <w:pPr>
        <w:spacing w:after="0" w:line="213" w:lineRule="exact"/>
        <w:rPr>
          <w:rFonts w:ascii="Arial" w:cs="Arial" w:eastAsia="Arial" w:hAnsi="Arial"/>
          <w:sz w:val="22"/>
          <w:szCs w:val="22"/>
          <w:color w:val="auto"/>
        </w:rPr>
      </w:pPr>
    </w:p>
    <w:p>
      <w:pPr>
        <w:ind w:left="2660" w:hanging="708"/>
        <w:spacing w:after="0"/>
        <w:tabs>
          <w:tab w:leader="none" w:pos="266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agrees that nothing herein shall affect the right to effect service of process in any other manner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by law; and</w:t>
      </w:r>
    </w:p>
    <w:p>
      <w:pPr>
        <w:spacing w:after="0" w:line="215" w:lineRule="exact"/>
        <w:rPr>
          <w:rFonts w:ascii="Arial" w:cs="Arial" w:eastAsia="Arial" w:hAnsi="Arial"/>
          <w:sz w:val="19"/>
          <w:szCs w:val="19"/>
          <w:color w:val="auto"/>
        </w:rPr>
      </w:pPr>
    </w:p>
    <w:p>
      <w:pPr>
        <w:ind w:firstLine="1952"/>
        <w:spacing w:after="0" w:line="328" w:lineRule="auto"/>
        <w:tabs>
          <w:tab w:leader="none" w:pos="2592"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referred to in this Section 9.12 any special, exemplary, punitive or consequential damages.</w:t>
      </w:r>
    </w:p>
    <w:p>
      <w:pPr>
        <w:spacing w:after="0" w:line="132"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Acknowledgments</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and the Arrangers are arm’s-length commercial transactions between the Borrower and its Affiliates, on the one hand, and the Agents and the Arrangers,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and the Arrangers are and have been acting solely as a principal and, except as expressly agreed in writing by the relevant parties, has not been, is not, and will not be acting as an advisor, agent or fiduciary for the Borrower or any of its Affiliates, or any other Person and (ii) none of the Agents nor the Arrangers has any obligation to the Borrower or any of its Affiliates with respect to the transactions contemplated hereby except those obligations expressly set forth herein and in the other Loan Documents; (c) the Agents and the Arrangers and their respective Affiliates may be engaged in a broad range of transactions that involve interests that differ from those of the Borrower and its Affiliates, and none of the Agents nor the Arrangers has any obligation to disclose any of such interests to the Borrower or any of its Affiliates; and (d) each of the Agents and the Arrangers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or the Arrangers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any Agent or either Arranger owes it any agency, fiduciary or similar duty and agrees no such duty is owed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jc w:val="both"/>
        <w:ind w:firstLine="1134"/>
        <w:spacing w:after="0" w:line="269"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Agents, the Lenders and the Issuing Banks agrees to keep confidential all non-public information provided to it by any Loan Party pursuant to this Agreement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any Agent, any Lender or any Issuing Bank from disclosing any such information (a) to any Agent, any other Lender or Issuing Bank or any affiliate of any thereof, (b) to any Participant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or prospective Transferee that agrees to comply with the provisions of this Section 9.14 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41"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7" w:lineRule="exact"/>
        <w:rPr>
          <w:sz w:val="20"/>
          <w:szCs w:val="20"/>
          <w:color w:val="auto"/>
        </w:rPr>
      </w:pPr>
    </w:p>
    <w:p>
      <w:pPr>
        <w:jc w:val="both"/>
        <w:ind w:firstLine="1134"/>
        <w:spacing w:after="0" w:line="239" w:lineRule="auto"/>
        <w:rPr>
          <w:sz w:val="20"/>
          <w:szCs w:val="20"/>
          <w:color w:val="auto"/>
        </w:rPr>
      </w:pPr>
      <w:r>
        <w:rPr>
          <w:rFonts w:ascii="Arial" w:cs="Arial" w:eastAsia="Arial" w:hAnsi="Arial"/>
          <w:sz w:val="22"/>
          <w:szCs w:val="22"/>
          <w:b w:val="1"/>
          <w:bCs w:val="1"/>
          <w:color w:val="auto"/>
        </w:rPr>
        <w:t xml:space="preserve">Section 9.16 </w:t>
      </w:r>
      <w:r>
        <w:rPr>
          <w:rFonts w:ascii="Arial" w:cs="Arial" w:eastAsia="Arial" w:hAnsi="Arial"/>
          <w:sz w:val="22"/>
          <w:szCs w:val="22"/>
          <w:b w:val="1"/>
          <w:bCs w:val="1"/>
          <w:u w:val="single" w:color="auto"/>
          <w:color w:val="auto"/>
        </w:rPr>
        <w:t>WAIVERS OF JURY TRIAL</w:t>
      </w:r>
      <w:r>
        <w:rPr>
          <w:rFonts w:ascii="Arial" w:cs="Arial" w:eastAsia="Arial" w:hAnsi="Arial"/>
          <w:sz w:val="22"/>
          <w:szCs w:val="22"/>
          <w:b w:val="1"/>
          <w:bCs w:val="1"/>
          <w:color w:val="auto"/>
        </w:rPr>
        <w:t>. EACH LOAN PARTY, THE AGENTS, THE ISSUING BANKS AND THE LENDERS HEREBY IRREVOCABLY AND UNCONDITIONALLY WAIVE TRIAL BY JURY IN ANY LEGAL ACTION OR PROCEEDING RELATING TO THIS AGREEMENT OR ANY OTHER LOAN DOCUMENT AND FOR ANY COUNTERCLAIM THEREIN.</w:t>
      </w:r>
    </w:p>
    <w:p>
      <w:pPr>
        <w:spacing w:after="0" w:line="213" w:lineRule="exact"/>
        <w:rPr>
          <w:sz w:val="20"/>
          <w:szCs w:val="20"/>
          <w:color w:val="auto"/>
        </w:rPr>
      </w:pPr>
    </w:p>
    <w:p>
      <w:pPr>
        <w:ind w:left="1140"/>
        <w:spacing w:after="0"/>
        <w:tabs>
          <w:tab w:leader="none" w:pos="264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Conversion of Currencies</w:t>
      </w:r>
      <w:r>
        <w:rPr>
          <w:rFonts w:ascii="Arial" w:cs="Arial" w:eastAsia="Arial" w:hAnsi="Arial"/>
          <w:sz w:val="19"/>
          <w:szCs w:val="19"/>
          <w:color w:val="auto"/>
        </w:rPr>
        <w:t>.</w:t>
      </w:r>
    </w:p>
    <w:p>
      <w:pPr>
        <w:spacing w:after="0" w:line="233" w:lineRule="exact"/>
        <w:rPr>
          <w:sz w:val="20"/>
          <w:szCs w:val="20"/>
          <w:color w:val="auto"/>
        </w:rPr>
      </w:pPr>
    </w:p>
    <w:p>
      <w:pPr>
        <w:jc w:val="both"/>
        <w:ind w:firstLine="1952"/>
        <w:spacing w:after="0" w:line="236" w:lineRule="auto"/>
        <w:tabs>
          <w:tab w:leader="none" w:pos="2683" w:val="left"/>
        </w:tabs>
        <w:numPr>
          <w:ilvl w:val="0"/>
          <w:numId w:val="268"/>
        </w:numPr>
        <w:rPr>
          <w:rFonts w:ascii="Arial" w:cs="Arial" w:eastAsia="Arial" w:hAnsi="Arial"/>
          <w:sz w:val="22"/>
          <w:szCs w:val="22"/>
          <w:color w:val="auto"/>
        </w:rPr>
      </w:pPr>
      <w:r>
        <w:rPr>
          <w:rFonts w:ascii="Arial" w:cs="Arial" w:eastAsia="Arial" w:hAnsi="Arial"/>
          <w:sz w:val="22"/>
          <w:szCs w:val="22"/>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jc w:val="both"/>
        <w:ind w:firstLine="1952"/>
        <w:spacing w:after="0" w:line="245" w:lineRule="auto"/>
        <w:tabs>
          <w:tab w:leader="none" w:pos="2520"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obligations of the Borrower in respect of any sum due to any party hereto or any holder of the obligations owing hereunder (the “</w:t>
      </w:r>
      <w:r>
        <w:rPr>
          <w:rFonts w:ascii="Arial" w:cs="Arial" w:eastAsia="Arial" w:hAnsi="Arial"/>
          <w:sz w:val="21"/>
          <w:szCs w:val="21"/>
          <w:u w:val="single" w:color="auto"/>
          <w:color w:val="auto"/>
        </w:rPr>
        <w:t>Applicable Creditor</w:t>
      </w:r>
      <w:r>
        <w:rPr>
          <w:rFonts w:ascii="Arial" w:cs="Arial" w:eastAsia="Arial" w:hAnsi="Arial"/>
          <w:sz w:val="21"/>
          <w:szCs w:val="21"/>
          <w:color w:val="auto"/>
        </w:rPr>
        <w:t>”) shall, notwithstanding any judgment in a currency (the “</w:t>
      </w:r>
      <w:r>
        <w:rPr>
          <w:rFonts w:ascii="Arial" w:cs="Arial" w:eastAsia="Arial" w:hAnsi="Arial"/>
          <w:sz w:val="21"/>
          <w:szCs w:val="21"/>
          <w:u w:val="single" w:color="auto"/>
          <w:color w:val="auto"/>
        </w:rPr>
        <w:t>Judgment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Currency</w:t>
      </w:r>
      <w:r>
        <w:rPr>
          <w:rFonts w:ascii="Arial" w:cs="Arial" w:eastAsia="Arial" w:hAnsi="Arial"/>
          <w:sz w:val="21"/>
          <w:szCs w:val="21"/>
          <w:color w:val="auto"/>
        </w:rPr>
        <w:t>”) other than the currency in which such sum is stated to be due hereunder (the “</w:t>
      </w:r>
      <w:r>
        <w:rPr>
          <w:rFonts w:ascii="Arial" w:cs="Arial" w:eastAsia="Arial" w:hAnsi="Arial"/>
          <w:sz w:val="21"/>
          <w:szCs w:val="21"/>
          <w:u w:val="single" w:color="auto"/>
          <w:color w:val="auto"/>
        </w:rPr>
        <w:t>Agreement Currency</w:t>
      </w:r>
      <w:r>
        <w:rPr>
          <w:rFonts w:ascii="Arial" w:cs="Arial" w:eastAsia="Arial" w:hAnsi="Arial"/>
          <w:sz w:val="21"/>
          <w:szCs w:val="21"/>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208"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and each Issuing Bank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such Issuing Bank or the Agents, as applicable, to identify each Loan Party in accordance with the Patriot Act. The Borrower shall, promptly following a request by any Agent or any Lender or Issuing Bank, provide all documentation and other information that such Agent or such Lender or such Issuing Bank requests in order to comply with its ongoing obligations under applicable “know your customer” and anti-money laundering rules and regulations, including the PATRIOT Act.</w:t>
      </w:r>
    </w:p>
    <w:p>
      <w:pPr>
        <w:spacing w:after="0" w:line="184"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Payments Set Aside</w:t>
      </w:r>
      <w:r>
        <w:rPr>
          <w:rFonts w:ascii="Arial" w:cs="Arial" w:eastAsia="Arial" w:hAnsi="Arial"/>
          <w:sz w:val="21"/>
          <w:szCs w:val="21"/>
          <w:color w:val="auto"/>
        </w:rPr>
        <w:t xml:space="preserve">. To the extent that any payment by or on behalf of the Borrower is made to any Agent or any Lender or Issuing Bank, or any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such Agent or such Lender or such Issuing Bank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Agents upon demand its applicable share (without duplication) of any amount so recovered from or repaid by the Agents,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payment is made at a rate per annum equal to the Federal Funds Effective Rate from time to time in effect. The obligations of the Lenders and Issuing Banks under clause (b) of the preceding sentence shall survive the payment in full of the Obligations and the termination of this Agreement.</w:t>
      </w:r>
    </w:p>
    <w:p>
      <w:pPr>
        <w:spacing w:after="0" w:line="213" w:lineRule="exact"/>
        <w:rPr>
          <w:sz w:val="20"/>
          <w:szCs w:val="20"/>
          <w:color w:val="auto"/>
        </w:rPr>
      </w:pPr>
    </w:p>
    <w:p>
      <w:pPr>
        <w:jc w:val="both"/>
        <w:ind w:firstLine="1134"/>
        <w:spacing w:after="0" w:line="235" w:lineRule="auto"/>
        <w:rPr>
          <w:sz w:val="20"/>
          <w:szCs w:val="20"/>
          <w:color w:val="auto"/>
        </w:rPr>
      </w:pPr>
      <w:r>
        <w:rPr>
          <w:rFonts w:ascii="Arial" w:cs="Arial" w:eastAsia="Arial" w:hAnsi="Arial"/>
          <w:sz w:val="22"/>
          <w:szCs w:val="22"/>
          <w:color w:val="auto"/>
        </w:rPr>
        <w:t xml:space="preserve">Section 9.20 </w:t>
      </w:r>
      <w:r>
        <w:rPr>
          <w:rFonts w:ascii="Arial" w:cs="Arial" w:eastAsia="Arial" w:hAnsi="Arial"/>
          <w:sz w:val="22"/>
          <w:szCs w:val="22"/>
          <w:u w:val="single" w:color="auto"/>
          <w:color w:val="auto"/>
        </w:rPr>
        <w:t>Releases of Collateral and Guarantees</w:t>
      </w:r>
      <w:r>
        <w:rPr>
          <w:rFonts w:ascii="Arial" w:cs="Arial" w:eastAsia="Arial" w:hAnsi="Arial"/>
          <w:sz w:val="22"/>
          <w:szCs w:val="22"/>
          <w:color w:val="auto"/>
        </w:rPr>
        <w:t xml:space="preserve">. Each of the Lenders (including in its capacity as a potential Lender Counterparty) and Issuing Banks irrevocably authorizes the Collateral Agent to be the agent for and representative of the Lenders and Issuing Banks with respect to the Collateral and the Security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Collateral Agent shall not owe any fiduciary duty, duty of loyalty, duty of care, duty of disclosure or any other obligation whatsoever to any holder of Obligations with respect to any Secured Hedge Agreements or Secured Cash Management Agreements, and the Collateral Agent agrees that:</w:t>
      </w:r>
    </w:p>
    <w:p>
      <w:pPr>
        <w:spacing w:after="0" w:line="215" w:lineRule="exact"/>
        <w:rPr>
          <w:sz w:val="20"/>
          <w:szCs w:val="20"/>
          <w:color w:val="auto"/>
        </w:rPr>
      </w:pPr>
    </w:p>
    <w:p>
      <w:pPr>
        <w:jc w:val="both"/>
        <w:ind w:firstLine="1952"/>
        <w:spacing w:after="0" w:line="275" w:lineRule="auto"/>
        <w:tabs>
          <w:tab w:leader="none" w:pos="2535"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Collateral Agent’s Lien on any Property granted to or held by the Collateral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or (v) if approved, authorized or ratified in writing in accordance with Section 9.1.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jc w:val="both"/>
        <w:ind w:firstLine="1952"/>
        <w:spacing w:after="0" w:line="241" w:lineRule="auto"/>
        <w:tabs>
          <w:tab w:leader="none" w:pos="25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Guarantee of a Guarantor shall be automatically and unconditionally released, and no further action by such Guarantor or the Administrative Agent is required for the release of such Guarantor’s Guarantee under this Agreement or any other Loan Document, if:</w:t>
      </w:r>
    </w:p>
    <w:p>
      <w:pPr>
        <w:spacing w:after="0" w:line="210" w:lineRule="exact"/>
        <w:rPr>
          <w:rFonts w:ascii="Arial" w:cs="Arial" w:eastAsia="Arial" w:hAnsi="Arial"/>
          <w:sz w:val="22"/>
          <w:szCs w:val="22"/>
          <w:color w:val="auto"/>
        </w:rPr>
      </w:pPr>
    </w:p>
    <w:p>
      <w:pPr>
        <w:jc w:val="both"/>
        <w:ind w:left="660" w:firstLine="1778"/>
        <w:spacing w:after="0" w:line="297" w:lineRule="auto"/>
        <w:tabs>
          <w:tab w:leader="none" w:pos="3105" w:val="left"/>
        </w:tabs>
        <w:numPr>
          <w:ilvl w:val="1"/>
          <w:numId w:val="271"/>
        </w:numPr>
        <w:rPr>
          <w:rFonts w:ascii="Arial" w:cs="Arial" w:eastAsia="Arial" w:hAnsi="Arial"/>
          <w:sz w:val="19"/>
          <w:szCs w:val="19"/>
          <w:color w:val="auto"/>
        </w:rPr>
      </w:pPr>
      <w:r>
        <w:rPr>
          <w:rFonts w:ascii="Arial" w:cs="Arial" w:eastAsia="Arial" w:hAnsi="Arial"/>
          <w:sz w:val="19"/>
          <w:szCs w:val="19"/>
          <w:color w:val="auto"/>
        </w:rPr>
        <w:t>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w:t>
      </w:r>
    </w:p>
    <w:p>
      <w:pPr>
        <w:spacing w:after="0" w:line="160" w:lineRule="exact"/>
        <w:rPr>
          <w:rFonts w:ascii="Arial" w:cs="Arial" w:eastAsia="Arial" w:hAnsi="Arial"/>
          <w:sz w:val="19"/>
          <w:szCs w:val="19"/>
          <w:color w:val="auto"/>
        </w:rPr>
      </w:pPr>
    </w:p>
    <w:p>
      <w:pPr>
        <w:jc w:val="both"/>
        <w:ind w:left="660" w:firstLine="1778"/>
        <w:spacing w:after="0" w:line="257" w:lineRule="auto"/>
        <w:tabs>
          <w:tab w:leader="none" w:pos="3097" w:val="left"/>
        </w:tabs>
        <w:numPr>
          <w:ilvl w:val="1"/>
          <w:numId w:val="271"/>
        </w:numPr>
        <w:rPr>
          <w:rFonts w:ascii="Arial" w:cs="Arial" w:eastAsia="Arial" w:hAnsi="Arial"/>
          <w:sz w:val="21"/>
          <w:szCs w:val="21"/>
          <w:color w:val="auto"/>
        </w:rPr>
      </w:pPr>
      <w:r>
        <w:rPr>
          <w:rFonts w:ascii="Arial" w:cs="Arial" w:eastAsia="Arial" w:hAnsi="Arial"/>
          <w:sz w:val="21"/>
          <w:szCs w:val="21"/>
          <w:color w:val="auto"/>
        </w:rPr>
        <w:t>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spacing w:after="0" w:line="196" w:lineRule="exact"/>
        <w:rPr>
          <w:rFonts w:ascii="Arial" w:cs="Arial" w:eastAsia="Arial" w:hAnsi="Arial"/>
          <w:sz w:val="21"/>
          <w:szCs w:val="21"/>
          <w:color w:val="auto"/>
        </w:rPr>
      </w:pPr>
    </w:p>
    <w:p>
      <w:pPr>
        <w:jc w:val="both"/>
        <w:ind w:left="660" w:firstLine="1778"/>
        <w:spacing w:after="0" w:line="279" w:lineRule="auto"/>
        <w:tabs>
          <w:tab w:leader="none" w:pos="3144" w:val="left"/>
        </w:tabs>
        <w:numPr>
          <w:ilvl w:val="1"/>
          <w:numId w:val="271"/>
        </w:numPr>
        <w:rPr>
          <w:rFonts w:ascii="Arial" w:cs="Arial" w:eastAsia="Arial" w:hAnsi="Arial"/>
          <w:sz w:val="19"/>
          <w:szCs w:val="19"/>
          <w:color w:val="auto"/>
        </w:rPr>
      </w:pPr>
      <w:r>
        <w:rPr>
          <w:rFonts w:ascii="Arial" w:cs="Arial" w:eastAsia="Arial" w:hAnsi="Arial"/>
          <w:sz w:val="19"/>
          <w:szCs w:val="19"/>
          <w:color w:val="auto"/>
        </w:rPr>
        <w:t>if the Borrower designates any Restricted Subsidiary that is a Guarantor to be an Unrestricted Subsidiary in accordance with the provisions set forth under Section 6.1(c) and the definition of “Unrestricted Subsidiary” in this Agreement, or upon such Guarantor becoming (A) a Qualified Liquefaction Development Entity, (B) a Receivables Subsidiary, (C) an Immaterial Subsidiary, (D) a Captive Insurance Subsidiary, (E) a not-for-profit or special purpose Subsidiary or (F) a Subsidiary with respect to which a guarantee would result in material adverse tax consequences, as reasonably determined by the Issuer, in each case in compliance with the applicable provisions of this Agreement;</w:t>
      </w:r>
    </w:p>
    <w:p>
      <w:pPr>
        <w:spacing w:after="0" w:line="177" w:lineRule="exact"/>
        <w:rPr>
          <w:rFonts w:ascii="Arial" w:cs="Arial" w:eastAsia="Arial" w:hAnsi="Arial"/>
          <w:sz w:val="19"/>
          <w:szCs w:val="19"/>
          <w:color w:val="auto"/>
        </w:rPr>
      </w:pPr>
    </w:p>
    <w:p>
      <w:pPr>
        <w:jc w:val="both"/>
        <w:ind w:left="660" w:firstLine="1778"/>
        <w:spacing w:after="0"/>
        <w:tabs>
          <w:tab w:leader="none" w:pos="3132" w:val="left"/>
        </w:tabs>
        <w:numPr>
          <w:ilvl w:val="1"/>
          <w:numId w:val="271"/>
        </w:numPr>
        <w:rPr>
          <w:rFonts w:ascii="Arial" w:cs="Arial" w:eastAsia="Arial" w:hAnsi="Arial"/>
          <w:sz w:val="22"/>
          <w:szCs w:val="22"/>
          <w:color w:val="auto"/>
        </w:rPr>
      </w:pPr>
      <w:r>
        <w:rPr>
          <w:rFonts w:ascii="Arial" w:cs="Arial" w:eastAsia="Arial" w:hAnsi="Arial"/>
          <w:sz w:val="22"/>
          <w:szCs w:val="22"/>
          <w:color w:val="auto"/>
        </w:rPr>
        <w:t>upon the merger, amalgamation, consolidation or winding up of such Guarantor with and into the Borrower or another Guarantor that is the surviving Person in such merger, amalgamation, consolidation or winding up, or upon the liquidation of such Guarantor; or</w:t>
      </w:r>
    </w:p>
    <w:p>
      <w:pPr>
        <w:spacing w:after="0" w:line="213" w:lineRule="exact"/>
        <w:rPr>
          <w:rFonts w:ascii="Arial" w:cs="Arial" w:eastAsia="Arial" w:hAnsi="Arial"/>
          <w:sz w:val="22"/>
          <w:szCs w:val="22"/>
          <w:color w:val="auto"/>
        </w:rPr>
      </w:pPr>
    </w:p>
    <w:p>
      <w:pPr>
        <w:ind w:left="3180" w:hanging="742"/>
        <w:spacing w:after="0"/>
        <w:tabs>
          <w:tab w:leader="none" w:pos="318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 accordance with the provisions of any Equal Priority Intercreditor Agreement.</w:t>
      </w:r>
    </w:p>
    <w:p>
      <w:pPr>
        <w:spacing w:after="0" w:line="233" w:lineRule="exact"/>
        <w:rPr>
          <w:rFonts w:ascii="Arial" w:cs="Arial" w:eastAsia="Arial" w:hAnsi="Arial"/>
          <w:sz w:val="22"/>
          <w:szCs w:val="22"/>
          <w:color w:val="auto"/>
        </w:rPr>
      </w:pPr>
    </w:p>
    <w:p>
      <w:pPr>
        <w:jc w:val="both"/>
        <w:ind w:firstLine="1952"/>
        <w:spacing w:after="0" w:line="273" w:lineRule="auto"/>
        <w:tabs>
          <w:tab w:leader="none" w:pos="2656"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jc w:val="both"/>
        <w:ind w:firstLine="1952"/>
        <w:spacing w:after="0" w:line="273" w:lineRule="auto"/>
        <w:tabs>
          <w:tab w:leader="none" w:pos="2601" w:val="left"/>
        </w:tabs>
        <w:numPr>
          <w:ilvl w:val="1"/>
          <w:numId w:val="2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 no Lien on any Property shall be released pursuant to clause (a) above unless any Lien on such Property securing the Secured Notes Obligations and any other Equal Priority Obligations is also being released substantially concurrently, (ii) no Guarantor shall be released pursuant to clause</w:t>
      </w:r>
    </w:p>
    <w:p>
      <w:pPr>
        <w:spacing w:after="0" w:line="2" w:lineRule="exact"/>
        <w:rPr>
          <w:rFonts w:ascii="Arial" w:cs="Arial" w:eastAsia="Arial" w:hAnsi="Arial"/>
          <w:sz w:val="19"/>
          <w:szCs w:val="19"/>
          <w:color w:val="auto"/>
        </w:rPr>
      </w:pPr>
    </w:p>
    <w:p>
      <w:pPr>
        <w:jc w:val="both"/>
        <w:ind w:firstLine="8"/>
        <w:spacing w:after="0" w:line="266" w:lineRule="auto"/>
        <w:tabs>
          <w:tab w:leader="none" w:pos="313" w:val="left"/>
        </w:tabs>
        <w:numPr>
          <w:ilvl w:val="0"/>
          <w:numId w:val="273"/>
        </w:numPr>
        <w:rPr>
          <w:rFonts w:ascii="Arial" w:cs="Arial" w:eastAsia="Arial" w:hAnsi="Arial"/>
          <w:sz w:val="19"/>
          <w:szCs w:val="19"/>
          <w:color w:val="auto"/>
        </w:rPr>
      </w:pPr>
      <w:r>
        <w:rPr>
          <w:rFonts w:ascii="Arial" w:cs="Arial" w:eastAsia="Arial" w:hAnsi="Arial"/>
          <w:sz w:val="19"/>
          <w:szCs w:val="19"/>
          <w:color w:val="auto"/>
        </w:rPr>
        <w:t>above unless such Guarantor is also released substantially concurrently from any guarantee obligations of the Secured Notes Obligations and any other Equal Priority Obligations and (ii) no Lien on any Collateral shall be subordinated pursuant to clause</w:t>
      </w:r>
    </w:p>
    <w:p>
      <w:pPr>
        <w:spacing w:after="0" w:line="1" w:lineRule="exact"/>
        <w:rPr>
          <w:rFonts w:ascii="Arial" w:cs="Arial" w:eastAsia="Arial" w:hAnsi="Arial"/>
          <w:sz w:val="19"/>
          <w:szCs w:val="19"/>
          <w:color w:val="auto"/>
        </w:rPr>
      </w:pPr>
    </w:p>
    <w:p>
      <w:pPr>
        <w:ind w:firstLine="8"/>
        <w:spacing w:after="0" w:line="236" w:lineRule="auto"/>
        <w:tabs>
          <w:tab w:leader="none" w:pos="29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above unless any Lien on such Collateral securing the Secured Notes Obligations and any other Equal Priority Obligations is also being subordinated by the holders of such obligations substantially concurrently.</w:t>
      </w:r>
    </w:p>
    <w:p>
      <w:pPr>
        <w:spacing w:after="0" w:line="213" w:lineRule="exact"/>
        <w:rPr>
          <w:rFonts w:ascii="Arial" w:cs="Arial" w:eastAsia="Arial" w:hAnsi="Arial"/>
          <w:sz w:val="22"/>
          <w:szCs w:val="22"/>
          <w:color w:val="auto"/>
        </w:rPr>
      </w:pPr>
    </w:p>
    <w:p>
      <w:pPr>
        <w:jc w:val="both"/>
        <w:ind w:firstLine="1952"/>
        <w:spacing w:after="0" w:line="238" w:lineRule="auto"/>
        <w:tabs>
          <w:tab w:leader="none" w:pos="2535" w:val="left"/>
        </w:tabs>
        <w:numPr>
          <w:ilvl w:val="1"/>
          <w:numId w:val="273"/>
        </w:numPr>
        <w:rPr>
          <w:rFonts w:ascii="Arial" w:cs="Arial" w:eastAsia="Arial" w:hAnsi="Arial"/>
          <w:sz w:val="22"/>
          <w:szCs w:val="22"/>
          <w:color w:val="auto"/>
        </w:rPr>
      </w:pPr>
      <w:r>
        <w:rPr>
          <w:rFonts w:ascii="Arial" w:cs="Arial" w:eastAsia="Arial" w:hAnsi="Arial"/>
          <w:sz w:val="22"/>
          <w:szCs w:val="22"/>
          <w:color w:val="auto"/>
        </w:rPr>
        <w:t>On the date that the Termination Conditions are satisfied,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the need to deliver any instrument or performance of any act by any Person.</w:t>
      </w:r>
    </w:p>
    <w:p>
      <w:pPr>
        <w:spacing w:after="0" w:line="211" w:lineRule="exact"/>
        <w:rPr>
          <w:rFonts w:ascii="Arial" w:cs="Arial" w:eastAsia="Arial" w:hAnsi="Arial"/>
          <w:sz w:val="22"/>
          <w:szCs w:val="22"/>
          <w:color w:val="auto"/>
        </w:rPr>
      </w:pPr>
    </w:p>
    <w:p>
      <w:pPr>
        <w:jc w:val="both"/>
        <w:ind w:firstLine="1952"/>
        <w:spacing w:after="0" w:line="252" w:lineRule="auto"/>
        <w:tabs>
          <w:tab w:leader="none" w:pos="2578" w:val="left"/>
        </w:tabs>
        <w:numPr>
          <w:ilvl w:val="1"/>
          <w:numId w:val="273"/>
        </w:numPr>
        <w:rPr>
          <w:rFonts w:ascii="Arial" w:cs="Arial" w:eastAsia="Arial" w:hAnsi="Arial"/>
          <w:sz w:val="21"/>
          <w:szCs w:val="21"/>
          <w:color w:val="auto"/>
        </w:rPr>
      </w:pPr>
      <w:r>
        <w:rPr>
          <w:rFonts w:ascii="Arial" w:cs="Arial" w:eastAsia="Arial" w:hAnsi="Arial"/>
          <w:sz w:val="21"/>
          <w:szCs w:val="21"/>
          <w:color w:val="auto"/>
        </w:rPr>
        <w:t xml:space="preserve">It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be at the Borrower’s expense and in form and substance reasonably satisfactory to the Collateral Agent.</w:t>
      </w:r>
    </w:p>
    <w:p>
      <w:pPr>
        <w:spacing w:after="0" w:line="201"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21"/>
          <w:szCs w:val="21"/>
          <w:color w:val="auto"/>
        </w:rPr>
        <w:t xml:space="preserve">Section 9.21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205" w:lineRule="exact"/>
        <w:rPr>
          <w:sz w:val="20"/>
          <w:szCs w:val="20"/>
          <w:color w:val="auto"/>
        </w:rPr>
      </w:pPr>
    </w:p>
    <w:p>
      <w:pPr>
        <w:jc w:val="both"/>
        <w:ind w:firstLine="1952"/>
        <w:spacing w:after="0"/>
        <w:tabs>
          <w:tab w:leader="none" w:pos="256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13" w:lineRule="exact"/>
        <w:rPr>
          <w:rFonts w:ascii="Arial" w:cs="Arial" w:eastAsia="Arial" w:hAnsi="Arial"/>
          <w:sz w:val="22"/>
          <w:szCs w:val="22"/>
          <w:color w:val="auto"/>
        </w:rPr>
      </w:pPr>
    </w:p>
    <w:p>
      <w:pPr>
        <w:ind w:left="2520" w:hanging="568"/>
        <w:spacing w:after="0"/>
        <w:tabs>
          <w:tab w:leader="none" w:pos="252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3080" w:hanging="642"/>
        <w:spacing w:after="0"/>
        <w:tabs>
          <w:tab w:leader="none" w:pos="3080" w:val="left"/>
        </w:tabs>
        <w:numPr>
          <w:ilvl w:val="1"/>
          <w:numId w:val="27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660" w:firstLine="1778"/>
        <w:spacing w:after="0" w:line="252" w:lineRule="auto"/>
        <w:tabs>
          <w:tab w:leader="none" w:pos="3043"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rFonts w:ascii="Arial" w:cs="Arial" w:eastAsia="Arial" w:hAnsi="Arial"/>
          <w:sz w:val="21"/>
          <w:szCs w:val="21"/>
          <w:color w:val="auto"/>
        </w:rPr>
      </w:pPr>
    </w:p>
    <w:p>
      <w:pPr>
        <w:ind w:left="660" w:firstLine="1778"/>
        <w:spacing w:after="0" w:line="250" w:lineRule="auto"/>
        <w:tabs>
          <w:tab w:leader="none" w:pos="314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applicable Resolution Authority.</w:t>
      </w:r>
    </w:p>
    <w:p>
      <w:pPr>
        <w:spacing w:after="0" w:line="202" w:lineRule="exact"/>
        <w:rPr>
          <w:sz w:val="20"/>
          <w:szCs w:val="20"/>
          <w:color w:val="auto"/>
        </w:rPr>
      </w:pPr>
    </w:p>
    <w:p>
      <w:pPr>
        <w:jc w:val="both"/>
        <w:ind w:firstLine="1134"/>
        <w:spacing w:after="0" w:line="246"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Acknowledgment Regarding Any Supported QFCs.</w:t>
      </w:r>
      <w:r>
        <w:rPr>
          <w:rFonts w:ascii="Arial" w:cs="Arial" w:eastAsia="Arial" w:hAnsi="Arial"/>
          <w:sz w:val="21"/>
          <w:szCs w:val="21"/>
          <w:color w:val="auto"/>
        </w:rPr>
        <w:t xml:space="preserve"> To the extent that the Loan Documents provide support, through a guarantee or otherwise, for any agreement or instrument that is a QFC (such support, “</w:t>
      </w:r>
      <w:r>
        <w:rPr>
          <w:rFonts w:ascii="Arial" w:cs="Arial" w:eastAsia="Arial" w:hAnsi="Arial"/>
          <w:sz w:val="21"/>
          <w:szCs w:val="21"/>
          <w:u w:val="single" w:color="auto"/>
          <w:color w:val="auto"/>
        </w:rPr>
        <w:t>QFC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Support</w:t>
      </w:r>
      <w:r>
        <w:rPr>
          <w:rFonts w:ascii="Arial" w:cs="Arial" w:eastAsia="Arial" w:hAnsi="Arial"/>
          <w:sz w:val="21"/>
          <w:szCs w:val="21"/>
          <w:color w:val="auto"/>
        </w:rPr>
        <w:t>”, and each such QFC, a “</w:t>
      </w:r>
      <w:r>
        <w:rPr>
          <w:rFonts w:ascii="Arial" w:cs="Arial" w:eastAsia="Arial" w:hAnsi="Arial"/>
          <w:sz w:val="21"/>
          <w:szCs w:val="21"/>
          <w:u w:val="single" w:color="auto"/>
          <w:color w:val="auto"/>
        </w:rPr>
        <w:t>Supported QFC</w:t>
      </w:r>
      <w:r>
        <w:rPr>
          <w:rFonts w:ascii="Arial" w:cs="Arial" w:eastAsia="Arial" w:hAnsi="Arial"/>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u w:val="single" w:color="auto"/>
          <w:color w:val="auto"/>
        </w:rPr>
        <w:t>U.S. Special Resolution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Regimes</w:t>
      </w:r>
      <w:r>
        <w:rPr>
          <w:rFonts w:ascii="Arial" w:cs="Arial" w:eastAsia="Arial" w:hAnsi="Arial"/>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jc w:val="both"/>
        <w:ind w:firstLine="1952"/>
        <w:spacing w:after="0" w:line="272" w:lineRule="auto"/>
        <w:tabs>
          <w:tab w:leader="none" w:pos="2562" w:val="left"/>
        </w:tabs>
        <w:numPr>
          <w:ilvl w:val="0"/>
          <w:numId w:val="275"/>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3" w:lineRule="exact"/>
        <w:rPr>
          <w:rFonts w:ascii="Arial" w:cs="Arial" w:eastAsia="Arial" w:hAnsi="Arial"/>
          <w:sz w:val="19"/>
          <w:szCs w:val="19"/>
          <w:color w:val="auto"/>
        </w:rPr>
      </w:pPr>
    </w:p>
    <w:p>
      <w:pPr>
        <w:ind w:left="2520" w:hanging="568"/>
        <w:spacing w:after="0"/>
        <w:tabs>
          <w:tab w:leader="none" w:pos="25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As used in this Section 9.22, the following terms have the following meanings: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the meaning assigned to the term “qualified financial contract” in, and shall be interpreted in accordance with, 12 U.S.C. 5390(c)(8)(D).</w:t>
      </w:r>
    </w:p>
    <w:p>
      <w:pPr>
        <w:spacing w:after="0" w:line="202"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21"/>
          <w:szCs w:val="21"/>
          <w:color w:val="auto"/>
        </w:rPr>
        <w:t xml:space="preserve">Section 9.23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This Agreement is subject to the terms and provisions of the Equal Priority Intercreditor Agreement. In the event of a conflict between the terms hereof and the terms of the Equal Priority Intercreditor Agreement, the terms of the Equal Priority Intercreditor Agreement shall govern and control.</w:t>
      </w:r>
    </w:p>
    <w:p>
      <w:pPr>
        <w:spacing w:after="0" w:line="196" w:lineRule="exact"/>
        <w:rPr>
          <w:sz w:val="20"/>
          <w:szCs w:val="20"/>
          <w:color w:val="auto"/>
        </w:rPr>
      </w:pPr>
    </w:p>
    <w:p>
      <w:pPr>
        <w:jc w:val="both"/>
        <w:ind w:firstLine="1134"/>
        <w:spacing w:after="0" w:line="235" w:lineRule="auto"/>
        <w:rPr>
          <w:sz w:val="20"/>
          <w:szCs w:val="20"/>
          <w:color w:val="auto"/>
        </w:rPr>
      </w:pPr>
      <w:r>
        <w:rPr>
          <w:rFonts w:ascii="Arial" w:cs="Arial" w:eastAsia="Arial" w:hAnsi="Arial"/>
          <w:sz w:val="22"/>
          <w:szCs w:val="22"/>
          <w:color w:val="auto"/>
        </w:rPr>
        <w:t xml:space="preserve">Section 9.24 </w:t>
      </w:r>
      <w:r>
        <w:rPr>
          <w:rFonts w:ascii="Arial" w:cs="Arial" w:eastAsia="Arial" w:hAnsi="Arial"/>
          <w:sz w:val="22"/>
          <w:szCs w:val="22"/>
          <w:u w:val="single" w:color="auto"/>
          <w:color w:val="auto"/>
        </w:rPr>
        <w:t>No Fiduciary Duty.</w:t>
      </w:r>
      <w:r>
        <w:rPr>
          <w:rFonts w:ascii="Arial" w:cs="Arial" w:eastAsia="Arial" w:hAnsi="Arial"/>
          <w:sz w:val="22"/>
          <w:szCs w:val="22"/>
          <w:color w:val="auto"/>
        </w:rPr>
        <w:t xml:space="preserve">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spacing w:after="0" w:line="215"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Section 9.25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that may be contracted for, charged, taken, received or reserved by such Lender in accordance with applicable law, the rate of interest payable hereunder, together with all fees and charges that are treated as interest under applicable law payable to such Lender or such Issuing Bank, shall be limited to the Maximum Rate,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excess amount shall be paid to such Lender or such Issuing Bank on subsequent payment dates to the extent not exceeding the legal limitation.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ind w:left="660"/>
        <w:spacing w:after="0"/>
        <w:tabs>
          <w:tab w:leader="none" w:pos="18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GUARANTEES</w:t>
      </w:r>
      <w:r>
        <w:rPr>
          <w:rFonts w:ascii="Arial" w:cs="Arial" w:eastAsia="Arial" w:hAnsi="Arial"/>
          <w:sz w:val="19"/>
          <w:szCs w:val="19"/>
          <w:color w:val="auto"/>
        </w:rPr>
        <w:t>.</w:t>
      </w:r>
    </w:p>
    <w:p>
      <w:pPr>
        <w:spacing w:after="0" w:line="23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Subject to this Section 10,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Section 9.20, and any rights of </w:t>
      </w:r>
      <w:r>
        <w:rPr>
          <w:rFonts w:ascii="Arial" w:cs="Arial" w:eastAsia="Arial" w:hAnsi="Arial"/>
          <w:sz w:val="19"/>
          <w:szCs w:val="19"/>
          <w:i w:val="1"/>
          <w:iCs w:val="1"/>
          <w:color w:val="auto"/>
        </w:rPr>
        <w:t>orden</w:t>
      </w:r>
      <w:r>
        <w:rPr>
          <w:rFonts w:ascii="Arial" w:cs="Arial" w:eastAsia="Arial" w:hAnsi="Arial"/>
          <w:sz w:val="19"/>
          <w:szCs w:val="19"/>
          <w:color w:val="auto"/>
        </w:rPr>
        <w:t xml:space="preserve"> and </w:t>
      </w:r>
      <w:r>
        <w:rPr>
          <w:rFonts w:ascii="Arial" w:cs="Arial" w:eastAsia="Arial" w:hAnsi="Arial"/>
          <w:sz w:val="19"/>
          <w:szCs w:val="19"/>
          <w:i w:val="1"/>
          <w:iCs w:val="1"/>
          <w:color w:val="auto"/>
        </w:rPr>
        <w:t>excusión</w:t>
      </w:r>
      <w:r>
        <w:rPr>
          <w:rFonts w:ascii="Arial" w:cs="Arial" w:eastAsia="Arial" w:hAnsi="Arial"/>
          <w:sz w:val="19"/>
          <w:szCs w:val="19"/>
          <w:color w:val="auto"/>
        </w:rPr>
        <w:t xml:space="preserve">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This Section 10 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w:t>
      </w:r>
    </w:p>
    <w:p>
      <w:pPr>
        <w:spacing w:after="0" w:line="19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case any provision of this Guarantee shall be invalid, illegal or unenforceable, the validity, legality, and enforceability of the remaining provisions shall not in any way be affected or impaired thereby.</w:t>
      </w:r>
    </w:p>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This Guarantee issued by any Guarantor shall be a general senior obligation of such Guarantor and shall be equal in right of payment with all existing and future Senior Indebtedness of such Guarantor, including the 2025 Note Guarantees and the 2026 Note Guarantees of such Guarantor.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jc w:val="both"/>
        <w:ind w:firstLine="324"/>
        <w:spacing w:after="0" w:line="251" w:lineRule="auto"/>
        <w:rPr>
          <w:sz w:val="20"/>
          <w:szCs w:val="20"/>
          <w:color w:val="auto"/>
        </w:rPr>
      </w:pPr>
      <w:r>
        <w:rPr>
          <w:rFonts w:ascii="Arial" w:cs="Arial" w:eastAsia="Arial" w:hAnsi="Arial"/>
          <w:sz w:val="22"/>
          <w:szCs w:val="22"/>
          <w:color w:val="auto"/>
        </w:rPr>
        <w:t>Each payment to be made by a Guarantor in respect of its Guarantee shall be made without set-off, counterclaim, reduction or diminution of any kind or nature.</w:t>
      </w:r>
    </w:p>
    <w:p>
      <w:pPr>
        <w:spacing w:after="0" w:line="20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 xml:space="preserve">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w:t>
      </w:r>
      <w:r>
        <w:rPr>
          <w:rFonts w:ascii="Arial" w:cs="Arial" w:eastAsia="Arial" w:hAnsi="Arial"/>
          <w:sz w:val="21"/>
          <w:szCs w:val="21"/>
          <w:u w:val="single" w:color="auto"/>
          <w:color w:val="auto"/>
        </w:rPr>
        <w:t>pro</w:t>
      </w:r>
      <w:r>
        <w:rPr>
          <w:rFonts w:ascii="Arial" w:cs="Arial" w:eastAsia="Arial" w:hAnsi="Arial"/>
          <w:sz w:val="21"/>
          <w:szCs w:val="21"/>
          <w:color w:val="auto"/>
        </w:rPr>
        <w:t xml:space="preserve"> </w:t>
      </w:r>
      <w:r>
        <w:rPr>
          <w:rFonts w:ascii="Arial" w:cs="Arial" w:eastAsia="Arial" w:hAnsi="Arial"/>
          <w:sz w:val="21"/>
          <w:szCs w:val="21"/>
          <w:u w:val="single" w:color="auto"/>
          <w:color w:val="auto"/>
        </w:rPr>
        <w:t>rata</w:t>
      </w:r>
      <w:r>
        <w:rPr>
          <w:rFonts w:ascii="Arial" w:cs="Arial" w:eastAsia="Arial" w:hAnsi="Arial"/>
          <w:sz w:val="21"/>
          <w:szCs w:val="21"/>
          <w:color w:val="auto"/>
        </w:rPr>
        <w:t xml:space="preserve"> portion of such payment based on the respective net assets of all the Guarantors at the time of such payment determined in accordance with GAAP.</w:t>
      </w:r>
    </w:p>
    <w:p>
      <w:pPr>
        <w:spacing w:after="0" w:line="21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Any Guarantee of a Guarantor incorporated under the laws of England and Wales shall not apply to the extent that it would result in such Guarantee constituting unlawful financial assistance within the meaning of sections 678 or 679 of the Companies Act 2006.</w:t>
      </w:r>
    </w:p>
    <w:p>
      <w:pPr>
        <w:spacing w:after="0" w:line="2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Any Guarantee of a Guarantor incorporated under the laws of Ireland shall not apply to the extent that it would result in such Guarantee constituting financial assistance as prohibited by section 82 of the Irish Companies Act 2014.</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No Guarantor will exercise any rights that it may now or hereafter acquire against any Loan Party or any other guarantor that arise from the existence, payment, performance or enforcement of such Guarantor’s obligations under this Section 10,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 in accordance with the terms of this Agreement, or to be held as Collateral for any Obligations or other amounts payable under this Section 10 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spacing w:after="0" w:line="200" w:lineRule="exact"/>
        <w:rPr>
          <w:sz w:val="20"/>
          <w:szCs w:val="20"/>
          <w:color w:val="auto"/>
        </w:rPr>
      </w:pP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purposes of this Section 10, each Guarantor incorporated or formed under the laws of Mexico (each a “</w:t>
      </w:r>
      <w:r>
        <w:rPr>
          <w:rFonts w:ascii="Arial" w:cs="Arial" w:eastAsia="Arial" w:hAnsi="Arial"/>
          <w:sz w:val="22"/>
          <w:szCs w:val="22"/>
          <w:u w:val="single" w:color="auto"/>
          <w:color w:val="auto"/>
        </w:rPr>
        <w:t>Mexican Guarantor</w:t>
      </w:r>
      <w:r>
        <w:rPr>
          <w:rFonts w:ascii="Arial" w:cs="Arial" w:eastAsia="Arial" w:hAnsi="Arial"/>
          <w:sz w:val="22"/>
          <w:szCs w:val="22"/>
          <w:color w:val="auto"/>
        </w:rPr>
        <w:t>”), specifically for the purpose of receiving legal and/or judicial service of process in the United States of America in connection with this Section 10, independently from the Lenders’ right to make and deliver services of process to the Mexican Guarantors in any other way or form which is legally valid, hereby designate the following agent and attorney-in-fact for such purposes in the United States of America (the “</w:t>
      </w:r>
      <w:r>
        <w:rPr>
          <w:rFonts w:ascii="Arial" w:cs="Arial" w:eastAsia="Arial" w:hAnsi="Arial"/>
          <w:sz w:val="22"/>
          <w:szCs w:val="22"/>
          <w:u w:val="single" w:color="auto"/>
          <w:color w:val="auto"/>
        </w:rPr>
        <w:t>Mexican Process Agent</w:t>
      </w:r>
      <w:r>
        <w:rPr>
          <w:rFonts w:ascii="Arial" w:cs="Arial" w:eastAsia="Arial" w:hAnsi="Arial"/>
          <w:sz w:val="22"/>
          <w:szCs w:val="22"/>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ind w:left="660"/>
        <w:spacing w:after="0"/>
        <w:rPr>
          <w:sz w:val="20"/>
          <w:szCs w:val="20"/>
          <w:color w:val="auto"/>
        </w:rPr>
      </w:pPr>
      <w:r>
        <w:rPr>
          <w:rFonts w:ascii="Arial" w:cs="Arial" w:eastAsia="Arial" w:hAnsi="Arial"/>
          <w:sz w:val="22"/>
          <w:szCs w:val="22"/>
          <w:i w:val="1"/>
          <w:iCs w:val="1"/>
          <w:color w:val="auto"/>
        </w:rPr>
        <w:t>NFE Management LLC</w:t>
      </w:r>
    </w:p>
    <w:p>
      <w:pPr>
        <w:ind w:left="660"/>
        <w:spacing w:after="0" w:line="238" w:lineRule="auto"/>
        <w:rPr>
          <w:sz w:val="20"/>
          <w:szCs w:val="20"/>
          <w:color w:val="auto"/>
        </w:rPr>
      </w:pPr>
      <w:r>
        <w:rPr>
          <w:rFonts w:ascii="Arial" w:cs="Arial" w:eastAsia="Arial" w:hAnsi="Arial"/>
          <w:sz w:val="22"/>
          <w:szCs w:val="22"/>
          <w:i w:val="1"/>
          <w:iCs w:val="1"/>
          <w:color w:val="auto"/>
        </w:rPr>
        <w:t>The Corporation Trust Company,</w:t>
      </w:r>
    </w:p>
    <w:p>
      <w:pPr>
        <w:ind w:left="660"/>
        <w:spacing w:after="0" w:line="231" w:lineRule="auto"/>
        <w:rPr>
          <w:sz w:val="20"/>
          <w:szCs w:val="20"/>
          <w:color w:val="auto"/>
        </w:rPr>
      </w:pPr>
      <w:r>
        <w:rPr>
          <w:rFonts w:ascii="Arial" w:cs="Arial" w:eastAsia="Arial" w:hAnsi="Arial"/>
          <w:sz w:val="22"/>
          <w:szCs w:val="22"/>
          <w:i w:val="1"/>
          <w:iCs w:val="1"/>
          <w:color w:val="auto"/>
        </w:rPr>
        <w:t>Corporation Trust Center,</w:t>
      </w:r>
    </w:p>
    <w:p>
      <w:pPr>
        <w:ind w:left="660"/>
        <w:spacing w:after="0" w:line="230" w:lineRule="auto"/>
        <w:rPr>
          <w:sz w:val="20"/>
          <w:szCs w:val="20"/>
          <w:color w:val="auto"/>
        </w:rPr>
      </w:pPr>
      <w:r>
        <w:rPr>
          <w:rFonts w:ascii="Arial" w:cs="Arial" w:eastAsia="Arial" w:hAnsi="Arial"/>
          <w:sz w:val="22"/>
          <w:szCs w:val="22"/>
          <w:i w:val="1"/>
          <w:iCs w:val="1"/>
          <w:color w:val="auto"/>
        </w:rPr>
        <w:t>1209 Orange Street,</w:t>
      </w:r>
    </w:p>
    <w:p>
      <w:pPr>
        <w:ind w:left="660"/>
        <w:spacing w:after="0" w:line="231" w:lineRule="auto"/>
        <w:rPr>
          <w:sz w:val="20"/>
          <w:szCs w:val="20"/>
          <w:color w:val="auto"/>
        </w:rPr>
      </w:pPr>
      <w:r>
        <w:rPr>
          <w:rFonts w:ascii="Arial" w:cs="Arial" w:eastAsia="Arial" w:hAnsi="Arial"/>
          <w:sz w:val="22"/>
          <w:szCs w:val="22"/>
          <w:i w:val="1"/>
          <w:iCs w:val="1"/>
          <w:color w:val="auto"/>
        </w:rPr>
        <w:t>Wilmington, New Castle County,</w:t>
      </w:r>
    </w:p>
    <w:p>
      <w:pPr>
        <w:ind w:left="660"/>
        <w:spacing w:after="0" w:line="230" w:lineRule="auto"/>
        <w:rPr>
          <w:sz w:val="20"/>
          <w:szCs w:val="20"/>
          <w:color w:val="auto"/>
        </w:rPr>
      </w:pPr>
      <w:r>
        <w:rPr>
          <w:rFonts w:ascii="Arial" w:cs="Arial" w:eastAsia="Arial" w:hAnsi="Arial"/>
          <w:sz w:val="22"/>
          <w:szCs w:val="22"/>
          <w:i w:val="1"/>
          <w:iCs w:val="1"/>
          <w:color w:val="auto"/>
        </w:rPr>
        <w:t>Delaware 19801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United States of America</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Mexican Guarantor represents and warrants to the Lenders that on the Closing Date, they have received evidence of the acceptance by the Mexican Process Agent of its appointment as such by the Mexican Guarantors.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and in form and substance reasonably acceptable to the Lenders,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Closing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proper and duly authorized officers as of the day and year first above written.</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84607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INTERMEDIATE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84607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NFE ATLANTIC HOLDINGS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84607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Title:Chief Financial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4" w:name="page215"/>
    <w:bookmarkEnd w:id="214"/>
    <w:p>
      <w:pPr>
        <w:ind w:left="4520"/>
        <w:spacing w:after="0"/>
        <w:rPr>
          <w:sz w:val="20"/>
          <w:szCs w:val="20"/>
          <w:color w:val="auto"/>
        </w:rPr>
      </w:pPr>
      <w:r>
        <w:rPr>
          <w:rFonts w:ascii="Arial" w:cs="Arial" w:eastAsia="Arial" w:hAnsi="Arial"/>
          <w:sz w:val="18"/>
          <w:szCs w:val="18"/>
          <w:b w:val="1"/>
          <w:bCs w:val="1"/>
          <w:color w:val="auto"/>
        </w:rPr>
        <w:t>AMERICAN ENERGY LOGISTICS SOLUTIONS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AMERICAN LNG MARKETING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ENERGY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GPF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GPF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POWER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TRANSPORT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BRADFORD COUNTY TRANSPORT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ISLAND LNG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 REAL ESTATE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 REAL ESTATE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LNG HOLDINGS (FLORIDA)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NEW FORTRESS ENERGY MARKETING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NEW FORTRESS ENERGY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ANGOLA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BCS HOLDINGS (A)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BCS HOLDINGS (B)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EQUIPMENT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EQUIPMENT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GHANA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GHANA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HONDURAS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INTERNATIONAL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ISO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ISO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JAMAICA GP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LOGISTICS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MANAGEMENT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MEXICO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NICARAGUA DEVELOPMENT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NICARAGUA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PLANT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SUB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TRANSPORT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TRANSPORT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 REAL ESTATE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 REAL ESTATE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TICO DEVELOPMENT PARTNERS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TICO DEVELOPMENT PARTNERS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1671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121" w:right="1219" w:bottom="1440" w:gutter="0" w:footer="0" w:header="0"/>
        </w:sectPr>
      </w:pPr>
    </w:p>
    <w:bookmarkStart w:id="215" w:name="page216"/>
    <w:bookmarkEnd w:id="215"/>
    <w:p>
      <w:pPr>
        <w:ind w:left="4520"/>
        <w:spacing w:after="0"/>
        <w:rPr>
          <w:sz w:val="20"/>
          <w:szCs w:val="20"/>
          <w:color w:val="auto"/>
        </w:rPr>
      </w:pPr>
      <w:r>
        <w:rPr>
          <w:rFonts w:ascii="Arial" w:cs="Arial" w:eastAsia="Arial" w:hAnsi="Arial"/>
          <w:sz w:val="18"/>
          <w:szCs w:val="18"/>
          <w:b w:val="1"/>
          <w:bCs w:val="1"/>
          <w:color w:val="auto"/>
        </w:rPr>
        <w:t>NFE US HOLDINGS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284607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Name: Christopher S. Guinta</w:t>
      </w:r>
    </w:p>
    <w:p>
      <w:pPr>
        <w:spacing w:after="0" w:line="4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Chief Financial Officer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6" w:name="page217"/>
    <w:bookmarkEnd w:id="216"/>
    <w:p>
      <w:pPr>
        <w:ind w:left="4520"/>
        <w:spacing w:after="0"/>
        <w:rPr>
          <w:sz w:val="20"/>
          <w:szCs w:val="20"/>
          <w:color w:val="auto"/>
        </w:rPr>
      </w:pPr>
      <w:r>
        <w:rPr>
          <w:rFonts w:ascii="Arial" w:cs="Arial" w:eastAsia="Arial" w:hAnsi="Arial"/>
          <w:sz w:val="18"/>
          <w:szCs w:val="18"/>
          <w:b w:val="1"/>
          <w:bCs w:val="1"/>
          <w:color w:val="auto"/>
        </w:rPr>
        <w:t>ATLANTIC DISTRIBUTION HOLDINGS SRL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ENERGY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TERMINAL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POWER HOLDINGS SRL</w:t>
      </w:r>
    </w:p>
    <w:p>
      <w:pPr>
        <w:spacing w:after="0" w:line="9" w:lineRule="exact"/>
        <w:rPr>
          <w:sz w:val="20"/>
          <w:szCs w:val="20"/>
          <w:color w:val="auto"/>
        </w:rPr>
      </w:pPr>
    </w:p>
    <w:p>
      <w:pPr>
        <w:ind w:left="4520" w:right="220"/>
        <w:spacing w:after="0" w:line="250" w:lineRule="auto"/>
        <w:rPr>
          <w:sz w:val="20"/>
          <w:szCs w:val="20"/>
          <w:color w:val="auto"/>
        </w:rPr>
      </w:pPr>
      <w:r>
        <w:rPr>
          <w:rFonts w:ascii="Arial" w:cs="Arial" w:eastAsia="Arial" w:hAnsi="Arial"/>
          <w:sz w:val="18"/>
          <w:szCs w:val="18"/>
          <w:b w:val="1"/>
          <w:bCs w:val="1"/>
          <w:color w:val="auto"/>
        </w:rPr>
        <w:t>ATLANTIC ENERGY INFRASTRUCTURE HOLDINGS SRL ATLANTIC PIPELINE HOLDINGS SRL</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TERMINAL INFRASTRUCTURE HOLDINGS SRL</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ATLANTIC POWER HOLDINGS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INFRASTRUCTURE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TRADING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POWER TRADING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TRADING LIMITED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SHANNON HOLDINGS LIMITED</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DISTRIBUTION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NORTH TRANSPORT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SOUTH POWER TRADING LIMITED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118745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440" w:top="121" w:right="839" w:bottom="1440" w:gutter="0" w:footer="0" w:header="0"/>
        </w:sectPr>
      </w:pPr>
    </w:p>
    <w:bookmarkStart w:id="217" w:name="page218"/>
    <w:bookmarkEnd w:id="217"/>
    <w:p>
      <w:pPr>
        <w:ind w:left="4520"/>
        <w:spacing w:after="0"/>
        <w:rPr>
          <w:sz w:val="20"/>
          <w:szCs w:val="20"/>
          <w:color w:val="auto"/>
        </w:rPr>
      </w:pPr>
      <w:r>
        <w:rPr>
          <w:rFonts w:ascii="Arial" w:cs="Arial" w:eastAsia="Arial" w:hAnsi="Arial"/>
          <w:sz w:val="18"/>
          <w:szCs w:val="18"/>
          <w:b w:val="1"/>
          <w:bCs w:val="1"/>
          <w:color w:val="auto"/>
        </w:rPr>
        <w:t>AMAUNET, S. DE R.L. DE C.V.</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NFENERGIA MEXICO, S. DE R.L. DE C.V.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NFENERGIA GN DE BCS, S. DE R.L. DE C.V.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PACIFICO LAP, S. DE R.L. DE C.V.</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Legal Representative</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NFENERGÍA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SOLUCIONES DE ENERGIA LIMPIA PR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POWER PR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ENCANTO EAST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ENCANTO WEST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ENCANTO POWER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ENCANTO POWER WEST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MEXICO HOLDINGS B.V.</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MEXICO HOLDINGS PARENT B.V.</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NFE NICARAGUA DEVELOPMENT PARTNERS LLC SUCURSAL NICARAGUA</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NFE INTERNATIONAL HOLDINGS LIMITED</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84607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118745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8" w:name="page219"/>
    <w:bookmarkEnd w:id="218"/>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Administrative Agent, Collateral Agent, Lender, Issuing Bank</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Lisa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334327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Lisa Hanson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80"/>
          </w:cols>
          <w:pgMar w:left="1440" w:top="121" w:right="1279" w:bottom="1440" w:gutter="0" w:footer="0" w:header="0"/>
        </w:sectPr>
      </w:pPr>
    </w:p>
    <w:bookmarkStart w:id="219" w:name="page220"/>
    <w:bookmarkEnd w:id="219"/>
    <w:p>
      <w:pPr>
        <w:ind w:left="4520"/>
        <w:spacing w:after="0"/>
        <w:rPr>
          <w:sz w:val="20"/>
          <w:szCs w:val="20"/>
          <w:color w:val="auto"/>
        </w:rPr>
      </w:pPr>
      <w:r>
        <w:rPr>
          <w:rFonts w:ascii="Arial" w:cs="Arial" w:eastAsia="Arial" w:hAnsi="Arial"/>
          <w:sz w:val="17"/>
          <w:szCs w:val="17"/>
          <w:b w:val="1"/>
          <w:bCs w:val="1"/>
          <w:color w:val="auto"/>
        </w:rPr>
        <w:t>GOLDMAN SACHS BANK USA,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 Issuing Bank</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284607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Robert Ehudin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F6AB8E"/>
    <w:multiLevelType w:val="hybridMultilevel"/>
    <w:lvl w:ilvl="0">
      <w:lvlJc w:val="left"/>
      <w:lvlText w:val="☐"/>
      <w:numFmt w:val="bullet"/>
      <w:start w:val="1"/>
    </w:lvl>
  </w:abstractNum>
  <w:abstractNum w:abstractNumId="1">
    <w:nsid w:val="634C574C"/>
    <w:multiLevelType w:val="hybridMultilevel"/>
    <w:lvl w:ilvl="0">
      <w:lvlJc w:val="left"/>
      <w:lvlText w:val="☐"/>
      <w:numFmt w:val="bullet"/>
      <w:start w:val="1"/>
    </w:lvl>
  </w:abstractNum>
  <w:abstractNum w:abstractNumId="2">
    <w:nsid w:val="24E99DD7"/>
    <w:multiLevelType w:val="hybridMultilevel"/>
    <w:lvl w:ilvl="0">
      <w:lvlJc w:val="left"/>
      <w:lvlText w:val="(%1)"/>
      <w:numFmt w:val="decimal"/>
      <w:start w:val="1"/>
    </w:lvl>
  </w:abstractNum>
  <w:abstractNum w:abstractNumId="3">
    <w:nsid w:val="2A31B62D"/>
    <w:multiLevelType w:val="hybridMultilevel"/>
    <w:lvl w:ilvl="0">
      <w:lvlJc w:val="left"/>
      <w:lvlText w:val="(%1)"/>
      <w:numFmt w:val="lowerRoman"/>
      <w:start w:val="3"/>
    </w:lvl>
  </w:abstractNum>
  <w:abstractNum w:abstractNumId="4">
    <w:nsid w:val="1849C29B"/>
    <w:multiLevelType w:val="hybridMultilevel"/>
    <w:lvl w:ilvl="0">
      <w:lvlJc w:val="left"/>
      <w:lvlText w:val="(%1)"/>
      <w:numFmt w:val="lowerLetter"/>
      <w:start w:val="1"/>
    </w:lvl>
    <w:lvl w:ilvl="1">
      <w:lvlJc w:val="left"/>
      <w:lvlText w:val="(%2)"/>
      <w:numFmt w:val="lowerRoman"/>
      <w:start w:val="1"/>
    </w:lvl>
  </w:abstractNum>
  <w:abstractNum w:abstractNumId="5">
    <w:nsid w:val="7DFF9D09"/>
    <w:multiLevelType w:val="hybridMultilevel"/>
    <w:lvl w:ilvl="0">
      <w:lvlJc w:val="left"/>
      <w:lvlText w:val="(%1)"/>
      <w:numFmt w:val="lowerLetter"/>
      <w:start w:val="2"/>
    </w:lvl>
  </w:abstractNum>
  <w:abstractNum w:abstractNumId="6">
    <w:nsid w:val="754342"/>
    <w:multiLevelType w:val="hybridMultilevel"/>
    <w:lvl w:ilvl="0">
      <w:lvlJc w:val="left"/>
      <w:lvlText w:val="(%1)"/>
      <w:numFmt w:val="lowerLetter"/>
      <w:start w:val="4"/>
    </w:lvl>
  </w:abstractNum>
  <w:abstractNum w:abstractNumId="7">
    <w:nsid w:val="69E7F3E5"/>
    <w:multiLevelType w:val="hybridMultilevel"/>
    <w:lvl w:ilvl="0">
      <w:lvlJc w:val="left"/>
      <w:lvlText w:val="†"/>
      <w:numFmt w:val="bullet"/>
      <w:start w:val="1"/>
    </w:lvl>
  </w:abstractNum>
  <w:abstractNum w:abstractNumId="8">
    <w:nsid w:val="2A6DE806"/>
    <w:multiLevelType w:val="hybridMultilevel"/>
    <w:lvl w:ilvl="0">
      <w:lvlJc w:val="left"/>
      <w:lvlText w:val="(%1)"/>
      <w:numFmt w:val="decimal"/>
      <w:start w:val="866"/>
    </w:lvl>
  </w:abstractNum>
  <w:abstractNum w:abstractNumId="9">
    <w:nsid w:val="1816F8C4"/>
    <w:multiLevelType w:val="hybridMultilevel"/>
    <w:lvl w:ilvl="0">
      <w:lvlJc w:val="left"/>
      <w:lvlText w:val="(%1)"/>
      <w:numFmt w:val="decimal"/>
      <w:start w:val="516"/>
    </w:lvl>
  </w:abstractNum>
  <w:abstractNum w:abstractNumId="10">
    <w:nsid w:val="37DF2233"/>
    <w:multiLevelType w:val="hybridMultilevel"/>
    <w:lvl w:ilvl="0">
      <w:lvlJc w:val="left"/>
      <w:lvlText w:val="(%1)"/>
      <w:numFmt w:val="decimal"/>
      <w:start w:val="516"/>
    </w:lvl>
  </w:abstractNum>
  <w:abstractNum w:abstractNumId="11">
    <w:nsid w:val="7AB49DAF"/>
    <w:multiLevelType w:val="hybridMultilevel"/>
    <w:lvl w:ilvl="0">
      <w:lvlJc w:val="left"/>
      <w:lvlText w:val="(%1)"/>
      <w:numFmt w:val="lowerRoman"/>
      <w:start w:val="1"/>
    </w:lvl>
  </w:abstractNum>
  <w:abstractNum w:abstractNumId="12">
    <w:nsid w:val="759F82CD"/>
    <w:multiLevelType w:val="hybridMultilevel"/>
    <w:lvl w:ilvl="0">
      <w:lvlJc w:val="left"/>
      <w:lvlText w:val="(%1)"/>
      <w:numFmt w:val="lowerLetter"/>
      <w:start w:val="1"/>
    </w:lvl>
  </w:abstractNum>
  <w:abstractNum w:abstractNumId="13">
    <w:nsid w:val="61E74EA3"/>
    <w:multiLevelType w:val="hybridMultilevel"/>
    <w:lvl w:ilvl="0">
      <w:lvlJc w:val="left"/>
      <w:lvlText w:val="(%1)"/>
      <w:numFmt w:val="lowerLetter"/>
      <w:start w:val="2"/>
    </w:lvl>
  </w:abstractNum>
  <w:abstractNum w:abstractNumId="14">
    <w:nsid w:val="597B4D84"/>
    <w:multiLevelType w:val="hybridMultilevel"/>
    <w:lvl w:ilvl="0">
      <w:lvlJc w:val="left"/>
      <w:lvlText w:val="%1"/>
      <w:numFmt w:val="lowerLetter"/>
      <w:start w:val="1"/>
    </w:lvl>
    <w:lvl w:ilvl="1">
      <w:lvlJc w:val="left"/>
      <w:lvlText w:val="(%2)"/>
      <w:numFmt w:val="lowerLetter"/>
      <w:start w:val="1"/>
    </w:lvl>
  </w:abstractNum>
  <w:abstractNum w:abstractNumId="15">
    <w:nsid w:val="F819E7F"/>
    <w:multiLevelType w:val="hybridMultilevel"/>
    <w:lvl w:ilvl="0">
      <w:lvlJc w:val="left"/>
      <w:lvlText w:val="(%1)"/>
      <w:numFmt w:val="lowerLetter"/>
      <w:start w:val="9"/>
    </w:lvl>
    <w:lvl w:ilvl="1">
      <w:lvlJc w:val="left"/>
      <w:lvlText w:val="(%2)"/>
      <w:numFmt w:val="lowerLetter"/>
      <w:start w:val="2"/>
    </w:lvl>
  </w:abstractNum>
  <w:abstractNum w:abstractNumId="16">
    <w:nsid w:val="57C7D42D"/>
    <w:multiLevelType w:val="hybridMultilevel"/>
    <w:lvl w:ilvl="0">
      <w:lvlJc w:val="left"/>
      <w:lvlText w:val="(%1)"/>
      <w:numFmt w:val="lowerLetter"/>
      <w:start w:val="35"/>
    </w:lvl>
    <w:lvl w:ilvl="1">
      <w:lvlJc w:val="left"/>
      <w:lvlText w:val="(%2)"/>
      <w:numFmt w:val="lowerLetter"/>
      <w:start w:val="4"/>
    </w:lvl>
  </w:abstractNum>
  <w:abstractNum w:abstractNumId="17">
    <w:nsid w:val="312167AD"/>
    <w:multiLevelType w:val="hybridMultilevel"/>
    <w:lvl w:ilvl="0">
      <w:lvlJc w:val="left"/>
      <w:lvlText w:val="(%1)"/>
      <w:numFmt w:val="lowerLetter"/>
      <w:start w:val="1"/>
    </w:lvl>
  </w:abstractNum>
  <w:abstractNum w:abstractNumId="18">
    <w:nsid w:val="631B64D4"/>
    <w:multiLevelType w:val="hybridMultilevel"/>
    <w:lvl w:ilvl="0">
      <w:lvlJc w:val="left"/>
      <w:lvlText w:val="(%1)"/>
      <w:numFmt w:val="lowerLetter"/>
      <w:start w:val="2"/>
    </w:lvl>
    <w:lvl w:ilvl="1">
      <w:lvlJc w:val="left"/>
      <w:lvlText w:val="(%2)"/>
      <w:numFmt w:val="lowerRoman"/>
      <w:start w:val="1"/>
    </w:lvl>
  </w:abstractNum>
  <w:abstractNum w:abstractNumId="19">
    <w:nsid w:val="78B5E776"/>
    <w:multiLevelType w:val="hybridMultilevel"/>
    <w:lvl w:ilvl="0">
      <w:lvlJc w:val="left"/>
      <w:lvlText w:val="(%1)"/>
      <w:numFmt w:val="lowerLetter"/>
      <w:start w:val="4"/>
    </w:lvl>
  </w:abstractNum>
  <w:abstractNum w:abstractNumId="20">
    <w:nsid w:val="75486E47"/>
    <w:multiLevelType w:val="hybridMultilevel"/>
    <w:lvl w:ilvl="0">
      <w:lvlJc w:val="left"/>
      <w:lvlText w:val="(%1)"/>
      <w:numFmt w:val="lowerLetter"/>
      <w:start w:val="1"/>
    </w:lvl>
  </w:abstractNum>
  <w:abstractNum w:abstractNumId="21">
    <w:nsid w:val="6E534CDE"/>
    <w:multiLevelType w:val="hybridMultilevel"/>
    <w:lvl w:ilvl="0">
      <w:lvlJc w:val="left"/>
      <w:lvlText w:val="(%1)"/>
      <w:numFmt w:val="lowerLetter"/>
      <w:start w:val="1"/>
    </w:lvl>
    <w:lvl w:ilvl="1">
      <w:lvlJc w:val="left"/>
      <w:lvlText w:val="(%2)"/>
      <w:numFmt w:val="lowerRoman"/>
      <w:start w:val="1"/>
    </w:lvl>
  </w:abstractNum>
  <w:abstractNum w:abstractNumId="22">
    <w:nsid w:val="1A0DDE32"/>
    <w:multiLevelType w:val="hybridMultilevel"/>
    <w:lvl w:ilvl="0">
      <w:lvlJc w:val="left"/>
      <w:lvlText w:val="(%1)"/>
      <w:numFmt w:val="lowerRoman"/>
      <w:start w:val="3"/>
    </w:lvl>
  </w:abstractNum>
  <w:abstractNum w:abstractNumId="23">
    <w:nsid w:val="65968C1C"/>
    <w:multiLevelType w:val="hybridMultilevel"/>
    <w:lvl w:ilvl="0">
      <w:lvlJc w:val="left"/>
      <w:lvlText w:val="%1"/>
      <w:numFmt w:val="lowerRoman"/>
      <w:start w:val="1"/>
    </w:lvl>
    <w:lvl w:ilvl="1">
      <w:lvlJc w:val="left"/>
      <w:lvlText w:val="(%2)"/>
      <w:numFmt w:val="lowerRoman"/>
      <w:start w:val="9"/>
    </w:lvl>
  </w:abstractNum>
  <w:abstractNum w:abstractNumId="24">
    <w:nsid w:val="46263DEC"/>
    <w:multiLevelType w:val="hybridMultilevel"/>
    <w:lvl w:ilvl="0">
      <w:lvlJc w:val="left"/>
      <w:lvlText w:val="(%1)"/>
      <w:numFmt w:val="lowerRoman"/>
      <w:start w:val="2"/>
    </w:lvl>
    <w:lvl w:ilvl="1">
      <w:lvlJc w:val="left"/>
      <w:lvlText w:val="(%2)"/>
      <w:numFmt w:val="lowerRoman"/>
      <w:start w:val="11"/>
    </w:lvl>
  </w:abstractNum>
  <w:abstractNum w:abstractNumId="25">
    <w:nsid w:val="260D8C4A"/>
    <w:multiLevelType w:val="hybridMultilevel"/>
    <w:lvl w:ilvl="0">
      <w:lvlJc w:val="left"/>
      <w:lvlText w:val="%1"/>
      <w:numFmt w:val="lowerLetter"/>
      <w:start w:val="1"/>
    </w:lvl>
    <w:lvl w:ilvl="1">
      <w:lvlJc w:val="left"/>
      <w:lvlText w:val="(%2)"/>
      <w:numFmt w:val="lowerRoman"/>
      <w:start w:val="15"/>
    </w:lvl>
  </w:abstractNum>
  <w:abstractNum w:abstractNumId="26">
    <w:nsid w:val="73D4D3C4"/>
    <w:multiLevelType w:val="hybridMultilevel"/>
    <w:lvl w:ilvl="0">
      <w:lvlJc w:val="left"/>
      <w:lvlText w:val="(%1)"/>
      <w:numFmt w:val="lowerLetter"/>
      <w:start w:val="2"/>
    </w:lvl>
    <w:lvl w:ilvl="1">
      <w:lvlJc w:val="left"/>
      <w:lvlText w:val="%2"/>
      <w:numFmt w:val="lowerRoman"/>
      <w:start w:val="1"/>
    </w:lvl>
  </w:abstractNum>
  <w:abstractNum w:abstractNumId="27">
    <w:nsid w:val="746F2E30"/>
    <w:multiLevelType w:val="hybridMultilevel"/>
    <w:lvl w:ilvl="0">
      <w:lvlJc w:val="left"/>
      <w:lvlText w:val="(%1)"/>
      <w:numFmt w:val="lowerLetter"/>
      <w:start w:val="1"/>
    </w:lvl>
  </w:abstractNum>
  <w:abstractNum w:abstractNumId="28">
    <w:nsid w:val="6FDE8AF6"/>
    <w:multiLevelType w:val="hybridMultilevel"/>
    <w:lvl w:ilvl="0">
      <w:lvlJc w:val="left"/>
      <w:lvlText w:val="(%1)"/>
      <w:numFmt w:val="lowerLetter"/>
      <w:start w:val="3"/>
    </w:lvl>
  </w:abstractNum>
  <w:abstractNum w:abstractNumId="29">
    <w:nsid w:val="3FC32E20"/>
    <w:multiLevelType w:val="hybridMultilevel"/>
    <w:lvl w:ilvl="0">
      <w:lvlJc w:val="left"/>
      <w:lvlText w:val="(%1)"/>
      <w:numFmt w:val="lowerLetter"/>
      <w:start w:val="1"/>
    </w:lvl>
    <w:lvl w:ilvl="1">
      <w:lvlJc w:val="left"/>
      <w:lvlText w:val="(%2)"/>
      <w:numFmt w:val="lowerRoman"/>
      <w:start w:val="1"/>
    </w:lvl>
  </w:abstractNum>
  <w:abstractNum w:abstractNumId="30">
    <w:nsid w:val="49C0E823"/>
    <w:multiLevelType w:val="hybridMultilevel"/>
    <w:lvl w:ilvl="0">
      <w:lvlJc w:val="left"/>
      <w:lvlText w:val="(%1)"/>
      <w:numFmt w:val="lowerLetter"/>
      <w:start w:val="1"/>
    </w:lvl>
  </w:abstractNum>
  <w:abstractNum w:abstractNumId="31">
    <w:nsid w:val="14D53685"/>
    <w:multiLevelType w:val="hybridMultilevel"/>
    <w:lvl w:ilvl="0">
      <w:lvlJc w:val="left"/>
      <w:lvlText w:val="(%1)"/>
      <w:numFmt w:val="lowerLetter"/>
      <w:start w:val="2"/>
    </w:lvl>
  </w:abstractNum>
  <w:abstractNum w:abstractNumId="32">
    <w:nsid w:val="230F856C"/>
    <w:multiLevelType w:val="hybridMultilevel"/>
    <w:lvl w:ilvl="0">
      <w:lvlJc w:val="left"/>
      <w:lvlText w:val="(%1)"/>
      <w:numFmt w:val="lowerLetter"/>
      <w:start w:val="1"/>
    </w:lvl>
  </w:abstractNum>
  <w:abstractNum w:abstractNumId="33">
    <w:nsid w:val="6EAA85FB"/>
    <w:multiLevelType w:val="hybridMultilevel"/>
    <w:lvl w:ilvl="0">
      <w:lvlJc w:val="left"/>
      <w:lvlText w:val="(%1)"/>
      <w:numFmt w:val="lowerLetter"/>
      <w:start w:val="2"/>
    </w:lvl>
  </w:abstractNum>
  <w:abstractNum w:abstractNumId="34">
    <w:nsid w:val="3F06ECB2"/>
    <w:multiLevelType w:val="hybridMultilevel"/>
    <w:lvl w:ilvl="0">
      <w:lvlJc w:val="left"/>
      <w:lvlText w:val="(%1)"/>
      <w:numFmt w:val="lowerLetter"/>
      <w:start w:val="3"/>
    </w:lvl>
  </w:abstractNum>
  <w:abstractNum w:abstractNumId="35">
    <w:nsid w:val="3B594807"/>
    <w:multiLevelType w:val="hybridMultilevel"/>
    <w:lvl w:ilvl="0">
      <w:lvlJc w:val="left"/>
      <w:lvlText w:val="(%1)"/>
      <w:numFmt w:val="lowerLetter"/>
      <w:start w:val="1"/>
    </w:lvl>
  </w:abstractNum>
  <w:abstractNum w:abstractNumId="36">
    <w:nsid w:val="6CAA2304"/>
    <w:multiLevelType w:val="hybridMultilevel"/>
    <w:lvl w:ilvl="0">
      <w:lvlJc w:val="left"/>
      <w:lvlText w:val="(%1)"/>
      <w:numFmt w:val="lowerLetter"/>
      <w:start w:val="1"/>
    </w:lvl>
  </w:abstractNum>
  <w:abstractNum w:abstractNumId="37">
    <w:nsid w:val="3F7C2FF4"/>
    <w:multiLevelType w:val="hybridMultilevel"/>
    <w:lvl w:ilvl="0">
      <w:lvlJc w:val="left"/>
      <w:lvlText w:val="(%1)"/>
      <w:numFmt w:val="lowerLetter"/>
      <w:start w:val="2"/>
    </w:lvl>
  </w:abstractNum>
  <w:abstractNum w:abstractNumId="38">
    <w:nsid w:val="25413BEC"/>
    <w:multiLevelType w:val="hybridMultilevel"/>
    <w:lvl w:ilvl="0">
      <w:lvlJc w:val="left"/>
      <w:lvlText w:val="(%1)"/>
      <w:numFmt w:val="lowerLetter"/>
      <w:start w:val="1"/>
    </w:lvl>
  </w:abstractNum>
  <w:abstractNum w:abstractNumId="39">
    <w:nsid w:val="17180B0B"/>
    <w:multiLevelType w:val="hybridMultilevel"/>
    <w:lvl w:ilvl="0">
      <w:lvlJc w:val="left"/>
      <w:lvlText w:val="A"/>
      <w:numFmt w:val="bullet"/>
      <w:start w:val="1"/>
    </w:lvl>
  </w:abstractNum>
  <w:abstractNum w:abstractNumId="40">
    <w:nsid w:val="579328B9"/>
    <w:multiLevelType w:val="hybridMultilevel"/>
    <w:lvl w:ilvl="0">
      <w:lvlJc w:val="left"/>
      <w:lvlText w:val="B"/>
      <w:numFmt w:val="bullet"/>
      <w:start w:val="1"/>
    </w:lvl>
  </w:abstractNum>
  <w:abstractNum w:abstractNumId="41">
    <w:nsid w:val="5D205E20"/>
    <w:multiLevelType w:val="hybridMultilevel"/>
    <w:lvl w:ilvl="0">
      <w:lvlJc w:val="left"/>
      <w:lvlText w:val="C"/>
      <w:numFmt w:val="bullet"/>
      <w:start w:val="1"/>
    </w:lvl>
  </w:abstractNum>
  <w:abstractNum w:abstractNumId="42">
    <w:nsid w:val="11CCA8BA"/>
    <w:multiLevelType w:val="hybridMultilevel"/>
    <w:lvl w:ilvl="0">
      <w:lvlJc w:val="left"/>
      <w:lvlText w:val="D"/>
      <w:numFmt w:val="bullet"/>
      <w:start w:val="1"/>
    </w:lvl>
  </w:abstractNum>
  <w:abstractNum w:abstractNumId="43">
    <w:nsid w:val="4D32AB86"/>
    <w:multiLevelType w:val="hybridMultilevel"/>
    <w:lvl w:ilvl="0">
      <w:lvlJc w:val="left"/>
      <w:lvlText w:val="G"/>
      <w:numFmt w:val="bullet"/>
      <w:start w:val="1"/>
    </w:lvl>
  </w:abstractNum>
  <w:abstractNum w:abstractNumId="44">
    <w:nsid w:val="3F07ACC3"/>
    <w:multiLevelType w:val="hybridMultilevel"/>
    <w:lvl w:ilvl="0">
      <w:lvlJc w:val="left"/>
      <w:lvlText w:val="(%1)"/>
      <w:numFmt w:val="decimal"/>
      <w:start w:val="1"/>
    </w:lvl>
  </w:abstractNum>
  <w:abstractNum w:abstractNumId="45">
    <w:nsid w:val="6B47F63E"/>
    <w:multiLevelType w:val="hybridMultilevel"/>
    <w:lvl w:ilvl="0">
      <w:lvlJc w:val="left"/>
      <w:lvlText w:val="(%1)"/>
      <w:numFmt w:val="lowerLetter"/>
      <w:start w:val="1"/>
    </w:lvl>
  </w:abstractNum>
  <w:abstractNum w:abstractNumId="46">
    <w:nsid w:val="5CB44A05"/>
    <w:multiLevelType w:val="hybridMultilevel"/>
    <w:lvl w:ilvl="0">
      <w:lvlJc w:val="left"/>
      <w:lvlText w:val="(%1)"/>
      <w:numFmt w:val="decimal"/>
      <w:start w:val="1"/>
    </w:lvl>
    <w:lvl w:ilvl="1">
      <w:lvlJc w:val="left"/>
      <w:lvlText w:val="(%2)"/>
      <w:numFmt w:val="lowerLetter"/>
      <w:start w:val="1"/>
    </w:lvl>
  </w:abstractNum>
  <w:abstractNum w:abstractNumId="47">
    <w:nsid w:val="16CF80F1"/>
    <w:multiLevelType w:val="hybridMultilevel"/>
    <w:lvl w:ilvl="0">
      <w:lvlJc w:val="left"/>
      <w:lvlText w:val="(%1)"/>
      <w:numFmt w:val="lowerLetter"/>
      <w:start w:val="3"/>
    </w:lvl>
  </w:abstractNum>
  <w:abstractNum w:abstractNumId="48">
    <w:nsid w:val="1C695DEC"/>
    <w:multiLevelType w:val="hybridMultilevel"/>
    <w:lvl w:ilvl="0">
      <w:lvlJc w:val="left"/>
      <w:lvlText w:val="(%1)"/>
      <w:numFmt w:val="lowerLetter"/>
      <w:start w:val="13"/>
    </w:lvl>
  </w:abstractNum>
  <w:abstractNum w:abstractNumId="49">
    <w:nsid w:val="3FCFAED9"/>
    <w:multiLevelType w:val="hybridMultilevel"/>
    <w:lvl w:ilvl="0">
      <w:lvlJc w:val="left"/>
      <w:lvlText w:val="(%1)"/>
      <w:numFmt w:val="lowerLetter"/>
      <w:start w:val="25"/>
    </w:lvl>
  </w:abstractNum>
  <w:abstractNum w:abstractNumId="50">
    <w:nsid w:val="F856867"/>
    <w:multiLevelType w:val="hybridMultilevel"/>
    <w:lvl w:ilvl="0">
      <w:lvlJc w:val="left"/>
      <w:lvlText w:val="(%1)"/>
      <w:numFmt w:val="lowerLetter"/>
      <w:start w:val="27"/>
    </w:lvl>
  </w:abstractNum>
  <w:abstractNum w:abstractNumId="51">
    <w:nsid w:val="11B1CC33"/>
    <w:multiLevelType w:val="hybridMultilevel"/>
    <w:lvl w:ilvl="0">
      <w:lvlJc w:val="left"/>
      <w:lvlText w:val="(%1)"/>
      <w:numFmt w:val="decimal"/>
      <w:start w:val="1"/>
    </w:lvl>
  </w:abstractNum>
  <w:abstractNum w:abstractNumId="52">
    <w:nsid w:val="2E22FBB7"/>
    <w:multiLevelType w:val="hybridMultilevel"/>
    <w:lvl w:ilvl="0">
      <w:lvlJc w:val="left"/>
      <w:lvlText w:val="(%1)"/>
      <w:numFmt w:val="decimal"/>
      <w:start w:val="1"/>
    </w:lvl>
    <w:lvl w:ilvl="1">
      <w:lvlJc w:val="left"/>
      <w:lvlText w:val="(%2)"/>
      <w:numFmt w:val="lowerLetter"/>
      <w:start w:val="1"/>
    </w:lvl>
  </w:abstractNum>
  <w:abstractNum w:abstractNumId="53">
    <w:nsid w:val="29934699"/>
    <w:multiLevelType w:val="hybridMultilevel"/>
    <w:lvl w:ilvl="0">
      <w:lvlJc w:val="left"/>
      <w:lvlText w:val="(%1)"/>
      <w:numFmt w:val="decimal"/>
      <w:start w:val="1"/>
    </w:lvl>
  </w:abstractNum>
  <w:abstractNum w:abstractNumId="54">
    <w:nsid w:val="77485850"/>
    <w:multiLevelType w:val="hybridMultilevel"/>
    <w:lvl w:ilvl="0">
      <w:lvlJc w:val="left"/>
      <w:lvlText w:val="(%1)"/>
      <w:numFmt w:val="decimal"/>
      <w:start w:val="1"/>
    </w:lvl>
  </w:abstractNum>
  <w:abstractNum w:abstractNumId="55">
    <w:nsid w:val="744939A3"/>
    <w:multiLevelType w:val="hybridMultilevel"/>
    <w:lvl w:ilvl="0">
      <w:lvlJc w:val="left"/>
      <w:lvlText w:val="(%1)"/>
      <w:numFmt w:val="decimal"/>
      <w:start w:val="1"/>
    </w:lvl>
  </w:abstractNum>
  <w:abstractNum w:abstractNumId="56">
    <w:nsid w:val="4FA0D2E3"/>
    <w:multiLevelType w:val="hybridMultilevel"/>
    <w:lvl w:ilvl="0">
      <w:lvlJc w:val="left"/>
      <w:lvlText w:val="(%1)"/>
      <w:numFmt w:val="lowerLetter"/>
      <w:start w:val="1"/>
    </w:lvl>
  </w:abstractNum>
  <w:abstractNum w:abstractNumId="57">
    <w:nsid w:val="6B1D2C14"/>
    <w:multiLevelType w:val="hybridMultilevel"/>
    <w:lvl w:ilvl="0">
      <w:lvlJc w:val="left"/>
      <w:lvlText w:val="(%1)"/>
      <w:numFmt w:val="lowerLetter"/>
      <w:start w:val="9"/>
    </w:lvl>
  </w:abstractNum>
  <w:abstractNum w:abstractNumId="58">
    <w:nsid w:val="68B867D3"/>
    <w:multiLevelType w:val="hybridMultilevel"/>
    <w:lvl w:ilvl="0">
      <w:lvlJc w:val="left"/>
      <w:lvlText w:val="(%1)"/>
      <w:numFmt w:val="decimal"/>
      <w:start w:val="1"/>
    </w:lvl>
  </w:abstractNum>
  <w:abstractNum w:abstractNumId="59">
    <w:nsid w:val="3F7F5DD9"/>
    <w:multiLevelType w:val="hybridMultilevel"/>
    <w:lvl w:ilvl="0">
      <w:lvlJc w:val="left"/>
      <w:lvlText w:val="(%1)"/>
      <w:numFmt w:val="lowerLetter"/>
      <w:start w:val="1"/>
    </w:lvl>
    <w:lvl w:ilvl="1">
      <w:lvlJc w:val="left"/>
      <w:lvlText w:val="(%2)"/>
      <w:numFmt w:val="lowerRoman"/>
      <w:start w:val="1"/>
    </w:lvl>
  </w:abstractNum>
  <w:abstractNum w:abstractNumId="60">
    <w:nsid w:val="2AE05A34"/>
    <w:multiLevelType w:val="hybridMultilevel"/>
    <w:lvl w:ilvl="0">
      <w:lvlJc w:val="left"/>
      <w:lvlText w:val="(%1)"/>
      <w:numFmt w:val="lowerRoman"/>
      <w:start w:val="4"/>
    </w:lvl>
  </w:abstractNum>
  <w:abstractNum w:abstractNumId="61">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5"/>
    </w:lvl>
  </w:abstractNum>
  <w:abstractNum w:abstractNumId="62">
    <w:nsid w:val="5454945E"/>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63">
    <w:nsid w:val="4DEFDFA0"/>
    <w:multiLevelType w:val="hybridMultilevel"/>
    <w:lvl w:ilvl="0">
      <w:lvlJc w:val="left"/>
      <w:lvlText w:val="(%1)"/>
      <w:numFmt w:val="lowerLetter"/>
      <w:start w:val="7"/>
    </w:lvl>
  </w:abstractNum>
  <w:abstractNum w:abstractNumId="64">
    <w:nsid w:val="2123D5F2"/>
    <w:multiLevelType w:val="hybridMultilevel"/>
    <w:lvl w:ilvl="0">
      <w:lvlJc w:val="left"/>
      <w:lvlText w:val="(%1)"/>
      <w:numFmt w:val="lowerLetter"/>
      <w:start w:val="2"/>
    </w:lvl>
  </w:abstractNum>
  <w:abstractNum w:abstractNumId="65">
    <w:nsid w:val="135B8110"/>
    <w:multiLevelType w:val="hybridMultilevel"/>
    <w:lvl w:ilvl="0">
      <w:lvlJc w:val="left"/>
      <w:lvlText w:val="(%1)"/>
      <w:numFmt w:val="lowerLetter"/>
      <w:start w:val="6"/>
    </w:lvl>
  </w:abstractNum>
  <w:abstractNum w:abstractNumId="66">
    <w:nsid w:val="94927A8"/>
    <w:multiLevelType w:val="hybridMultilevel"/>
    <w:lvl w:ilvl="0">
      <w:lvlJc w:val="left"/>
      <w:lvlText w:val="(%1)"/>
      <w:numFmt w:val="lowerLetter"/>
      <w:start w:val="1"/>
    </w:lvl>
  </w:abstractNum>
  <w:abstractNum w:abstractNumId="67">
    <w:nsid w:val="DCDF8F6"/>
    <w:multiLevelType w:val="hybridMultilevel"/>
    <w:lvl w:ilvl="0">
      <w:lvlJc w:val="left"/>
      <w:lvlText w:val="%1"/>
      <w:numFmt w:val="upperLetter"/>
      <w:start w:val="1"/>
    </w:lvl>
    <w:lvl w:ilvl="1">
      <w:lvlJc w:val="left"/>
      <w:lvlText w:val="(%2)"/>
      <w:numFmt w:val="lowerLetter"/>
      <w:start w:val="6"/>
    </w:lvl>
  </w:abstractNum>
  <w:abstractNum w:abstractNumId="68">
    <w:nsid w:val="52D7B105"/>
    <w:multiLevelType w:val="hybridMultilevel"/>
    <w:lvl w:ilvl="0">
      <w:lvlJc w:val="left"/>
      <w:lvlText w:val="(%1)"/>
      <w:numFmt w:val="upperLetter"/>
      <w:start w:val="1"/>
    </w:lvl>
    <w:lvl w:ilvl="1">
      <w:lvlJc w:val="left"/>
      <w:lvlText w:val="(%2)"/>
      <w:numFmt w:val="lowerLetter"/>
      <w:start w:val="9"/>
    </w:lvl>
  </w:abstractNum>
  <w:abstractNum w:abstractNumId="69">
    <w:nsid w:val="2E8A6394"/>
    <w:multiLevelType w:val="hybridMultilevel"/>
    <w:lvl w:ilvl="0">
      <w:lvlJc w:val="left"/>
      <w:lvlText w:val="(%1)"/>
      <w:numFmt w:val="lowerLetter"/>
      <w:start w:val="12"/>
    </w:lvl>
  </w:abstractNum>
  <w:abstractNum w:abstractNumId="70">
    <w:nsid w:val="24E60401"/>
    <w:multiLevelType w:val="hybridMultilevel"/>
    <w:lvl w:ilvl="0">
      <w:lvlJc w:val="left"/>
      <w:lvlText w:val="(%1)"/>
      <w:numFmt w:val="lowerLetter"/>
      <w:start w:val="19"/>
    </w:lvl>
  </w:abstractNum>
  <w:abstractNum w:abstractNumId="71">
    <w:nsid w:val="2A6AD9BE"/>
    <w:multiLevelType w:val="hybridMultilevel"/>
    <w:lvl w:ilvl="0">
      <w:lvlJc w:val="left"/>
      <w:lvlText w:val="(%1)"/>
      <w:numFmt w:val="decimal"/>
      <w:start w:val="2"/>
    </w:lvl>
  </w:abstractNum>
  <w:abstractNum w:abstractNumId="72">
    <w:nsid w:val="BAAC1B4"/>
    <w:multiLevelType w:val="hybridMultilevel"/>
    <w:lvl w:ilvl="0">
      <w:lvlJc w:val="left"/>
      <w:lvlText w:val="(%1)"/>
      <w:numFmt w:val="decimal"/>
      <w:start w:val="1"/>
    </w:lvl>
    <w:lvl w:ilvl="1">
      <w:lvlJc w:val="left"/>
      <w:lvlText w:val="(%2)"/>
      <w:numFmt w:val="upperLetter"/>
      <w:start w:val="1"/>
    </w:lvl>
  </w:abstractNum>
  <w:abstractNum w:abstractNumId="73">
    <w:nsid w:val="36B2ACBC"/>
    <w:multiLevelType w:val="hybridMultilevel"/>
    <w:lvl w:ilvl="0">
      <w:lvlJc w:val="left"/>
      <w:lvlText w:val="(%1)"/>
      <w:numFmt w:val="lowerLetter"/>
      <w:start w:val="1"/>
    </w:lvl>
  </w:abstractNum>
  <w:abstractNum w:abstractNumId="74">
    <w:nsid w:val="779D8544"/>
    <w:multiLevelType w:val="hybridMultilevel"/>
    <w:lvl w:ilvl="0">
      <w:lvlJc w:val="left"/>
      <w:lvlText w:val="(%1)"/>
      <w:numFmt w:val="decimal"/>
      <w:start w:val="1"/>
    </w:lvl>
  </w:abstractNum>
  <w:abstractNum w:abstractNumId="75">
    <w:nsid w:val="4AB26E78"/>
    <w:multiLevelType w:val="hybridMultilevel"/>
    <w:lvl w:ilvl="0">
      <w:lvlJc w:val="left"/>
      <w:lvlText w:val="(%1)"/>
      <w:numFmt w:val="lowerLetter"/>
      <w:start w:val="1"/>
    </w:lvl>
  </w:abstractNum>
  <w:abstractNum w:abstractNumId="76">
    <w:nsid w:val="21FAA2FA"/>
    <w:multiLevelType w:val="hybridMultilevel"/>
    <w:lvl w:ilvl="0">
      <w:lvlJc w:val="left"/>
      <w:lvlText w:val="(%1)"/>
      <w:numFmt w:val="lowerLetter"/>
      <w:start w:val="4"/>
    </w:lvl>
  </w:abstractNum>
  <w:abstractNum w:abstractNumId="77">
    <w:nsid w:val="5451CF49"/>
    <w:multiLevelType w:val="hybridMultilevel"/>
    <w:lvl w:ilvl="0">
      <w:lvlJc w:val="left"/>
      <w:lvlText w:val="(%1)"/>
      <w:numFmt w:val="lowerLetter"/>
      <w:start w:val="11"/>
    </w:lvl>
  </w:abstractNum>
  <w:abstractNum w:abstractNumId="78">
    <w:nsid w:val="6181EF69"/>
    <w:multiLevelType w:val="hybridMultilevel"/>
    <w:lvl w:ilvl="0">
      <w:lvlJc w:val="left"/>
      <w:lvlText w:val="(%1)"/>
      <w:numFmt w:val="lowerLetter"/>
      <w:start w:val="1"/>
    </w:lvl>
  </w:abstractNum>
  <w:abstractNum w:abstractNumId="79">
    <w:nsid w:val="3E6400E6"/>
    <w:multiLevelType w:val="hybridMultilevel"/>
    <w:lvl w:ilvl="0">
      <w:lvlJc w:val="left"/>
      <w:lvlText w:val="(%1)"/>
      <w:numFmt w:val="decimal"/>
      <w:start w:val="1"/>
    </w:lvl>
  </w:abstractNum>
  <w:abstractNum w:abstractNumId="80">
    <w:nsid w:val="14217E23"/>
    <w:multiLevelType w:val="hybridMultilevel"/>
    <w:lvl w:ilvl="0">
      <w:lvlJc w:val="left"/>
      <w:lvlText w:val="%1"/>
      <w:numFmt w:val="lowerRoman"/>
      <w:start w:val="1"/>
    </w:lvl>
    <w:lvl w:ilvl="1">
      <w:lvlJc w:val="left"/>
      <w:lvlText w:val="(%2)"/>
      <w:numFmt w:val="lowerLetter"/>
      <w:start w:val="1"/>
    </w:lvl>
  </w:abstractNum>
  <w:abstractNum w:abstractNumId="81">
    <w:nsid w:val="710757D0"/>
    <w:multiLevelType w:val="hybridMultilevel"/>
    <w:lvl w:ilvl="0">
      <w:lvlJc w:val="left"/>
      <w:lvlText w:val="(%1)"/>
      <w:numFmt w:val="lowerRoman"/>
      <w:start w:val="1"/>
    </w:lvl>
    <w:lvl w:ilvl="1">
      <w:lvlJc w:val="left"/>
      <w:lvlText w:val="(%2)"/>
      <w:numFmt w:val="lowerLetter"/>
      <w:start w:val="5"/>
    </w:lvl>
  </w:abstractNum>
  <w:abstractNum w:abstractNumId="82">
    <w:nsid w:val="5015CD1A"/>
    <w:multiLevelType w:val="hybridMultilevel"/>
    <w:lvl w:ilvl="0">
      <w:lvlJc w:val="left"/>
      <w:lvlText w:val="(%1)"/>
      <w:numFmt w:val="lowerRoman"/>
      <w:start w:val="1"/>
    </w:lvl>
  </w:abstractNum>
  <w:abstractNum w:abstractNumId="83">
    <w:nsid w:val="424479DA"/>
    <w:multiLevelType w:val="hybridMultilevel"/>
    <w:lvl w:ilvl="0">
      <w:lvlJc w:val="left"/>
      <w:lvlText w:val="(%1)"/>
      <w:numFmt w:val="lowerRoman"/>
      <w:start w:val="1"/>
    </w:lvl>
  </w:abstractNum>
  <w:abstractNum w:abstractNumId="84">
    <w:nsid w:val="1A9A9E69"/>
    <w:multiLevelType w:val="hybridMultilevel"/>
    <w:lvl w:ilvl="0">
      <w:lvlJc w:val="left"/>
      <w:lvlText w:val="(%1)"/>
      <w:numFmt w:val="lowerLetter"/>
      <w:start w:val="1"/>
    </w:lvl>
    <w:lvl w:ilvl="1">
      <w:lvlJc w:val="left"/>
      <w:lvlText w:val="(%2)"/>
      <w:numFmt w:val="lowerRoman"/>
      <w:start w:val="1"/>
    </w:lvl>
  </w:abstractNum>
  <w:abstractNum w:abstractNumId="85">
    <w:nsid w:val="475E256A"/>
    <w:multiLevelType w:val="hybridMultilevel"/>
    <w:lvl w:ilvl="0">
      <w:lvlJc w:val="left"/>
      <w:lvlText w:val="(%1)"/>
      <w:numFmt w:val="lowerLetter"/>
      <w:start w:val="6"/>
    </w:lvl>
  </w:abstractNum>
  <w:abstractNum w:abstractNumId="86">
    <w:nsid w:val="368DB37E"/>
    <w:multiLevelType w:val="hybridMultilevel"/>
    <w:lvl w:ilvl="0">
      <w:lvlJc w:val="left"/>
      <w:lvlText w:val="(%1)"/>
      <w:numFmt w:val="lowerLetter"/>
      <w:start w:val="8"/>
    </w:lvl>
  </w:abstractNum>
  <w:abstractNum w:abstractNumId="87">
    <w:nsid w:val="6A3B714C"/>
    <w:multiLevelType w:val="hybridMultilevel"/>
    <w:lvl w:ilvl="0">
      <w:lvlJc w:val="left"/>
      <w:lvlText w:val="(%1)"/>
      <w:numFmt w:val="lowerLetter"/>
      <w:start w:val="16"/>
    </w:lvl>
    <w:lvl w:ilvl="1">
      <w:lvlJc w:val="left"/>
      <w:lvlText w:val="(%2)"/>
      <w:numFmt w:val="lowerRoman"/>
      <w:start w:val="1"/>
    </w:lvl>
  </w:abstractNum>
  <w:abstractNum w:abstractNumId="88">
    <w:nsid w:val="327B517E"/>
    <w:multiLevelType w:val="hybridMultilevel"/>
    <w:lvl w:ilvl="0">
      <w:lvlJc w:val="left"/>
      <w:lvlText w:val="(%1)"/>
      <w:numFmt w:val="lowerLetter"/>
      <w:start w:val="27"/>
    </w:lvl>
  </w:abstractNum>
  <w:abstractNum w:abstractNumId="89">
    <w:nsid w:val="1F461B51"/>
    <w:multiLevelType w:val="hybridMultilevel"/>
    <w:lvl w:ilvl="0">
      <w:lvlJc w:val="left"/>
      <w:lvlText w:val="(%1)"/>
      <w:numFmt w:val="lowerLetter"/>
      <w:start w:val="28"/>
    </w:lvl>
  </w:abstractNum>
  <w:abstractNum w:abstractNumId="90">
    <w:nsid w:val="29BACF25"/>
    <w:multiLevelType w:val="hybridMultilevel"/>
    <w:lvl w:ilvl="0">
      <w:lvlJc w:val="left"/>
      <w:lvlText w:val="%1"/>
      <w:numFmt w:val="lowerRoman"/>
      <w:start w:val="1"/>
    </w:lvl>
    <w:lvl w:ilvl="1">
      <w:lvlJc w:val="left"/>
      <w:lvlText w:val="(%2)"/>
      <w:numFmt w:val="lowerLetter"/>
      <w:start w:val="1"/>
    </w:lvl>
  </w:abstractNum>
  <w:abstractNum w:abstractNumId="91">
    <w:nsid w:val="5D5BABB3"/>
    <w:multiLevelType w:val="hybridMultilevel"/>
    <w:lvl w:ilvl="0">
      <w:lvlJc w:val="left"/>
      <w:lvlText w:val="(%1)"/>
      <w:numFmt w:val="lowerRoman"/>
      <w:start w:val="4"/>
    </w:lvl>
    <w:lvl w:ilvl="1">
      <w:lvlJc w:val="left"/>
      <w:lvlText w:val="%2"/>
      <w:numFmt w:val="lowerLetter"/>
      <w:start w:val="1"/>
    </w:lvl>
  </w:abstractNum>
  <w:abstractNum w:abstractNumId="92">
    <w:nsid w:val="51BF6B48"/>
    <w:multiLevelType w:val="hybridMultilevel"/>
    <w:lvl w:ilvl="0">
      <w:lvlJc w:val="left"/>
      <w:lvlText w:val="(%1)"/>
      <w:numFmt w:val="lowerLetter"/>
      <w:start w:val="3"/>
    </w:lvl>
  </w:abstractNum>
  <w:abstractNum w:abstractNumId="93">
    <w:nsid w:val="7E0F6384"/>
    <w:multiLevelType w:val="hybridMultilevel"/>
    <w:lvl w:ilvl="0">
      <w:lvlJc w:val="left"/>
      <w:lvlText w:val="(%1)"/>
      <w:numFmt w:val="lowerLetter"/>
      <w:start w:val="9"/>
    </w:lvl>
  </w:abstractNum>
  <w:abstractNum w:abstractNumId="94">
    <w:nsid w:val="2B4B8B53"/>
    <w:multiLevelType w:val="hybridMultilevel"/>
    <w:lvl w:ilvl="0">
      <w:lvlJc w:val="left"/>
      <w:lvlText w:val="(%1)"/>
      <w:numFmt w:val="lowerLetter"/>
      <w:start w:val="13"/>
    </w:lvl>
  </w:abstractNum>
  <w:abstractNum w:abstractNumId="95">
    <w:nsid w:val="72E3413A"/>
    <w:multiLevelType w:val="hybridMultilevel"/>
    <w:lvl w:ilvl="0">
      <w:lvlJc w:val="left"/>
      <w:lvlText w:val="%1"/>
      <w:numFmt w:val="lowerLetter"/>
      <w:start w:val="1"/>
    </w:lvl>
    <w:lvl w:ilvl="1">
      <w:lvlJc w:val="left"/>
      <w:lvlText w:val="(%2)"/>
      <w:numFmt w:val="lowerLetter"/>
      <w:start w:val="19"/>
    </w:lvl>
  </w:abstractNum>
  <w:abstractNum w:abstractNumId="96">
    <w:nsid w:val="116AE494"/>
    <w:multiLevelType w:val="hybridMultilevel"/>
    <w:lvl w:ilvl="0">
      <w:lvlJc w:val="left"/>
      <w:lvlText w:val="(%1)"/>
      <w:numFmt w:val="lowerLetter"/>
      <w:start w:val="35"/>
    </w:lvl>
    <w:lvl w:ilvl="1">
      <w:lvlJc w:val="left"/>
      <w:lvlText w:val="(%2)"/>
      <w:numFmt w:val="lowerLetter"/>
      <w:start w:val="27"/>
    </w:lvl>
  </w:abstractNum>
  <w:abstractNum w:abstractNumId="97">
    <w:nsid w:val="3494B2FB"/>
    <w:multiLevelType w:val="hybridMultilevel"/>
    <w:lvl w:ilvl="0">
      <w:lvlJc w:val="left"/>
      <w:lvlText w:val="(%1)"/>
      <w:numFmt w:val="lowerLetter"/>
      <w:start w:val="28"/>
    </w:lvl>
  </w:abstractNum>
  <w:abstractNum w:abstractNumId="98">
    <w:nsid w:val="B13A31"/>
    <w:multiLevelType w:val="hybridMultilevel"/>
    <w:lvl w:ilvl="0">
      <w:lvlJc w:val="left"/>
      <w:lvlText w:val="(%1)"/>
      <w:numFmt w:val="lowerLetter"/>
      <w:start w:val="29"/>
    </w:lvl>
  </w:abstractNum>
  <w:abstractNum w:abstractNumId="99">
    <w:nsid w:val="64429599"/>
    <w:multiLevelType w:val="hybridMultilevel"/>
    <w:lvl w:ilvl="0">
      <w:lvlJc w:val="left"/>
      <w:lvlText w:val="(%1)"/>
      <w:numFmt w:val="lowerLetter"/>
      <w:start w:val="39"/>
    </w:lvl>
  </w:abstractNum>
  <w:abstractNum w:abstractNumId="100">
    <w:nsid w:val="631F1690"/>
    <w:multiLevelType w:val="hybridMultilevel"/>
    <w:lvl w:ilvl="0">
      <w:lvlJc w:val="left"/>
      <w:lvlText w:val="%1"/>
      <w:numFmt w:val="upperLetter"/>
      <w:start w:val="1"/>
    </w:lvl>
    <w:lvl w:ilvl="1">
      <w:lvlJc w:val="left"/>
      <w:lvlText w:val="(%2)"/>
      <w:numFmt w:val="lowerLetter"/>
      <w:start w:val="1"/>
    </w:lvl>
  </w:abstractNum>
  <w:abstractNum w:abstractNumId="101">
    <w:nsid w:val="25973E32"/>
    <w:multiLevelType w:val="hybridMultilevel"/>
    <w:lvl w:ilvl="0">
      <w:lvlJc w:val="left"/>
      <w:lvlText w:val="(%1)"/>
      <w:numFmt w:val="upperLetter"/>
      <w:start w:val="2"/>
    </w:lvl>
    <w:lvl w:ilvl="1">
      <w:lvlJc w:val="left"/>
      <w:lvlText w:val="%2"/>
      <w:numFmt w:val="lowerLetter"/>
      <w:start w:val="1"/>
    </w:lvl>
  </w:abstractNum>
  <w:abstractNum w:abstractNumId="102">
    <w:nsid w:val="EAD6F57"/>
    <w:multiLevelType w:val="hybridMultilevel"/>
    <w:lvl w:ilvl="0">
      <w:lvlJc w:val="left"/>
      <w:lvlText w:val="(%1)"/>
      <w:numFmt w:val="lowerLetter"/>
      <w:start w:val="2"/>
    </w:lvl>
  </w:abstractNum>
  <w:abstractNum w:abstractNumId="103">
    <w:nsid w:val="6EC9D844"/>
    <w:multiLevelType w:val="hybridMultilevel"/>
    <w:lvl w:ilvl="0">
      <w:lvlJc w:val="left"/>
      <w:lvlText w:val="%1"/>
      <w:numFmt w:val="lowerLetter"/>
      <w:start w:val="1"/>
    </w:lvl>
    <w:lvl w:ilvl="1">
      <w:lvlJc w:val="left"/>
      <w:lvlText w:val="(%2)"/>
      <w:numFmt w:val="lowerLetter"/>
      <w:start w:val="1"/>
    </w:lvl>
  </w:abstractNum>
  <w:abstractNum w:abstractNumId="104">
    <w:nsid w:val="5C49EAEE"/>
    <w:multiLevelType w:val="hybridMultilevel"/>
    <w:lvl w:ilvl="0">
      <w:lvlJc w:val="left"/>
      <w:lvlText w:val="(%1)"/>
      <w:numFmt w:val="lowerLetter"/>
      <w:start w:val="61"/>
    </w:lvl>
    <w:lvl w:ilvl="1">
      <w:lvlJc w:val="left"/>
      <w:lvlText w:val="(%2)"/>
      <w:numFmt w:val="lowerLetter"/>
      <w:start w:val="2"/>
    </w:lvl>
  </w:abstractNum>
  <w:abstractNum w:abstractNumId="105">
    <w:nsid w:val="64AF49B"/>
    <w:multiLevelType w:val="hybridMultilevel"/>
    <w:lvl w:ilvl="0">
      <w:lvlJc w:val="left"/>
      <w:lvlText w:val="(%1)"/>
      <w:numFmt w:val="lowerLetter"/>
      <w:start w:val="1"/>
    </w:lvl>
    <w:lvl w:ilvl="1">
      <w:lvlJc w:val="left"/>
      <w:lvlText w:val="(%2)"/>
      <w:numFmt w:val="lowerRoman"/>
      <w:start w:val="1"/>
    </w:lvl>
  </w:abstractNum>
  <w:abstractNum w:abstractNumId="106">
    <w:nsid w:val="397C46BC"/>
    <w:multiLevelType w:val="hybridMultilevel"/>
    <w:lvl w:ilvl="0">
      <w:lvlJc w:val="left"/>
      <w:lvlText w:val="(%1)"/>
      <w:numFmt w:val="decimal"/>
      <w:start w:val="1"/>
    </w:lvl>
  </w:abstractNum>
  <w:abstractNum w:abstractNumId="107">
    <w:nsid w:val="7E448DE9"/>
    <w:multiLevelType w:val="hybridMultilevel"/>
    <w:lvl w:ilvl="0">
      <w:lvlJc w:val="left"/>
      <w:lvlText w:val="(%1)"/>
      <w:numFmt w:val="lowerLetter"/>
      <w:start w:val="24"/>
    </w:lvl>
  </w:abstractNum>
  <w:abstractNum w:abstractNumId="108">
    <w:nsid w:val="5A9CC3E5"/>
    <w:multiLevelType w:val="hybridMultilevel"/>
    <w:lvl w:ilvl="0">
      <w:lvlJc w:val="left"/>
      <w:lvlText w:val="(%1)"/>
      <w:numFmt w:val="decimal"/>
      <w:start w:val="1"/>
    </w:lvl>
  </w:abstractNum>
  <w:abstractNum w:abstractNumId="109">
    <w:nsid w:val="1AFE3625"/>
    <w:multiLevelType w:val="hybridMultilevel"/>
    <w:lvl w:ilvl="0">
      <w:lvlJc w:val="left"/>
      <w:lvlText w:val="(%1)"/>
      <w:numFmt w:val="lowerRoman"/>
      <w:start w:val="1"/>
    </w:lvl>
  </w:abstractNum>
  <w:abstractNum w:abstractNumId="110">
    <w:nsid w:val="3CA88ECF"/>
    <w:multiLevelType w:val="hybridMultilevel"/>
    <w:lvl w:ilvl="0">
      <w:lvlJc w:val="left"/>
      <w:lvlText w:val="(%1)"/>
      <w:numFmt w:val="lowerLetter"/>
      <w:start w:val="1"/>
    </w:lvl>
  </w:abstractNum>
  <w:abstractNum w:abstractNumId="111">
    <w:nsid w:val="6EBE4208"/>
    <w:multiLevelType w:val="hybridMultilevel"/>
    <w:lvl w:ilvl="0">
      <w:lvlJc w:val="left"/>
      <w:lvlText w:val="(%1)"/>
      <w:numFmt w:val="lowerLetter"/>
      <w:start w:val="6"/>
    </w:lvl>
  </w:abstractNum>
  <w:abstractNum w:abstractNumId="112">
    <w:nsid w:val="C058DF5"/>
    <w:multiLevelType w:val="hybridMultilevel"/>
    <w:lvl w:ilvl="0">
      <w:lvlJc w:val="left"/>
      <w:lvlText w:val="(%1)"/>
      <w:numFmt w:val="lowerLetter"/>
      <w:start w:val="7"/>
    </w:lvl>
  </w:abstractNum>
  <w:abstractNum w:abstractNumId="113">
    <w:nsid w:val="CBE5BE9"/>
    <w:multiLevelType w:val="hybridMultilevel"/>
    <w:lvl w:ilvl="0">
      <w:lvlJc w:val="left"/>
      <w:lvlText w:val="(%1)"/>
      <w:numFmt w:val="lowerLetter"/>
      <w:start w:val="1"/>
    </w:lvl>
  </w:abstractNum>
  <w:abstractNum w:abstractNumId="114">
    <w:nsid w:val="3102BBE2"/>
    <w:multiLevelType w:val="hybridMultilevel"/>
    <w:lvl w:ilvl="0">
      <w:lvlJc w:val="left"/>
      <w:lvlText w:val="(%1)"/>
      <w:numFmt w:val="lowerLetter"/>
      <w:start w:val="1"/>
    </w:lvl>
  </w:abstractNum>
  <w:abstractNum w:abstractNumId="115">
    <w:nsid w:val="26A02C5E"/>
    <w:multiLevelType w:val="hybridMultilevel"/>
    <w:lvl w:ilvl="0">
      <w:lvlJc w:val="left"/>
      <w:lvlText w:val="(%1)"/>
      <w:numFmt w:val="lowerLetter"/>
      <w:start w:val="1"/>
    </w:lvl>
    <w:lvl w:ilvl="1">
      <w:lvlJc w:val="left"/>
      <w:lvlText w:val="(%2)"/>
      <w:numFmt w:val="lowerRoman"/>
      <w:start w:val="1"/>
    </w:lvl>
  </w:abstractNum>
  <w:abstractNum w:abstractNumId="116">
    <w:nsid w:val="541C8153"/>
    <w:multiLevelType w:val="hybridMultilevel"/>
    <w:lvl w:ilvl="0">
      <w:lvlJc w:val="left"/>
      <w:lvlText w:val="(%1)"/>
      <w:numFmt w:val="lowerLetter"/>
      <w:start w:val="2"/>
    </w:lvl>
  </w:abstractNum>
  <w:abstractNum w:abstractNumId="117">
    <w:nsid w:val="67906F60"/>
    <w:multiLevelType w:val="hybridMultilevel"/>
    <w:lvl w:ilvl="0">
      <w:lvlJc w:val="left"/>
      <w:lvlText w:val="(%1)"/>
      <w:numFmt w:val="lowerLetter"/>
      <w:start w:val="1"/>
    </w:lvl>
  </w:abstractNum>
  <w:abstractNum w:abstractNumId="118">
    <w:nsid w:val="10DB9DAA"/>
    <w:multiLevelType w:val="hybridMultilevel"/>
    <w:lvl w:ilvl="0">
      <w:lvlJc w:val="left"/>
      <w:lvlText w:val="(%1)"/>
      <w:numFmt w:val="lowerLetter"/>
      <w:start w:val="3"/>
    </w:lvl>
  </w:abstractNum>
  <w:abstractNum w:abstractNumId="119">
    <w:nsid w:val="697D2D2"/>
    <w:multiLevelType w:val="hybridMultilevel"/>
    <w:lvl w:ilvl="0">
      <w:lvlJc w:val="left"/>
      <w:lvlText w:val="(%1)"/>
      <w:numFmt w:val="lowerLetter"/>
      <w:start w:val="7"/>
    </w:lvl>
  </w:abstractNum>
  <w:abstractNum w:abstractNumId="120">
    <w:nsid w:val="6D68AB2"/>
    <w:multiLevelType w:val="hybridMultilevel"/>
    <w:lvl w:ilvl="0">
      <w:lvlJc w:val="left"/>
      <w:lvlText w:val="(%1)"/>
      <w:numFmt w:val="lowerLetter"/>
      <w:start w:val="1"/>
    </w:lvl>
    <w:lvl w:ilvl="1">
      <w:lvlJc w:val="left"/>
      <w:lvlText w:val="(%2)"/>
      <w:numFmt w:val="lowerRoman"/>
      <w:start w:val="1"/>
    </w:lvl>
  </w:abstractNum>
  <w:abstractNum w:abstractNumId="121">
    <w:nsid w:val="3A966CD0"/>
    <w:multiLevelType w:val="hybridMultilevel"/>
    <w:lvl w:ilvl="0">
      <w:lvlJc w:val="left"/>
      <w:lvlText w:val="(%1)"/>
      <w:numFmt w:val="lowerLetter"/>
      <w:start w:val="1"/>
    </w:lvl>
  </w:abstractNum>
  <w:abstractNum w:abstractNumId="122">
    <w:nsid w:val="63F37E85"/>
    <w:multiLevelType w:val="hybridMultilevel"/>
    <w:lvl w:ilvl="0">
      <w:lvlJc w:val="left"/>
      <w:lvlText w:val="(%1)"/>
      <w:numFmt w:val="lowerLetter"/>
      <w:start w:val="2"/>
    </w:lvl>
  </w:abstractNum>
  <w:abstractNum w:abstractNumId="123">
    <w:nsid w:val="5895F5FA"/>
    <w:multiLevelType w:val="hybridMultilevel"/>
    <w:lvl w:ilvl="0">
      <w:lvlJc w:val="left"/>
      <w:lvlText w:val="(%1)"/>
      <w:numFmt w:val="lowerLetter"/>
      <w:start w:val="1"/>
    </w:lvl>
  </w:abstractNum>
  <w:abstractNum w:abstractNumId="124">
    <w:nsid w:val="38A5D054"/>
    <w:multiLevelType w:val="hybridMultilevel"/>
    <w:lvl w:ilvl="0">
      <w:lvlJc w:val="left"/>
      <w:lvlText w:val="(%1)"/>
      <w:numFmt w:val="lowerLetter"/>
      <w:start w:val="2"/>
    </w:lvl>
  </w:abstractNum>
  <w:abstractNum w:abstractNumId="125">
    <w:nsid w:val="F3F09D8"/>
    <w:multiLevelType w:val="hybridMultilevel"/>
    <w:lvl w:ilvl="0">
      <w:lvlJc w:val="left"/>
      <w:lvlText w:val="(%1)"/>
      <w:numFmt w:val="lowerLetter"/>
      <w:start w:val="4"/>
    </w:lvl>
  </w:abstractNum>
  <w:abstractNum w:abstractNumId="126">
    <w:nsid w:val="4B793735"/>
    <w:multiLevelType w:val="hybridMultilevel"/>
    <w:lvl w:ilvl="0">
      <w:lvlJc w:val="left"/>
      <w:lvlText w:val="(%1)"/>
      <w:numFmt w:val="lowerLetter"/>
      <w:start w:val="6"/>
    </w:lvl>
  </w:abstractNum>
  <w:abstractNum w:abstractNumId="127">
    <w:nsid w:val="4A10B4E8"/>
    <w:multiLevelType w:val="hybridMultilevel"/>
    <w:lvl w:ilvl="0">
      <w:lvlJc w:val="left"/>
      <w:lvlText w:val="(%1)"/>
      <w:numFmt w:val="lowerLetter"/>
      <w:start w:val="9"/>
    </w:lvl>
  </w:abstractNum>
  <w:abstractNum w:abstractNumId="128">
    <w:nsid w:val="43D3BCD4"/>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9"/>
    </w:lvl>
  </w:abstractNum>
  <w:abstractNum w:abstractNumId="129">
    <w:nsid w:val="4C2A7166"/>
    <w:multiLevelType w:val="hybridMultilevel"/>
    <w:lvl w:ilvl="0">
      <w:lvlJc w:val="left"/>
      <w:lvlText w:val="(%1)"/>
      <w:numFmt w:val="lowerLetter"/>
      <w:start w:val="25"/>
    </w:lvl>
    <w:lvl w:ilvl="1">
      <w:lvlJc w:val="left"/>
      <w:lvlText w:val="(%2)"/>
      <w:numFmt w:val="lowerLetter"/>
      <w:start w:val="12"/>
    </w:lvl>
    <w:lvl w:ilvl="2">
      <w:lvlJc w:val="left"/>
      <w:lvlText w:val="(%3)"/>
      <w:numFmt w:val="lowerLetter"/>
      <w:start w:val="35"/>
    </w:lvl>
  </w:abstractNum>
  <w:abstractNum w:abstractNumId="130">
    <w:nsid w:val="2E534A82"/>
    <w:multiLevelType w:val="hybridMultilevel"/>
    <w:lvl w:ilvl="0">
      <w:lvlJc w:val="left"/>
      <w:lvlText w:val="(%1)"/>
      <w:numFmt w:val="lowerLetter"/>
      <w:start w:val="15"/>
    </w:lvl>
  </w:abstractNum>
  <w:abstractNum w:abstractNumId="131">
    <w:nsid w:val="26F2D364"/>
    <w:multiLevelType w:val="hybridMultilevel"/>
    <w:lvl w:ilvl="0">
      <w:lvlJc w:val="left"/>
      <w:lvlText w:val="(%1)"/>
      <w:numFmt w:val="lowerLetter"/>
      <w:start w:val="1"/>
    </w:lvl>
  </w:abstractNum>
  <w:abstractNum w:abstractNumId="132">
    <w:nsid w:val="71C1AF98"/>
    <w:multiLevelType w:val="hybridMultilevel"/>
    <w:lvl w:ilvl="0">
      <w:lvlJc w:val="left"/>
      <w:lvlText w:val="(%1)"/>
      <w:numFmt w:val="lowerLetter"/>
      <w:start w:val="1"/>
    </w:lvl>
    <w:lvl w:ilvl="1">
      <w:lvlJc w:val="left"/>
      <w:lvlText w:val="(%2)"/>
      <w:numFmt w:val="lowerRoman"/>
      <w:start w:val="1"/>
    </w:lvl>
  </w:abstractNum>
  <w:abstractNum w:abstractNumId="133">
    <w:nsid w:val="3D00B9D9"/>
    <w:multiLevelType w:val="hybridMultilevel"/>
    <w:lvl w:ilvl="0">
      <w:lvlJc w:val="left"/>
      <w:lvlText w:val="(%1)"/>
      <w:numFmt w:val="lowerLetter"/>
      <w:start w:val="2"/>
    </w:lvl>
  </w:abstractNum>
  <w:abstractNum w:abstractNumId="134">
    <w:nsid w:val="15BCABA8"/>
    <w:multiLevelType w:val="hybridMultilevel"/>
    <w:lvl w:ilvl="0">
      <w:lvlJc w:val="left"/>
      <w:lvlText w:val="(%1)"/>
      <w:numFmt w:val="lowerLetter"/>
      <w:start w:val="1"/>
    </w:lvl>
    <w:lvl w:ilvl="1">
      <w:lvlJc w:val="left"/>
      <w:lvlText w:val="(%2)"/>
      <w:numFmt w:val="lowerRoman"/>
      <w:start w:val="1"/>
    </w:lvl>
  </w:abstractNum>
  <w:abstractNum w:abstractNumId="135">
    <w:nsid w:val="4E0B9A87"/>
    <w:multiLevelType w:val="hybridMultilevel"/>
    <w:lvl w:ilvl="0">
      <w:lvlJc w:val="left"/>
      <w:lvlText w:val="(%1)"/>
      <w:numFmt w:val="lowerLetter"/>
      <w:start w:val="2"/>
    </w:lvl>
  </w:abstractNum>
  <w:abstractNum w:abstractNumId="136">
    <w:nsid w:val="434BAE75"/>
    <w:multiLevelType w:val="hybridMultilevel"/>
    <w:lvl w:ilvl="0">
      <w:lvlJc w:val="left"/>
      <w:lvlText w:val="(%1)"/>
      <w:numFmt w:val="lowerLetter"/>
      <w:start w:val="1"/>
    </w:lvl>
  </w:abstractNum>
  <w:abstractNum w:abstractNumId="137">
    <w:nsid w:val="4F38F265"/>
    <w:multiLevelType w:val="hybridMultilevel"/>
    <w:lvl w:ilvl="0">
      <w:lvlJc w:val="left"/>
      <w:lvlText w:val="(%1)"/>
      <w:numFmt w:val="lowerLetter"/>
      <w:start w:val="2"/>
    </w:lvl>
  </w:abstractNum>
  <w:abstractNum w:abstractNumId="138">
    <w:nsid w:val="4C502870"/>
    <w:multiLevelType w:val="hybridMultilevel"/>
    <w:lvl w:ilvl="0">
      <w:lvlJc w:val="left"/>
      <w:lvlText w:val="(%1)"/>
      <w:numFmt w:val="lowerLetter"/>
      <w:start w:val="1"/>
    </w:lvl>
  </w:abstractNum>
  <w:abstractNum w:abstractNumId="139">
    <w:nsid w:val="1DE8725A"/>
    <w:multiLevelType w:val="hybridMultilevel"/>
    <w:lvl w:ilvl="0">
      <w:lvlJc w:val="left"/>
      <w:lvlText w:val="(%1)"/>
      <w:numFmt w:val="lowerLetter"/>
      <w:start w:val="1"/>
    </w:lvl>
  </w:abstractNum>
  <w:abstractNum w:abstractNumId="140">
    <w:nsid w:val="6A37288A"/>
    <w:multiLevelType w:val="hybridMultilevel"/>
    <w:lvl w:ilvl="0">
      <w:lvlJc w:val="left"/>
      <w:lvlText w:val="%1"/>
      <w:numFmt w:val="decimal"/>
      <w:start w:val="1"/>
    </w:lvl>
    <w:lvl w:ilvl="1">
      <w:lvlJc w:val="left"/>
      <w:lvlText w:val="(%2)"/>
      <w:numFmt w:val="lowerRoman"/>
      <w:start w:val="1"/>
    </w:lvl>
  </w:abstractNum>
  <w:abstractNum w:abstractNumId="141">
    <w:nsid w:val="8F8B73F"/>
    <w:multiLevelType w:val="hybridMultilevel"/>
    <w:lvl w:ilvl="0">
      <w:lvlJc w:val="left"/>
      <w:lvlText w:val="(%1)"/>
      <w:numFmt w:val="decimal"/>
      <w:start w:val="1"/>
    </w:lvl>
    <w:lvl w:ilvl="1">
      <w:lvlJc w:val="left"/>
      <w:lvlText w:val="%2"/>
      <w:numFmt w:val="lowerRoman"/>
      <w:start w:val="1"/>
    </w:lvl>
  </w:abstractNum>
  <w:abstractNum w:abstractNumId="142">
    <w:nsid w:val="CA6B462"/>
    <w:multiLevelType w:val="hybridMultilevel"/>
    <w:lvl w:ilvl="0">
      <w:lvlJc w:val="left"/>
      <w:lvlText w:val="%1"/>
      <w:numFmt w:val="decimal"/>
      <w:start w:val="1"/>
    </w:lvl>
    <w:lvl w:ilvl="1">
      <w:lvlJc w:val="left"/>
      <w:lvlText w:val="(%2)"/>
      <w:numFmt w:val="decimal"/>
      <w:start w:val="2"/>
    </w:lvl>
    <w:lvl w:ilvl="2">
      <w:lvlJc w:val="left"/>
      <w:lvlText w:val="(%3)"/>
      <w:numFmt w:val="lowerRoman"/>
      <w:start w:val="2"/>
    </w:lvl>
    <w:lvl w:ilvl="3">
      <w:lvlJc w:val="left"/>
      <w:lvlText w:val="%4"/>
      <w:numFmt w:val="upperLetter"/>
      <w:start w:val="1"/>
    </w:lvl>
  </w:abstractNum>
  <w:abstractNum w:abstractNumId="143">
    <w:nsid w:val="763CB680"/>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144">
    <w:nsid w:val="15B71329"/>
    <w:multiLevelType w:val="hybridMultilevel"/>
    <w:lvl w:ilvl="0">
      <w:lvlJc w:val="left"/>
      <w:lvlText w:val="(%1)"/>
      <w:numFmt w:val="lowerLetter"/>
      <w:start w:val="2"/>
    </w:lvl>
  </w:abstractNum>
  <w:abstractNum w:abstractNumId="145">
    <w:nsid w:val="3DA97044"/>
    <w:multiLevelType w:val="hybridMultilevel"/>
    <w:lvl w:ilvl="0">
      <w:lvlJc w:val="left"/>
      <w:lvlText w:val="(%1)"/>
      <w:numFmt w:val="lowerLetter"/>
      <w:start w:val="3"/>
    </w:lvl>
  </w:abstractNum>
  <w:abstractNum w:abstractNumId="146">
    <w:nsid w:val="1CDCE2DE"/>
    <w:multiLevelType w:val="hybridMultilevel"/>
    <w:lvl w:ilvl="0">
      <w:lvlJc w:val="left"/>
      <w:lvlText w:val="(%1)"/>
      <w:numFmt w:val="lowerLetter"/>
      <w:start w:val="1"/>
    </w:lvl>
  </w:abstractNum>
  <w:abstractNum w:abstractNumId="147">
    <w:nsid w:val="69D3947C"/>
    <w:multiLevelType w:val="hybridMultilevel"/>
    <w:lvl w:ilvl="0">
      <w:lvlJc w:val="left"/>
      <w:lvlText w:val="(%1)"/>
      <w:numFmt w:val="lowerLetter"/>
      <w:start w:val="2"/>
    </w:lvl>
  </w:abstractNum>
  <w:abstractNum w:abstractNumId="148">
    <w:nsid w:val="2539DFA5"/>
    <w:multiLevelType w:val="hybridMultilevel"/>
    <w:lvl w:ilvl="0">
      <w:lvlJc w:val="left"/>
      <w:lvlText w:val="%1"/>
      <w:numFmt w:val="lowerLetter"/>
      <w:start w:val="1"/>
    </w:lvl>
    <w:lvl w:ilvl="1">
      <w:lvlJc w:val="left"/>
      <w:lvlText w:val="(%2)"/>
      <w:numFmt w:val="lowerLetter"/>
      <w:start w:val="1"/>
    </w:lvl>
  </w:abstractNum>
  <w:abstractNum w:abstractNumId="149">
    <w:nsid w:val="2DB88089"/>
    <w:multiLevelType w:val="hybridMultilevel"/>
    <w:lvl w:ilvl="0">
      <w:lvlJc w:val="left"/>
      <w:lvlText w:val="(%1)"/>
      <w:numFmt w:val="lowerLetter"/>
      <w:start w:val="35"/>
    </w:lvl>
    <w:lvl w:ilvl="1">
      <w:lvlJc w:val="left"/>
      <w:lvlText w:val="%2"/>
      <w:numFmt w:val="lowerLetter"/>
      <w:start w:val="1"/>
    </w:lvl>
  </w:abstractNum>
  <w:abstractNum w:abstractNumId="150">
    <w:nsid w:val="706B674E"/>
    <w:multiLevelType w:val="hybridMultilevel"/>
    <w:lvl w:ilvl="0">
      <w:lvlJc w:val="left"/>
      <w:lvlText w:val="(%1)"/>
      <w:numFmt w:val="lowerLetter"/>
      <w:start w:val="3"/>
    </w:lvl>
  </w:abstractNum>
  <w:abstractNum w:abstractNumId="151">
    <w:nsid w:val="2C106A57"/>
    <w:multiLevelType w:val="hybridMultilevel"/>
    <w:lvl w:ilvl="0">
      <w:lvlJc w:val="left"/>
      <w:lvlText w:val="(%1)"/>
      <w:numFmt w:val="lowerLetter"/>
      <w:start w:val="1"/>
    </w:lvl>
    <w:lvl w:ilvl="1">
      <w:lvlJc w:val="left"/>
      <w:lvlText w:val="(%2)"/>
      <w:numFmt w:val="lowerLetter"/>
      <w:start w:val="9"/>
    </w:lvl>
  </w:abstractNum>
  <w:abstractNum w:abstractNumId="152">
    <w:nsid w:val="684EED59"/>
    <w:multiLevelType w:val="hybridMultilevel"/>
    <w:lvl w:ilvl="0">
      <w:lvlJc w:val="left"/>
      <w:lvlText w:val="(%1)"/>
      <w:numFmt w:val="lowerRoman"/>
      <w:start w:val="2"/>
    </w:lvl>
  </w:abstractNum>
  <w:abstractNum w:abstractNumId="153">
    <w:nsid w:val="545EE5D3"/>
    <w:multiLevelType w:val="hybridMultilevel"/>
    <w:lvl w:ilvl="0">
      <w:lvlJc w:val="left"/>
      <w:lvlText w:val="(%1)"/>
      <w:numFmt w:val="lowerLetter"/>
      <w:start w:val="2"/>
    </w:lvl>
  </w:abstractNum>
  <w:abstractNum w:abstractNumId="154">
    <w:nsid w:val="4A66051"/>
    <w:multiLevelType w:val="hybridMultilevel"/>
    <w:lvl w:ilvl="0">
      <w:lvlJc w:val="left"/>
      <w:lvlText w:val="(%1)"/>
      <w:numFmt w:val="lowerLetter"/>
      <w:start w:val="1"/>
    </w:lvl>
  </w:abstractNum>
  <w:abstractNum w:abstractNumId="155">
    <w:nsid w:val="20F4BDAD"/>
    <w:multiLevelType w:val="hybridMultilevel"/>
    <w:lvl w:ilvl="0">
      <w:lvlJc w:val="left"/>
      <w:lvlText w:val="(%1)"/>
      <w:numFmt w:val="lowerLetter"/>
      <w:start w:val="5"/>
    </w:lvl>
    <w:lvl w:ilvl="1">
      <w:lvlJc w:val="left"/>
      <w:lvlText w:val="(%2)"/>
      <w:numFmt w:val="lowerLetter"/>
      <w:start w:val="9"/>
    </w:lvl>
  </w:abstractNum>
  <w:abstractNum w:abstractNumId="156">
    <w:nsid w:val="639DEFAC"/>
    <w:multiLevelType w:val="hybridMultilevel"/>
    <w:lvl w:ilvl="0">
      <w:lvlJc w:val="left"/>
      <w:lvlText w:val="%1"/>
      <w:numFmt w:val="decimal"/>
      <w:start w:val="1"/>
    </w:lvl>
    <w:lvl w:ilvl="1">
      <w:lvlJc w:val="left"/>
      <w:lvlText w:val="(%2)"/>
      <w:numFmt w:val="lowerRoman"/>
      <w:start w:val="2"/>
    </w:lvl>
  </w:abstractNum>
  <w:abstractNum w:abstractNumId="157">
    <w:nsid w:val="501F9786"/>
    <w:multiLevelType w:val="hybridMultilevel"/>
    <w:lvl w:ilvl="0">
      <w:lvlJc w:val="left"/>
      <w:lvlText w:val="(%1)"/>
      <w:numFmt w:val="decimal"/>
      <w:start w:val="30"/>
    </w:lvl>
    <w:lvl w:ilvl="1">
      <w:lvlJc w:val="left"/>
      <w:lvlText w:val="%2"/>
      <w:numFmt w:val="lowerRoman"/>
      <w:start w:val="1"/>
    </w:lvl>
  </w:abstractNum>
  <w:abstractNum w:abstractNumId="158">
    <w:nsid w:val="6B057295"/>
    <w:multiLevelType w:val="hybridMultilevel"/>
    <w:lvl w:ilvl="0">
      <w:lvlJc w:val="left"/>
      <w:lvlText w:val="(%1)"/>
      <w:numFmt w:val="upperLetter"/>
      <w:start w:val="1"/>
    </w:lvl>
  </w:abstractNum>
  <w:abstractNum w:abstractNumId="159">
    <w:nsid w:val="2771AC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0">
    <w:nsid w:val="1C4A08E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61">
    <w:nsid w:val="1958BD17"/>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162">
    <w:nsid w:val="4E647FE4"/>
    <w:multiLevelType w:val="hybridMultilevel"/>
    <w:lvl w:ilvl="0">
      <w:lvlJc w:val="left"/>
      <w:lvlText w:val="(%1)"/>
      <w:numFmt w:val="lowerLetter"/>
      <w:start w:val="9"/>
    </w:lvl>
  </w:abstractNum>
  <w:abstractNum w:abstractNumId="163">
    <w:nsid w:val="E0BB885"/>
    <w:multiLevelType w:val="hybridMultilevel"/>
    <w:lvl w:ilvl="0">
      <w:lvlJc w:val="left"/>
      <w:lvlText w:val="(%1)"/>
      <w:numFmt w:val="upperLetter"/>
      <w:start w:val="2"/>
    </w:lvl>
  </w:abstractNum>
  <w:abstractNum w:abstractNumId="164">
    <w:nsid w:val="565976F1"/>
    <w:multiLevelType w:val="hybridMultilevel"/>
    <w:lvl w:ilvl="0">
      <w:lvlJc w:val="left"/>
      <w:lvlText w:val="(%1)"/>
      <w:numFmt w:val="lowerLetter"/>
      <w:start w:val="1"/>
    </w:lvl>
  </w:abstractNum>
  <w:abstractNum w:abstractNumId="165">
    <w:nsid w:val="64212B8C"/>
    <w:multiLevelType w:val="hybridMultilevel"/>
    <w:lvl w:ilvl="0">
      <w:lvlJc w:val="left"/>
      <w:lvlText w:val="(%1)"/>
      <w:numFmt w:val="lowerRoman"/>
      <w:start w:val="1"/>
    </w:lvl>
  </w:abstractNum>
  <w:abstractNum w:abstractNumId="166">
    <w:nsid w:val="5C17530C"/>
    <w:multiLevelType w:val="hybridMultilevel"/>
    <w:lvl w:ilvl="0">
      <w:lvlJc w:val="left"/>
      <w:lvlText w:val="(%1)"/>
      <w:numFmt w:val="lowerLetter"/>
      <w:start w:val="4"/>
    </w:lvl>
  </w:abstractNum>
  <w:abstractNum w:abstractNumId="167">
    <w:nsid w:val="19A52566"/>
    <w:multiLevelType w:val="hybridMultilevel"/>
    <w:lvl w:ilvl="0">
      <w:lvlJc w:val="left"/>
      <w:lvlText w:val="(%1)"/>
      <w:numFmt w:val="lowerLetter"/>
      <w:start w:val="1"/>
    </w:lvl>
  </w:abstractNum>
  <w:abstractNum w:abstractNumId="168">
    <w:nsid w:val="335A1DF1"/>
    <w:multiLevelType w:val="hybridMultilevel"/>
    <w:lvl w:ilvl="0">
      <w:lvlJc w:val="left"/>
      <w:lvlText w:val="(%1)"/>
      <w:numFmt w:val="lowerLetter"/>
      <w:start w:val="5"/>
    </w:lvl>
    <w:lvl w:ilvl="1">
      <w:lvlJc w:val="left"/>
      <w:lvlText w:val="(%2)"/>
      <w:numFmt w:val="lowerRoman"/>
      <w:start w:val="1"/>
    </w:lvl>
  </w:abstractNum>
  <w:abstractNum w:abstractNumId="169">
    <w:nsid w:val="28677B7C"/>
    <w:multiLevelType w:val="hybridMultilevel"/>
    <w:lvl w:ilvl="0">
      <w:lvlJc w:val="left"/>
      <w:lvlText w:val="(%1)"/>
      <w:numFmt w:val="lowerRoman"/>
      <w:start w:val="2"/>
    </w:lvl>
  </w:abstractNum>
  <w:abstractNum w:abstractNumId="170">
    <w:nsid w:val="378D97C0"/>
    <w:multiLevelType w:val="hybridMultilevel"/>
    <w:lvl w:ilvl="0">
      <w:lvlJc w:val="left"/>
      <w:lvlText w:val="(%1)"/>
      <w:numFmt w:val="lowerLetter"/>
      <w:start w:val="1"/>
    </w:lvl>
  </w:abstractNum>
  <w:abstractNum w:abstractNumId="171">
    <w:nsid w:val="1D91467C"/>
    <w:multiLevelType w:val="hybridMultilevel"/>
    <w:lvl w:ilvl="0">
      <w:lvlJc w:val="left"/>
      <w:lvlText w:val="(%1)"/>
      <w:numFmt w:val="lowerLetter"/>
      <w:start w:val="1"/>
    </w:lvl>
  </w:abstractNum>
  <w:abstractNum w:abstractNumId="172">
    <w:nsid w:val="316032BB"/>
    <w:multiLevelType w:val="hybridMultilevel"/>
    <w:lvl w:ilvl="0">
      <w:lvlJc w:val="left"/>
      <w:lvlText w:val="%1"/>
      <w:numFmt w:val="lowerLetter"/>
      <w:start w:val="1"/>
    </w:lvl>
    <w:lvl w:ilvl="1">
      <w:lvlJc w:val="left"/>
      <w:lvlText w:val="(%2)"/>
      <w:numFmt w:val="lowerLetter"/>
      <w:start w:val="1"/>
    </w:lvl>
  </w:abstractNum>
  <w:abstractNum w:abstractNumId="173">
    <w:nsid w:val="44344C22"/>
    <w:multiLevelType w:val="hybridMultilevel"/>
    <w:lvl w:ilvl="0">
      <w:lvlJc w:val="left"/>
      <w:lvlText w:val="(%1)"/>
      <w:numFmt w:val="lowerLetter"/>
      <w:start w:val="9"/>
    </w:lvl>
    <w:lvl w:ilvl="1">
      <w:lvlJc w:val="left"/>
      <w:lvlText w:val="%2"/>
      <w:numFmt w:val="lowerLetter"/>
      <w:start w:val="1"/>
    </w:lvl>
  </w:abstractNum>
  <w:abstractNum w:abstractNumId="174">
    <w:nsid w:val="13CDFCFC"/>
    <w:multiLevelType w:val="hybridMultilevel"/>
    <w:lvl w:ilvl="0">
      <w:lvlJc w:val="left"/>
      <w:lvlText w:val="(%1)"/>
      <w:numFmt w:val="lowerLetter"/>
      <w:start w:val="2"/>
    </w:lvl>
  </w:abstractNum>
  <w:abstractNum w:abstractNumId="175">
    <w:nsid w:val="471745E4"/>
    <w:multiLevelType w:val="hybridMultilevel"/>
    <w:lvl w:ilvl="0">
      <w:lvlJc w:val="left"/>
      <w:lvlText w:val="%1"/>
      <w:numFmt w:val="upperLetter"/>
      <w:start w:val="1"/>
    </w:lvl>
    <w:lvl w:ilvl="1">
      <w:lvlJc w:val="left"/>
      <w:lvlText w:val="(%2)"/>
      <w:numFmt w:val="lowerLetter"/>
      <w:start w:val="1"/>
    </w:lvl>
  </w:abstractNum>
  <w:abstractNum w:abstractNumId="176">
    <w:nsid w:val="1DDBC66"/>
    <w:multiLevelType w:val="hybridMultilevel"/>
    <w:lvl w:ilvl="0">
      <w:lvlJc w:val="left"/>
      <w:lvlText w:val="(%1)"/>
      <w:numFmt w:val="upperLetter"/>
      <w:start w:val="1"/>
    </w:lvl>
    <w:lvl w:ilvl="1">
      <w:lvlJc w:val="left"/>
      <w:lvlText w:val="%2"/>
      <w:numFmt w:val="lowerLetter"/>
      <w:start w:val="1"/>
    </w:lvl>
  </w:abstractNum>
  <w:abstractNum w:abstractNumId="177">
    <w:nsid w:val="30AADFDA"/>
    <w:multiLevelType w:val="hybridMultilevel"/>
    <w:lvl w:ilvl="0">
      <w:lvlJc w:val="left"/>
      <w:lvlText w:val="%1"/>
      <w:numFmt w:val="decimal"/>
      <w:start w:val="1"/>
    </w:lvl>
    <w:lvl w:ilvl="1">
      <w:lvlJc w:val="left"/>
      <w:lvlText w:val="(%2)"/>
      <w:numFmt w:val="lowerLetter"/>
      <w:start w:val="8"/>
    </w:lvl>
  </w:abstractNum>
  <w:abstractNum w:abstractNumId="178">
    <w:nsid w:val="30EADA61"/>
    <w:multiLevelType w:val="hybridMultilevel"/>
    <w:lvl w:ilvl="0">
      <w:lvlJc w:val="left"/>
      <w:lvlText w:val="(%1)"/>
      <w:numFmt w:val="decimal"/>
      <w:start w:val="3"/>
    </w:lvl>
    <w:lvl w:ilvl="1">
      <w:lvlJc w:val="left"/>
      <w:lvlText w:val="(%2)"/>
      <w:numFmt w:val="lowerLetter"/>
      <w:start w:val="10"/>
    </w:lvl>
  </w:abstractNum>
  <w:abstractNum w:abstractNumId="179">
    <w:nsid w:val="27179C0B"/>
    <w:multiLevelType w:val="hybridMultilevel"/>
    <w:lvl w:ilvl="0">
      <w:lvlJc w:val="left"/>
      <w:lvlText w:val="(%1)"/>
      <w:numFmt w:val="lowerLetter"/>
      <w:start w:val="1"/>
    </w:lvl>
  </w:abstractNum>
  <w:abstractNum w:abstractNumId="180">
    <w:nsid w:val="5E636063"/>
    <w:multiLevelType w:val="hybridMultilevel"/>
    <w:lvl w:ilvl="0">
      <w:lvlJc w:val="left"/>
      <w:lvlText w:val="(%1)"/>
      <w:numFmt w:val="lowerLetter"/>
      <w:start w:val="2"/>
    </w:lvl>
  </w:abstractNum>
  <w:abstractNum w:abstractNumId="181">
    <w:nsid w:val="215641AF"/>
    <w:multiLevelType w:val="hybridMultilevel"/>
    <w:lvl w:ilvl="0">
      <w:lvlJc w:val="left"/>
      <w:lvlText w:val="(%1)"/>
      <w:numFmt w:val="lowerLetter"/>
      <w:start w:val="1"/>
    </w:lvl>
  </w:abstractNum>
  <w:abstractNum w:abstractNumId="182">
    <w:nsid w:val="53280662"/>
    <w:multiLevelType w:val="hybridMultilevel"/>
    <w:lvl w:ilvl="0">
      <w:lvlJc w:val="left"/>
      <w:lvlText w:val="(%1)"/>
      <w:numFmt w:val="lowerRoman"/>
      <w:start w:val="1"/>
    </w:lvl>
  </w:abstractNum>
  <w:abstractNum w:abstractNumId="183">
    <w:nsid w:val="46B24DBC"/>
    <w:multiLevelType w:val="hybridMultilevel"/>
    <w:lvl w:ilvl="0">
      <w:lvlJc w:val="left"/>
      <w:lvlText w:val="(%1)"/>
      <w:numFmt w:val="lowerLetter"/>
      <w:start w:val="1"/>
    </w:lvl>
  </w:abstractNum>
  <w:abstractNum w:abstractNumId="184">
    <w:nsid w:val="75B52783"/>
    <w:multiLevelType w:val="hybridMultilevel"/>
    <w:lvl w:ilvl="0">
      <w:lvlJc w:val="left"/>
      <w:lvlText w:val="(%1)"/>
      <w:numFmt w:val="lowerRoman"/>
      <w:start w:val="2"/>
    </w:lvl>
  </w:abstractNum>
  <w:abstractNum w:abstractNumId="185">
    <w:nsid w:val="57CE66B4"/>
    <w:multiLevelType w:val="hybridMultilevel"/>
    <w:lvl w:ilvl="0">
      <w:lvlJc w:val="left"/>
      <w:lvlText w:val="(%1)"/>
      <w:numFmt w:val="lowerLetter"/>
      <w:start w:val="1"/>
    </w:lvl>
  </w:abstractNum>
  <w:abstractNum w:abstractNumId="186">
    <w:nsid w:val="67A70B69"/>
    <w:multiLevelType w:val="hybridMultilevel"/>
    <w:lvl w:ilvl="0">
      <w:lvlJc w:val="left"/>
      <w:lvlText w:val="(%1)"/>
      <w:numFmt w:val="lowerLetter"/>
      <w:start w:val="1"/>
    </w:lvl>
  </w:abstractNum>
  <w:abstractNum w:abstractNumId="187">
    <w:nsid w:val="5953172F"/>
    <w:multiLevelType w:val="hybridMultilevel"/>
    <w:lvl w:ilvl="0">
      <w:lvlJc w:val="left"/>
      <w:lvlText w:val="(%1)"/>
      <w:numFmt w:val="lowerLetter"/>
      <w:start w:val="1"/>
    </w:lvl>
  </w:abstractNum>
  <w:abstractNum w:abstractNumId="188">
    <w:nsid w:val="27EDFE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189">
    <w:nsid w:val="52AC7D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90">
    <w:nsid w:val="C4C3A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91">
    <w:nsid w:val="44380727"/>
    <w:multiLevelType w:val="hybridMultilevel"/>
    <w:lvl w:ilvl="0">
      <w:lvlJc w:val="left"/>
      <w:lvlText w:val="%1"/>
      <w:numFmt w:val="decimal"/>
      <w:start w:val="1"/>
    </w:lvl>
    <w:lvl w:ilvl="1">
      <w:lvlJc w:val="left"/>
      <w:lvlText w:val="(%2)"/>
      <w:numFmt w:val="decimal"/>
      <w:start w:val="5"/>
    </w:lvl>
    <w:lvl w:ilvl="2">
      <w:lvlJc w:val="left"/>
      <w:lvlText w:val="(%3)"/>
      <w:numFmt w:val="lowerLetter"/>
      <w:start w:val="6"/>
    </w:lvl>
  </w:abstractNum>
  <w:abstractNum w:abstractNumId="192">
    <w:nsid w:val="6C053B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193">
    <w:nsid w:val="4F294393"/>
    <w:multiLevelType w:val="hybridMultilevel"/>
    <w:lvl w:ilvl="0">
      <w:lvlJc w:val="left"/>
      <w:lvlText w:val="(%1)"/>
      <w:numFmt w:val="lowerLetter"/>
      <w:start w:val="1"/>
    </w:lvl>
    <w:lvl w:ilvl="1">
      <w:lvlJc w:val="left"/>
      <w:lvlText w:val="(%2)"/>
      <w:numFmt w:val="lowerLetter"/>
      <w:start w:val="9"/>
    </w:lvl>
  </w:abstractNum>
  <w:abstractNum w:abstractNumId="194">
    <w:nsid w:val="5243BFAC"/>
    <w:multiLevelType w:val="hybridMultilevel"/>
    <w:lvl w:ilvl="0">
      <w:lvlJc w:val="left"/>
      <w:lvlText w:val="(%1)"/>
      <w:numFmt w:val="upperLetter"/>
      <w:start w:val="1"/>
    </w:lvl>
  </w:abstractNum>
  <w:abstractNum w:abstractNumId="195">
    <w:nsid w:val="425EB207"/>
    <w:multiLevelType w:val="hybridMultilevel"/>
    <w:lvl w:ilvl="0">
      <w:lvlJc w:val="left"/>
      <w:lvlText w:val="(%1)"/>
      <w:numFmt w:val="lowerRoman"/>
      <w:start w:val="2"/>
    </w:lvl>
  </w:abstractNum>
  <w:abstractNum w:abstractNumId="196">
    <w:nsid w:val="334A6F1F"/>
    <w:multiLevelType w:val="hybridMultilevel"/>
    <w:lvl w:ilvl="0">
      <w:lvlJc w:val="left"/>
      <w:lvlText w:val="(%1)"/>
      <w:numFmt w:val="upperLetter"/>
      <w:start w:val="1"/>
    </w:lvl>
  </w:abstractNum>
  <w:abstractNum w:abstractNumId="197">
    <w:nsid w:val="2E5B12B8"/>
    <w:multiLevelType w:val="hybridMultilevel"/>
    <w:lvl w:ilvl="0">
      <w:lvlJc w:val="left"/>
      <w:lvlText w:val="(%1)"/>
      <w:numFmt w:val="lowerRoman"/>
      <w:start w:val="4"/>
    </w:lvl>
  </w:abstractNum>
  <w:abstractNum w:abstractNumId="198">
    <w:nsid w:val="5C03D76D"/>
    <w:multiLevelType w:val="hybridMultilevel"/>
    <w:lvl w:ilvl="0">
      <w:lvlJc w:val="left"/>
      <w:lvlText w:val="(%1)"/>
      <w:numFmt w:val="decimal"/>
      <w:start w:val="1"/>
    </w:lvl>
    <w:lvl w:ilvl="1">
      <w:lvlJc w:val="left"/>
      <w:lvlText w:val="(%2)"/>
      <w:numFmt w:val="upperLetter"/>
      <w:start w:val="1"/>
    </w:lvl>
  </w:abstractNum>
  <w:abstractNum w:abstractNumId="199">
    <w:nsid w:val="66A48D11"/>
    <w:multiLevelType w:val="hybridMultilevel"/>
    <w:lvl w:ilvl="0">
      <w:lvlJc w:val="left"/>
      <w:lvlText w:val="(%1)"/>
      <w:numFmt w:val="decimal"/>
      <w:start w:val="2"/>
    </w:lvl>
    <w:lvl w:ilvl="1">
      <w:lvlJc w:val="left"/>
      <w:lvlText w:val="%2"/>
      <w:numFmt w:val="upperLetter"/>
      <w:start w:val="1"/>
    </w:lvl>
  </w:abstractNum>
  <w:abstractNum w:abstractNumId="200">
    <w:nsid w:val="56C28E34"/>
    <w:multiLevelType w:val="hybridMultilevel"/>
    <w:lvl w:ilvl="0">
      <w:lvlJc w:val="left"/>
      <w:lvlText w:val="(%1)"/>
      <w:numFmt w:val="upperLetter"/>
      <w:start w:val="4"/>
    </w:lvl>
  </w:abstractNum>
  <w:abstractNum w:abstractNumId="201">
    <w:nsid w:val="13916F2D"/>
    <w:multiLevelType w:val="hybridMultilevel"/>
    <w:lvl w:ilvl="0">
      <w:lvlJc w:val="left"/>
      <w:lvlText w:val="(%1)"/>
      <w:numFmt w:val="lowerLetter"/>
      <w:start w:val="2"/>
    </w:lvl>
    <w:lvl w:ilvl="1">
      <w:lvlJc w:val="left"/>
      <w:lvlText w:val="(%2)"/>
      <w:numFmt w:val="lowerRoman"/>
      <w:start w:val="1"/>
    </w:lvl>
  </w:abstractNum>
  <w:abstractNum w:abstractNumId="202">
    <w:nsid w:val="435D38D"/>
    <w:multiLevelType w:val="hybridMultilevel"/>
    <w:lvl w:ilvl="0">
      <w:lvlJc w:val="left"/>
      <w:lvlText w:val="(%1)"/>
      <w:numFmt w:val="decimal"/>
      <w:start w:val="1"/>
    </w:lvl>
  </w:abstractNum>
  <w:abstractNum w:abstractNumId="203">
    <w:nsid w:val="822C0EF"/>
    <w:multiLevelType w:val="hybridMultilevel"/>
    <w:lvl w:ilvl="0">
      <w:lvlJc w:val="left"/>
      <w:lvlText w:val="(%1)"/>
      <w:numFmt w:val="lowerRoman"/>
      <w:start w:val="3"/>
    </w:lvl>
  </w:abstractNum>
  <w:abstractNum w:abstractNumId="204">
    <w:nsid w:val="57C5BB4F"/>
    <w:multiLevelType w:val="hybridMultilevel"/>
    <w:lvl w:ilvl="0">
      <w:lvlJc w:val="left"/>
      <w:lvlText w:val="(%1)"/>
      <w:numFmt w:val="lowerRoman"/>
      <w:start w:val="9"/>
    </w:lvl>
  </w:abstractNum>
  <w:abstractNum w:abstractNumId="205">
    <w:nsid w:val="1803D089"/>
    <w:multiLevelType w:val="hybridMultilevel"/>
    <w:lvl w:ilvl="0">
      <w:lvlJc w:val="left"/>
      <w:lvlText w:val="(%1)"/>
      <w:numFmt w:val="lowerRoman"/>
      <w:start w:val="19"/>
    </w:lvl>
  </w:abstractNum>
  <w:abstractNum w:abstractNumId="206">
    <w:nsid w:val="4F3A06D4"/>
    <w:multiLevelType w:val="hybridMultilevel"/>
    <w:lvl w:ilvl="0">
      <w:lvlJc w:val="left"/>
      <w:lvlText w:val="(%1)"/>
      <w:numFmt w:val="lowerRoman"/>
      <w:start w:val="30"/>
    </w:lvl>
  </w:abstractNum>
  <w:abstractNum w:abstractNumId="207">
    <w:nsid w:val="59A377B6"/>
    <w:multiLevelType w:val="hybridMultilevel"/>
    <w:lvl w:ilvl="0">
      <w:lvlJc w:val="left"/>
      <w:lvlText w:val="(%1)"/>
      <w:numFmt w:val="lowerLetter"/>
      <w:start w:val="3"/>
    </w:lvl>
  </w:abstractNum>
  <w:abstractNum w:abstractNumId="208">
    <w:nsid w:val="48AEB063"/>
    <w:multiLevelType w:val="hybridMultilevel"/>
    <w:lvl w:ilvl="0">
      <w:lvlJc w:val="left"/>
      <w:lvlText w:val="(%1)"/>
      <w:numFmt w:val="lowerLetter"/>
      <w:start w:val="1"/>
    </w:lvl>
    <w:lvl w:ilvl="1">
      <w:lvlJc w:val="left"/>
      <w:lvlText w:val="(%2)"/>
      <w:numFmt w:val="lowerRoman"/>
      <w:start w:val="1"/>
    </w:lvl>
  </w:abstractNum>
  <w:abstractNum w:abstractNumId="209">
    <w:nsid w:val="24E13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10">
    <w:nsid w:val="BB13C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11">
    <w:nsid w:val="271210C7"/>
    <w:multiLevelType w:val="hybridMultilevel"/>
    <w:lvl w:ilvl="0">
      <w:lvlJc w:val="left"/>
      <w:lvlText w:val="(%1)"/>
      <w:numFmt w:val="lowerRoman"/>
      <w:start w:val="10"/>
    </w:lvl>
  </w:abstractNum>
  <w:abstractNum w:abstractNumId="212">
    <w:nsid w:val="217B22E4"/>
    <w:multiLevelType w:val="hybridMultilevel"/>
    <w:lvl w:ilvl="0">
      <w:lvlJc w:val="left"/>
      <w:lvlText w:val="(%1)"/>
      <w:numFmt w:val="lowerRoman"/>
      <w:start w:val="17"/>
    </w:lvl>
  </w:abstractNum>
  <w:abstractNum w:abstractNumId="213">
    <w:nsid w:val="53E31A24"/>
    <w:multiLevelType w:val="hybridMultilevel"/>
    <w:lvl w:ilvl="0">
      <w:lvlJc w:val="left"/>
      <w:lvlText w:val="(%1)"/>
      <w:numFmt w:val="lowerLetter"/>
      <w:start w:val="1"/>
    </w:lvl>
    <w:lvl w:ilvl="1">
      <w:lvlJc w:val="left"/>
      <w:lvlText w:val="(%2)"/>
      <w:numFmt w:val="lowerRoman"/>
      <w:start w:val="1"/>
    </w:lvl>
  </w:abstractNum>
  <w:abstractNum w:abstractNumId="214">
    <w:nsid w:val="6DC45E83"/>
    <w:multiLevelType w:val="hybridMultilevel"/>
    <w:lvl w:ilvl="0">
      <w:lvlJc w:val="left"/>
      <w:lvlText w:val="(%1)"/>
      <w:numFmt w:val="lowerRoman"/>
      <w:start w:val="4"/>
    </w:lvl>
  </w:abstractNum>
  <w:abstractNum w:abstractNumId="215">
    <w:nsid w:val="17304A67"/>
    <w:multiLevelType w:val="hybridMultilevel"/>
    <w:lvl w:ilvl="0">
      <w:lvlJc w:val="left"/>
      <w:lvlText w:val="(%1)"/>
      <w:numFmt w:val="lowerRoman"/>
      <w:start w:val="11"/>
    </w:lvl>
  </w:abstractNum>
  <w:abstractNum w:abstractNumId="216">
    <w:nsid w:val="2BB180D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Roman"/>
      <w:start w:val="17"/>
    </w:lvl>
  </w:abstractNum>
  <w:abstractNum w:abstractNumId="217">
    <w:nsid w:val="556B69ED"/>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218">
    <w:nsid w:val="70836196"/>
    <w:multiLevelType w:val="hybridMultilevel"/>
    <w:lvl w:ilvl="0">
      <w:lvlJc w:val="left"/>
      <w:lvlText w:val="(%1)"/>
      <w:numFmt w:val="upperLetter"/>
      <w:start w:val="3"/>
    </w:lvl>
    <w:lvl w:ilvl="1">
      <w:lvlJc w:val="left"/>
      <w:lvlText w:val="%2"/>
      <w:numFmt w:val="decimal"/>
      <w:start w:val="1"/>
    </w:lvl>
    <w:lvl w:ilvl="2">
      <w:lvlJc w:val="left"/>
      <w:lvlText w:val="(%3)"/>
      <w:numFmt w:val="decimal"/>
      <w:start w:val="2"/>
    </w:lvl>
    <w:lvl w:ilvl="3">
      <w:lvlJc w:val="left"/>
      <w:lvlText w:val="%4"/>
      <w:numFmt w:val="lowerRoman"/>
      <w:start w:val="1"/>
    </w:lvl>
  </w:abstractNum>
  <w:abstractNum w:abstractNumId="219">
    <w:nsid w:val="539F7F12"/>
    <w:multiLevelType w:val="hybridMultilevel"/>
    <w:lvl w:ilvl="0">
      <w:lvlJc w:val="left"/>
      <w:lvlText w:val="(%1)"/>
      <w:numFmt w:val="upperLetter"/>
      <w:start w:val="1"/>
    </w:lvl>
  </w:abstractNum>
  <w:abstractNum w:abstractNumId="220">
    <w:nsid w:val="2817E7EC"/>
    <w:multiLevelType w:val="hybridMultilevel"/>
    <w:lvl w:ilvl="0">
      <w:lvlJc w:val="left"/>
      <w:lvlText w:val="(%1)"/>
      <w:numFmt w:val="upperLetter"/>
      <w:start w:val="2"/>
    </w:lvl>
  </w:abstractNum>
  <w:abstractNum w:abstractNumId="221">
    <w:nsid w:val="71482545"/>
    <w:multiLevelType w:val="hybridMultilevel"/>
    <w:lvl w:ilvl="0">
      <w:lvlJc w:val="left"/>
      <w:lvlText w:val="(%1)"/>
      <w:numFmt w:val="decimal"/>
      <w:start w:val="4"/>
    </w:lvl>
    <w:lvl w:ilvl="1">
      <w:lvlJc w:val="left"/>
      <w:lvlText w:val="(%2)"/>
      <w:numFmt w:val="lowerRoman"/>
      <w:start w:val="18"/>
    </w:lvl>
  </w:abstractNum>
  <w:abstractNum w:abstractNumId="222">
    <w:nsid w:val="17D78639"/>
    <w:multiLevelType w:val="hybridMultilevel"/>
    <w:lvl w:ilvl="0">
      <w:lvlJc w:val="left"/>
      <w:lvlText w:val="(%1)"/>
      <w:numFmt w:val="lowerRoman"/>
      <w:start w:val="21"/>
    </w:lvl>
  </w:abstractNum>
  <w:abstractNum w:abstractNumId="223">
    <w:nsid w:val="141D2302"/>
    <w:multiLevelType w:val="hybridMultilevel"/>
    <w:lvl w:ilvl="0">
      <w:lvlJc w:val="left"/>
      <w:lvlText w:val="%1"/>
      <w:numFmt w:val="lowerRoman"/>
      <w:start w:val="1"/>
    </w:lvl>
    <w:lvl w:ilvl="1">
      <w:lvlJc w:val="left"/>
      <w:lvlText w:val="(%2)"/>
      <w:numFmt w:val="lowerRoman"/>
      <w:start w:val="31"/>
    </w:lvl>
  </w:abstractNum>
  <w:abstractNum w:abstractNumId="224">
    <w:nsid w:val="407168D8"/>
    <w:multiLevelType w:val="hybridMultilevel"/>
    <w:lvl w:ilvl="0">
      <w:lvlJc w:val="left"/>
      <w:lvlText w:val="(%1)"/>
      <w:numFmt w:val="lowerRoman"/>
      <w:start w:val="17"/>
    </w:lvl>
    <w:lvl w:ilvl="1">
      <w:lvlJc w:val="left"/>
      <w:lvlText w:val="(%2)"/>
      <w:numFmt w:val="lowerRoman"/>
      <w:start w:val="37"/>
    </w:lvl>
  </w:abstractNum>
  <w:abstractNum w:abstractNumId="225">
    <w:nsid w:val="6A1B45E5"/>
    <w:multiLevelType w:val="hybridMultilevel"/>
    <w:lvl w:ilvl="0">
      <w:lvlJc w:val="left"/>
      <w:lvlText w:val="(%1)"/>
      <w:numFmt w:val="lowerRoman"/>
      <w:start w:val="1"/>
    </w:lvl>
  </w:abstractNum>
  <w:abstractNum w:abstractNumId="226">
    <w:nsid w:val="567BD50A"/>
    <w:multiLevelType w:val="hybridMultilevel"/>
    <w:lvl w:ilvl="0">
      <w:lvlJc w:val="left"/>
      <w:lvlText w:val="(%1)"/>
      <w:numFmt w:val="lowerLetter"/>
      <w:start w:val="3"/>
    </w:lvl>
  </w:abstractNum>
  <w:abstractNum w:abstractNumId="227">
    <w:nsid w:val="73BBD7F8"/>
    <w:multiLevelType w:val="hybridMultilevel"/>
    <w:lvl w:ilvl="0">
      <w:lvlJc w:val="left"/>
      <w:lvlText w:val="(%1)"/>
      <w:numFmt w:val="lowerLetter"/>
      <w:start w:val="1"/>
    </w:lvl>
    <w:lvl w:ilvl="1">
      <w:lvlJc w:val="left"/>
      <w:lvlText w:val="(%2)"/>
      <w:numFmt w:val="lowerRoman"/>
      <w:start w:val="1"/>
    </w:lvl>
  </w:abstractNum>
  <w:abstractNum w:abstractNumId="228">
    <w:nsid w:val="1876589D"/>
    <w:multiLevelType w:val="hybridMultilevel"/>
    <w:lvl w:ilvl="0">
      <w:lvlJc w:val="left"/>
      <w:lvlText w:val="(%1)"/>
      <w:numFmt w:val="lowerRoman"/>
      <w:start w:val="1"/>
    </w:lvl>
  </w:abstractNum>
  <w:abstractNum w:abstractNumId="229">
    <w:nsid w:val="327FAC77"/>
    <w:multiLevelType w:val="hybridMultilevel"/>
    <w:lvl w:ilvl="0">
      <w:lvlJc w:val="left"/>
      <w:lvlText w:val="(%1)"/>
      <w:numFmt w:val="lowerLetter"/>
      <w:start w:val="1"/>
    </w:lvl>
    <w:lvl w:ilvl="1">
      <w:lvlJc w:val="left"/>
      <w:lvlText w:val="(%2)"/>
      <w:numFmt w:val="lowerRoman"/>
      <w:start w:val="1"/>
    </w:lvl>
  </w:abstractNum>
  <w:abstractNum w:abstractNumId="230">
    <w:nsid w:val="5A606509"/>
    <w:multiLevelType w:val="hybridMultilevel"/>
    <w:lvl w:ilvl="0">
      <w:lvlJc w:val="left"/>
      <w:lvlText w:val="(%1)"/>
      <w:numFmt w:val="lowerLetter"/>
      <w:start w:val="2"/>
    </w:lvl>
    <w:lvl w:ilvl="1">
      <w:lvlJc w:val="left"/>
      <w:lvlText w:val="(%2)"/>
      <w:numFmt w:val="lowerRoman"/>
      <w:start w:val="1"/>
    </w:lvl>
  </w:abstractNum>
  <w:abstractNum w:abstractNumId="231">
    <w:nsid w:val="6F38E6D1"/>
    <w:multiLevelType w:val="hybridMultilevel"/>
    <w:lvl w:ilvl="0">
      <w:lvlJc w:val="left"/>
      <w:lvlText w:val="(%1)"/>
      <w:numFmt w:val="lowerRoman"/>
      <w:start w:val="8"/>
    </w:lvl>
  </w:abstractNum>
  <w:abstractNum w:abstractNumId="232">
    <w:nsid w:val="46111BA5"/>
    <w:multiLevelType w:val="hybridMultilevel"/>
    <w:lvl w:ilvl="0">
      <w:lvlJc w:val="left"/>
      <w:lvlText w:val="(%1)"/>
      <w:numFmt w:val="lowerRoman"/>
      <w:start w:val="17"/>
    </w:lvl>
  </w:abstractNum>
  <w:abstractNum w:abstractNumId="233">
    <w:nsid w:val="5E963896"/>
    <w:multiLevelType w:val="hybridMultilevel"/>
    <w:lvl w:ilvl="0">
      <w:lvlJc w:val="left"/>
      <w:lvlText w:val="(%1)"/>
      <w:numFmt w:val="lowerRoman"/>
      <w:start w:val="27"/>
    </w:lvl>
  </w:abstractNum>
  <w:abstractNum w:abstractNumId="234">
    <w:nsid w:val="775BA7C1"/>
    <w:multiLevelType w:val="hybridMultilevel"/>
    <w:lvl w:ilvl="0">
      <w:lvlJc w:val="left"/>
      <w:lvlText w:val="(%1)"/>
      <w:numFmt w:val="lowerLetter"/>
      <w:start w:val="1"/>
    </w:lvl>
    <w:lvl w:ilvl="1">
      <w:lvlJc w:val="left"/>
      <w:lvlText w:val="(%2)"/>
      <w:numFmt w:val="lowerRoman"/>
      <w:start w:val="1"/>
    </w:lvl>
  </w:abstractNum>
  <w:abstractNum w:abstractNumId="235">
    <w:nsid w:val="1DD6D6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6">
    <w:nsid w:val="769A09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37">
    <w:nsid w:val="4695AE95"/>
    <w:multiLevelType w:val="hybridMultilevel"/>
    <w:lvl w:ilvl="0">
      <w:lvlJc w:val="left"/>
      <w:lvlText w:val="%1"/>
      <w:numFmt w:val="lowerLetter"/>
      <w:start w:val="1"/>
    </w:lvl>
    <w:lvl w:ilvl="1">
      <w:lvlJc w:val="left"/>
      <w:lvlText w:val="(%2)"/>
      <w:numFmt w:val="lowerRoman"/>
      <w:start w:val="1"/>
    </w:lvl>
  </w:abstractNum>
  <w:abstractNum w:abstractNumId="238">
    <w:nsid w:val="777A4EAA"/>
    <w:multiLevelType w:val="hybridMultilevel"/>
    <w:lvl w:ilvl="0">
      <w:lvlJc w:val="left"/>
      <w:lvlText w:val="(%1)"/>
      <w:numFmt w:val="lowerLetter"/>
      <w:start w:val="3"/>
    </w:lvl>
    <w:lvl w:ilvl="1">
      <w:lvlJc w:val="left"/>
      <w:lvlText w:val="(%2)"/>
      <w:numFmt w:val="lowerRoman"/>
      <w:start w:val="1"/>
    </w:lvl>
  </w:abstractNum>
  <w:abstractNum w:abstractNumId="239">
    <w:nsid w:val="3F48B982"/>
    <w:multiLevelType w:val="hybridMultilevel"/>
    <w:lvl w:ilvl="0">
      <w:lvlJc w:val="left"/>
      <w:lvlText w:val="(%1)"/>
      <w:numFmt w:val="lowerLetter"/>
      <w:start w:val="5"/>
    </w:lvl>
  </w:abstractNum>
  <w:abstractNum w:abstractNumId="240">
    <w:nsid w:val="46BA8FCA"/>
    <w:multiLevelType w:val="hybridMultilevel"/>
    <w:lvl w:ilvl="0">
      <w:lvlJc w:val="left"/>
      <w:lvlText w:val="(%1)"/>
      <w:numFmt w:val="lowerLetter"/>
      <w:start w:val="1"/>
    </w:lvl>
  </w:abstractNum>
  <w:abstractNum w:abstractNumId="241">
    <w:nsid w:val="7835626C"/>
    <w:multiLevelType w:val="hybridMultilevel"/>
    <w:lvl w:ilvl="0">
      <w:lvlJc w:val="left"/>
      <w:lvlText w:val="(%1)"/>
      <w:numFmt w:val="lowerLetter"/>
      <w:start w:val="1"/>
    </w:lvl>
  </w:abstractNum>
  <w:abstractNum w:abstractNumId="242">
    <w:nsid w:val="665ACA49"/>
    <w:multiLevelType w:val="hybridMultilevel"/>
    <w:lvl w:ilvl="0">
      <w:lvlJc w:val="left"/>
      <w:lvlText w:val="%1"/>
      <w:numFmt w:val="lowerRoman"/>
      <w:start w:val="1"/>
    </w:lvl>
    <w:lvl w:ilvl="1">
      <w:lvlJc w:val="left"/>
      <w:lvlText w:val="(%2)"/>
      <w:numFmt w:val="decimal"/>
      <w:start w:val="1"/>
    </w:lvl>
  </w:abstractNum>
  <w:abstractNum w:abstractNumId="243">
    <w:nsid w:val="6835B2AE"/>
    <w:multiLevelType w:val="hybridMultilevel"/>
    <w:lvl w:ilvl="0">
      <w:lvlJc w:val="left"/>
      <w:lvlText w:val="(%1)"/>
      <w:numFmt w:val="lowerRoman"/>
      <w:start w:val="1"/>
    </w:lvl>
    <w:lvl w:ilvl="1">
      <w:lvlJc w:val="left"/>
      <w:lvlText w:val="(%2)"/>
      <w:numFmt w:val="decimal"/>
      <w:start w:val="4"/>
    </w:lvl>
  </w:abstractNum>
  <w:abstractNum w:abstractNumId="244">
    <w:nsid w:val="4C187C90"/>
    <w:multiLevelType w:val="hybridMultilevel"/>
    <w:lvl w:ilvl="0">
      <w:lvlJc w:val="left"/>
      <w:lvlText w:val="(%1)"/>
      <w:numFmt w:val="decimal"/>
      <w:start w:val="5"/>
    </w:lvl>
    <w:lvl w:ilvl="1">
      <w:lvlJc w:val="left"/>
      <w:lvlText w:val="(%2)"/>
      <w:numFmt w:val="upperLetter"/>
      <w:start w:val="1"/>
    </w:lvl>
  </w:abstractNum>
  <w:abstractNum w:abstractNumId="245">
    <w:nsid w:val="541F28CD"/>
    <w:multiLevelType w:val="hybridMultilevel"/>
    <w:lvl w:ilvl="0">
      <w:lvlJc w:val="left"/>
      <w:lvlText w:val="%1"/>
      <w:numFmt w:val="lowerRoman"/>
      <w:start w:val="1"/>
    </w:lvl>
    <w:lvl w:ilvl="1">
      <w:lvlJc w:val="left"/>
      <w:lvlText w:val="(%2)"/>
      <w:numFmt w:val="decimal"/>
      <w:start w:val="7"/>
    </w:lvl>
    <w:lvl w:ilvl="2">
      <w:lvlJc w:val="left"/>
      <w:lvlText w:val="(%3)"/>
      <w:numFmt w:val="lowerRoman"/>
      <w:start w:val="1"/>
    </w:lvl>
  </w:abstractNum>
  <w:abstractNum w:abstractNumId="246">
    <w:nsid w:val="7F65FD16"/>
    <w:multiLevelType w:val="hybridMultilevel"/>
    <w:lvl w:ilvl="0">
      <w:lvlJc w:val="left"/>
      <w:lvlText w:val="(%1)"/>
      <w:numFmt w:val="lowerRoman"/>
      <w:start w:val="5"/>
    </w:lvl>
    <w:lvl w:ilvl="1">
      <w:lvlJc w:val="left"/>
      <w:lvlText w:val="(%2)"/>
      <w:numFmt w:val="decimal"/>
      <w:start w:val="8"/>
    </w:lvl>
    <w:lvl w:ilvl="2">
      <w:lvlJc w:val="left"/>
      <w:lvlText w:val="(%3)"/>
      <w:numFmt w:val="lowerRoman"/>
      <w:start w:val="1"/>
    </w:lvl>
  </w:abstractNum>
  <w:abstractNum w:abstractNumId="247">
    <w:nsid w:val="77C9FD68"/>
    <w:multiLevelType w:val="hybridMultilevel"/>
    <w:lvl w:ilvl="0">
      <w:lvlJc w:val="left"/>
      <w:lvlText w:val="(%1)"/>
      <w:numFmt w:val="decimal"/>
      <w:start w:val="9"/>
    </w:lvl>
  </w:abstractNum>
  <w:abstractNum w:abstractNumId="248">
    <w:nsid w:val="298A92BA"/>
    <w:multiLevelType w:val="hybridMultilevel"/>
    <w:lvl w:ilvl="0">
      <w:lvlJc w:val="left"/>
      <w:lvlText w:val="(%1)"/>
      <w:numFmt w:val="lowerLetter"/>
      <w:start w:val="2"/>
    </w:lvl>
  </w:abstractNum>
  <w:abstractNum w:abstractNumId="249">
    <w:nsid w:val="6FE95EAC"/>
    <w:multiLevelType w:val="hybridMultilevel"/>
    <w:lvl w:ilvl="0">
      <w:lvlJc w:val="left"/>
      <w:lvlText w:val="(%1)"/>
      <w:numFmt w:val="lowerLetter"/>
      <w:start w:val="3"/>
    </w:lvl>
    <w:lvl w:ilvl="1">
      <w:lvlJc w:val="left"/>
      <w:lvlText w:val="(%2)"/>
      <w:numFmt w:val="decimal"/>
      <w:start w:val="1"/>
    </w:lvl>
  </w:abstractNum>
  <w:abstractNum w:abstractNumId="250">
    <w:nsid w:val="4B697C7A"/>
    <w:multiLevelType w:val="hybridMultilevel"/>
    <w:lvl w:ilvl="0">
      <w:lvlJc w:val="left"/>
      <w:lvlText w:val="(%1)"/>
      <w:numFmt w:val="lowerLetter"/>
      <w:start w:val="1"/>
    </w:lvl>
  </w:abstractNum>
  <w:abstractNum w:abstractNumId="251">
    <w:nsid w:val="51A27AA6"/>
    <w:multiLevelType w:val="hybridMultilevel"/>
    <w:lvl w:ilvl="0">
      <w:lvlJc w:val="left"/>
      <w:lvlText w:val="(%1)"/>
      <w:numFmt w:val="lowerLetter"/>
      <w:start w:val="1"/>
    </w:lvl>
  </w:abstractNum>
  <w:abstractNum w:abstractNumId="252">
    <w:nsid w:val="613183F2"/>
    <w:multiLevelType w:val="hybridMultilevel"/>
    <w:lvl w:ilvl="0">
      <w:lvlJc w:val="left"/>
      <w:lvlText w:val="(%1)"/>
      <w:numFmt w:val="lowerLetter"/>
      <w:start w:val="8"/>
    </w:lvl>
  </w:abstractNum>
  <w:abstractNum w:abstractNumId="253">
    <w:nsid w:val="634102B4"/>
    <w:multiLevelType w:val="hybridMultilevel"/>
    <w:lvl w:ilvl="0">
      <w:lvlJc w:val="left"/>
      <w:lvlText w:val="(%1)"/>
      <w:numFmt w:val="lowerLetter"/>
      <w:start w:val="1"/>
    </w:lvl>
  </w:abstractNum>
  <w:abstractNum w:abstractNumId="254">
    <w:nsid w:val="65BF9DA8"/>
    <w:multiLevelType w:val="hybridMultilevel"/>
    <w:lvl w:ilvl="0">
      <w:lvlJc w:val="left"/>
      <w:lvlText w:val="(%1)"/>
      <w:numFmt w:val="lowerLetter"/>
      <w:start w:val="2"/>
    </w:lvl>
  </w:abstractNum>
  <w:abstractNum w:abstractNumId="255">
    <w:nsid w:val="21A2ECCA"/>
    <w:multiLevelType w:val="hybridMultilevel"/>
    <w:lvl w:ilvl="0">
      <w:lvlJc w:val="left"/>
      <w:lvlText w:val="(%1)"/>
      <w:numFmt w:val="lowerLetter"/>
      <w:start w:val="1"/>
    </w:lvl>
  </w:abstractNum>
  <w:abstractNum w:abstractNumId="256">
    <w:nsid w:val="4D5C4899"/>
    <w:multiLevelType w:val="hybridMultilevel"/>
    <w:lvl w:ilvl="0">
      <w:lvlJc w:val="left"/>
      <w:lvlText w:val="(%1)"/>
      <w:numFmt w:val="lowerLetter"/>
      <w:start w:val="1"/>
    </w:lvl>
  </w:abstractNum>
  <w:abstractNum w:abstractNumId="257">
    <w:nsid w:val="3C3B72B2"/>
    <w:multiLevelType w:val="hybridMultilevel"/>
    <w:lvl w:ilvl="0">
      <w:lvlJc w:val="left"/>
      <w:lvlText w:val="(%1)"/>
      <w:numFmt w:val="lowerRoman"/>
      <w:start w:val="1"/>
    </w:lvl>
  </w:abstractNum>
  <w:abstractNum w:abstractNumId="258">
    <w:nsid w:val="155EC4C2"/>
    <w:multiLevelType w:val="hybridMultilevel"/>
    <w:lvl w:ilvl="0">
      <w:lvlJc w:val="left"/>
      <w:lvlText w:val="(%1)"/>
      <w:numFmt w:val="lowerLetter"/>
      <w:start w:val="1"/>
    </w:lvl>
  </w:abstractNum>
  <w:abstractNum w:abstractNumId="259">
    <w:nsid w:val="65D2A137"/>
    <w:multiLevelType w:val="hybridMultilevel"/>
    <w:lvl w:ilvl="0">
      <w:lvlJc w:val="left"/>
      <w:lvlText w:val="(%1)"/>
      <w:numFmt w:val="lowerLetter"/>
      <w:start w:val="2"/>
    </w:lvl>
  </w:abstractNum>
  <w:abstractNum w:abstractNumId="260">
    <w:nsid w:val="6EBB1F2A"/>
    <w:multiLevelType w:val="hybridMultilevel"/>
    <w:lvl w:ilvl="0">
      <w:lvlJc w:val="left"/>
      <w:lvlText w:val="(%1)"/>
      <w:numFmt w:val="lowerLetter"/>
      <w:start w:val="1"/>
    </w:lvl>
  </w:abstractNum>
  <w:abstractNum w:abstractNumId="261">
    <w:nsid w:val="6FBF29CB"/>
    <w:multiLevelType w:val="hybridMultilevel"/>
    <w:lvl w:ilvl="0">
      <w:lvlJc w:val="left"/>
      <w:lvlText w:val="(%1)"/>
      <w:numFmt w:val="lowerLetter"/>
      <w:start w:val="2"/>
    </w:lvl>
  </w:abstractNum>
  <w:abstractNum w:abstractNumId="262">
    <w:nsid w:val="550B8808"/>
    <w:multiLevelType w:val="hybridMultilevel"/>
    <w:lvl w:ilvl="0">
      <w:lvlJc w:val="left"/>
      <w:lvlText w:val="(%1)"/>
      <w:numFmt w:val="lowerLetter"/>
      <w:start w:val="3"/>
    </w:lvl>
  </w:abstractNum>
  <w:abstractNum w:abstractNumId="263">
    <w:nsid w:val="34CC3ACF"/>
    <w:multiLevelType w:val="hybridMultilevel"/>
    <w:lvl w:ilvl="0">
      <w:lvlJc w:val="left"/>
      <w:lvlText w:val="(%1)"/>
      <w:numFmt w:val="lowerLetter"/>
      <w:start w:val="7"/>
    </w:lvl>
  </w:abstractNum>
  <w:abstractNum w:abstractNumId="264">
    <w:nsid w:val="4E556261"/>
    <w:multiLevelType w:val="hybridMultilevel"/>
    <w:lvl w:ilvl="0">
      <w:lvlJc w:val="left"/>
      <w:lvlText w:val="(%1)"/>
      <w:numFmt w:val="lowerLetter"/>
      <w:start w:val="1"/>
    </w:lvl>
  </w:abstractNum>
  <w:abstractNum w:abstractNumId="265">
    <w:nsid w:val="4C672FC9"/>
    <w:multiLevelType w:val="hybridMultilevel"/>
    <w:lvl w:ilvl="0">
      <w:lvlJc w:val="left"/>
      <w:lvlText w:val="(%1)"/>
      <w:numFmt w:val="lowerLetter"/>
      <w:start w:val="1"/>
    </w:lvl>
  </w:abstractNum>
  <w:abstractNum w:abstractNumId="266">
    <w:nsid w:val="52A311C3"/>
    <w:multiLevelType w:val="hybridMultilevel"/>
    <w:lvl w:ilvl="0">
      <w:lvlJc w:val="left"/>
      <w:lvlText w:val="(%1)"/>
      <w:numFmt w:val="lowerLetter"/>
      <w:start w:val="1"/>
    </w:lvl>
  </w:abstractNum>
  <w:abstractNum w:abstractNumId="267">
    <w:nsid w:val="44EF6B80"/>
    <w:multiLevelType w:val="hybridMultilevel"/>
    <w:lvl w:ilvl="0">
      <w:lvlJc w:val="left"/>
      <w:lvlText w:val="(%1)"/>
      <w:numFmt w:val="lowerLetter"/>
      <w:start w:val="1"/>
    </w:lvl>
  </w:abstractNum>
  <w:abstractNum w:abstractNumId="268">
    <w:nsid w:val="12FCDE5E"/>
    <w:multiLevelType w:val="hybridMultilevel"/>
    <w:lvl w:ilvl="0">
      <w:lvlJc w:val="left"/>
      <w:lvlText w:val="(%1)"/>
      <w:numFmt w:val="lowerLetter"/>
      <w:start w:val="2"/>
    </w:lvl>
  </w:abstractNum>
  <w:abstractNum w:abstractNumId="269">
    <w:nsid w:val="4A1D606E"/>
    <w:multiLevelType w:val="hybridMultilevel"/>
    <w:lvl w:ilvl="0">
      <w:lvlJc w:val="left"/>
      <w:lvlText w:val="(%1)"/>
      <w:numFmt w:val="lowerLetter"/>
      <w:start w:val="1"/>
    </w:lvl>
  </w:abstractNum>
  <w:abstractNum w:abstractNumId="270">
    <w:nsid w:val="4382503"/>
    <w:multiLevelType w:val="hybridMultilevel"/>
    <w:lvl w:ilvl="0">
      <w:lvlJc w:val="left"/>
      <w:lvlText w:val="(%1)"/>
      <w:numFmt w:val="lowerLetter"/>
      <w:start w:val="2"/>
    </w:lvl>
    <w:lvl w:ilvl="1">
      <w:lvlJc w:val="left"/>
      <w:lvlText w:val="(%2)"/>
      <w:numFmt w:val="lowerRoman"/>
      <w:start w:val="1"/>
    </w:lvl>
  </w:abstractNum>
  <w:abstractNum w:abstractNumId="271">
    <w:nsid w:val="59B76E28"/>
    <w:multiLevelType w:val="hybridMultilevel"/>
    <w:lvl w:ilvl="0">
      <w:lvlJc w:val="left"/>
      <w:lvlText w:val="%1"/>
      <w:numFmt w:val="lowerLetter"/>
      <w:start w:val="1"/>
    </w:lvl>
    <w:lvl w:ilvl="1">
      <w:lvlJc w:val="left"/>
      <w:lvlText w:val="(%2)"/>
      <w:numFmt w:val="lowerLetter"/>
      <w:start w:val="4"/>
    </w:lvl>
  </w:abstractNum>
  <w:abstractNum w:abstractNumId="272">
    <w:nsid w:val="4252C2DA"/>
    <w:multiLevelType w:val="hybridMultilevel"/>
    <w:lvl w:ilvl="0">
      <w:lvlJc w:val="left"/>
      <w:lvlText w:val="(%1)"/>
      <w:numFmt w:val="lowerLetter"/>
      <w:start w:val="2"/>
    </w:lvl>
    <w:lvl w:ilvl="1">
      <w:lvlJc w:val="left"/>
      <w:lvlText w:val="(%2)"/>
      <w:numFmt w:val="lowerLetter"/>
      <w:start w:val="5"/>
    </w:lvl>
  </w:abstractNum>
  <w:abstractNum w:abstractNumId="273">
    <w:nsid w:val="6A92EF4C"/>
    <w:multiLevelType w:val="hybridMultilevel"/>
    <w:lvl w:ilvl="0">
      <w:lvlJc w:val="left"/>
      <w:lvlText w:val="(%1)"/>
      <w:numFmt w:val="lowerLetter"/>
      <w:start w:val="1"/>
    </w:lvl>
    <w:lvl w:ilvl="1">
      <w:lvlJc w:val="left"/>
      <w:lvlText w:val="(%2)"/>
      <w:numFmt w:val="lowerRoman"/>
      <w:start w:val="1"/>
    </w:lvl>
  </w:abstractNum>
  <w:abstractNum w:abstractNumId="274">
    <w:nsid w:val="41ED20D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jpe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9" Type="http://schemas.openxmlformats.org/officeDocument/2006/relationships/hyperlink" Target="https://www.sec.gov/Archives/edgar/data/0001749723/000114036121001601/brhc10019000_ex2-1.htm" TargetMode="External"/><Relationship Id="rId30" Type="http://schemas.openxmlformats.org/officeDocument/2006/relationships/hyperlink" Target="https://www.sec.gov/Archives/edgar/data/0001749723/000114036121001601/brhc10019000_ex-2-2.htm" TargetMode="External"/><Relationship Id="rId31" Type="http://schemas.openxmlformats.org/officeDocument/2006/relationships/hyperlink" Target="https://www.sec.gov/Archives/edgar/data/0001749723/000114036121001601/brhc10019000_ex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2021-04-21T16:21:03Z</dcterms:created>
  <dcterms:modified xsi:type="dcterms:W3CDTF">2021-04-21T16:21:03Z</dcterms:modified>
</cp:coreProperties>
</file>