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644393100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10,788,975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10,788,975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10,788,975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60" w:hanging="647"/>
        <w:spacing w:after="0"/>
        <w:tabs>
          <w:tab w:leader="none" w:pos="1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60"/>
        <w:spacing w:after="0"/>
        <w:rPr>
          <w:rFonts w:ascii="Arial" w:cs="Arial" w:eastAsia="Arial" w:hAnsi="Arial"/>
          <w:sz w:val="22"/>
          <w:szCs w:val="22"/>
          <w:b w:val="1"/>
          <w:bCs w:val="1"/>
          <w:color w:val="auto"/>
        </w:rPr>
      </w:pPr>
      <w:r>
        <w:rPr>
          <w:rFonts w:ascii="Arial" w:cs="Arial" w:eastAsia="Arial" w:hAnsi="Arial"/>
          <w:sz w:val="22"/>
          <w:szCs w:val="22"/>
          <w:color w:val="auto"/>
        </w:rPr>
        <w:t>New Fortress Energy Inc.</w:t>
      </w:r>
    </w:p>
    <w:p>
      <w:pPr>
        <w:spacing w:after="0" w:line="101" w:lineRule="exact"/>
        <w:rPr>
          <w:rFonts w:ascii="Arial" w:cs="Arial" w:eastAsia="Arial" w:hAnsi="Arial"/>
          <w:sz w:val="22"/>
          <w:szCs w:val="22"/>
          <w:b w:val="1"/>
          <w:bCs w:val="1"/>
          <w:color w:val="auto"/>
        </w:rPr>
      </w:pPr>
    </w:p>
    <w:p>
      <w:pPr>
        <w:ind w:left="1560" w:hanging="647"/>
        <w:spacing w:after="0"/>
        <w:tabs>
          <w:tab w:leader="none" w:pos="1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60"/>
        <w:spacing w:after="0"/>
        <w:rPr>
          <w:rFonts w:ascii="Arial" w:cs="Arial" w:eastAsia="Arial" w:hAnsi="Arial"/>
          <w:sz w:val="22"/>
          <w:szCs w:val="22"/>
          <w:b w:val="1"/>
          <w:bCs w:val="1"/>
          <w:color w:val="auto"/>
        </w:rPr>
      </w:pPr>
      <w:r>
        <w:rPr>
          <w:rFonts w:ascii="Arial" w:cs="Arial" w:eastAsia="Arial" w:hAnsi="Arial"/>
          <w:sz w:val="22"/>
          <w:szCs w:val="22"/>
          <w:color w:val="auto"/>
        </w:rPr>
        <w:t>111 West 19th Street, 8th floor, New York, NY 10011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560" w:right="7400" w:hanging="647"/>
        <w:spacing w:after="0" w:line="334"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560" w:hanging="647"/>
        <w:spacing w:after="0"/>
        <w:tabs>
          <w:tab w:leader="none" w:pos="15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560"/>
        <w:spacing w:after="0"/>
        <w:rPr>
          <w:rFonts w:ascii="Arial" w:cs="Arial" w:eastAsia="Arial" w:hAnsi="Arial"/>
          <w:sz w:val="22"/>
          <w:szCs w:val="22"/>
          <w:b w:val="1"/>
          <w:bCs w:val="1"/>
          <w:color w:val="auto"/>
        </w:rPr>
      </w:pPr>
      <w:r>
        <w:rPr>
          <w:rFonts w:ascii="Arial" w:cs="Arial" w:eastAsia="Arial" w:hAnsi="Arial"/>
          <w:sz w:val="22"/>
          <w:szCs w:val="22"/>
          <w:color w:val="auto"/>
        </w:rPr>
        <w:t>333 SOUTH HOPE STREET, 55TH FLOOR, LOS ANGELES, CALIFORNIA 90071</w:t>
      </w:r>
    </w:p>
    <w:p>
      <w:pPr>
        <w:spacing w:after="0" w:line="101" w:lineRule="exact"/>
        <w:rPr>
          <w:rFonts w:ascii="Arial" w:cs="Arial" w:eastAsia="Arial" w:hAnsi="Arial"/>
          <w:sz w:val="22"/>
          <w:szCs w:val="22"/>
          <w:b w:val="1"/>
          <w:bCs w:val="1"/>
          <w:color w:val="auto"/>
        </w:rPr>
      </w:pPr>
    </w:p>
    <w:p>
      <w:pPr>
        <w:ind w:left="1560" w:right="8420" w:hanging="647"/>
        <w:spacing w:after="0" w:line="334"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560" w:right="7060" w:hanging="647"/>
        <w:spacing w:after="0" w:line="334"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60" w:right="7980" w:hanging="647"/>
        <w:spacing w:after="0" w:line="334"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644393100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560" w:hanging="647"/>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60"/>
        <w:spacing w:after="0"/>
        <w:rPr>
          <w:rFonts w:ascii="Arial" w:cs="Arial" w:eastAsia="Arial" w:hAnsi="Arial"/>
          <w:sz w:val="22"/>
          <w:szCs w:val="22"/>
          <w:color w:val="auto"/>
        </w:rPr>
      </w:pPr>
      <w:r>
        <w:rPr>
          <w:rFonts w:ascii="Arial" w:cs="Arial" w:eastAsia="Arial" w:hAnsi="Arial"/>
          <w:sz w:val="22"/>
          <w:szCs w:val="22"/>
          <w:color w:val="auto"/>
        </w:rPr>
        <w:t>10,788,975 **</w:t>
      </w:r>
    </w:p>
    <w:p>
      <w:pPr>
        <w:spacing w:after="0" w:line="125" w:lineRule="exact"/>
        <w:rPr>
          <w:rFonts w:ascii="Arial" w:cs="Arial" w:eastAsia="Arial" w:hAnsi="Arial"/>
          <w:sz w:val="22"/>
          <w:szCs w:val="22"/>
          <w:color w:val="auto"/>
        </w:rPr>
      </w:pPr>
    </w:p>
    <w:p>
      <w:pPr>
        <w:ind w:left="1560" w:hanging="647"/>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60"/>
        <w:spacing w:after="0"/>
        <w:rPr>
          <w:rFonts w:ascii="Arial" w:cs="Arial" w:eastAsia="Arial" w:hAnsi="Arial"/>
          <w:sz w:val="22"/>
          <w:szCs w:val="22"/>
          <w:color w:val="auto"/>
        </w:rPr>
      </w:pPr>
      <w:r>
        <w:rPr>
          <w:rFonts w:ascii="Arial" w:cs="Arial" w:eastAsia="Arial" w:hAnsi="Arial"/>
          <w:sz w:val="22"/>
          <w:szCs w:val="22"/>
          <w:color w:val="auto"/>
        </w:rPr>
        <w:t>5.2%</w:t>
      </w:r>
    </w:p>
    <w:p>
      <w:pPr>
        <w:spacing w:after="0" w:line="125" w:lineRule="exact"/>
        <w:rPr>
          <w:rFonts w:ascii="Arial" w:cs="Arial" w:eastAsia="Arial" w:hAnsi="Arial"/>
          <w:sz w:val="22"/>
          <w:szCs w:val="22"/>
          <w:color w:val="auto"/>
        </w:rPr>
      </w:pPr>
    </w:p>
    <w:p>
      <w:pPr>
        <w:ind w:left="1560" w:hanging="647"/>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739"/>
        <w:spacing w:after="0"/>
        <w:tabs>
          <w:tab w:leader="none" w:pos="2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739"/>
        <w:spacing w:after="0"/>
        <w:tabs>
          <w:tab w:leader="none" w:pos="2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739"/>
        <w:spacing w:after="0" w:line="183" w:lineRule="auto"/>
        <w:tabs>
          <w:tab w:leader="none" w:pos="230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739"/>
        <w:spacing w:after="0" w:line="183" w:lineRule="auto"/>
        <w:tabs>
          <w:tab w:leader="none" w:pos="230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10,788,975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10,788,975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right="80"/>
        <w:spacing w:after="0" w:line="282"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40"/>
        <w:spacing w:after="0" w:line="251" w:lineRule="auto"/>
        <w:rPr>
          <w:sz w:val="20"/>
          <w:szCs w:val="20"/>
          <w:color w:val="auto"/>
        </w:rPr>
      </w:pPr>
      <w:r>
        <w:rPr>
          <w:rFonts w:ascii="Arial" w:cs="Arial" w:eastAsia="Arial" w:hAnsi="Arial"/>
          <w:sz w:val="22"/>
          <w:szCs w:val="22"/>
          <w:color w:val="auto"/>
        </w:rPr>
        <w:t>"Capital World Investors." CWI is deemed to be the beneficial owner of 10,788,975 shares or 5.2% of the 208,770,088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2023-02-13T13:58:28Z</dcterms:created>
  <dcterms:modified xsi:type="dcterms:W3CDTF">2023-02-13T13:58:28Z</dcterms:modified>
</cp:coreProperties>
</file>