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11,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3"/>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Extension of Forbearance Agreement</w:t>
      </w:r>
    </w:p>
    <w:p>
      <w:pPr>
        <w:spacing w:after="0" w:line="24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As previously reported in Part II, Item 5 of the Quarterly Report on Form 10-Q of New Fortress Energy Inc. (the “Company”), filed with the Securities and Exchange Commission (the “SEC”) on November 21, 2025, the Company and certain of its subsidiaries, including NFE Financing LLC (the “New 2029 Notes Issuer”), entered into a forbearance agreement (the “New 2029 Notes Forbearance Agreement”) with respect to the 12.000% Senior Secured Notes due 2029 issued by the New 2029 Notes Issuer (the “New 2029 Notes”), pursuant to which beneficial holders of greater than 70% of the New 2029 Notes agreed to forbear from accelerating or exercising remedies in respect of the event of default that would have arisen under the indenture governing the New 2029 Notes on account of the New 2029 Notes Issuer’s failure to make the semiannual interest payment on such notes due November 17, 2025, on or before November 20, 2025, when the contractual grace period for such interest payment expired.</w:t>
      </w:r>
    </w:p>
    <w:p>
      <w:pPr>
        <w:spacing w:after="0" w:line="216" w:lineRule="exact"/>
        <w:rPr>
          <w:sz w:val="20"/>
          <w:szCs w:val="20"/>
          <w:color w:val="auto"/>
        </w:rPr>
      </w:pPr>
    </w:p>
    <w:p>
      <w:pPr>
        <w:jc w:val="both"/>
        <w:ind w:right="220" w:firstLine="324"/>
        <w:spacing w:after="0" w:line="250" w:lineRule="auto"/>
        <w:rPr>
          <w:sz w:val="20"/>
          <w:szCs w:val="20"/>
          <w:color w:val="auto"/>
        </w:rPr>
      </w:pPr>
      <w:r>
        <w:rPr>
          <w:rFonts w:ascii="Times New Roman" w:cs="Times New Roman" w:eastAsia="Times New Roman" w:hAnsi="Times New Roman"/>
          <w:sz w:val="18"/>
          <w:szCs w:val="18"/>
          <w:color w:val="auto"/>
        </w:rPr>
        <w:t>Unless earlier terminated pursuant to its terms, the New 2029 Notes Forbearance Agreement was scheduled to terminate on December 15, 2025. On December 15, 2025, the parties to the New 2029 Notes Forbearance Agreement agreed to extend this forbearance period to January 9, 2026. During the forbearance period, the Company expects to continue to advance negotiations towards a restructuring with the Company’s stakeholders.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of Letter of Credit Facility</w:t>
      </w:r>
    </w:p>
    <w:p>
      <w:pPr>
        <w:spacing w:after="0" w:line="241" w:lineRule="exact"/>
        <w:rPr>
          <w:sz w:val="20"/>
          <w:szCs w:val="20"/>
          <w:color w:val="auto"/>
        </w:rPr>
      </w:pPr>
    </w:p>
    <w:p>
      <w:pPr>
        <w:ind w:right="60" w:firstLine="324"/>
        <w:spacing w:after="0" w:line="241" w:lineRule="auto"/>
        <w:rPr>
          <w:sz w:val="20"/>
          <w:szCs w:val="20"/>
          <w:color w:val="auto"/>
        </w:rPr>
      </w:pPr>
      <w:r>
        <w:rPr>
          <w:rFonts w:ascii="Times New Roman" w:cs="Times New Roman" w:eastAsia="Times New Roman" w:hAnsi="Times New Roman"/>
          <w:sz w:val="18"/>
          <w:szCs w:val="18"/>
          <w:color w:val="auto"/>
        </w:rPr>
        <w:t>On December 12, 2025, the Company entered into the Twelfth Amendment Agreement (the “Twelfth Amendment”), by and among the Company, as the borrower, the guarantors party thereto, Natixis, New York Branch, as administrative agent and collateral agent, and each of the other financial institutions party thereto, as lenders and issuing banks, which amends that certain Letter of Credit and Reimbursement Agreement, dated as of July 16, 2021 (as amended, restated, supplemented or otherwise modified from time to time, the “Letter of Credit Agreement”), by and among the Company, as the borrower, the guarantors from time to time party thereto, Natixis, New York Branch, as administrative agent and collateral agent, and each of the other financial institutions from time to time party thereto, as lenders and issuing banks, to terminate an automatic reduction of commitments previously</w:t>
      </w:r>
    </w:p>
    <w:p>
      <w:pPr>
        <w:spacing w:after="0" w:line="8"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scheduled to occur on December 22, 2025 under the Letter of Credit Agreement. After giving effect to the Twelfth Amendment, the commitments under the Letter of Credit Agreement will remain at approximately $195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6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17, 2025</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540" w:type="dxa"/>
            <w:vAlign w:val="bottom"/>
          </w:tcPr>
          <w:p>
            <w:pPr>
              <w:spacing w:after="0"/>
              <w:rPr>
                <w:sz w:val="21"/>
                <w:szCs w:val="21"/>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540" w:type="dxa"/>
            <w:vAlign w:val="bottom"/>
          </w:tcPr>
          <w:p>
            <w:pPr>
              <w:spacing w:after="0"/>
              <w:rPr>
                <w:sz w:val="22"/>
                <w:szCs w:val="22"/>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2025-12-17T16:08:36Z</dcterms:created>
  <dcterms:modified xsi:type="dcterms:W3CDTF">2025-12-17T16:08:36Z</dcterms:modified>
</cp:coreProperties>
</file>