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15, 2020</w:t>
      </w:r>
    </w:p>
    <w:p>
      <w:pPr>
        <w:spacing w:after="0" w:line="22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New Fortress Energy LLC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ectPr>
          <w:pgSz w:w="11900" w:h="16838" w:orient="portrait"/>
          <w:cols w:equalWidth="0" w:num="1">
            <w:col w:w="11420"/>
          </w:cols>
          <w:pgMar w:left="240" w:top="529" w:right="239" w:bottom="1440" w:gutter="0" w:footer="0" w:header="0"/>
        </w:sectPr>
      </w:pPr>
    </w:p>
    <w:p>
      <w:pPr>
        <w:spacing w:after="0" w:line="214"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001-38790</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880" w:space="720"/>
            <w:col w:w="2480"/>
          </w:cols>
          <w:pgMar w:left="240" w:top="529"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111 W. 19th Street, 8th Floor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New York, NY</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(516) 268-7400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(Address, including zip code, and telephone number, including area code, of registrant’s principal executive offices)</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(Former name or former address, if changed since last report)</w:t>
      </w:r>
    </w:p>
    <w:p>
      <w:pPr>
        <w:spacing w:after="0" w:line="209" w:lineRule="exact"/>
        <w:rPr>
          <w:sz w:val="24"/>
          <w:szCs w:val="24"/>
          <w:color w:val="auto"/>
        </w:rPr>
      </w:pPr>
    </w:p>
    <w:p>
      <w:pPr>
        <w:ind w:right="120"/>
        <w:spacing w:after="0" w:line="241" w:lineRule="auto"/>
        <w:rPr>
          <w:sz w:val="20"/>
          <w:szCs w:val="20"/>
          <w:color w:val="auto"/>
        </w:rPr>
      </w:pPr>
      <w:r>
        <w:rPr>
          <w:rFonts w:ascii="Times New Roman" w:cs="Times New Roman" w:eastAsia="Times New Roman" w:hAnsi="Times New Roman"/>
          <w:sz w:val="22"/>
          <w:szCs w:val="22"/>
          <w:color w:val="auto"/>
        </w:rPr>
        <w:t>Check the appropriate box below if the Form 8-K is intended to simultaneously satisfy the filing obligation of the Registrant under any of the following provisions:</w:t>
      </w:r>
    </w:p>
    <w:p>
      <w:pPr>
        <w:spacing w:after="0" w:line="1"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4"/>
        </w:trPr>
        <w:tc>
          <w:tcPr>
            <w:tcW w:w="36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Class A shares, representing limited liability</w:t>
            </w:r>
          </w:p>
        </w:tc>
        <w:tc>
          <w:tcPr>
            <w:tcW w:w="200" w:type="dxa"/>
            <w:vAlign w:val="bottom"/>
          </w:tcPr>
          <w:p>
            <w:pPr>
              <w:spacing w:after="0"/>
              <w:rPr>
                <w:sz w:val="16"/>
                <w:szCs w:val="16"/>
                <w:color w:val="auto"/>
              </w:rPr>
            </w:pPr>
          </w:p>
        </w:tc>
        <w:tc>
          <w:tcPr>
            <w:tcW w:w="37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NFE</w:t>
            </w:r>
          </w:p>
        </w:tc>
        <w:tc>
          <w:tcPr>
            <w:tcW w:w="18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3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company interests</w:t>
            </w:r>
          </w:p>
        </w:tc>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r>
    </w:tbl>
    <w:p>
      <w:pPr>
        <w:spacing w:after="0" w:line="216"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rPr>
        <w:t>☒</w:t>
      </w:r>
    </w:p>
    <w:p>
      <w:pPr>
        <w:spacing w:after="0" w:line="267" w:lineRule="exact"/>
        <w:rPr>
          <w:sz w:val="24"/>
          <w:szCs w:val="24"/>
          <w:color w:val="auto"/>
        </w:rPr>
      </w:pPr>
    </w:p>
    <w:p>
      <w:pPr>
        <w:ind w:right="320"/>
        <w:spacing w:after="0" w:line="280"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1.02. Termination of a Material Definitive Agreement.</w:t>
      </w:r>
    </w:p>
    <w:p>
      <w:pPr>
        <w:spacing w:after="0" w:line="2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On January 15, 2020, all outstanding principal and interest under the Credit Agreement dated as of August 15, 2018</w:t>
      </w:r>
    </w:p>
    <w:p>
      <w:pPr>
        <w:spacing w:after="0" w:line="1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(as amended and restated as of December 31, 2018 and as amended as of February 11, 2019, March 13, 2019, September 4, 2019 and December 30, 2019, the “Existing Credit Agreement”), among New Fortress Intermediate LLC, NFE Atlantic Holdings LLC (“NFE Atlantic”), the subsidiary guarantors from time to time party thereto, the lenders from time to time party thereto and Morgan Stanley Senior Funding, Inc., as administrative agent, was paid in full (together with fees, expenses and other amounts owed in connection therewith) and all guarantees and security interests in respect of the Existing Credit Agreement were released (the “Payoff”).</w:t>
      </w:r>
    </w:p>
    <w:p>
      <w:pPr>
        <w:spacing w:after="0" w:line="200" w:lineRule="exact"/>
        <w:rPr>
          <w:sz w:val="20"/>
          <w:szCs w:val="20"/>
          <w:color w:val="auto"/>
        </w:rPr>
      </w:pPr>
    </w:p>
    <w:p>
      <w:pPr>
        <w:ind w:right="660"/>
        <w:spacing w:after="0" w:line="262" w:lineRule="auto"/>
        <w:rPr>
          <w:sz w:val="20"/>
          <w:szCs w:val="20"/>
          <w:color w:val="auto"/>
        </w:rPr>
      </w:pPr>
      <w:r>
        <w:rPr>
          <w:rFonts w:ascii="Times New Roman" w:cs="Times New Roman" w:eastAsia="Times New Roman" w:hAnsi="Times New Roman"/>
          <w:sz w:val="22"/>
          <w:szCs w:val="22"/>
          <w:b w:val="1"/>
          <w:bCs w:val="1"/>
          <w:color w:val="auto"/>
        </w:rPr>
        <w:t>Item 2.03. Creation of a Direct Financial Obligation or an Obligation under an Off-Balance Sheet Arrangement of a Registrant.</w:t>
      </w:r>
    </w:p>
    <w:p>
      <w:pPr>
        <w:spacing w:after="0" w:line="181" w:lineRule="exact"/>
        <w:rPr>
          <w:sz w:val="20"/>
          <w:szCs w:val="20"/>
          <w:color w:val="auto"/>
        </w:rPr>
      </w:pPr>
    </w:p>
    <w:p>
      <w:pPr>
        <w:ind w:right="160" w:firstLine="648"/>
        <w:spacing w:after="0" w:line="248" w:lineRule="auto"/>
        <w:rPr>
          <w:sz w:val="20"/>
          <w:szCs w:val="20"/>
          <w:color w:val="auto"/>
        </w:rPr>
      </w:pPr>
      <w:r>
        <w:rPr>
          <w:rFonts w:ascii="Times New Roman" w:cs="Times New Roman" w:eastAsia="Times New Roman" w:hAnsi="Times New Roman"/>
          <w:sz w:val="21"/>
          <w:szCs w:val="21"/>
          <w:color w:val="auto"/>
        </w:rPr>
        <w:t>The Payoff was consummated concurrently with the closing of a three-year senior secured term loan facility (the "Credit Facility") in the aggregate principal amount of $800,000,000 pursuant to the credit agreement, dated as of January 10, 2020 (the “Credit Agreement”), among New Fortress Energy LLC (“NFE”), New Fortress Intermediate LLC, NFE Atlantic, certain subsidiaries of NFE as guarantors, the lenders from time to time party thereto and Cortland Capital Market Services LLC, as collateral agent and administrative agent. Proceeds of the Credit Facility were used by NFE Atlantic (i) to fund general corporate purposes, (ii) to fund the Payoff and (iii) to pay any and all fees and expenses incurred in connection with the foregoing. The Credit Agreement is described in, and attached as Exhibit 10.1 to, NFE’s Form 8-K filed with the SEC on January 13, 2020.</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9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NEW FORTRESS ENERGY LLC</w:t>
            </w:r>
          </w:p>
        </w:tc>
      </w:tr>
      <w:tr>
        <w:trPr>
          <w:trHeight w:val="4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January 16, 2020</w:t>
            </w:r>
          </w:p>
        </w:tc>
        <w:tc>
          <w:tcPr>
            <w:tcW w:w="2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198"/>
        </w:trPr>
        <w:tc>
          <w:tcPr>
            <w:tcW w:w="3460" w:type="dxa"/>
            <w:vAlign w:val="bottom"/>
          </w:tcPr>
          <w:p>
            <w:pPr>
              <w:spacing w:after="0"/>
              <w:rPr>
                <w:sz w:val="17"/>
                <w:szCs w:val="17"/>
                <w:color w:val="auto"/>
              </w:rPr>
            </w:pPr>
          </w:p>
        </w:tc>
        <w:tc>
          <w:tcPr>
            <w:tcW w:w="2820" w:type="dxa"/>
            <w:vAlign w:val="bottom"/>
          </w:tcPr>
          <w:p>
            <w:pPr>
              <w:ind w:left="22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Christopher S. Guinta</w:t>
            </w:r>
          </w:p>
        </w:tc>
      </w:tr>
      <w:tr>
        <w:trPr>
          <w:trHeight w:val="234"/>
        </w:trPr>
        <w:tc>
          <w:tcPr>
            <w:tcW w:w="3460" w:type="dxa"/>
            <w:vAlign w:val="bottom"/>
          </w:tcPr>
          <w:p>
            <w:pPr>
              <w:spacing w:after="0"/>
              <w:rPr>
                <w:sz w:val="20"/>
                <w:szCs w:val="20"/>
                <w:color w:val="auto"/>
              </w:rPr>
            </w:pPr>
          </w:p>
        </w:tc>
        <w:tc>
          <w:tcPr>
            <w:tcW w:w="2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2"/>
        </w:trPr>
        <w:tc>
          <w:tcPr>
            <w:tcW w:w="3460" w:type="dxa"/>
            <w:vAlign w:val="bottom"/>
          </w:tcPr>
          <w:p>
            <w:pPr>
              <w:spacing w:after="0"/>
              <w:rPr>
                <w:sz w:val="24"/>
                <w:szCs w:val="24"/>
                <w:color w:val="auto"/>
              </w:rPr>
            </w:pPr>
          </w:p>
        </w:tc>
        <w:tc>
          <w:tcPr>
            <w:tcW w:w="282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3</w:t>
            </w:r>
          </w:p>
        </w:tc>
        <w:tc>
          <w:tcPr>
            <w:tcW w:w="5140" w:type="dxa"/>
            <w:vAlign w:val="bottom"/>
          </w:tcPr>
          <w:p>
            <w:pPr>
              <w:spacing w:after="0"/>
              <w:rPr>
                <w:sz w:val="24"/>
                <w:szCs w:val="24"/>
                <w:color w:val="auto"/>
              </w:rPr>
            </w:pPr>
          </w:p>
        </w:tc>
      </w:tr>
      <w:tr>
        <w:trPr>
          <w:trHeight w:val="98"/>
        </w:trPr>
        <w:tc>
          <w:tcPr>
            <w:tcW w:w="346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514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2020-01-16T05:02:34Z</dcterms:created>
  <dcterms:modified xsi:type="dcterms:W3CDTF">2020-01-16T05:02:34Z</dcterms:modified>
</cp:coreProperties>
</file>