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1 )*</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New Fortress Energy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Class A Common Stock, par value $0.01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644393100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8"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33" w:lineRule="exact"/>
        <w:rPr>
          <w:sz w:val="24"/>
          <w:szCs w:val="24"/>
          <w:color w:val="auto"/>
        </w:rPr>
      </w:pPr>
    </w:p>
    <w:p>
      <w:pPr>
        <w:jc w:val="both"/>
        <w:ind w:firstLine="8"/>
        <w:spacing w:after="0"/>
        <w:tabs>
          <w:tab w:leader="none" w:pos="16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8040"/>
              <w:spacing w:after="0"/>
              <w:rPr>
                <w:sz w:val="20"/>
                <w:szCs w:val="20"/>
                <w:color w:val="auto"/>
              </w:rPr>
            </w:pPr>
            <w:r>
              <w:rPr>
                <w:rFonts w:ascii="Arial" w:cs="Arial" w:eastAsia="Arial" w:hAnsi="Arial"/>
                <w:sz w:val="18"/>
                <w:szCs w:val="18"/>
                <w:color w:val="auto"/>
                <w:w w:val="77"/>
              </w:rPr>
              <w:t>Page 2</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Stonepeak Infrastructure Fund II Cayman (G) Ltd.</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5,571,952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8040"/>
              <w:spacing w:after="0"/>
              <w:rPr>
                <w:sz w:val="20"/>
                <w:szCs w:val="20"/>
                <w:color w:val="auto"/>
              </w:rPr>
            </w:pPr>
            <w:r>
              <w:rPr>
                <w:rFonts w:ascii="Arial" w:cs="Arial" w:eastAsia="Arial" w:hAnsi="Arial"/>
                <w:sz w:val="18"/>
                <w:szCs w:val="18"/>
                <w:color w:val="auto"/>
                <w:w w:val="77"/>
              </w:rPr>
              <w:t>Page 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Stonepeak Golar Power Holdings (Delaware)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5,571,952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8040"/>
              <w:spacing w:after="0"/>
              <w:rPr>
                <w:sz w:val="20"/>
                <w:szCs w:val="20"/>
                <w:color w:val="auto"/>
              </w:rPr>
            </w:pPr>
            <w:r>
              <w:rPr>
                <w:rFonts w:ascii="Arial" w:cs="Arial" w:eastAsia="Arial" w:hAnsi="Arial"/>
                <w:sz w:val="18"/>
                <w:szCs w:val="18"/>
                <w:color w:val="auto"/>
                <w:w w:val="77"/>
              </w:rPr>
              <w:t>Page 4</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Stonepeak Infrastructure Fund II Cayman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5,571,952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8040"/>
              <w:spacing w:after="0"/>
              <w:rPr>
                <w:sz w:val="20"/>
                <w:szCs w:val="20"/>
                <w:color w:val="auto"/>
              </w:rPr>
            </w:pPr>
            <w:r>
              <w:rPr>
                <w:rFonts w:ascii="Arial" w:cs="Arial" w:eastAsia="Arial" w:hAnsi="Arial"/>
                <w:sz w:val="18"/>
                <w:szCs w:val="18"/>
                <w:color w:val="auto"/>
                <w:w w:val="77"/>
              </w:rPr>
              <w:t>Page 5</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Stonepeak Infrastructure Fund II Cayman Ltd.</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5,571,952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644393100</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8040"/>
              <w:spacing w:after="0"/>
              <w:rPr>
                <w:sz w:val="20"/>
                <w:szCs w:val="20"/>
                <w:color w:val="auto"/>
              </w:rPr>
            </w:pPr>
            <w:r>
              <w:rPr>
                <w:rFonts w:ascii="Arial" w:cs="Arial" w:eastAsia="Arial" w:hAnsi="Arial"/>
                <w:sz w:val="18"/>
                <w:szCs w:val="18"/>
                <w:color w:val="auto"/>
                <w:w w:val="77"/>
              </w:rPr>
              <w:t>Page 6</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MICHAEL DORRELL</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5,571,952</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5,571,952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644393100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w:t>
      </w:r>
    </w:p>
    <w:p>
      <w:pPr>
        <w:spacing w:after="0" w:line="211" w:lineRule="exact"/>
        <w:rPr>
          <w:sz w:val="20"/>
          <w:szCs w:val="20"/>
          <w:color w:val="auto"/>
        </w:rPr>
      </w:pPr>
    </w:p>
    <w:p>
      <w:pPr>
        <w:sectPr>
          <w:pgSz w:w="11900" w:h="16838" w:orient="portrait"/>
          <w:cols w:equalWidth="0" w:num="2">
            <w:col w:w="10040" w:space="720"/>
            <w:col w:w="480"/>
          </w:cols>
          <w:pgMar w:left="320" w:top="125" w:right="3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25" w:right="339" w:bottom="1440" w:gutter="0" w:footer="0" w:header="0"/>
          <w:type w:val="continuous"/>
        </w:sectPr>
      </w:pPr>
    </w:p>
    <w:p>
      <w:pPr>
        <w:spacing w:after="0" w:line="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Fortress Energy Inc. (the “Issuer”)</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111 W. 19th Street, 8th Floor</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10011</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Statement is filed on behalf of each of the following persons (collectively, the “Reporting Persons”):</w:t>
      </w:r>
    </w:p>
    <w:p>
      <w:pPr>
        <w:spacing w:after="0" w:line="252"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Stonepeak Infrastructure Fund II Cayman (G) Ltd.;</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Stonepeak Golar Power Holdings (Delaware) LP;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Stonepeak Infrastructure Fund II Cayman LP;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Stonepeak Infrastructure Fund II Cayman Ltd.;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Dorrell (“Mr. Dorrell”)</w:t>
      </w:r>
    </w:p>
    <w:p>
      <w:pPr>
        <w:spacing w:after="0" w:line="2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This Statement relates to Common Stock (as defined herein) held for the account of Stonepeak Infrastructure Fund II Cayman (G) Ltd. Stonepeak Golar Power Holdings (Delaware) LP is the sole shareholder of Stonepeak Infrastructure Fund II Cayman (G) Ltd. The general partner of Stonepeak Golar Power Holding (Delaware) LP is Stonepeak Infrastructure Fund II Cayman LP. The general partner of Stonepeak Infrastructure Fund II Cayman LP is Stonepeak Infrastructure Fund II Cayman Ltd., whose managing shareholder is Michael Dorrell. Accordingly, each of Stonepeak Golar Power Holdings (Delaware) LP, Stonepeak Infrastructure Fund II Cayman LP, Stonepeak Infrastructure Fund II Cayman Ltd. and Mr. Dorrell may be deemed to indirectly beneficially own the shares of Common Stock reported herein.</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address of the principal business office of each of the Reporting Persons is 55 Hudson Yards, 550 W. 34th Street, 48th Floor, New York, NY 10001.</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Each of Stonepeak Infrastructure Fund II Cayman (G) Ltd. and Stonepeak Infrastructure Fund II Cayman Ltd. is a Cayman Islands exempted company. Stonepeak Infrastructure Fund II Cayman LP is a Cayman Islands exempted limited partnership. Stonepeak Golar Power Holdings (Delaware) LP is a Delaware limited partnership. Mr. Dorrell is a citizen of the United States of America.</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Class A Common Stock, par value $0.01 per share (the “Common Stock”)</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644393100</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CUSIP No. 644393100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w:t>
      </w:r>
    </w:p>
    <w:p>
      <w:pPr>
        <w:spacing w:after="0" w:line="211" w:lineRule="exact"/>
        <w:rPr>
          <w:sz w:val="20"/>
          <w:szCs w:val="20"/>
          <w:color w:val="auto"/>
        </w:rPr>
      </w:pPr>
    </w:p>
    <w:p>
      <w:pPr>
        <w:sectPr>
          <w:pgSz w:w="11900" w:h="16838" w:orient="portrait"/>
          <w:cols w:equalWidth="0" w:num="2">
            <w:col w:w="10040" w:space="720"/>
            <w:col w:w="480"/>
          </w:cols>
          <w:pgMar w:left="320" w:top="125" w:right="3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9940"/>
          </w:cols>
          <w:pgMar w:left="320" w:top="125" w:right="339" w:bottom="1440" w:gutter="0" w:footer="0" w:header="0"/>
          <w:type w:val="continuous"/>
        </w:sectPr>
      </w:pPr>
    </w:p>
    <w:p>
      <w:pPr>
        <w:spacing w:after="0" w:line="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Amount Beneficially Owned:</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of December 31, 2021, each of the Reporting Persons may be deemed the beneficial owner of 5,571,952 shares of Common Stock.</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of December 31, 2021, each of the Reporting Persons may be deemed the beneficial owner of approximately 2.7% of the shares of Common Stock outstanding. This calculation is based on 206,863,242 shares of Common Stock outstanding as of October 29, 2021 based on information set forth in the Quarterly Report on Form 10-Q filed by the Issuer with the Securities and Exchange Commission on November 3,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5820" w:type="dxa"/>
            <w:vAlign w:val="bottom"/>
          </w:tcPr>
          <w:p>
            <w:pPr>
              <w:ind w:left="3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2160" w:type="dxa"/>
            <w:vAlign w:val="bottom"/>
          </w:tcPr>
          <w:p>
            <w:pPr>
              <w:spacing w:after="0"/>
              <w:rPr>
                <w:sz w:val="20"/>
                <w:szCs w:val="20"/>
                <w:color w:val="auto"/>
              </w:rPr>
            </w:pPr>
          </w:p>
        </w:tc>
      </w:tr>
      <w:tr>
        <w:trPr>
          <w:trHeight w:val="445"/>
        </w:trPr>
        <w:tc>
          <w:tcPr>
            <w:tcW w:w="1000" w:type="dxa"/>
            <w:vAlign w:val="bottom"/>
          </w:tcPr>
          <w:p>
            <w:pPr>
              <w:spacing w:after="0"/>
              <w:rPr>
                <w:sz w:val="24"/>
                <w:szCs w:val="24"/>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Each Reporting Person:</w:t>
            </w:r>
          </w:p>
        </w:tc>
        <w:tc>
          <w:tcPr>
            <w:tcW w:w="216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(i) Sole power to vote or direct the vote:</w:t>
            </w:r>
          </w:p>
        </w:tc>
        <w:tc>
          <w:tcPr>
            <w:tcW w:w="2160" w:type="dxa"/>
            <w:vAlign w:val="bottom"/>
          </w:tcPr>
          <w:p>
            <w:pPr>
              <w:ind w:left="1460"/>
              <w:spacing w:after="0"/>
              <w:rPr>
                <w:sz w:val="20"/>
                <w:szCs w:val="20"/>
                <w:color w:val="auto"/>
              </w:rPr>
            </w:pPr>
            <w:r>
              <w:rPr>
                <w:rFonts w:ascii="Arial" w:cs="Arial" w:eastAsia="Arial" w:hAnsi="Arial"/>
                <w:sz w:val="18"/>
                <w:szCs w:val="18"/>
                <w:color w:val="auto"/>
              </w:rPr>
              <w:t>0</w:t>
            </w:r>
          </w:p>
        </w:tc>
      </w:tr>
      <w:tr>
        <w:trPr>
          <w:trHeight w:val="216"/>
        </w:trPr>
        <w:tc>
          <w:tcPr>
            <w:tcW w:w="100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(ii) Shared power to vote or direct the vote:</w:t>
            </w:r>
          </w:p>
        </w:tc>
        <w:tc>
          <w:tcPr>
            <w:tcW w:w="2160" w:type="dxa"/>
            <w:vAlign w:val="bottom"/>
          </w:tcPr>
          <w:p>
            <w:pPr>
              <w:ind w:left="1460"/>
              <w:spacing w:after="0"/>
              <w:rPr>
                <w:sz w:val="20"/>
                <w:szCs w:val="20"/>
                <w:color w:val="auto"/>
              </w:rPr>
            </w:pPr>
            <w:r>
              <w:rPr>
                <w:rFonts w:ascii="Arial" w:cs="Arial" w:eastAsia="Arial" w:hAnsi="Arial"/>
                <w:sz w:val="18"/>
                <w:szCs w:val="18"/>
                <w:color w:val="auto"/>
                <w:w w:val="84"/>
              </w:rPr>
              <w:t>5,571,952</w:t>
            </w:r>
          </w:p>
        </w:tc>
      </w:tr>
      <w:tr>
        <w:trPr>
          <w:trHeight w:val="216"/>
        </w:trPr>
        <w:tc>
          <w:tcPr>
            <w:tcW w:w="100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(iii) Sole power to dispose or direct the disposition of:</w:t>
            </w:r>
          </w:p>
        </w:tc>
        <w:tc>
          <w:tcPr>
            <w:tcW w:w="2160" w:type="dxa"/>
            <w:vAlign w:val="bottom"/>
          </w:tcPr>
          <w:p>
            <w:pPr>
              <w:ind w:left="1460"/>
              <w:spacing w:after="0"/>
              <w:rPr>
                <w:sz w:val="20"/>
                <w:szCs w:val="20"/>
                <w:color w:val="auto"/>
              </w:rPr>
            </w:pPr>
            <w:r>
              <w:rPr>
                <w:rFonts w:ascii="Arial" w:cs="Arial" w:eastAsia="Arial" w:hAnsi="Arial"/>
                <w:sz w:val="18"/>
                <w:szCs w:val="18"/>
                <w:color w:val="auto"/>
              </w:rPr>
              <w:t>0</w:t>
            </w:r>
          </w:p>
        </w:tc>
      </w:tr>
      <w:tr>
        <w:trPr>
          <w:trHeight w:val="230"/>
        </w:trPr>
        <w:tc>
          <w:tcPr>
            <w:tcW w:w="1000" w:type="dxa"/>
            <w:vAlign w:val="bottom"/>
          </w:tcPr>
          <w:p>
            <w:pPr>
              <w:spacing w:after="0"/>
              <w:rPr>
                <w:sz w:val="20"/>
                <w:szCs w:val="20"/>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(iv) Shared power to dispose or direct the disposition of:</w:t>
            </w:r>
          </w:p>
        </w:tc>
        <w:tc>
          <w:tcPr>
            <w:tcW w:w="2160" w:type="dxa"/>
            <w:vAlign w:val="bottom"/>
          </w:tcPr>
          <w:p>
            <w:pPr>
              <w:ind w:left="1460"/>
              <w:spacing w:after="0"/>
              <w:rPr>
                <w:sz w:val="20"/>
                <w:szCs w:val="20"/>
                <w:color w:val="auto"/>
              </w:rPr>
            </w:pPr>
            <w:r>
              <w:rPr>
                <w:rFonts w:ascii="Arial" w:cs="Arial" w:eastAsia="Arial" w:hAnsi="Arial"/>
                <w:sz w:val="18"/>
                <w:szCs w:val="18"/>
                <w:color w:val="auto"/>
                <w:w w:val="84"/>
              </w:rPr>
              <w:t>5,571,952</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82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160" w:type="dxa"/>
            <w:vAlign w:val="bottom"/>
          </w:tcPr>
          <w:p>
            <w:pPr>
              <w:spacing w:after="0"/>
              <w:rPr>
                <w:sz w:val="24"/>
                <w:szCs w:val="24"/>
                <w:color w:val="auto"/>
              </w:rPr>
            </w:pPr>
          </w:p>
        </w:tc>
      </w:tr>
    </w:tbl>
    <w:p>
      <w:pPr>
        <w:spacing w:after="0" w:line="222" w:lineRule="exact"/>
        <w:rPr>
          <w:sz w:val="20"/>
          <w:szCs w:val="20"/>
          <w:color w:val="auto"/>
        </w:rPr>
      </w:pPr>
    </w:p>
    <w:p>
      <w:pPr>
        <w:jc w:val="both"/>
        <w:ind w:firstLine="648"/>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6 is not applicable.</w:t>
      </w:r>
    </w:p>
    <w:p>
      <w:pPr>
        <w:spacing w:after="0" w:line="23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disclosure in Item 2 hereof.</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8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jc w:val="center"/>
        <w:ind w:right="-33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(G) LTD.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Stonepeak Golar Power Holdings (Delaware) LP, its sole shareholder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Infrastructure Fund II Cayman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Infrastructure Fund II Cayman Ltd., its general partner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GOLAR POWER HOLDINGS (DELAWARE)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Infrastructure Fund II Cayman LP, its general partner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Infrastructure Fund II Cayman Ltd., its general partner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Stonepeak Infrastructure Fund II Cayman Ltd., its general partner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STONEPEAK INFRASTRUCTURE FUND II CAYMAN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Dorrell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Shareholder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Dorrell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Dorrell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2022-02-10T05:22:20Z</dcterms:created>
  <dcterms:modified xsi:type="dcterms:W3CDTF">2022-02-10T05:22:20Z</dcterms:modified>
</cp:coreProperties>
</file>