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23, 2021</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001-38790</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83-1482060</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860" w:space="720"/>
            <w:col w:w="2720" w:space="720"/>
            <w:col w:w="3220"/>
          </w:cols>
          <w:pgMar w:left="320" w:top="535" w:right="339" w:bottom="1440" w:gutter="0" w:footer="0" w:header="0"/>
          <w:type w:val="continuous"/>
        </w:sectPr>
      </w:pPr>
    </w:p>
    <w:p>
      <w:pPr>
        <w:spacing w:after="0" w:line="30"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111 W. 19th Street 8th Floor</w:t>
      </w:r>
    </w:p>
    <w:p>
      <w:pPr>
        <w:spacing w:after="0" w:line="27"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New York, New York, 10011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(516) 268-7400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330"/>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170"/>
        <w:spacing w:after="0" w:line="509" w:lineRule="auto"/>
        <w:tabs>
          <w:tab w:leader="none" w:pos="48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0"/>
        </w:trPr>
        <w:tc>
          <w:tcPr>
            <w:tcW w:w="372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b w:val="1"/>
                <w:bCs w:val="1"/>
                <w:color w:val="auto"/>
              </w:rPr>
              <w:t>Title of each class</w:t>
            </w:r>
          </w:p>
        </w:tc>
        <w:tc>
          <w:tcPr>
            <w:tcW w:w="180" w:type="dxa"/>
            <w:vAlign w:val="bottom"/>
          </w:tcPr>
          <w:p>
            <w:pPr>
              <w:spacing w:after="0"/>
              <w:rPr>
                <w:sz w:val="20"/>
                <w:szCs w:val="20"/>
                <w:color w:val="auto"/>
              </w:rPr>
            </w:pPr>
          </w:p>
        </w:tc>
        <w:tc>
          <w:tcPr>
            <w:tcW w:w="28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rPr>
              <w:t>Trading Symbol(s)</w:t>
            </w:r>
          </w:p>
        </w:tc>
        <w:tc>
          <w:tcPr>
            <w:tcW w:w="200" w:type="dxa"/>
            <w:vAlign w:val="bottom"/>
          </w:tcPr>
          <w:p>
            <w:pPr>
              <w:spacing w:after="0"/>
              <w:rPr>
                <w:sz w:val="20"/>
                <w:szCs w:val="20"/>
                <w:color w:val="auto"/>
              </w:rPr>
            </w:pPr>
          </w:p>
        </w:tc>
        <w:tc>
          <w:tcPr>
            <w:tcW w:w="4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8"/>
        </w:trPr>
        <w:tc>
          <w:tcPr>
            <w:tcW w:w="3720" w:type="dxa"/>
            <w:vAlign w:val="bottom"/>
          </w:tcPr>
          <w:p>
            <w:pPr>
              <w:spacing w:after="0" w:line="198" w:lineRule="exact"/>
              <w:rPr>
                <w:sz w:val="20"/>
                <w:szCs w:val="20"/>
                <w:color w:val="auto"/>
              </w:rPr>
            </w:pPr>
            <w:r>
              <w:rPr>
                <w:rFonts w:ascii="Arial" w:cs="Arial" w:eastAsia="Arial" w:hAnsi="Arial"/>
                <w:sz w:val="18"/>
                <w:szCs w:val="18"/>
                <w:b w:val="1"/>
                <w:bCs w:val="1"/>
                <w:color w:val="auto"/>
                <w:w w:val="98"/>
              </w:rPr>
              <w:t>Class A Common Stock, par value $0.01 per</w:t>
            </w:r>
          </w:p>
        </w:tc>
        <w:tc>
          <w:tcPr>
            <w:tcW w:w="180" w:type="dxa"/>
            <w:vAlign w:val="bottom"/>
          </w:tcPr>
          <w:p>
            <w:pPr>
              <w:spacing w:after="0"/>
              <w:rPr>
                <w:sz w:val="17"/>
                <w:szCs w:val="17"/>
                <w:color w:val="auto"/>
              </w:rPr>
            </w:pPr>
          </w:p>
        </w:tc>
        <w:tc>
          <w:tcPr>
            <w:tcW w:w="2840" w:type="dxa"/>
            <w:vAlign w:val="bottom"/>
          </w:tcPr>
          <w:p>
            <w:pPr>
              <w:ind w:left="1240"/>
              <w:spacing w:after="0" w:line="198" w:lineRule="exact"/>
              <w:rPr>
                <w:sz w:val="20"/>
                <w:szCs w:val="20"/>
                <w:color w:val="auto"/>
              </w:rPr>
            </w:pPr>
            <w:r>
              <w:rPr>
                <w:rFonts w:ascii="Arial" w:cs="Arial" w:eastAsia="Arial" w:hAnsi="Arial"/>
                <w:sz w:val="18"/>
                <w:szCs w:val="18"/>
                <w:b w:val="1"/>
                <w:bCs w:val="1"/>
                <w:color w:val="auto"/>
              </w:rPr>
              <w:t>NFE</w:t>
            </w:r>
          </w:p>
        </w:tc>
        <w:tc>
          <w:tcPr>
            <w:tcW w:w="200" w:type="dxa"/>
            <w:vAlign w:val="bottom"/>
          </w:tcPr>
          <w:p>
            <w:pPr>
              <w:spacing w:after="0"/>
              <w:rPr>
                <w:sz w:val="17"/>
                <w:szCs w:val="17"/>
                <w:color w:val="auto"/>
              </w:rPr>
            </w:pPr>
          </w:p>
        </w:tc>
        <w:tc>
          <w:tcPr>
            <w:tcW w:w="43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The Nasdaq Global Select Market</w:t>
            </w:r>
          </w:p>
        </w:tc>
      </w:t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share</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00" w:type="dxa"/>
            <w:vAlign w:val="bottom"/>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5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69265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692658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23, 2021, New Fortress Energy Inc., a Delaware corporation, issued a press release announcing it is commencing a private offering of $1.5 billion aggregate principal amount of senior secured notes due 2026, subject to market and other conditions. A copy of this press release is filed herewith as Exhibit 99.1 and incorporated herein by reference.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notes and the related guarantees have not been registered under the Securities Act of 1933, as amended, and may not be offered in the United States absent registration or an applicable exemption from registration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720" w:type="dxa"/>
            <w:vAlign w:val="bottom"/>
          </w:tcPr>
          <w:p>
            <w:pPr>
              <w:spacing w:after="0"/>
              <w:rPr>
                <w:sz w:val="20"/>
                <w:szCs w:val="20"/>
                <w:color w:val="auto"/>
              </w:rPr>
            </w:pPr>
          </w:p>
        </w:tc>
      </w:tr>
      <w:tr>
        <w:trPr>
          <w:trHeight w:val="445"/>
        </w:trPr>
        <w:tc>
          <w:tcPr>
            <w:tcW w:w="1280" w:type="dxa"/>
            <w:vAlign w:val="bottom"/>
            <w:gridSpan w:val="2"/>
          </w:tcPr>
          <w:p>
            <w:pPr>
              <w:spacing w:after="0"/>
              <w:rPr>
                <w:sz w:val="20"/>
                <w:szCs w:val="20"/>
                <w:color w:val="auto"/>
              </w:rPr>
            </w:pPr>
            <w:r>
              <w:rPr>
                <w:rFonts w:ascii="Arial" w:cs="Arial" w:eastAsia="Arial" w:hAnsi="Arial"/>
                <w:sz w:val="18"/>
                <w:szCs w:val="18"/>
                <w:color w:val="auto"/>
                <w:w w:val="98"/>
              </w:rPr>
              <w:t>Exhibit Number.</w:t>
            </w:r>
          </w:p>
        </w:tc>
        <w:tc>
          <w:tcPr>
            <w:tcW w:w="2720" w:type="dxa"/>
            <w:vAlign w:val="bottom"/>
          </w:tcPr>
          <w:p>
            <w:pPr>
              <w:ind w:left="80"/>
              <w:spacing w:after="0"/>
              <w:rPr>
                <w:sz w:val="20"/>
                <w:szCs w:val="20"/>
                <w:color w:val="auto"/>
              </w:rPr>
            </w:pPr>
            <w:r>
              <w:rPr>
                <w:rFonts w:ascii="Arial" w:cs="Arial" w:eastAsia="Arial" w:hAnsi="Arial"/>
                <w:sz w:val="18"/>
                <w:szCs w:val="18"/>
                <w:color w:val="auto"/>
              </w:rPr>
              <w:t>Description</w:t>
            </w:r>
          </w:p>
        </w:tc>
      </w:tr>
      <w:tr>
        <w:trPr>
          <w:trHeight w:val="190"/>
        </w:trPr>
        <w:tc>
          <w:tcPr>
            <w:tcW w:w="320" w:type="dxa"/>
            <w:vAlign w:val="bottom"/>
            <w:tcBorders>
              <w:bottom w:val="single" w:sz="8" w:color="0000EE"/>
            </w:tcBorders>
          </w:tcPr>
          <w:p>
            <w:pPr>
              <w:spacing w:after="0" w:line="190"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960" w:type="dxa"/>
            <w:vAlign w:val="bottom"/>
          </w:tcPr>
          <w:p>
            <w:pPr>
              <w:spacing w:after="0"/>
              <w:rPr>
                <w:sz w:val="16"/>
                <w:szCs w:val="16"/>
                <w:color w:val="auto"/>
              </w:rPr>
            </w:pPr>
          </w:p>
        </w:tc>
        <w:tc>
          <w:tcPr>
            <w:tcW w:w="2720" w:type="dxa"/>
            <w:vAlign w:val="bottom"/>
          </w:tcPr>
          <w:p>
            <w:pPr>
              <w:ind w:left="80"/>
              <w:spacing w:after="0" w:line="190" w:lineRule="exact"/>
              <w:rPr>
                <w:sz w:val="20"/>
                <w:szCs w:val="20"/>
                <w:color w:val="auto"/>
              </w:rPr>
            </w:pPr>
            <w:r>
              <w:rPr>
                <w:rFonts w:ascii="Arial" w:cs="Arial" w:eastAsia="Arial" w:hAnsi="Arial"/>
                <w:sz w:val="18"/>
                <w:szCs w:val="18"/>
                <w:color w:val="auto"/>
                <w:w w:val="87"/>
              </w:rPr>
              <w:t>Press release, dated March 23, 2021.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communication contains forward-looking statements, including but not limited to statements regarding the consummation of the offering or the Company’s anticipated use of the net proceeds from the offering. All statements contained in this communication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forward-looking statements speak only as of the date on which it is made. When considering forward-looking statements, you should keep in mind the risk factors and other cautionary statements included in our annual, quarterly and other reports we file with the SEC. We undertake no duty to update these forward-looking statements, even though our situation may change in the future. Furthermore, we cannot guarantee future results, events, levels of activity, performance, projections or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8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60" w:val="left"/>
          <w:tab w:leader="none" w:pos="5620" w:val="left"/>
        </w:tabs>
        <w:rPr>
          <w:sz w:val="20"/>
          <w:szCs w:val="20"/>
          <w:color w:val="auto"/>
        </w:rPr>
      </w:pPr>
      <w:r>
        <w:rPr>
          <w:rFonts w:ascii="Arial" w:cs="Arial" w:eastAsia="Arial" w:hAnsi="Arial"/>
          <w:sz w:val="18"/>
          <w:szCs w:val="18"/>
          <w:color w:val="auto"/>
        </w:rPr>
        <w:t>Date:</w:t>
        <w:tab/>
        <w:t>March 23, 2021</w:t>
      </w:r>
      <w:r>
        <w:rPr>
          <w:sz w:val="20"/>
          <w:szCs w:val="20"/>
          <w:color w:val="auto"/>
        </w:rPr>
        <w:tab/>
      </w:r>
      <w:r>
        <w:rPr>
          <w:rFonts w:ascii="Arial" w:cs="Arial" w:eastAsia="Arial" w:hAnsi="Arial"/>
          <w:sz w:val="17"/>
          <w:szCs w:val="17"/>
          <w:b w:val="1"/>
          <w:bCs w:val="1"/>
          <w:color w:val="auto"/>
        </w:rPr>
        <w:t>NEW FORTRESS ENERGY INC.</w:t>
      </w:r>
    </w:p>
    <w:p>
      <w:pPr>
        <w:spacing w:after="0" w:line="22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Christopher S. Guinta</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 w:name="page4"/>
    <w:bookmarkEnd w:id="3"/>
    <w:p>
      <w:pPr>
        <w:ind w:left="10247"/>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4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NEW FORTRESS ENERGY ANNOUNCES PROPOSED OFFERING OF $1.5 BILLION OF SENIOR SECURED NOTES</w:t>
      </w:r>
    </w:p>
    <w:p>
      <w:pPr>
        <w:spacing w:after="0" w:line="229" w:lineRule="exact"/>
        <w:rPr>
          <w:sz w:val="20"/>
          <w:szCs w:val="20"/>
          <w:color w:val="auto"/>
        </w:rPr>
      </w:pPr>
    </w:p>
    <w:p>
      <w:pPr>
        <w:jc w:val="both"/>
        <w:ind w:left="7" w:right="60"/>
        <w:spacing w:after="0" w:line="263" w:lineRule="auto"/>
        <w:rPr>
          <w:sz w:val="20"/>
          <w:szCs w:val="20"/>
          <w:color w:val="auto"/>
        </w:rPr>
      </w:pPr>
      <w:r>
        <w:rPr>
          <w:rFonts w:ascii="Arial" w:cs="Arial" w:eastAsia="Arial" w:hAnsi="Arial"/>
          <w:sz w:val="18"/>
          <w:szCs w:val="18"/>
          <w:color w:val="auto"/>
        </w:rPr>
        <w:t>NEW YORK--(BUSINESS WIRE)—March 23, 2021—New Fortress Energy Inc. (NASDAQ: NFE) (the “Company”) announced today that it intends to offer $1.5 billion aggregate principal amount of senior secured notes due September 2026 (the “Notes”) in a private offering, subject to market and other conditions.</w:t>
      </w:r>
    </w:p>
    <w:p>
      <w:pPr>
        <w:spacing w:after="0" w:line="184" w:lineRule="exact"/>
        <w:rPr>
          <w:sz w:val="20"/>
          <w:szCs w:val="20"/>
          <w:color w:val="auto"/>
        </w:rPr>
      </w:pPr>
    </w:p>
    <w:p>
      <w:pPr>
        <w:jc w:val="both"/>
        <w:ind w:left="7" w:right="60"/>
        <w:spacing w:after="0" w:line="286" w:lineRule="auto"/>
        <w:rPr>
          <w:sz w:val="20"/>
          <w:szCs w:val="20"/>
          <w:color w:val="auto"/>
        </w:rPr>
      </w:pPr>
      <w:r>
        <w:rPr>
          <w:rFonts w:ascii="Arial" w:cs="Arial" w:eastAsia="Arial" w:hAnsi="Arial"/>
          <w:sz w:val="17"/>
          <w:szCs w:val="17"/>
          <w:color w:val="auto"/>
        </w:rPr>
        <w:t>Subject to certain exceptions and thresholds, the Notes will be guaranteed on a senior secured basis by each domestic subsidiary and foreign subsidiary that is a wholly-owned restricted subsidiary of the Company that is a guarantor under its existing senior secured notes. The Notes will be secured by substantially the same collateral as the Company’s existing first lien obligations under its existing senior secured notes.</w:t>
      </w:r>
    </w:p>
    <w:p>
      <w:pPr>
        <w:spacing w:after="0" w:line="165" w:lineRule="exact"/>
        <w:rPr>
          <w:sz w:val="20"/>
          <w:szCs w:val="20"/>
          <w:color w:val="auto"/>
        </w:rPr>
      </w:pPr>
    </w:p>
    <w:p>
      <w:pPr>
        <w:jc w:val="both"/>
        <w:ind w:left="7" w:right="80"/>
        <w:spacing w:after="0" w:line="286" w:lineRule="auto"/>
        <w:rPr>
          <w:sz w:val="20"/>
          <w:szCs w:val="20"/>
          <w:color w:val="auto"/>
        </w:rPr>
      </w:pPr>
      <w:r>
        <w:rPr>
          <w:rFonts w:ascii="Arial" w:cs="Arial" w:eastAsia="Arial" w:hAnsi="Arial"/>
          <w:sz w:val="17"/>
          <w:szCs w:val="17"/>
          <w:color w:val="auto"/>
        </w:rPr>
        <w:t>The Company intends to use a portion of the net proceeds from this offering to fund the cash consideration for its previously announced acquisition of Golar LNG Partners L.P. and pay related fees and expenses. The Company intends to use any remaining proceeds from this offering for general corporate purposes, including making investments in developing projects. The Notes will be subject to a special mandatory redemption.</w:t>
      </w:r>
    </w:p>
    <w:p>
      <w:pPr>
        <w:spacing w:after="0" w:line="165" w:lineRule="exact"/>
        <w:rPr>
          <w:sz w:val="20"/>
          <w:szCs w:val="20"/>
          <w:color w:val="auto"/>
        </w:rPr>
      </w:pPr>
    </w:p>
    <w:p>
      <w:pPr>
        <w:jc w:val="both"/>
        <w:ind w:left="7" w:right="60"/>
        <w:spacing w:after="0" w:line="279" w:lineRule="auto"/>
        <w:rPr>
          <w:sz w:val="20"/>
          <w:szCs w:val="20"/>
          <w:color w:val="auto"/>
        </w:rPr>
      </w:pPr>
      <w:r>
        <w:rPr>
          <w:rFonts w:ascii="Arial" w:cs="Arial" w:eastAsia="Arial" w:hAnsi="Arial"/>
          <w:sz w:val="17"/>
          <w:szCs w:val="17"/>
          <w:color w:val="auto"/>
        </w:rPr>
        <w:t>The Notes and the guarantees thereof will be offered in the United States to qualified institutional buyers under Rule 144A under the Securities Act of 1933, as amended (the “Securities Act”), and to persons outside of the United States under Regulation S under the Securities Act. The Notes and the guarantees thereof will not be registered under the Securities Act or any state securities laws, and, unless so registered, may not be offered or sold in the United States absent registration or an applicable exemption from registration requirements.</w:t>
      </w:r>
    </w:p>
    <w:p>
      <w:pPr>
        <w:spacing w:after="0" w:line="171" w:lineRule="exact"/>
        <w:rPr>
          <w:sz w:val="20"/>
          <w:szCs w:val="20"/>
          <w:color w:val="auto"/>
        </w:rPr>
      </w:pPr>
    </w:p>
    <w:p>
      <w:pPr>
        <w:jc w:val="both"/>
        <w:ind w:left="7" w:right="60"/>
        <w:spacing w:after="0" w:line="263" w:lineRule="auto"/>
        <w:rPr>
          <w:sz w:val="20"/>
          <w:szCs w:val="20"/>
          <w:color w:val="auto"/>
        </w:rPr>
      </w:pPr>
      <w:r>
        <w:rPr>
          <w:rFonts w:ascii="Arial" w:cs="Arial" w:eastAsia="Arial" w:hAnsi="Arial"/>
          <w:sz w:val="18"/>
          <w:szCs w:val="18"/>
          <w:color w:val="auto"/>
        </w:rPr>
        <w:t>This press release does not constitute an offer to sell or a solicitation of an offer to buy the securities described herein, nor shall there be any sale of these securities in any state or other jurisdiction in which such an offer, solicitation or sale would be unlawful prior to registration or qualification under the securities laws of any such jurisdiction.</w:t>
      </w:r>
    </w:p>
    <w:p>
      <w:pPr>
        <w:spacing w:after="0" w:line="18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About New Fortress Energy Inc.</w:t>
      </w:r>
    </w:p>
    <w:p>
      <w:pPr>
        <w:spacing w:after="0" w:line="229" w:lineRule="exact"/>
        <w:rPr>
          <w:sz w:val="20"/>
          <w:szCs w:val="20"/>
          <w:color w:val="auto"/>
        </w:rPr>
      </w:pPr>
    </w:p>
    <w:p>
      <w:pPr>
        <w:ind w:left="7" w:right="400"/>
        <w:spacing w:after="0" w:line="263" w:lineRule="auto"/>
        <w:rPr>
          <w:sz w:val="20"/>
          <w:szCs w:val="20"/>
          <w:color w:val="auto"/>
        </w:rPr>
      </w:pPr>
      <w:r>
        <w:rPr>
          <w:rFonts w:ascii="Arial" w:cs="Arial" w:eastAsia="Arial" w:hAnsi="Arial"/>
          <w:sz w:val="18"/>
          <w:szCs w:val="18"/>
          <w:color w:val="auto"/>
        </w:rPr>
        <w:t>New Fortress Energy is a global energy infrastructure company founded to help accelerate the world’s transition to clean energy. The company funds, builds and operates natural gas infrastructure and logistics to rapidly deliver fully integrated, turnkey energy solutions that enable economic growth, enhance environmental stewardship and transform local industries and communities.</w:t>
      </w:r>
    </w:p>
    <w:p>
      <w:pPr>
        <w:spacing w:after="0" w:line="18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229" w:lineRule="exact"/>
        <w:rPr>
          <w:sz w:val="20"/>
          <w:szCs w:val="20"/>
          <w:color w:val="auto"/>
        </w:rPr>
      </w:pPr>
    </w:p>
    <w:p>
      <w:pPr>
        <w:ind w:left="7" w:right="140"/>
        <w:spacing w:after="0" w:line="291" w:lineRule="auto"/>
        <w:rPr>
          <w:sz w:val="20"/>
          <w:szCs w:val="20"/>
          <w:color w:val="auto"/>
        </w:rPr>
      </w:pPr>
      <w:r>
        <w:rPr>
          <w:rFonts w:ascii="Arial" w:cs="Arial" w:eastAsia="Arial" w:hAnsi="Arial"/>
          <w:sz w:val="16"/>
          <w:szCs w:val="16"/>
          <w:color w:val="auto"/>
        </w:rPr>
        <w:t>This press release contains forward-looking statements, including but not limited to statements regarding the consummation of the offering or the Company’s anticipated use of the net proceeds from the offering. All statements contained in this press release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w:t>
      </w:r>
    </w:p>
    <w:p>
      <w:pPr>
        <w:spacing w:after="0" w:line="166" w:lineRule="exact"/>
        <w:rPr>
          <w:sz w:val="20"/>
          <w:szCs w:val="20"/>
          <w:color w:val="auto"/>
        </w:rPr>
      </w:pPr>
    </w:p>
    <w:p>
      <w:pPr>
        <w:ind w:left="7" w:right="280"/>
        <w:spacing w:after="0" w:line="259" w:lineRule="auto"/>
        <w:rPr>
          <w:sz w:val="20"/>
          <w:szCs w:val="20"/>
          <w:color w:val="auto"/>
        </w:rPr>
      </w:pPr>
      <w:r>
        <w:rPr>
          <w:rFonts w:ascii="Arial" w:cs="Arial" w:eastAsia="Arial" w:hAnsi="Arial"/>
          <w:sz w:val="18"/>
          <w:szCs w:val="18"/>
          <w:color w:val="auto"/>
        </w:rPr>
        <w:t>All forward-looking statements speak only as of the date on which it is made. When considering forward-looking statements, you should keep in mind the risk factors and other cautionary statements included in our annual, quarterly and other reports we file with the SEC. We undertake no duty to update these forward-looking statements, even though our situation may change in the future. Furthermore, we cannot guarantee future results, events, levels of activity, performance, projections or achievements.</w:t>
      </w:r>
    </w:p>
    <w:p>
      <w:pPr>
        <w:spacing w:after="0" w:line="18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IR:</w:t>
      </w:r>
    </w:p>
    <w:p>
      <w:pPr>
        <w:spacing w:after="0" w:line="27" w:lineRule="exact"/>
        <w:rPr>
          <w:sz w:val="20"/>
          <w:szCs w:val="20"/>
          <w:color w:val="auto"/>
        </w:rPr>
      </w:pPr>
    </w:p>
    <w:p>
      <w:pPr>
        <w:ind w:left="7"/>
        <w:spacing w:after="0"/>
        <w:rPr>
          <w:sz w:val="20"/>
          <w:szCs w:val="20"/>
          <w:color w:val="auto"/>
        </w:rPr>
      </w:pPr>
      <w:r>
        <w:rPr>
          <w:rFonts w:ascii="Arial" w:cs="Arial" w:eastAsia="Arial" w:hAnsi="Arial"/>
          <w:sz w:val="18"/>
          <w:szCs w:val="18"/>
          <w:color w:val="auto"/>
        </w:rPr>
        <w:t>Alan Andreini</w:t>
      </w:r>
    </w:p>
    <w:p>
      <w:pPr>
        <w:spacing w:after="0" w:line="9" w:lineRule="exact"/>
        <w:rPr>
          <w:sz w:val="20"/>
          <w:szCs w:val="20"/>
          <w:color w:val="auto"/>
        </w:rPr>
      </w:pPr>
    </w:p>
    <w:p>
      <w:pPr>
        <w:ind w:left="7" w:right="9440" w:hanging="7"/>
        <w:spacing w:after="0" w:line="323" w:lineRule="auto"/>
        <w:tabs>
          <w:tab w:leader="none" w:pos="442"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798-6128 </w:t>
      </w:r>
      <w:r>
        <w:rPr>
          <w:rFonts w:ascii="Arial" w:cs="Arial" w:eastAsia="Arial" w:hAnsi="Arial"/>
          <w:sz w:val="16"/>
          <w:szCs w:val="16"/>
          <w:u w:val="single" w:color="auto"/>
          <w:color w:val="auto"/>
        </w:rPr>
        <w:t>aandreini@fortress.com</w:t>
      </w:r>
    </w:p>
    <w:p>
      <w:pPr>
        <w:spacing w:after="0" w:line="138" w:lineRule="exact"/>
        <w:rPr>
          <w:sz w:val="20"/>
          <w:szCs w:val="20"/>
          <w:color w:val="auto"/>
        </w:rPr>
      </w:pPr>
    </w:p>
    <w:p>
      <w:pPr>
        <w:ind w:left="7"/>
        <w:spacing w:after="0"/>
        <w:rPr>
          <w:sz w:val="20"/>
          <w:szCs w:val="20"/>
          <w:color w:val="auto"/>
        </w:rPr>
      </w:pPr>
      <w:r>
        <w:rPr>
          <w:rFonts w:ascii="Arial" w:cs="Arial" w:eastAsia="Arial" w:hAnsi="Arial"/>
          <w:sz w:val="18"/>
          <w:szCs w:val="18"/>
          <w:color w:val="auto"/>
        </w:rPr>
        <w:t>Joshua Kane</w:t>
      </w:r>
    </w:p>
    <w:p>
      <w:pPr>
        <w:spacing w:after="0" w:line="23" w:lineRule="exact"/>
        <w:rPr>
          <w:sz w:val="20"/>
          <w:szCs w:val="20"/>
          <w:color w:val="auto"/>
        </w:rPr>
      </w:pPr>
    </w:p>
    <w:p>
      <w:pPr>
        <w:ind w:left="7" w:right="8940" w:hanging="7"/>
        <w:spacing w:after="0" w:line="323" w:lineRule="auto"/>
        <w:tabs>
          <w:tab w:leader="none" w:pos="442"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268-7455 </w:t>
      </w:r>
      <w:r>
        <w:rPr>
          <w:rFonts w:ascii="Arial" w:cs="Arial" w:eastAsia="Arial" w:hAnsi="Arial"/>
          <w:sz w:val="16"/>
          <w:szCs w:val="16"/>
          <w:u w:val="single" w:color="auto"/>
          <w:color w:val="auto"/>
        </w:rPr>
        <w:t>jkane@newfortressenergy.com</w:t>
      </w:r>
    </w:p>
    <w:p>
      <w:pPr>
        <w:spacing w:after="0" w:line="13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ind w:left="7"/>
        <w:spacing w:after="0"/>
        <w:rPr>
          <w:sz w:val="20"/>
          <w:szCs w:val="20"/>
          <w:color w:val="auto"/>
        </w:rPr>
      </w:pPr>
      <w:r>
        <w:rPr>
          <w:rFonts w:ascii="Arial" w:cs="Arial" w:eastAsia="Arial" w:hAnsi="Arial"/>
          <w:sz w:val="18"/>
          <w:szCs w:val="18"/>
          <w:color w:val="auto"/>
        </w:rPr>
        <w:t>Jake Suski</w:t>
      </w:r>
    </w:p>
    <w:p>
      <w:pPr>
        <w:spacing w:after="0" w:line="9" w:lineRule="exact"/>
        <w:rPr>
          <w:sz w:val="20"/>
          <w:szCs w:val="20"/>
          <w:color w:val="auto"/>
        </w:rPr>
      </w:pPr>
    </w:p>
    <w:p>
      <w:pPr>
        <w:ind w:left="7" w:right="8720" w:hanging="7"/>
        <w:spacing w:after="0" w:line="302" w:lineRule="auto"/>
        <w:tabs>
          <w:tab w:leader="none" w:pos="442"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268-7403 </w:t>
      </w:r>
      <w:r>
        <w:rPr>
          <w:rFonts w:ascii="Arial" w:cs="Arial" w:eastAsia="Arial" w:hAnsi="Arial"/>
          <w:sz w:val="16"/>
          <w:szCs w:val="16"/>
          <w:u w:val="single" w:color="auto"/>
          <w:color w:val="auto"/>
        </w:rPr>
        <w:t xml:space="preserve">press@newfortressenergy.com </w:t>
      </w:r>
      <w:r>
        <w:rPr>
          <w:rFonts w:ascii="Arial" w:cs="Arial" w:eastAsia="Arial" w:hAnsi="Arial"/>
          <w:sz w:val="16"/>
          <w:szCs w:val="16"/>
          <w:color w:val="auto"/>
        </w:rPr>
        <w:t>Source: 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304800</wp:posOffset>
            </wp:positionV>
            <wp:extent cx="70891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sectPr>
      <w:pgSz w:w="11900" w:h="16838" w:orient="portrait"/>
      <w:cols w:equalWidth="0" w:num="1">
        <w:col w:w="11167"/>
      </w:cols>
      <w:pgMar w:left="393" w:top="2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212"/>
    </w:lvl>
  </w:abstractNum>
  <w:abstractNum w:abstractNumId="2">
    <w:nsid w:val="2AE8944A"/>
    <w:multiLevelType w:val="hybridMultilevel"/>
    <w:lvl w:ilvl="0">
      <w:lvlJc w:val="left"/>
      <w:lvlText w:val="(%1)"/>
      <w:numFmt w:val="decimal"/>
      <w:start w:val="516"/>
    </w:lvl>
  </w:abstractNum>
  <w:abstractNum w:abstractNumId="3">
    <w:nsid w:val="625558EC"/>
    <w:multiLevelType w:val="hybridMultilevel"/>
    <w:lvl w:ilvl="0">
      <w:lvlJc w:val="left"/>
      <w:lvlText w:val="(%1)"/>
      <w:numFmt w:val="decimal"/>
      <w:start w:val="51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2021-03-25T17:46:17Z</dcterms:created>
  <dcterms:modified xsi:type="dcterms:W3CDTF">2021-03-25T17:46:17Z</dcterms:modified>
</cp:coreProperties>
</file>