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5"/>
          <w:szCs w:val="25"/>
          <w:b w:val="1"/>
          <w:bCs w:val="1"/>
          <w:color w:val="auto"/>
        </w:rPr>
        <w:t>UNITED STATES</w:t>
      </w:r>
    </w:p>
    <w:p>
      <w:pPr>
        <w:spacing w:after="0" w:line="12"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179"/>
        <w:spacing w:after="0" w:line="22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jc w:val="center"/>
        <w:ind w:right="-179"/>
        <w:spacing w:after="0" w:line="238" w:lineRule="auto"/>
        <w:rPr>
          <w:sz w:val="20"/>
          <w:szCs w:val="20"/>
          <w:color w:val="auto"/>
        </w:rPr>
      </w:pPr>
      <w:r>
        <w:rPr>
          <w:rFonts w:ascii="Arial" w:cs="Arial" w:eastAsia="Arial" w:hAnsi="Arial"/>
          <w:sz w:val="18"/>
          <w:szCs w:val="18"/>
          <w:b w:val="1"/>
          <w:bCs w:val="1"/>
          <w:color w:val="auto"/>
        </w:rPr>
        <w:t>CURRENT REPORT</w:t>
      </w:r>
    </w:p>
    <w:p>
      <w:pPr>
        <w:jc w:val="center"/>
        <w:ind w:right="-179"/>
        <w:spacing w:after="0" w:line="235" w:lineRule="auto"/>
        <w:rPr>
          <w:sz w:val="20"/>
          <w:szCs w:val="20"/>
          <w:color w:val="auto"/>
        </w:rPr>
      </w:pPr>
      <w:r>
        <w:rPr>
          <w:rFonts w:ascii="Arial" w:cs="Arial" w:eastAsia="Arial" w:hAnsi="Arial"/>
          <w:sz w:val="18"/>
          <w:szCs w:val="18"/>
          <w:b w:val="1"/>
          <w:bCs w:val="1"/>
          <w:color w:val="auto"/>
        </w:rPr>
        <w:t>PURSUANT TO SECTION 13 OR 15(D)</w:t>
      </w: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Report (Date of earliest event reported): May 4, 2022</w:t>
      </w:r>
    </w:p>
    <w:p>
      <w:pPr>
        <w:spacing w:after="0" w:line="213"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New Fortress Energy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080"/>
          </w:cols>
          <w:pgMar w:left="320" w:top="1035" w:right="499" w:bottom="1440" w:gutter="0" w:footer="0" w:header="0"/>
        </w:sectPr>
      </w:pPr>
    </w:p>
    <w:p>
      <w:pPr>
        <w:spacing w:after="0" w:line="273" w:lineRule="exact"/>
        <w:rPr>
          <w:sz w:val="24"/>
          <w:szCs w:val="24"/>
          <w:color w:val="auto"/>
        </w:rPr>
      </w:pPr>
    </w:p>
    <w:p>
      <w:pPr>
        <w:ind w:left="17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00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72" w:lineRule="exact"/>
        <w:rPr>
          <w:sz w:val="24"/>
          <w:szCs w:val="24"/>
          <w:color w:val="auto"/>
        </w:rPr>
      </w:pPr>
    </w:p>
    <w:p>
      <w:pPr>
        <w:sectPr>
          <w:pgSz w:w="11900" w:h="16838" w:orient="portrait"/>
          <w:cols w:equalWidth="0" w:num="3">
            <w:col w:w="4620" w:space="720"/>
            <w:col w:w="2780" w:space="720"/>
            <w:col w:w="2240"/>
          </w:cols>
          <w:pgMar w:left="320" w:top="1035" w:right="499" w:bottom="1440" w:gutter="0" w:footer="0" w:header="0"/>
          <w:type w:val="continuous"/>
        </w:sectPr>
      </w:pPr>
    </w:p>
    <w:p>
      <w:pPr>
        <w:ind w:left="76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35" w:right="499" w:bottom="1440" w:gutter="0" w:footer="0" w:header="0"/>
          <w:type w:val="continuous"/>
        </w:sectPr>
      </w:pPr>
    </w:p>
    <w:p>
      <w:pPr>
        <w:spacing w:after="0" w:line="231" w:lineRule="exact"/>
        <w:rPr>
          <w:sz w:val="24"/>
          <w:szCs w:val="24"/>
          <w:color w:val="auto"/>
        </w:rPr>
      </w:pPr>
    </w:p>
    <w:p>
      <w:pPr>
        <w:jc w:val="center"/>
        <w:ind w:right="1140"/>
        <w:spacing w:after="0"/>
        <w:rPr>
          <w:sz w:val="20"/>
          <w:szCs w:val="20"/>
          <w:color w:val="auto"/>
        </w:rPr>
      </w:pPr>
      <w:r>
        <w:rPr>
          <w:rFonts w:ascii="Arial" w:cs="Arial" w:eastAsia="Arial" w:hAnsi="Arial"/>
          <w:sz w:val="16"/>
          <w:szCs w:val="16"/>
          <w:b w:val="1"/>
          <w:bCs w:val="1"/>
          <w:color w:val="auto"/>
        </w:rPr>
        <w:t>111 W. 19th Street, 8th Floor</w:t>
      </w:r>
    </w:p>
    <w:p>
      <w:pPr>
        <w:spacing w:after="0" w:line="39"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10011</w:t>
      </w:r>
    </w:p>
    <w:p>
      <w:pPr>
        <w:spacing w:after="0" w:line="88" w:lineRule="exact"/>
        <w:rPr>
          <w:sz w:val="24"/>
          <w:szCs w:val="24"/>
          <w:color w:val="auto"/>
        </w:rPr>
      </w:pPr>
    </w:p>
    <w:p>
      <w:pPr>
        <w:sectPr>
          <w:pgSz w:w="11900" w:h="16838" w:orient="portrait"/>
          <w:cols w:equalWidth="0" w:num="2">
            <w:col w:w="8300" w:space="720"/>
            <w:col w:w="2060"/>
          </w:cols>
          <w:pgMar w:left="320" w:top="1035" w:right="499" w:bottom="1440" w:gutter="0" w:footer="0" w:header="0"/>
          <w:type w:val="continuous"/>
        </w:sectPr>
      </w:pPr>
    </w:p>
    <w:p>
      <w:pPr>
        <w:ind w:left="21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23" w:lineRule="exact"/>
        <w:rPr>
          <w:sz w:val="24"/>
          <w:szCs w:val="24"/>
          <w:color w:val="auto"/>
        </w:rPr>
      </w:pPr>
    </w:p>
    <w:p>
      <w:pPr>
        <w:sectPr>
          <w:pgSz w:w="11900" w:h="16838" w:orient="portrait"/>
          <w:cols w:equalWidth="0" w:num="2">
            <w:col w:w="8120" w:space="720"/>
            <w:col w:w="2240"/>
          </w:cols>
          <w:pgMar w:left="320" w:top="1035"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(516) 268-7400</w:t>
      </w:r>
    </w:p>
    <w:p>
      <w:pPr>
        <w:sectPr>
          <w:pgSz w:w="11900" w:h="16838" w:orient="portrait"/>
          <w:cols w:equalWidth="0" w:num="1">
            <w:col w:w="11080"/>
          </w:cols>
          <w:pgMar w:left="320" w:top="1035" w:right="499"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right="52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52"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5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322" w:lineRule="exact"/>
        <w:rPr>
          <w:sz w:val="24"/>
          <w:szCs w:val="24"/>
          <w:color w:val="auto"/>
        </w:rPr>
      </w:pPr>
    </w:p>
    <w:tbl>
      <w:tblPr>
        <w:tblLayout w:type="fixed"/>
        <w:tblInd w:w="88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color w:val="auto"/>
                <w:w w:val="91"/>
              </w:rPr>
              <w:t>Trading Symbol(s)</w:t>
            </w:r>
          </w:p>
        </w:tc>
        <w:tc>
          <w:tcPr>
            <w:tcW w:w="39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3480" w:type="dxa"/>
            <w:vAlign w:val="bottom"/>
            <w:gridSpan w:val="3"/>
          </w:tcPr>
          <w:p>
            <w:pPr>
              <w:jc w:val="center"/>
              <w:ind w:right="1740"/>
              <w:spacing w:after="0"/>
              <w:rPr>
                <w:sz w:val="20"/>
                <w:szCs w:val="20"/>
                <w:color w:val="auto"/>
              </w:rPr>
            </w:pPr>
            <w:r>
              <w:rPr>
                <w:rFonts w:ascii="Arial" w:cs="Arial" w:eastAsia="Arial" w:hAnsi="Arial"/>
                <w:sz w:val="18"/>
                <w:szCs w:val="18"/>
                <w:b w:val="1"/>
                <w:bCs w:val="1"/>
                <w:color w:val="auto"/>
                <w:w w:val="87"/>
              </w:rPr>
              <w:t>Class A common stock</w:t>
            </w:r>
          </w:p>
        </w:tc>
        <w:tc>
          <w:tcPr>
            <w:tcW w:w="21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“NFE”</w:t>
            </w:r>
          </w:p>
        </w:tc>
        <w:tc>
          <w:tcPr>
            <w:tcW w:w="80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r>
    </w:tbl>
    <w:p>
      <w:pPr>
        <w:spacing w:after="0" w:line="200" w:lineRule="exact"/>
        <w:rPr>
          <w:sz w:val="24"/>
          <w:szCs w:val="24"/>
          <w:color w:val="auto"/>
        </w:rPr>
      </w:pPr>
    </w:p>
    <w:p>
      <w:pPr>
        <w:spacing w:after="0" w:line="380" w:lineRule="exact"/>
        <w:rPr>
          <w:sz w:val="24"/>
          <w:szCs w:val="24"/>
          <w:color w:val="auto"/>
        </w:rPr>
      </w:pPr>
    </w:p>
    <w:p>
      <w:pPr>
        <w:ind w:right="3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35" w:right="49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3" w:lineRule="exact"/>
        <w:rPr>
          <w:sz w:val="20"/>
          <w:szCs w:val="20"/>
          <w:color w:val="auto"/>
        </w:rPr>
      </w:pPr>
    </w:p>
    <w:p>
      <w:pPr>
        <w:jc w:val="both"/>
        <w:ind w:right="300" w:firstLine="486"/>
        <w:spacing w:after="0" w:line="248" w:lineRule="auto"/>
        <w:rPr>
          <w:sz w:val="20"/>
          <w:szCs w:val="20"/>
          <w:color w:val="auto"/>
        </w:rPr>
      </w:pPr>
      <w:r>
        <w:rPr>
          <w:rFonts w:ascii="Arial" w:cs="Arial" w:eastAsia="Arial" w:hAnsi="Arial"/>
          <w:sz w:val="18"/>
          <w:szCs w:val="18"/>
          <w:color w:val="auto"/>
        </w:rPr>
        <w:t>On May 4, 2022, New Fortress Energy Inc. (“NFE” or the “Company”) issued a press release announcing the Company’s financial and operating results for its fiscal quarter ended March 31, 2022. A copy of the Company’s press release is attached to this Current Report on Form 8-K (the “Current Report”) as Exhibit 99.1 and is incorporated herein solely for purposes of this Item 2.02 disclosure.</w:t>
      </w:r>
    </w:p>
    <w:p>
      <w:pPr>
        <w:spacing w:after="0" w:line="200" w:lineRule="exact"/>
        <w:rPr>
          <w:sz w:val="20"/>
          <w:szCs w:val="20"/>
          <w:color w:val="auto"/>
        </w:rPr>
      </w:pPr>
    </w:p>
    <w:p>
      <w:pPr>
        <w:spacing w:after="0" w:line="252" w:lineRule="exact"/>
        <w:rPr>
          <w:sz w:val="20"/>
          <w:szCs w:val="20"/>
          <w:color w:val="auto"/>
        </w:rPr>
      </w:pPr>
    </w:p>
    <w:p>
      <w:pPr>
        <w:ind w:right="240" w:firstLine="486"/>
        <w:spacing w:after="0" w:line="243" w:lineRule="auto"/>
        <w:rPr>
          <w:sz w:val="20"/>
          <w:szCs w:val="20"/>
          <w:color w:val="auto"/>
        </w:rPr>
      </w:pPr>
      <w:r>
        <w:rPr>
          <w:rFonts w:ascii="Arial" w:cs="Arial" w:eastAsia="Arial" w:hAnsi="Arial"/>
          <w:sz w:val="18"/>
          <w:szCs w:val="18"/>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200" w:lineRule="exact"/>
        <w:rPr>
          <w:sz w:val="20"/>
          <w:szCs w:val="20"/>
          <w:color w:val="auto"/>
        </w:rPr>
      </w:pPr>
    </w:p>
    <w:p>
      <w:pPr>
        <w:spacing w:after="0" w:line="25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3"/>
              </w:rPr>
              <w:t>Exhibit</w:t>
            </w:r>
          </w:p>
        </w:tc>
        <w:tc>
          <w:tcPr>
            <w:tcW w:w="10260" w:type="dxa"/>
            <w:vAlign w:val="bottom"/>
          </w:tcPr>
          <w:p>
            <w:pPr>
              <w:spacing w:after="0"/>
              <w:rPr>
                <w:sz w:val="17"/>
                <w:szCs w:val="17"/>
                <w:color w:val="auto"/>
              </w:rPr>
            </w:pPr>
          </w:p>
        </w:tc>
      </w:tr>
      <w:tr>
        <w:trPr>
          <w:trHeight w:val="255"/>
        </w:trPr>
        <w:tc>
          <w:tcPr>
            <w:tcW w:w="280" w:type="dxa"/>
            <w:vAlign w:val="bottom"/>
          </w:tcPr>
          <w:p>
            <w:pPr>
              <w:spacing w:after="0"/>
              <w:rPr>
                <w:sz w:val="22"/>
                <w:szCs w:val="22"/>
                <w:color w:val="auto"/>
              </w:rPr>
            </w:pPr>
          </w:p>
        </w:tc>
        <w:tc>
          <w:tcPr>
            <w:tcW w:w="7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No.</w:t>
            </w:r>
          </w:p>
        </w:tc>
        <w:tc>
          <w:tcPr>
            <w:tcW w:w="10260" w:type="dxa"/>
            <w:vAlign w:val="bottom"/>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203"/>
        </w:trPr>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0000FF"/>
            </w:tcBorders>
          </w:tcPr>
          <w:p>
            <w:pPr>
              <w:jc w:val="center"/>
              <w:spacing w:after="0" w:line="202" w:lineRule="exact"/>
              <w:rPr>
                <w:rFonts w:ascii="Arial" w:cs="Arial" w:eastAsia="Arial" w:hAnsi="Arial"/>
                <w:sz w:val="18"/>
                <w:szCs w:val="18"/>
                <w:color w:val="0000FF"/>
                <w:w w:val="85"/>
              </w:rPr>
            </w:pPr>
            <w:hyperlink w:anchor="page4">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60" w:type="dxa"/>
            <w:vAlign w:val="bottom"/>
            <w:tcBorders>
              <w:top w:val="single" w:sz="8" w:color="auto"/>
            </w:tcBorders>
          </w:tcPr>
          <w:p>
            <w:pPr>
              <w:ind w:left="20"/>
              <w:spacing w:after="0" w:line="202" w:lineRule="exact"/>
              <w:rPr>
                <w:sz w:val="20"/>
                <w:szCs w:val="20"/>
                <w:color w:val="auto"/>
              </w:rPr>
            </w:pPr>
            <w:r>
              <w:rPr>
                <w:rFonts w:ascii="Arial" w:cs="Arial" w:eastAsia="Arial" w:hAnsi="Arial"/>
                <w:sz w:val="18"/>
                <w:szCs w:val="18"/>
                <w:color w:val="auto"/>
              </w:rPr>
              <w:t>Press Release, dated May 4, 2022, issued by New Fortress Energy Inc.</w:t>
            </w:r>
          </w:p>
        </w:tc>
      </w:tr>
      <w:tr>
        <w:trPr>
          <w:trHeight w:val="277"/>
        </w:trPr>
        <w:tc>
          <w:tcPr>
            <w:tcW w:w="6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276"/>
        </w:trPr>
        <w:tc>
          <w:tcPr>
            <w:tcW w:w="2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firstLine="486"/>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8120" w:type="dxa"/>
            <w:vAlign w:val="bottom"/>
            <w:gridSpan w:val="2"/>
          </w:tcPr>
          <w:p>
            <w:pPr>
              <w:ind w:left="2160"/>
              <w:spacing w:after="0"/>
              <w:rPr>
                <w:sz w:val="20"/>
                <w:szCs w:val="20"/>
                <w:color w:val="auto"/>
              </w:rPr>
            </w:pPr>
            <w:r>
              <w:rPr>
                <w:rFonts w:ascii="Arial" w:cs="Arial" w:eastAsia="Arial" w:hAnsi="Arial"/>
                <w:sz w:val="18"/>
                <w:szCs w:val="18"/>
                <w:b w:val="1"/>
                <w:bCs w:val="1"/>
                <w:color w:val="auto"/>
              </w:rPr>
              <w:t>NEW FORTRESS ENERGY INC.</w:t>
            </w:r>
          </w:p>
        </w:tc>
      </w:tr>
      <w:tr>
        <w:trPr>
          <w:trHeight w:val="533"/>
        </w:trPr>
        <w:tc>
          <w:tcPr>
            <w:tcW w:w="3080" w:type="dxa"/>
            <w:vAlign w:val="bottom"/>
          </w:tcPr>
          <w:p>
            <w:pPr>
              <w:spacing w:after="0"/>
              <w:rPr>
                <w:sz w:val="20"/>
                <w:szCs w:val="20"/>
                <w:color w:val="auto"/>
              </w:rPr>
            </w:pPr>
            <w:r>
              <w:rPr>
                <w:rFonts w:ascii="Arial" w:cs="Arial" w:eastAsia="Arial" w:hAnsi="Arial"/>
                <w:sz w:val="18"/>
                <w:szCs w:val="18"/>
                <w:color w:val="auto"/>
              </w:rPr>
              <w:t>May 5, 2022</w:t>
            </w:r>
          </w:p>
        </w:tc>
        <w:tc>
          <w:tcPr>
            <w:tcW w:w="2880" w:type="dxa"/>
            <w:vAlign w:val="bottom"/>
          </w:tcPr>
          <w:p>
            <w:pPr>
              <w:ind w:left="21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S. Guinta</w:t>
            </w:r>
          </w:p>
        </w:tc>
      </w:tr>
      <w:tr>
        <w:trPr>
          <w:trHeight w:val="243"/>
        </w:trPr>
        <w:tc>
          <w:tcPr>
            <w:tcW w:w="3080" w:type="dxa"/>
            <w:vAlign w:val="bottom"/>
          </w:tcPr>
          <w:p>
            <w:pPr>
              <w:spacing w:after="0"/>
              <w:rPr>
                <w:sz w:val="21"/>
                <w:szCs w:val="21"/>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Name:</w:t>
            </w:r>
          </w:p>
        </w:tc>
        <w:tc>
          <w:tcPr>
            <w:tcW w:w="5240" w:type="dxa"/>
            <w:vAlign w:val="bottom"/>
          </w:tcPr>
          <w:p>
            <w:pPr>
              <w:ind w:left="20"/>
              <w:spacing w:after="0"/>
              <w:rPr>
                <w:sz w:val="20"/>
                <w:szCs w:val="20"/>
                <w:color w:val="auto"/>
              </w:rPr>
            </w:pPr>
            <w:r>
              <w:rPr>
                <w:rFonts w:ascii="Arial" w:cs="Arial" w:eastAsia="Arial" w:hAnsi="Arial"/>
                <w:sz w:val="18"/>
                <w:szCs w:val="18"/>
                <w:color w:val="auto"/>
              </w:rPr>
              <w:t>Christopher S. Guinta</w:t>
            </w:r>
          </w:p>
        </w:tc>
      </w:tr>
      <w:tr>
        <w:trPr>
          <w:trHeight w:val="257"/>
        </w:trPr>
        <w:tc>
          <w:tcPr>
            <w:tcW w:w="3080" w:type="dxa"/>
            <w:vAlign w:val="bottom"/>
          </w:tcPr>
          <w:p>
            <w:pPr>
              <w:spacing w:after="0"/>
              <w:rPr>
                <w:sz w:val="22"/>
                <w:szCs w:val="22"/>
                <w:color w:val="auto"/>
              </w:rPr>
            </w:pPr>
          </w:p>
        </w:tc>
        <w:tc>
          <w:tcPr>
            <w:tcW w:w="2880" w:type="dxa"/>
            <w:vAlign w:val="bottom"/>
          </w:tcPr>
          <w:p>
            <w:pPr>
              <w:ind w:left="2160"/>
              <w:spacing w:after="0"/>
              <w:rPr>
                <w:sz w:val="20"/>
                <w:szCs w:val="20"/>
                <w:color w:val="auto"/>
              </w:rPr>
            </w:pPr>
            <w:r>
              <w:rPr>
                <w:rFonts w:ascii="Arial" w:cs="Arial" w:eastAsia="Arial" w:hAnsi="Arial"/>
                <w:sz w:val="18"/>
                <w:szCs w:val="18"/>
                <w:color w:val="auto"/>
              </w:rPr>
              <w:t>Title:</w:t>
            </w: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931"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111 W 19</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Street, 8</w:t>
      </w:r>
      <w:r>
        <w:rPr>
          <w:rFonts w:ascii="Arial" w:cs="Arial" w:eastAsia="Arial" w:hAnsi="Arial"/>
          <w:sz w:val="28"/>
          <w:szCs w:val="28"/>
          <w:color w:val="auto"/>
          <w:vertAlign w:val="superscript"/>
        </w:rPr>
        <w:t>th</w:t>
      </w:r>
      <w:r>
        <w:rPr>
          <w:rFonts w:ascii="Arial" w:cs="Arial" w:eastAsia="Arial" w:hAnsi="Arial"/>
          <w:sz w:val="18"/>
          <w:szCs w:val="18"/>
          <w:color w:val="auto"/>
        </w:rPr>
        <w:t xml:space="preserve">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1071245"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1245" cy="265430"/>
                    </a:xfrm>
                    <a:prstGeom prst="rect">
                      <a:avLst/>
                    </a:prstGeom>
                    <a:noFill/>
                  </pic:spPr>
                </pic:pic>
              </a:graphicData>
            </a:graphic>
          </wp:anchor>
        </w:drawing>
      </w:r>
    </w:p>
    <w:p>
      <w:pPr>
        <w:jc w:val="right"/>
        <w:ind w:right="20"/>
        <w:spacing w:after="0"/>
        <w:rPr>
          <w:sz w:val="20"/>
          <w:szCs w:val="20"/>
          <w:color w:val="auto"/>
        </w:rPr>
      </w:pPr>
      <w:r>
        <w:rPr>
          <w:rFonts w:ascii="Arial" w:cs="Arial" w:eastAsia="Arial" w:hAnsi="Arial"/>
          <w:sz w:val="18"/>
          <w:szCs w:val="18"/>
          <w:color w:val="auto"/>
        </w:rPr>
        <w:t>New York, NY 10011</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Fortress Energy Announces First Quarter 2022 Results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NEW YORK -- New Fortress Energy Inc. (NASDAQ: NFE) (“NFE” or the “Company”) today reported its financial results for the first quarter of 2022.</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Highlights</w:t>
      </w:r>
    </w:p>
    <w:p>
      <w:pPr>
        <w:spacing w:after="0" w:line="243" w:lineRule="exact"/>
        <w:rPr>
          <w:sz w:val="20"/>
          <w:szCs w:val="20"/>
          <w:color w:val="auto"/>
        </w:rPr>
      </w:pPr>
    </w:p>
    <w:p>
      <w:pPr>
        <w:ind w:left="260" w:hanging="252"/>
        <w:spacing w:after="0" w:line="244"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Q1 2022 net cash flow from operations of $114 million, net income of approximately $241 million and EPS of $1.13 per share on a fully diluted basis</w:t>
      </w:r>
    </w:p>
    <w:p>
      <w:pPr>
        <w:ind w:left="240" w:hanging="232"/>
        <w:spacing w:after="0" w:line="234"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Q1 2022 Adjusted EBITDA of approximately $258 million (six-months trailing of $592 million)</w:t>
      </w:r>
    </w:p>
    <w:p>
      <w:pPr>
        <w:ind w:left="240" w:hanging="232"/>
        <w:spacing w:after="0" w:line="192" w:lineRule="auto"/>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Reiterated on-track to achieve illustrative full-year 2022 and 2023 Adjusted EBITDA targets</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of $1.0+ billion and $1.5+ billion, respectively</w:t>
      </w:r>
    </w:p>
    <w:p>
      <w:pPr>
        <w:ind w:left="240" w:hanging="232"/>
        <w:spacing w:after="0"/>
        <w:tabs>
          <w:tab w:leader="none" w:pos="240" w:val="left"/>
        </w:tabs>
        <w:numPr>
          <w:ilvl w:val="0"/>
          <w:numId w:val="3"/>
        </w:numPr>
        <w:rPr>
          <w:rFonts w:ascii="Arial" w:cs="Arial" w:eastAsia="Arial" w:hAnsi="Arial"/>
          <w:sz w:val="17"/>
          <w:szCs w:val="17"/>
          <w:color w:val="auto"/>
        </w:rPr>
      </w:pPr>
      <w:r>
        <w:rPr>
          <w:rFonts w:ascii="Arial" w:cs="Arial" w:eastAsia="Arial" w:hAnsi="Arial"/>
          <w:sz w:val="17"/>
          <w:szCs w:val="17"/>
          <w:color w:val="auto"/>
        </w:rPr>
        <w:t>NFE’s Board of Directors approved a dividend of $0.10 per share, with a record date of June 14, 2022 and a payment date of June 28, 2022</w:t>
      </w:r>
    </w:p>
    <w:p>
      <w:pPr>
        <w:spacing w:after="0" w:line="7" w:lineRule="exact"/>
        <w:rPr>
          <w:rFonts w:ascii="Arial" w:cs="Arial" w:eastAsia="Arial" w:hAnsi="Arial"/>
          <w:sz w:val="17"/>
          <w:szCs w:val="17"/>
          <w:color w:val="auto"/>
        </w:rPr>
      </w:pPr>
    </w:p>
    <w:p>
      <w:pPr>
        <w:ind w:left="240" w:hanging="232"/>
        <w:spacing w:after="0" w:line="234"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execute across multiple strategic initiatives. Within the past 60 days:</w:t>
      </w:r>
    </w:p>
    <w:p>
      <w:pPr>
        <w:ind w:left="580" w:hanging="248"/>
        <w:spacing w:after="0" w:line="234" w:lineRule="auto"/>
        <w:tabs>
          <w:tab w:leader="none" w:pos="603" w:val="left"/>
        </w:tabs>
        <w:numPr>
          <w:ilvl w:val="1"/>
          <w:numId w:val="3"/>
        </w:numPr>
        <w:rPr>
          <w:rFonts w:ascii="Arial" w:cs="Arial" w:eastAsia="Arial" w:hAnsi="Arial"/>
          <w:sz w:val="18"/>
          <w:szCs w:val="18"/>
          <w:color w:val="auto"/>
        </w:rPr>
      </w:pPr>
      <w:r>
        <w:rPr>
          <w:rFonts w:ascii="Arial" w:cs="Arial" w:eastAsia="Arial" w:hAnsi="Arial"/>
          <w:sz w:val="18"/>
          <w:szCs w:val="18"/>
          <w:color w:val="auto"/>
        </w:rPr>
        <w:t>Accelerated optimization initiatives associated with NFE’s floating storage and regasification (FSRU) ships portfolio – 9 FSRUs in total (6 operational, 3 conversion candidates), 3 open / coming open in 2022</w:t>
      </w:r>
    </w:p>
    <w:p>
      <w:pPr>
        <w:spacing w:after="0" w:line="1" w:lineRule="exact"/>
        <w:rPr>
          <w:rFonts w:ascii="Arial" w:cs="Arial" w:eastAsia="Arial" w:hAnsi="Arial"/>
          <w:sz w:val="18"/>
          <w:szCs w:val="18"/>
          <w:color w:val="auto"/>
        </w:rPr>
      </w:pPr>
    </w:p>
    <w:p>
      <w:pPr>
        <w:ind w:left="580" w:right="20" w:hanging="248"/>
        <w:spacing w:after="0" w:line="234" w:lineRule="auto"/>
        <w:tabs>
          <w:tab w:leader="none" w:pos="576" w:val="left"/>
        </w:tabs>
        <w:numPr>
          <w:ilvl w:val="1"/>
          <w:numId w:val="3"/>
        </w:numPr>
        <w:rPr>
          <w:rFonts w:ascii="Arial" w:cs="Arial" w:eastAsia="Arial" w:hAnsi="Arial"/>
          <w:sz w:val="18"/>
          <w:szCs w:val="18"/>
          <w:color w:val="auto"/>
        </w:rPr>
      </w:pPr>
      <w:r>
        <w:rPr>
          <w:rFonts w:ascii="Arial" w:cs="Arial" w:eastAsia="Arial" w:hAnsi="Arial"/>
          <w:sz w:val="18"/>
          <w:szCs w:val="18"/>
          <w:color w:val="auto"/>
        </w:rPr>
        <w:t>Executed two 20-year sale and purchase agreements with Venture Global for total 2 million tonnes per annum (mtpa) of LNG supply on free-on-board basis (FOB) from announced / expected onshore Louisiana LNG facilities</w:t>
      </w:r>
    </w:p>
    <w:p>
      <w:pPr>
        <w:spacing w:after="0" w:line="1" w:lineRule="exact"/>
        <w:rPr>
          <w:rFonts w:ascii="Arial" w:cs="Arial" w:eastAsia="Arial" w:hAnsi="Arial"/>
          <w:sz w:val="18"/>
          <w:szCs w:val="18"/>
          <w:color w:val="auto"/>
        </w:rPr>
      </w:pPr>
    </w:p>
    <w:p>
      <w:pPr>
        <w:ind w:left="580" w:hanging="248"/>
        <w:spacing w:after="0" w:line="234" w:lineRule="auto"/>
        <w:tabs>
          <w:tab w:leader="none" w:pos="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Materially progressed Fast LNG liquefaction FID projects (Fast LNG 1-3) and new Fast LNG opportunities:</w:t>
      </w:r>
    </w:p>
    <w:p>
      <w:pPr>
        <w:ind w:left="980" w:hanging="243"/>
        <w:spacing w:after="0" w:line="206" w:lineRule="auto"/>
        <w:tabs>
          <w:tab w:leader="none" w:pos="976" w:val="left"/>
        </w:tabs>
        <w:numPr>
          <w:ilvl w:val="2"/>
          <w:numId w:val="3"/>
        </w:numPr>
        <w:rPr>
          <w:rFonts w:ascii="Arial" w:cs="Arial" w:eastAsia="Arial" w:hAnsi="Arial"/>
          <w:sz w:val="18"/>
          <w:szCs w:val="18"/>
          <w:color w:val="auto"/>
        </w:rPr>
      </w:pPr>
      <w:r>
        <w:rPr>
          <w:rFonts w:ascii="Arial" w:cs="Arial" w:eastAsia="Arial" w:hAnsi="Arial"/>
          <w:sz w:val="18"/>
          <w:szCs w:val="18"/>
          <w:color w:val="auto"/>
        </w:rPr>
        <w:t>Advanced commercial discussions with Eni</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for 1.4 mtpa (tolling arrangement with 50% offtake rights to NFE per signed MOU announced 2/28)</w:t>
      </w:r>
    </w:p>
    <w:p>
      <w:pPr>
        <w:ind w:left="980" w:hanging="243"/>
        <w:spacing w:after="0" w:line="234" w:lineRule="auto"/>
        <w:tabs>
          <w:tab w:leader="none" w:pos="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Filed permit applications for 2.8 mtpa deployment offshore Louisiana (100% merchant to NFE, targeted initial in-service 1Q23)</w:t>
      </w:r>
    </w:p>
    <w:p>
      <w:pPr>
        <w:ind w:left="980" w:right="20" w:hanging="243"/>
        <w:spacing w:after="0" w:line="234" w:lineRule="auto"/>
        <w:tabs>
          <w:tab w:leader="none" w:pos="976" w:val="left"/>
        </w:tabs>
        <w:numPr>
          <w:ilvl w:val="2"/>
          <w:numId w:val="3"/>
        </w:numPr>
        <w:rPr>
          <w:rFonts w:ascii="Arial" w:cs="Arial" w:eastAsia="Arial" w:hAnsi="Arial"/>
          <w:sz w:val="18"/>
          <w:szCs w:val="18"/>
          <w:color w:val="auto"/>
        </w:rPr>
      </w:pPr>
      <w:r>
        <w:rPr>
          <w:rFonts w:ascii="Arial" w:cs="Arial" w:eastAsia="Arial" w:hAnsi="Arial"/>
          <w:sz w:val="18"/>
          <w:szCs w:val="18"/>
          <w:color w:val="auto"/>
        </w:rPr>
        <w:t>Long-lead procurement items for Fast LNG units 2 and 3 have been placed; on schedule with construction activities to place 2 Fast LNG units into service in 2023</w:t>
      </w:r>
    </w:p>
    <w:p>
      <w:pPr>
        <w:spacing w:after="0" w:line="1" w:lineRule="exact"/>
        <w:rPr>
          <w:rFonts w:ascii="Arial" w:cs="Arial" w:eastAsia="Arial" w:hAnsi="Arial"/>
          <w:sz w:val="18"/>
          <w:szCs w:val="18"/>
          <w:color w:val="auto"/>
        </w:rPr>
      </w:pPr>
    </w:p>
    <w:p>
      <w:pPr>
        <w:ind w:left="980" w:hanging="243"/>
        <w:spacing w:after="0" w:line="234" w:lineRule="auto"/>
        <w:tabs>
          <w:tab w:leader="none" w:pos="980" w:val="left"/>
        </w:tabs>
        <w:numPr>
          <w:ilvl w:val="2"/>
          <w:numId w:val="3"/>
        </w:numPr>
        <w:rPr>
          <w:rFonts w:ascii="Arial" w:cs="Arial" w:eastAsia="Arial" w:hAnsi="Arial"/>
          <w:sz w:val="18"/>
          <w:szCs w:val="18"/>
          <w:color w:val="auto"/>
        </w:rPr>
      </w:pPr>
      <w:r>
        <w:rPr>
          <w:rFonts w:ascii="Arial" w:cs="Arial" w:eastAsia="Arial" w:hAnsi="Arial"/>
          <w:sz w:val="18"/>
          <w:szCs w:val="18"/>
          <w:color w:val="auto"/>
        </w:rPr>
        <w:t>Advanced pre-application progress for 6 additional Fast LNG permits (1.4 mtpa each) for offshore U.S. Gulf Coast deployment</w:t>
      </w:r>
    </w:p>
    <w:p>
      <w:pPr>
        <w:ind w:left="660" w:hanging="328"/>
        <w:spacing w:after="0" w:line="212" w:lineRule="auto"/>
        <w:tabs>
          <w:tab w:leader="none" w:pos="670" w:val="left"/>
        </w:tabs>
        <w:numPr>
          <w:ilvl w:val="1"/>
          <w:numId w:val="3"/>
        </w:numPr>
        <w:rPr>
          <w:rFonts w:ascii="Arial" w:cs="Arial" w:eastAsia="Arial" w:hAnsi="Arial"/>
          <w:sz w:val="18"/>
          <w:szCs w:val="18"/>
          <w:color w:val="auto"/>
        </w:rPr>
      </w:pPr>
      <w:r>
        <w:rPr>
          <w:rFonts w:ascii="Arial" w:cs="Arial" w:eastAsia="Arial" w:hAnsi="Arial"/>
          <w:sz w:val="18"/>
          <w:szCs w:val="18"/>
          <w:color w:val="auto"/>
        </w:rPr>
        <w:t>Advanced Zero Parks hydrogen business in-line with previously reported expectations; expect to reach FID</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and break ground on U.S. Gulf Coast green hydrogen project in Q2 2022</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Financial Highlights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84"/>
        </w:trPr>
        <w:tc>
          <w:tcPr>
            <w:tcW w:w="1580" w:type="dxa"/>
            <w:vAlign w:val="bottom"/>
            <w:tcBorders>
              <w:top w:val="single" w:sz="8" w:color="auto"/>
            </w:tcBorders>
          </w:tcPr>
          <w:p>
            <w:pPr>
              <w:spacing w:after="0"/>
              <w:rPr>
                <w:sz w:val="24"/>
                <w:szCs w:val="24"/>
                <w:color w:val="auto"/>
              </w:rPr>
            </w:pPr>
          </w:p>
        </w:tc>
        <w:tc>
          <w:tcPr>
            <w:tcW w:w="4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Three Months Ended</w:t>
            </w: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250"/>
        </w:trPr>
        <w:tc>
          <w:tcPr>
            <w:tcW w:w="59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i w:val="1"/>
                <w:iCs w:val="1"/>
                <w:color w:val="auto"/>
              </w:rPr>
              <w:t>(in millions, except Average Volumes)</w:t>
            </w:r>
          </w:p>
        </w:tc>
        <w:tc>
          <w:tcPr>
            <w:tcW w:w="1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6"/>
              </w:rPr>
              <w:t>March 31, 2021</w:t>
            </w: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8"/>
              </w:rPr>
              <w:t>December 31, 2021</w:t>
            </w: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March 31, 2022</w:t>
            </w:r>
          </w:p>
        </w:tc>
      </w:tr>
      <w:tr>
        <w:trPr>
          <w:trHeight w:val="257"/>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505.1</w:t>
            </w:r>
          </w:p>
        </w:tc>
      </w:tr>
      <w:tr>
        <w:trPr>
          <w:trHeight w:val="25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Net (loss)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151.7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63"/>
        </w:trPr>
        <w:tc>
          <w:tcPr>
            <w:tcW w:w="5940" w:type="dxa"/>
            <w:vAlign w:val="bottom"/>
            <w:gridSpan w:val="2"/>
            <w:shd w:val="clear" w:color="auto" w:fill="CCEEFF"/>
          </w:tcPr>
          <w:p>
            <w:pPr>
              <w:ind w:left="140"/>
              <w:spacing w:after="0" w:line="263" w:lineRule="exact"/>
              <w:rPr>
                <w:sz w:val="20"/>
                <w:szCs w:val="20"/>
                <w:color w:val="auto"/>
              </w:rPr>
            </w:pPr>
            <w:r>
              <w:rPr>
                <w:rFonts w:ascii="Arial" w:cs="Arial" w:eastAsia="Arial" w:hAnsi="Arial"/>
                <w:sz w:val="18"/>
                <w:szCs w:val="18"/>
                <w:color w:val="auto"/>
              </w:rPr>
              <w:t>Terminals and Infrastructure Segment Operating Margin</w:t>
            </w:r>
            <w:r>
              <w:rPr>
                <w:rFonts w:ascii="Arial" w:cs="Arial" w:eastAsia="Arial" w:hAnsi="Arial"/>
                <w:sz w:val="23"/>
                <w:szCs w:val="23"/>
                <w:color w:val="auto"/>
                <w:vertAlign w:val="superscript"/>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r>
      <w:tr>
        <w:trPr>
          <w:trHeight w:val="256"/>
        </w:trPr>
        <w:tc>
          <w:tcPr>
            <w:tcW w:w="5940" w:type="dxa"/>
            <w:vAlign w:val="bottom"/>
            <w:gridSpan w:val="2"/>
          </w:tcPr>
          <w:p>
            <w:pPr>
              <w:ind w:left="140"/>
              <w:spacing w:after="0" w:line="256" w:lineRule="exact"/>
              <w:rPr>
                <w:sz w:val="20"/>
                <w:szCs w:val="20"/>
                <w:color w:val="auto"/>
              </w:rPr>
            </w:pPr>
            <w:r>
              <w:rPr>
                <w:rFonts w:ascii="Arial" w:cs="Arial" w:eastAsia="Arial" w:hAnsi="Arial"/>
                <w:sz w:val="18"/>
                <w:szCs w:val="18"/>
                <w:color w:val="auto"/>
              </w:rPr>
              <w:t>Ships Segment Operating Margin</w:t>
            </w:r>
            <w:r>
              <w:rPr>
                <w:rFonts w:ascii="Arial" w:cs="Arial" w:eastAsia="Arial" w:hAnsi="Arial"/>
                <w:sz w:val="23"/>
                <w:szCs w:val="23"/>
                <w:color w:val="auto"/>
                <w:vertAlign w:val="superscript"/>
              </w:rPr>
              <w:t>(4)</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94.8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89.0</w:t>
            </w:r>
          </w:p>
        </w:tc>
      </w:tr>
      <w:tr>
        <w:trPr>
          <w:trHeight w:val="257"/>
        </w:trPr>
        <w:tc>
          <w:tcPr>
            <w:tcW w:w="5940" w:type="dxa"/>
            <w:vAlign w:val="bottom"/>
            <w:gridSpan w:val="2"/>
            <w:shd w:val="clear" w:color="auto" w:fill="CCEEFF"/>
          </w:tcPr>
          <w:p>
            <w:pPr>
              <w:ind w:left="20"/>
              <w:spacing w:after="0" w:line="256" w:lineRule="exact"/>
              <w:rPr>
                <w:sz w:val="20"/>
                <w:szCs w:val="20"/>
                <w:color w:val="auto"/>
              </w:rPr>
            </w:pPr>
            <w:r>
              <w:rPr>
                <w:rFonts w:ascii="Arial" w:cs="Arial" w:eastAsia="Arial" w:hAnsi="Arial"/>
                <w:sz w:val="18"/>
                <w:szCs w:val="18"/>
                <w:color w:val="auto"/>
              </w:rPr>
              <w:t>Total Segment Operating Margin</w:t>
            </w:r>
            <w:r>
              <w:rPr>
                <w:rFonts w:ascii="Arial" w:cs="Arial" w:eastAsia="Arial" w:hAnsi="Arial"/>
                <w:sz w:val="23"/>
                <w:szCs w:val="23"/>
                <w:color w:val="auto"/>
                <w:vertAlign w:val="superscript"/>
              </w:rPr>
              <w:t>(4)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r>
      <w:tr>
        <w:trPr>
          <w:trHeight w:val="256"/>
        </w:trPr>
        <w:tc>
          <w:tcPr>
            <w:tcW w:w="5940" w:type="dxa"/>
            <w:vAlign w:val="bottom"/>
            <w:gridSpan w:val="2"/>
          </w:tcPr>
          <w:p>
            <w:pPr>
              <w:ind w:left="20"/>
              <w:spacing w:after="0" w:line="256" w:lineRule="exact"/>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23"/>
                <w:szCs w:val="23"/>
                <w:b w:val="1"/>
                <w:bCs w:val="1"/>
                <w:color w:val="auto"/>
                <w:vertAlign w:val="superscript"/>
              </w:rPr>
              <w:t>(5)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6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334.0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257.7</w:t>
            </w:r>
          </w:p>
        </w:tc>
      </w:tr>
      <w:tr>
        <w:trPr>
          <w:trHeight w:val="257"/>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Volumes (k GPD)</w:t>
            </w: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1,440</w:t>
            </w:r>
          </w:p>
        </w:tc>
        <w:tc>
          <w:tcPr>
            <w:tcW w:w="16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2,881</w:t>
            </w:r>
          </w:p>
        </w:tc>
        <w:tc>
          <w:tcPr>
            <w:tcW w:w="24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r>
    </w:tbl>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Please refer to our Q1 2022 Investor Presentation (the “Presentation”) for further information about the following terms:</w:t>
      </w:r>
    </w:p>
    <w:p>
      <w:pPr>
        <w:spacing w:after="0" w:line="12" w:lineRule="exact"/>
        <w:rPr>
          <w:sz w:val="20"/>
          <w:szCs w:val="20"/>
          <w:color w:val="auto"/>
        </w:rPr>
      </w:pPr>
    </w:p>
    <w:p>
      <w:pPr>
        <w:jc w:val="both"/>
        <w:ind w:left="180" w:hanging="161"/>
        <w:spacing w:after="0" w:line="264" w:lineRule="auto"/>
        <w:rPr>
          <w:sz w:val="20"/>
          <w:szCs w:val="20"/>
          <w:color w:val="auto"/>
        </w:rPr>
      </w:pPr>
      <w:r>
        <w:rPr>
          <w:rFonts w:ascii="Arial" w:cs="Arial" w:eastAsia="Arial" w:hAnsi="Arial"/>
          <w:sz w:val="16"/>
          <w:szCs w:val="16"/>
          <w:i w:val="1"/>
          <w:iCs w:val="1"/>
          <w:color w:val="auto"/>
        </w:rPr>
        <w:t>1)"Illustrative Adjusted EBITDA" is based on the "Illustrative Total Segment Operating Margin Goal" less illustrative Core SGA assumed to be at $145M including the pro rata share of Core SG&amp;A from unconsolidated entities. “Illustrative Total Segment Operating Margin Goal,” or “Illustrative Future Goal” means our goal for Total Segment Operating Margin under certain illustrative conditions. Please refer to this explanation for all uses of this term in this press release. 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There can be no assurance that the costs of purchasing or producing LNG, transporting the LNG and maintaining and operating our terminals and facilities will result in the Illustrative Total Segment Operating Margin Goal reflected. For the purpose of this press release, we have assumed an average Total Segment Operating Margin between $6.76 and $16.25 per MMBtu for all downstream terminal economics, because we assume that (i) we purchase delivered gas at a weighted average of $9.58 in Q2-22, $10.33 in 2022, and $11.50 in 2023, (ii) our volumes increase over time, and (iii) we will have costs related to shipping, logistics and regasification similar to our current operations because the liquefaction facility and related infrastructure and supply chain to deliver LNG from Pennsylvania or Fast LNG (“FLNG”) does not exist, and those costs will be distributed over the larger volumes. For Hygo + Suape assets we assume an average delivered cost of gas of $19.50 in 2022, and $16.21 in 2023 based on industry averages in the region and the existing LNG contract at Sergipe. Hygo + Sergipe incremental assets include every terminal and power plant other than Sergipe, and we assume all are Operational and earning revenue through fuel sales and capacity charges or other fixed fees. This illustration reflects our effective share of operating margin from Sergipe Power Plant. For Vessels chartered to third parties, this illustration reflects the revenue from ships chartered to third parties, capacity and tolling arrangements, and other fixed fees, less the cost to operate and maintain each ship, in each case based on contracted amounts for ship charters, capacity and tolling fees, and industry standard costs for operation and maintenance. We assume an average Total Segment Operating Margin of up to $218k per day per vessel and our effective share of revenue and operating expense related to the existing tolling agreement for the Hilli FLNG going forward. For Fast LNG, this illustration reflects the difference between the delivered cost of open LNG and the delivered cost of open market LNG less Fast LNG production cost. Management is currently in multiple discussions with counterparties to supply feedstock gas at pricing up to $3.89 per MMBtu, multiplied by the volumes for Fast LNG installation of 1.2 MTPA each per year. 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Illustrative Total Segment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Total Segment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NFE’s project with Eni is subject to entering into definitive agreements.</w:t>
      </w:r>
    </w:p>
    <w:p>
      <w:pPr>
        <w:jc w:val="both"/>
        <w:ind w:left="180" w:hanging="161"/>
        <w:spacing w:after="0" w:line="234" w:lineRule="auto"/>
        <w:rPr>
          <w:sz w:val="20"/>
          <w:szCs w:val="20"/>
          <w:color w:val="auto"/>
        </w:rPr>
      </w:pPr>
      <w:r>
        <w:rPr>
          <w:rFonts w:ascii="Arial" w:cs="Arial" w:eastAsia="Arial" w:hAnsi="Arial"/>
          <w:sz w:val="18"/>
          <w:szCs w:val="18"/>
          <w:i w:val="1"/>
          <w:iCs w:val="1"/>
          <w:color w:val="auto"/>
        </w:rPr>
        <w:t>3)“FID” means management has made an internal commitment to commit resources (including capital) to a particular project. Our management has not made an FID decision on certain projects as of the date of this press release, and there can be no assurance that we will be willing or able to make any such decision, based on a particular project’s time, resource, capital and financing requirements.</w:t>
      </w:r>
    </w:p>
    <w:p>
      <w:pPr>
        <w:spacing w:after="0" w:line="2" w:lineRule="exact"/>
        <w:rPr>
          <w:sz w:val="20"/>
          <w:szCs w:val="20"/>
          <w:color w:val="auto"/>
        </w:rPr>
      </w:pPr>
    </w:p>
    <w:p>
      <w:pPr>
        <w:jc w:val="both"/>
        <w:ind w:left="180" w:hanging="161"/>
        <w:spacing w:after="0" w:line="234" w:lineRule="auto"/>
        <w:rPr>
          <w:sz w:val="20"/>
          <w:szCs w:val="20"/>
          <w:color w:val="auto"/>
        </w:rPr>
      </w:pPr>
      <w:r>
        <w:rPr>
          <w:rFonts w:ascii="Arial" w:cs="Arial" w:eastAsia="Arial" w:hAnsi="Arial"/>
          <w:sz w:val="18"/>
          <w:szCs w:val="18"/>
          <w:i w:val="1"/>
          <w:iCs w:val="1"/>
          <w:color w:val="auto"/>
        </w:rPr>
        <w:t>4)“Total Segment Operating Margin” is the total of our Terminals and Infrastructure Segment Operating Margin and Ships Segment Operating Margin. Terminals and Infrastructure Segment Operating Margin includes our effective share of revenue, expenses and operating margin attributable to our 50% ownership of Centrais Elétricas de Sergipe Participações S.A. (“CELSEPAR”). Ships Segment Operating Margin includes our effective share of revenue, expenses and operating margin attributable to our ownership of 50% of the common units of Hilli LLC. Hilli LLC owns Golar Hilli Corporation (“Hilli Corp”), the disponent owner of the Hilli.</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5)“Adjusted EBITDA” see definition and reconciliation of this non-GAAP measure in the exhibits to this press release.</w:t>
      </w:r>
    </w:p>
    <w:p>
      <w:pPr>
        <w:sectPr>
          <w:pgSz w:w="11900" w:h="16838" w:orient="portrait"/>
          <w:cols w:equalWidth="0" w:num="1">
            <w:col w:w="11240"/>
          </w:cols>
          <w:pgMar w:left="320" w:top="93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For additional information that management believes to be useful for investors, please refer to the presentation posted on the Investors section of New Fortress Energy’s website, www.newfortressenergy.com, and the Company’s most recent Annual Report on Form 10-K, which is available on the Company’s website. Nothing on our website is included or incorporated by reference herein.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Conference Call</w:t>
      </w:r>
    </w:p>
    <w:p>
      <w:pPr>
        <w:spacing w:after="0" w:line="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Management will host a conference call on Thursday, May 5, 2022 at 8:00 A.M. Eastern Time. The conference call may be accessed by dialing (866) 953-0778 (from within the U.S.) or (630) 652-5853 (from outside of the U.S.) fifteen minutes prior to the scheduled start of the call; please reference “NFE First-Quarter 2022 Earnings Call."</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replay of the conference call will be available after 11:00 A.M. Eastern Time on May 5, 2022 through 11:00 A.M. Eastern Time on May 12, 2022 at (855) 859-2056 (from within the U.S.) or (404) 537-3406 (from outside of the U.S.), Passcode: 4257013.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New Fortress Energy Inc.</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New Fortress Energy Inc. (NASDAQ: NFE)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Collectively, the company’s assets and operations reinforce global energy security, enable economic growth, enhance environmental stewardship and transform local industries and communities around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Concerning Forward-Looking Statements</w:t>
      </w:r>
    </w:p>
    <w:p>
      <w:pPr>
        <w:spacing w:after="0" w:line="1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Certain statements contained in this press release constitute “forward-looking statements” including: our expected delivery and sales volumes of LNG and growth goals, including with respect to ability to finalize definitive agreements, cargo optimization, and other drivers; expected needs for LNG supply and demand in the future; expectations regarding ability to construction, complete and commission our projects on time and within budget to derive expected goals and benefits; ability to maintain our expected development timelines; expected or illustrative financial metrics; our ability to finalize and execute definitive agreements with Eni and to fulfill all of the conditions precedent to effectiveness under our HOA; expectations regarding our benefits from our Fast LNG asset and ability to use our current assets for our Fast LNG project; expectations regarding our ability to place our Fast LNG asset into service within our expected timeline; our ability to match our LNG supply and demand profile; our expected needs for LNG supply in the future; our ability to reach FID on our NFE Zero Parks facility; capitalization of NFE Zero Parks; and the implementation and success of our financing alternatives, including any asset sales.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the volumes we are able to sell are less than we expect due to decreased customer demand or our inability to supply; our ability to successfully benefit from current elevated and volatile commodity market environment; the risk that our development, construction or commissioning of our facilities will take longer than we expect; the risk that we fail to meet internal financial metrics or financial metrics posed by the market on us; the risk that we may not develop our Fast LNG project on the timeline we expect or at all, or that we do not receive the benefits we expect from the Fast LNG project; cyclical or other changes in the demand for and price of LNG and natural gas; the risk that the foregoing or other factors negatively impact our liquidity and our ability to capitalize our projects; and the risk that we may be unable to implement our financing strategy or to effectively leverage our assets. Accordingly, readers should not place undue reliance on forward-looking statements as a prediction of actual results.</w:t>
      </w:r>
    </w:p>
    <w:p>
      <w:pPr>
        <w:sectPr>
          <w:pgSz w:w="11900" w:h="16838" w:orient="portrait"/>
          <w:cols w:equalWidth="0" w:num="1">
            <w:col w:w="11240"/>
          </w:cols>
          <w:pgMar w:left="320" w:top="931" w:right="339" w:bottom="1440" w:gutter="0" w:footer="0" w:header="0"/>
        </w:sectPr>
      </w:pPr>
    </w:p>
    <w:bookmarkStart w:id="6" w:name="page7"/>
    <w:bookmarkEnd w:id="6"/>
    <w:p>
      <w:pPr>
        <w:spacing w:after="0" w:line="259" w:lineRule="auto"/>
        <w:rPr>
          <w:sz w:val="20"/>
          <w:szCs w:val="20"/>
          <w:color w:val="auto"/>
        </w:rPr>
      </w:pPr>
      <w:r>
        <w:rPr>
          <w:rFonts w:ascii="Arial" w:cs="Arial" w:eastAsia="Arial" w:hAnsi="Arial"/>
          <w:sz w:val="17"/>
          <w:szCs w:val="17"/>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4D4D4D"/>
        </w:rPr>
        <w:t>IR:</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rPr>
          <w:sz w:val="20"/>
          <w:szCs w:val="20"/>
          <w:color w:val="auto"/>
        </w:rPr>
      </w:pPr>
      <w:r>
        <w:rPr>
          <w:rFonts w:ascii="Arial" w:cs="Arial" w:eastAsia="Arial" w:hAnsi="Arial"/>
          <w:sz w:val="18"/>
          <w:szCs w:val="18"/>
          <w:u w:val="single" w:color="auto"/>
          <w:color w:val="auto"/>
        </w:rPr>
        <w:t>bmagill@newfortressenergy.com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Media: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jsuski@newfortressenergy.com</w:t>
      </w:r>
    </w:p>
    <w:p>
      <w:pPr>
        <w:spacing w:after="0"/>
        <w:rPr>
          <w:sz w:val="20"/>
          <w:szCs w:val="20"/>
          <w:color w:val="auto"/>
        </w:rPr>
      </w:pPr>
      <w:r>
        <w:rPr>
          <w:rFonts w:ascii="Arial" w:cs="Arial" w:eastAsia="Arial" w:hAnsi="Arial"/>
          <w:sz w:val="18"/>
          <w:szCs w:val="18"/>
          <w:u w:val="single" w:color="auto"/>
          <w:color w:val="auto"/>
        </w:rPr>
        <w:t>(516) 268-7403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New Fortress Energy Inc.</w:t>
      </w:r>
    </w:p>
    <w:p>
      <w:pPr>
        <w:sectPr>
          <w:pgSz w:w="11900" w:h="16838" w:orient="portrait"/>
          <w:cols w:equalWidth="0" w:num="1">
            <w:col w:w="11140"/>
          </w:cols>
          <w:pgMar w:left="320" w:top="935"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Exhibits –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ind w:right="5260"/>
        <w:spacing w:after="0" w:line="303" w:lineRule="auto"/>
        <w:rPr>
          <w:sz w:val="20"/>
          <w:szCs w:val="20"/>
          <w:color w:val="auto"/>
        </w:rPr>
      </w:pPr>
      <w:r>
        <w:rPr>
          <w:rFonts w:ascii="Arial" w:cs="Arial" w:eastAsia="Arial" w:hAnsi="Arial"/>
          <w:sz w:val="16"/>
          <w:szCs w:val="16"/>
          <w:b w:val="1"/>
          <w:bCs w:val="1"/>
          <w:color w:val="auto"/>
        </w:rPr>
        <w:t>For the three months ended December 31, 2021 and March 31, 2022 (Unaudited, in thousands of U.S. dollars,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For the Three Months Ended</w:t>
            </w:r>
          </w:p>
        </w:tc>
      </w:tr>
      <w:tr>
        <w:trPr>
          <w:trHeight w:val="33"/>
        </w:trPr>
        <w:tc>
          <w:tcPr>
            <w:tcW w:w="7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76"/>
        </w:trPr>
        <w:tc>
          <w:tcPr>
            <w:tcW w:w="7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5"/>
                <w:szCs w:val="15"/>
                <w:color w:val="auto"/>
              </w:rPr>
            </w:pPr>
          </w:p>
        </w:tc>
        <w:tc>
          <w:tcPr>
            <w:tcW w:w="1380" w:type="dxa"/>
            <w:vAlign w:val="bottom"/>
          </w:tcPr>
          <w:p>
            <w:pPr>
              <w:jc w:val="right"/>
              <w:ind w:right="468"/>
              <w:spacing w:after="0"/>
              <w:rPr>
                <w:sz w:val="20"/>
                <w:szCs w:val="20"/>
                <w:color w:val="auto"/>
              </w:rPr>
            </w:pPr>
            <w:r>
              <w:rPr>
                <w:rFonts w:ascii="Arial" w:cs="Arial" w:eastAsia="Arial" w:hAnsi="Arial"/>
                <w:sz w:val="14"/>
                <w:szCs w:val="14"/>
                <w:b w:val="1"/>
                <w:bCs w:val="1"/>
                <w:color w:val="auto"/>
              </w:rPr>
              <w:t>March 31,</w:t>
            </w:r>
          </w:p>
        </w:tc>
      </w:tr>
      <w:tr>
        <w:trPr>
          <w:trHeight w:val="209"/>
        </w:trPr>
        <w:tc>
          <w:tcPr>
            <w:tcW w:w="7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revenue</w:t>
            </w: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548,395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400,075</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Vessel charter revenue</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87,592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92,420</w:t>
            </w: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12,623</w:t>
            </w:r>
          </w:p>
        </w:tc>
      </w:tr>
      <w:tr>
        <w:trPr>
          <w:trHeight w:val="223"/>
        </w:trPr>
        <w:tc>
          <w:tcPr>
            <w:tcW w:w="7720" w:type="dxa"/>
            <w:vAlign w:val="bottom"/>
            <w:tcBorders>
              <w:bottom w:val="single" w:sz="8" w:color="CCEEFF"/>
            </w:tcBorders>
          </w:tcPr>
          <w:p>
            <w:pPr>
              <w:ind w:left="180"/>
              <w:spacing w:after="0"/>
              <w:rPr>
                <w:sz w:val="20"/>
                <w:szCs w:val="20"/>
                <w:color w:val="auto"/>
              </w:rPr>
            </w:pPr>
            <w:r>
              <w:rPr>
                <w:rFonts w:ascii="Arial" w:cs="Arial" w:eastAsia="Arial" w:hAnsi="Arial"/>
                <w:sz w:val="14"/>
                <w:szCs w:val="14"/>
                <w:b w:val="1"/>
                <w:bCs w:val="1"/>
                <w:color w:val="auto"/>
              </w:rPr>
              <w:t>Total revenues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648,631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505,118</w:t>
            </w:r>
          </w:p>
        </w:tc>
      </w:tr>
      <w:tr>
        <w:trPr>
          <w:trHeight w:val="203"/>
        </w:trPr>
        <w:tc>
          <w:tcPr>
            <w:tcW w:w="7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sales</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282,477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208,298</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Vessel operating expenses</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20,976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22,964</w:t>
            </w: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Operations and maintenance</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18,356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23,168</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28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74,927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48,041</w:t>
            </w: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and integration costs</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1,901</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34,290</w:t>
            </w:r>
          </w:p>
        </w:tc>
      </w:tr>
      <w:tr>
        <w:trPr>
          <w:trHeight w:val="230"/>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operating expenses</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429,140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338,662</w:t>
            </w:r>
          </w:p>
        </w:tc>
      </w:tr>
      <w:tr>
        <w:trPr>
          <w:trHeight w:val="183"/>
        </w:trPr>
        <w:tc>
          <w:tcPr>
            <w:tcW w:w="7720" w:type="dxa"/>
            <w:vAlign w:val="bottom"/>
          </w:tcPr>
          <w:p>
            <w:pPr>
              <w:ind w:left="140"/>
              <w:spacing w:after="0"/>
              <w:rPr>
                <w:sz w:val="20"/>
                <w:szCs w:val="20"/>
                <w:color w:val="auto"/>
              </w:rPr>
            </w:pPr>
            <w:r>
              <w:rPr>
                <w:rFonts w:ascii="Arial" w:cs="Arial" w:eastAsia="Arial" w:hAnsi="Arial"/>
                <w:sz w:val="14"/>
                <w:szCs w:val="14"/>
                <w:b w:val="1"/>
                <w:bCs w:val="1"/>
                <w:color w:val="auto"/>
              </w:rPr>
              <w:t>Operating income</w:t>
            </w:r>
          </w:p>
        </w:tc>
        <w:tc>
          <w:tcPr>
            <w:tcW w:w="28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219,491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166,456</w:t>
            </w: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46,567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44,916</w:t>
            </w: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(19,725)</w:t>
            </w:r>
          </w:p>
        </w:tc>
      </w:tr>
      <w:tr>
        <w:trPr>
          <w:trHeight w:val="26"/>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on extinguishment of debt, net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10,975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3"/>
        </w:trPr>
        <w:tc>
          <w:tcPr>
            <w:tcW w:w="77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Net income before income / loss from equity method investments and income taxes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165,641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141,265</w:t>
            </w:r>
          </w:p>
        </w:tc>
      </w:tr>
      <w:tr>
        <w:trPr>
          <w:trHeight w:val="196"/>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income from equity method investments</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50,235</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 provision (benefit)</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(49,681)</w:t>
            </w:r>
          </w:p>
        </w:tc>
      </w:tr>
      <w:tr>
        <w:trPr>
          <w:trHeight w:val="196"/>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w:t>
            </w:r>
          </w:p>
        </w:tc>
        <w:tc>
          <w:tcPr>
            <w:tcW w:w="2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151,723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241,181</w:t>
            </w:r>
          </w:p>
        </w:tc>
      </w:tr>
      <w:tr>
        <w:trPr>
          <w:trHeight w:val="22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(2,912)</w:t>
            </w:r>
          </w:p>
        </w:tc>
      </w:tr>
      <w:tr>
        <w:trPr>
          <w:trHeight w:val="241"/>
        </w:trPr>
        <w:tc>
          <w:tcPr>
            <w:tcW w:w="7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Net income attributable to stockholders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150,857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238,269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41"/>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per share – basic</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0.73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720" w:type="dxa"/>
            <w:vAlign w:val="bottom"/>
          </w:tcPr>
          <w:p>
            <w:pPr>
              <w:ind w:left="20"/>
              <w:spacing w:after="0"/>
              <w:rPr>
                <w:sz w:val="20"/>
                <w:szCs w:val="20"/>
                <w:color w:val="auto"/>
              </w:rPr>
            </w:pPr>
            <w:r>
              <w:rPr>
                <w:rFonts w:ascii="Arial" w:cs="Arial" w:eastAsia="Arial" w:hAnsi="Arial"/>
                <w:sz w:val="14"/>
                <w:szCs w:val="14"/>
                <w:color w:val="auto"/>
              </w:rPr>
              <w:t>Net income per share – diluted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0.72</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216"/>
        </w:trPr>
        <w:tc>
          <w:tcPr>
            <w:tcW w:w="7720" w:type="dxa"/>
            <w:vAlign w:val="bottom"/>
          </w:tcPr>
          <w:p>
            <w:pPr>
              <w:ind w:left="20"/>
              <w:spacing w:after="0"/>
              <w:rPr>
                <w:sz w:val="20"/>
                <w:szCs w:val="20"/>
                <w:color w:val="auto"/>
              </w:rPr>
            </w:pPr>
            <w:r>
              <w:rPr>
                <w:rFonts w:ascii="Arial" w:cs="Arial" w:eastAsia="Arial" w:hAnsi="Arial"/>
                <w:sz w:val="14"/>
                <w:szCs w:val="14"/>
                <w:color w:val="auto"/>
              </w:rPr>
              <w:t>Weighted average number of shares outstanding – basic</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207,479,963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209,928,070</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5"/>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210,511,076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210,082,295</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Adjusted EBITDA</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Adjusted EBITDA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measure, as we have defined it, offers a useful supplemental view of the overall operation of our business in evaluating the effectiveness of our ongoing operating performance in a manner that is consistent with metrics used for management’s evaluation of the Company’s overall performance and to compensate employees. We believe that Adjusted EBITDA is widely used by investors to measure a company’s operating performance without regard to items such as interest expense, taxes, depreciation, and amortization which vary substantially from company to company depending on capital structure, the method by which assets were acquired and depreciation policies. Further, we exclude certain items from our SG&amp;A not otherwise indicative of ongoing operating performance.</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 xml:space="preserve">We calculate Adjusted EBITDA as net income, </w:t>
      </w:r>
      <w:r>
        <w:rPr>
          <w:rFonts w:ascii="Arial" w:cs="Arial" w:eastAsia="Arial" w:hAnsi="Arial"/>
          <w:sz w:val="17"/>
          <w:szCs w:val="17"/>
          <w:i w:val="1"/>
          <w:iCs w:val="1"/>
          <w:color w:val="auto"/>
        </w:rPr>
        <w:t>plus</w:t>
      </w:r>
      <w:r>
        <w:rPr>
          <w:rFonts w:ascii="Arial" w:cs="Arial" w:eastAsia="Arial" w:hAnsi="Arial"/>
          <w:sz w:val="17"/>
          <w:szCs w:val="17"/>
          <w:color w:val="auto"/>
        </w:rPr>
        <w:t xml:space="preserve"> transaction and integration costs, contract termination charges and loss on mitigations sales, depreciation and amortization, interest expense (net of interest income), other (income), net, loss on extinguishment of debt, changes in fair value of non-hedge derivative instruments and contingent consideration, tax expense, and adjusting for certain items from our SG&amp;A not otherwise indicative of ongoing operating performance, including non-cash share-based compensation and severance expense, non-capitalizable development expenses, cost to pursue new business opportunities and expenses associated with changes to our corporate structure, </w:t>
      </w:r>
      <w:r>
        <w:rPr>
          <w:rFonts w:ascii="Arial" w:cs="Arial" w:eastAsia="Arial" w:hAnsi="Arial"/>
          <w:sz w:val="17"/>
          <w:szCs w:val="17"/>
          <w:i w:val="1"/>
          <w:iCs w:val="1"/>
          <w:color w:val="auto"/>
        </w:rPr>
        <w:t>plus</w:t>
      </w:r>
      <w:r>
        <w:rPr>
          <w:rFonts w:ascii="Arial" w:cs="Arial" w:eastAsia="Arial" w:hAnsi="Arial"/>
          <w:sz w:val="17"/>
          <w:szCs w:val="17"/>
          <w:color w:val="auto"/>
        </w:rPr>
        <w:t xml:space="preserve"> our pro rata share of Adjusted EBITDA from unconsolidated entities, </w:t>
      </w:r>
      <w:r>
        <w:rPr>
          <w:rFonts w:ascii="Arial" w:cs="Arial" w:eastAsia="Arial" w:hAnsi="Arial"/>
          <w:sz w:val="17"/>
          <w:szCs w:val="17"/>
          <w:i w:val="1"/>
          <w:iCs w:val="1"/>
          <w:color w:val="auto"/>
        </w:rPr>
        <w:t>less</w:t>
      </w:r>
      <w:r>
        <w:rPr>
          <w:rFonts w:ascii="Arial" w:cs="Arial" w:eastAsia="Arial" w:hAnsi="Arial"/>
          <w:sz w:val="17"/>
          <w:szCs w:val="17"/>
          <w:color w:val="auto"/>
        </w:rPr>
        <w:t xml:space="preserve"> the impact of equity in earnings (losses) of unconsolidated entities.</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Adjusted EBITDA is mathematically equivalent to our Total Segment Operating Margin, as reported in the segment disclosures within our financial statements, minus Core SG&amp;A, including our pro rata share of such expenses of unconsolidated entities.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principal limitation of this non-GAAP measure is that it excludes significant expenses and income that are required by GAAP to be recorded in our financial statements. Investors are encouraged to review the related GAAP financial measures and the reconciliation of the non-GAAP financial measure to our GAAP net income/(loss), and not to rely on any single financial measure to evaluate our business. Adjusted EBITDA does not have a standardized meaning, and different companies may use different Adjusted EBITDA definitions. Therefore, Adjusted EBITDA may not be necessarily comparable to similarly titled measures reported by other companies. Moreover, our definition of Adjusted EBITDA may not necessarily be the same as those we use for purposes of establishing covenant compliance under our financing agreements or for other purposes. Adjusted EBITDA should not be construed as alternatives to net income (loss) and diluted earnings (loss) per share attributable to New Fortress Energy, which are determined in accordance with GAAP.</w:t>
      </w:r>
    </w:p>
    <w:p>
      <w:pPr>
        <w:sectPr>
          <w:pgSz w:w="11900" w:h="16838" w:orient="portrait"/>
          <w:cols w:equalWidth="0" w:num="1">
            <w:col w:w="11240"/>
          </w:cols>
          <w:pgMar w:left="320" w:top="931" w:right="339" w:bottom="1440" w:gutter="0" w:footer="0" w:header="0"/>
        </w:sectPr>
      </w:pPr>
    </w:p>
    <w:bookmarkStart w:id="9" w:name="page10"/>
    <w:bookmarkEnd w:id="9"/>
    <w:p>
      <w:pPr>
        <w:ind w:right="20"/>
        <w:spacing w:after="0" w:line="261" w:lineRule="auto"/>
        <w:rPr>
          <w:sz w:val="20"/>
          <w:szCs w:val="20"/>
          <w:color w:val="auto"/>
        </w:rPr>
      </w:pPr>
      <w:r>
        <w:rPr>
          <w:rFonts w:ascii="Arial" w:cs="Arial" w:eastAsia="Arial" w:hAnsi="Arial"/>
          <w:sz w:val="18"/>
          <w:szCs w:val="18"/>
          <w:color w:val="auto"/>
        </w:rPr>
        <w:t>The following table sets forth a reconciliation of net income to Adjusted EBITDA for the 3 months ended March, 31, 2021, December 31, 2021 and March 31, 2022:</w:t>
      </w: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Three Months</w:t>
            </w:r>
          </w:p>
        </w:tc>
        <w:tc>
          <w:tcPr>
            <w:tcW w:w="180" w:type="dxa"/>
            <w:vAlign w:val="bottom"/>
          </w:tcPr>
          <w:p>
            <w:pPr>
              <w:spacing w:after="0"/>
              <w:rPr>
                <w:sz w:val="17"/>
                <w:szCs w:val="17"/>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Three Months</w:t>
            </w:r>
          </w:p>
        </w:tc>
        <w:tc>
          <w:tcPr>
            <w:tcW w:w="160" w:type="dxa"/>
            <w:vAlign w:val="bottom"/>
          </w:tcPr>
          <w:p>
            <w:pPr>
              <w:spacing w:after="0"/>
              <w:rPr>
                <w:sz w:val="17"/>
                <w:szCs w:val="17"/>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Three Months</w:t>
            </w:r>
          </w:p>
        </w:tc>
      </w:tr>
      <w:tr>
        <w:trPr>
          <w:trHeight w:val="203"/>
        </w:trPr>
        <w:tc>
          <w:tcPr>
            <w:tcW w:w="6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Ended</w:t>
            </w:r>
          </w:p>
        </w:tc>
        <w:tc>
          <w:tcPr>
            <w:tcW w:w="180" w:type="dxa"/>
            <w:vAlign w:val="bottom"/>
          </w:tcPr>
          <w:p>
            <w:pPr>
              <w:spacing w:after="0"/>
              <w:rPr>
                <w:sz w:val="17"/>
                <w:szCs w:val="17"/>
                <w:color w:val="auto"/>
              </w:rPr>
            </w:pPr>
          </w:p>
        </w:tc>
        <w:tc>
          <w:tcPr>
            <w:tcW w:w="15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7"/>
                <w:szCs w:val="17"/>
                <w:color w:val="auto"/>
              </w:rPr>
            </w:pPr>
          </w:p>
        </w:tc>
        <w:tc>
          <w:tcPr>
            <w:tcW w:w="14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Ended</w:t>
            </w:r>
          </w:p>
        </w:tc>
      </w:tr>
      <w:tr>
        <w:trPr>
          <w:trHeight w:val="255"/>
        </w:trPr>
        <w:tc>
          <w:tcPr>
            <w:tcW w:w="6260" w:type="dxa"/>
            <w:vAlign w:val="bottom"/>
          </w:tcPr>
          <w:p>
            <w:pPr>
              <w:ind w:left="8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2"/>
                <w:szCs w:val="22"/>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2021</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93"/>
              </w:rPr>
              <w:t>March 31, 2022</w:t>
            </w:r>
          </w:p>
        </w:tc>
      </w:tr>
      <w:tr>
        <w:trPr>
          <w:trHeight w:val="257"/>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Operating Margin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373,150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300,083</w:t>
            </w:r>
          </w:p>
        </w:tc>
      </w:tr>
      <w:tr>
        <w:trPr>
          <w:trHeight w:val="250"/>
        </w:trPr>
        <w:tc>
          <w:tcPr>
            <w:tcW w:w="6260" w:type="dxa"/>
            <w:vAlign w:val="bottom"/>
          </w:tcPr>
          <w:p>
            <w:pPr>
              <w:ind w:left="20"/>
              <w:spacing w:after="0"/>
              <w:rPr>
                <w:sz w:val="20"/>
                <w:szCs w:val="20"/>
                <w:color w:val="auto"/>
              </w:rPr>
            </w:pPr>
            <w:r>
              <w:rPr>
                <w:rFonts w:ascii="Arial" w:cs="Arial" w:eastAsia="Arial" w:hAnsi="Arial"/>
                <w:sz w:val="18"/>
                <w:szCs w:val="18"/>
                <w:color w:val="auto"/>
              </w:rPr>
              <w:t>Less: Core SG&amp;A (see definition above)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40,960</w:t>
            </w:r>
          </w:p>
        </w:tc>
      </w:tr>
      <w:tr>
        <w:trPr>
          <w:trHeight w:val="27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Pro rata share Core SG&amp;A from unconsolidated entities</w:t>
            </w:r>
          </w:p>
        </w:tc>
        <w:tc>
          <w:tcPr>
            <w:tcW w:w="16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50"/>
        </w:trPr>
        <w:tc>
          <w:tcPr>
            <w:tcW w:w="62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8,632</w:t>
            </w: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334,007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257,733</w:t>
            </w:r>
          </w:p>
        </w:tc>
      </w:tr>
      <w:tr>
        <w:trPr>
          <w:trHeight w:val="263"/>
        </w:trPr>
        <w:tc>
          <w:tcPr>
            <w:tcW w:w="62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r>
      <w:tr>
        <w:trPr>
          <w:trHeight w:val="257"/>
        </w:trPr>
        <w:tc>
          <w:tcPr>
            <w:tcW w:w="6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5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(39,509)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151,723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241,181</w:t>
            </w:r>
          </w:p>
        </w:tc>
      </w:tr>
      <w:tr>
        <w:trPr>
          <w:trHeight w:val="250"/>
        </w:trPr>
        <w:tc>
          <w:tcPr>
            <w:tcW w:w="6260" w:type="dxa"/>
            <w:vAlign w:val="bottom"/>
          </w:tcPr>
          <w:p>
            <w:pPr>
              <w:ind w:left="20"/>
              <w:spacing w:after="0"/>
              <w:rPr>
                <w:sz w:val="20"/>
                <w:szCs w:val="20"/>
                <w:color w:val="auto"/>
              </w:rPr>
            </w:pPr>
            <w:r>
              <w:rPr>
                <w:rFonts w:ascii="Arial" w:cs="Arial" w:eastAsia="Arial" w:hAnsi="Arial"/>
                <w:sz w:val="18"/>
                <w:szCs w:val="18"/>
                <w:color w:val="auto"/>
              </w:rPr>
              <w:t>Add: Interest expense (net of interest income)</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18,680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44,916</w:t>
            </w:r>
          </w:p>
        </w:tc>
      </w:tr>
      <w:tr>
        <w:trPr>
          <w:trHeight w:val="26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Tax provision (benefit)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(49,681)</w:t>
            </w:r>
          </w:p>
        </w:tc>
      </w:tr>
      <w:tr>
        <w:trPr>
          <w:trHeight w:val="250"/>
        </w:trPr>
        <w:tc>
          <w:tcPr>
            <w:tcW w:w="6260" w:type="dxa"/>
            <w:vAlign w:val="bottom"/>
          </w:tcPr>
          <w:p>
            <w:pPr>
              <w:ind w:left="20"/>
              <w:spacing w:after="0"/>
              <w:rPr>
                <w:sz w:val="20"/>
                <w:szCs w:val="20"/>
                <w:color w:val="auto"/>
              </w:rPr>
            </w:pPr>
            <w:r>
              <w:rPr>
                <w:rFonts w:ascii="Arial" w:cs="Arial" w:eastAsia="Arial" w:hAnsi="Arial"/>
                <w:sz w:val="18"/>
                <w:szCs w:val="18"/>
                <w:color w:val="auto"/>
              </w:rPr>
              <w:t>Add: Depreciation and amortization</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9,890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34,290</w:t>
            </w:r>
          </w:p>
        </w:tc>
      </w:tr>
      <w:tr>
        <w:trPr>
          <w:trHeight w:val="26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SG&amp;A items excluded from Core SG&amp;A (see definition above)</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9,488</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7,081</w:t>
            </w:r>
          </w:p>
        </w:tc>
      </w:tr>
      <w:tr>
        <w:trPr>
          <w:trHeight w:val="250"/>
        </w:trPr>
        <w:tc>
          <w:tcPr>
            <w:tcW w:w="6260" w:type="dxa"/>
            <w:vAlign w:val="bottom"/>
          </w:tcPr>
          <w:p>
            <w:pPr>
              <w:ind w:left="20"/>
              <w:spacing w:after="0"/>
              <w:rPr>
                <w:sz w:val="20"/>
                <w:szCs w:val="20"/>
                <w:color w:val="auto"/>
              </w:rPr>
            </w:pPr>
            <w:r>
              <w:rPr>
                <w:rFonts w:ascii="Arial" w:cs="Arial" w:eastAsia="Arial" w:hAnsi="Arial"/>
                <w:sz w:val="18"/>
                <w:szCs w:val="18"/>
                <w:color w:val="auto"/>
              </w:rPr>
              <w:t>Add: Transaction and integration costs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11,564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1,901</w:t>
            </w:r>
          </w:p>
        </w:tc>
      </w:tr>
      <w:tr>
        <w:trPr>
          <w:trHeight w:val="26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Other (income), net</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r>
      <w:tr>
        <w:trPr>
          <w:trHeight w:val="215"/>
        </w:trPr>
        <w:tc>
          <w:tcPr>
            <w:tcW w:w="6260" w:type="dxa"/>
            <w:vAlign w:val="bottom"/>
          </w:tcPr>
          <w:p>
            <w:pPr>
              <w:ind w:left="20"/>
              <w:spacing w:after="0"/>
              <w:rPr>
                <w:sz w:val="20"/>
                <w:szCs w:val="20"/>
                <w:color w:val="auto"/>
              </w:rPr>
            </w:pPr>
            <w:r>
              <w:rPr>
                <w:rFonts w:ascii="Arial" w:cs="Arial" w:eastAsia="Arial" w:hAnsi="Arial"/>
                <w:sz w:val="18"/>
                <w:szCs w:val="18"/>
                <w:color w:val="auto"/>
                <w:w w:val="99"/>
              </w:rPr>
              <w:t>Add: Changes in fair value of non-hedge derivative instruments and contingent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7"/>
        </w:trPr>
        <w:tc>
          <w:tcPr>
            <w:tcW w:w="6260" w:type="dxa"/>
            <w:vAlign w:val="bottom"/>
          </w:tcPr>
          <w:p>
            <w:pPr>
              <w:ind w:left="160"/>
              <w:spacing w:after="0"/>
              <w:rPr>
                <w:sz w:val="20"/>
                <w:szCs w:val="20"/>
                <w:color w:val="auto"/>
              </w:rPr>
            </w:pPr>
            <w:r>
              <w:rPr>
                <w:rFonts w:ascii="Arial" w:cs="Arial" w:eastAsia="Arial" w:hAnsi="Arial"/>
                <w:sz w:val="18"/>
                <w:szCs w:val="18"/>
                <w:color w:val="auto"/>
              </w:rPr>
              <w:t>consideration</w:t>
            </w:r>
          </w:p>
        </w:tc>
        <w:tc>
          <w:tcPr>
            <w:tcW w:w="16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(2,492)</w:t>
            </w:r>
          </w:p>
        </w:tc>
      </w:tr>
      <w:tr>
        <w:trPr>
          <w:trHeight w:val="26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Loss on extinguishment of debt, net</w:t>
            </w: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260" w:type="dxa"/>
            <w:vAlign w:val="bottom"/>
          </w:tcPr>
          <w:p>
            <w:pPr>
              <w:ind w:left="20"/>
              <w:spacing w:after="0" w:line="256" w:lineRule="exact"/>
              <w:rPr>
                <w:sz w:val="20"/>
                <w:szCs w:val="20"/>
                <w:color w:val="auto"/>
              </w:rPr>
            </w:pPr>
            <w:r>
              <w:rPr>
                <w:rFonts w:ascii="Arial" w:cs="Arial" w:eastAsia="Arial" w:hAnsi="Arial"/>
                <w:sz w:val="18"/>
                <w:szCs w:val="18"/>
                <w:color w:val="auto"/>
              </w:rPr>
              <w:t>Add: Pro rata share of Adjusted EBITDA from unconsolidated entities</w:t>
            </w:r>
            <w:r>
              <w:rPr>
                <w:rFonts w:ascii="Arial" w:cs="Arial" w:eastAsia="Arial" w:hAnsi="Arial"/>
                <w:sz w:val="23"/>
                <w:szCs w:val="23"/>
                <w:color w:val="auto"/>
                <w:vertAlign w:val="superscript"/>
              </w:rPr>
              <w:t>(1)</w:t>
            </w:r>
          </w:p>
        </w:tc>
        <w:tc>
          <w:tcPr>
            <w:tcW w:w="16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44,746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50,497</w:t>
            </w:r>
          </w:p>
        </w:tc>
      </w:tr>
      <w:tr>
        <w:trPr>
          <w:trHeight w:val="26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Loss (income) from equity method investments</w:t>
            </w:r>
          </w:p>
        </w:tc>
        <w:tc>
          <w:tcPr>
            <w:tcW w:w="16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(50,235)</w:t>
            </w:r>
          </w:p>
        </w:tc>
      </w:tr>
      <w:tr>
        <w:trPr>
          <w:trHeight w:val="243"/>
        </w:trPr>
        <w:tc>
          <w:tcPr>
            <w:tcW w:w="62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8,632</w:t>
            </w:r>
          </w:p>
        </w:tc>
        <w:tc>
          <w:tcPr>
            <w:tcW w:w="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334,007</w:t>
            </w:r>
          </w:p>
        </w:tc>
        <w:tc>
          <w:tcPr>
            <w:tcW w:w="1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257,733</w:t>
            </w:r>
          </w:p>
        </w:tc>
      </w:tr>
    </w:tbl>
    <w:p>
      <w:pPr>
        <w:spacing w:after="0" w:line="337" w:lineRule="exact"/>
        <w:rPr>
          <w:sz w:val="20"/>
          <w:szCs w:val="20"/>
          <w:color w:val="auto"/>
        </w:rPr>
      </w:pPr>
    </w:p>
    <w:p>
      <w:pPr>
        <w:ind w:left="340" w:right="180" w:hanging="332"/>
        <w:spacing w:after="0" w:line="257" w:lineRule="auto"/>
        <w:tabs>
          <w:tab w:leader="none" w:pos="32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Includes the Company’s effective share of Adjusted EBITDA of CELSEPAR of $24,173 and $30,207 for the three months ended December 31, 2021 and March 31, 2022 respectively, and the Company’s effective share of the Adjusted EBITDA of Hilli LLC of $20,573 and $20,291 for the three months ended December 31, 2021 and March 31, 2022, respectively. We acquired our investments in CELSEPAR and Hilli in the Mergers in the second quarter of 2021, and accordingly, there is no impact to Adjusted EBITDA in the first quarter of 2021 from these investments.</w:t>
      </w:r>
    </w:p>
    <w:p>
      <w:pPr>
        <w:sectPr>
          <w:pgSz w:w="11900" w:h="16838" w:orient="portrait"/>
          <w:cols w:equalWidth="0" w:num="1">
            <w:col w:w="11240"/>
          </w:cols>
          <w:pgMar w:left="320" w:top="93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Segment Operating Margin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23"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Performance of our two segments, Terminals and Infrastructure and Ships, is evaluated based on Segment Operating Margin. Segment Operating Margin reconciles to Consolidated Segment Operating Margin as reflected below, which is a non-GAAP measure. We define Consolidated Segment Operating Margin as GAAP net income (loss), adjusted for selling, general and administrative expense, transaction and integration costs, contract termination charges and loss on mitigation sales, depreciation and amortization, interest expense, other (income) expense, loss on extinguishment of debt, net, income from equity method investments and tax expense. Consolidated Segment Operating Margin is mathematically equivalent to Revenue minus Cost of sales minus Operations and maintenance minus Vessel operating expenses, each as reported in our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5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5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Terminals and</w:t>
            </w:r>
          </w:p>
        </w:tc>
        <w:tc>
          <w:tcPr>
            <w:tcW w:w="260" w:type="dxa"/>
            <w:vAlign w:val="bottom"/>
          </w:tcPr>
          <w:p>
            <w:pPr>
              <w:spacing w:after="0"/>
              <w:rPr>
                <w:sz w:val="23"/>
                <w:szCs w:val="23"/>
                <w:color w:val="auto"/>
              </w:rPr>
            </w:pPr>
          </w:p>
        </w:tc>
        <w:tc>
          <w:tcPr>
            <w:tcW w:w="980" w:type="dxa"/>
            <w:vAlign w:val="bottom"/>
          </w:tcPr>
          <w:p>
            <w:pPr>
              <w:jc w:val="right"/>
              <w:ind w:right="21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Total Segment</w:t>
            </w: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183"/>
        </w:trPr>
        <w:tc>
          <w:tcPr>
            <w:tcW w:w="3540" w:type="dxa"/>
            <w:vAlign w:val="bottom"/>
            <w:tcBorders>
              <w:bottom w:val="single" w:sz="8" w:color="auto"/>
            </w:tcBorders>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70"/>
              <w:spacing w:after="0" w:line="176" w:lineRule="exact"/>
              <w:rPr>
                <w:sz w:val="20"/>
                <w:szCs w:val="20"/>
                <w:color w:val="auto"/>
              </w:rPr>
            </w:pPr>
            <w:r>
              <w:rPr>
                <w:rFonts w:ascii="Arial" w:cs="Arial" w:eastAsia="Arial" w:hAnsi="Arial"/>
                <w:sz w:val="18"/>
                <w:szCs w:val="18"/>
                <w:b w:val="1"/>
                <w:bCs w:val="1"/>
                <w:color w:val="auto"/>
                <w:w w:val="94"/>
              </w:rPr>
              <w:t xml:space="preserve">Infrastructure </w:t>
            </w:r>
            <w:r>
              <w:rPr>
                <w:rFonts w:ascii="MS PGothic" w:cs="MS PGothic" w:eastAsia="MS PGothic" w:hAnsi="MS PGothic"/>
                <w:sz w:val="18"/>
                <w:szCs w:val="18"/>
                <w:color w:val="auto"/>
                <w:w w:val="94"/>
              </w:rPr>
              <w:t>⁽</w:t>
            </w:r>
            <w:r>
              <w:rPr>
                <w:rFonts w:ascii="Arial" w:cs="Arial" w:eastAsia="Arial" w:hAnsi="Arial"/>
                <w:sz w:val="18"/>
                <w:szCs w:val="18"/>
                <w:b w:val="1"/>
                <w:bCs w:val="1"/>
                <w:color w:val="auto"/>
                <w:w w:val="94"/>
              </w:rPr>
              <w:t>¹</w:t>
            </w:r>
            <w:r>
              <w:rPr>
                <w:rFonts w:ascii="MS PGothic" w:cs="MS PGothic" w:eastAsia="MS PGothic" w:hAnsi="MS PGothic"/>
                <w:sz w:val="18"/>
                <w:szCs w:val="18"/>
                <w:color w:val="auto"/>
                <w:w w:val="94"/>
              </w:rPr>
              <w: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370"/>
              <w:spacing w:after="0" w:line="176" w:lineRule="exact"/>
              <w:rPr>
                <w:sz w:val="20"/>
                <w:szCs w:val="20"/>
                <w:color w:val="auto"/>
              </w:rPr>
            </w:pPr>
            <w:r>
              <w:rPr>
                <w:rFonts w:ascii="Arial" w:cs="Arial" w:eastAsia="Arial" w:hAnsi="Arial"/>
                <w:sz w:val="18"/>
                <w:szCs w:val="18"/>
                <w:b w:val="1"/>
                <w:bCs w:val="1"/>
                <w:color w:val="auto"/>
              </w:rPr>
              <w:t xml:space="preserve">Other </w:t>
            </w:r>
            <w:r>
              <w:rPr>
                <w:rFonts w:ascii="MS PGothic" w:cs="MS PGothic" w:eastAsia="MS PGothic" w:hAnsi="MS PGothic"/>
                <w:sz w:val="18"/>
                <w:szCs w:val="18"/>
                <w:color w:val="auto"/>
              </w:rPr>
              <w:t>⁽</w:t>
            </w:r>
            <w:r>
              <w:rPr>
                <w:rFonts w:ascii="Arial" w:cs="Arial" w:eastAsia="Arial" w:hAnsi="Arial"/>
                <w:sz w:val="18"/>
                <w:szCs w:val="18"/>
                <w:b w:val="1"/>
                <w:bCs w:val="1"/>
                <w:color w:val="auto"/>
              </w:rPr>
              <w:t>³</w:t>
            </w: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211,083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89,000</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300,083</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(49,395)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250,688</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Less:</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48,041</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44,916</w:t>
            </w:r>
          </w:p>
        </w:tc>
        <w:tc>
          <w:tcPr>
            <w:tcW w:w="0" w:type="dxa"/>
            <w:vAlign w:val="bottom"/>
          </w:tcPr>
          <w:p>
            <w:pPr>
              <w:spacing w:after="0"/>
              <w:rPr>
                <w:sz w:val="1"/>
                <w:szCs w:val="1"/>
                <w:color w:val="auto"/>
              </w:rPr>
            </w:pPr>
          </w:p>
        </w:tc>
      </w:tr>
      <w:tr>
        <w:trPr>
          <w:trHeight w:val="26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5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0" w:type="dxa"/>
            <w:vAlign w:val="bottom"/>
          </w:tcPr>
          <w:p>
            <w:pPr>
              <w:spacing w:after="0"/>
              <w:rPr>
                <w:sz w:val="1"/>
                <w:szCs w:val="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(50,235)</w:t>
            </w:r>
          </w:p>
        </w:tc>
        <w:tc>
          <w:tcPr>
            <w:tcW w:w="0" w:type="dxa"/>
            <w:vAlign w:val="bottom"/>
          </w:tcPr>
          <w:p>
            <w:pPr>
              <w:spacing w:after="0"/>
              <w:rPr>
                <w:sz w:val="1"/>
                <w:szCs w:val="1"/>
                <w:color w:val="auto"/>
              </w:rPr>
            </w:pPr>
          </w:p>
        </w:tc>
      </w:tr>
      <w:tr>
        <w:trPr>
          <w:trHeight w:val="257"/>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58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5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241,181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3351530</wp:posOffset>
            </wp:positionH>
            <wp:positionV relativeFrom="paragraph">
              <wp:posOffset>-1791335</wp:posOffset>
            </wp:positionV>
            <wp:extent cx="106045" cy="86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4064000</wp:posOffset>
            </wp:positionH>
            <wp:positionV relativeFrom="paragraph">
              <wp:posOffset>-1859915</wp:posOffset>
            </wp:positionV>
            <wp:extent cx="106045" cy="86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5788025</wp:posOffset>
            </wp:positionH>
            <wp:positionV relativeFrom="paragraph">
              <wp:posOffset>-1791335</wp:posOffset>
            </wp:positionV>
            <wp:extent cx="106045" cy="86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17" w:lineRule="exact"/>
        <w:rPr>
          <w:sz w:val="20"/>
          <w:szCs w:val="20"/>
          <w:color w:val="auto"/>
        </w:rPr>
      </w:pPr>
    </w:p>
    <w:p>
      <w:pPr>
        <w:ind w:left="340" w:right="180" w:hanging="332"/>
        <w:spacing w:after="0" w:line="269"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6"/>
          <w:szCs w:val="16"/>
          <w:color w:val="auto"/>
        </w:rPr>
        <w:t>Terminals and Infrastructure includes the Company's effective share of revenues, expenses and operating margin attributable to 50% ownership of CELSEPAR. The earnings attributable to the investment of $36,680 for the three months ended March 31, 2022 are reported in (loss) income from equity method investments in the consolidated statements of operations and comprehensive income (loss). Terminals and Infrastructure does not include the unrealized mark-to-market gain on derivative instruments of $2,492 for the three months ended March 31, 2022 reported in Cost of sales.</w:t>
      </w:r>
    </w:p>
    <w:p>
      <w:pPr>
        <w:spacing w:after="0" w:line="1" w:lineRule="exact"/>
        <w:rPr>
          <w:rFonts w:ascii="Arial" w:cs="Arial" w:eastAsia="Arial" w:hAnsi="Arial"/>
          <w:sz w:val="13"/>
          <w:szCs w:val="13"/>
          <w:color w:val="auto"/>
        </w:rPr>
      </w:pPr>
    </w:p>
    <w:p>
      <w:pPr>
        <w:jc w:val="both"/>
        <w:ind w:left="340" w:right="220" w:hanging="332"/>
        <w:spacing w:after="0" w:line="248"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$13,555 for the three months ended March 31, 2022 are reported in (loss) income from equity method investments in the condensed consolidated statements of operations and comprehensive income (loss).</w:t>
      </w:r>
    </w:p>
    <w:p>
      <w:pPr>
        <w:spacing w:after="0" w:line="1" w:lineRule="exact"/>
        <w:rPr>
          <w:rFonts w:ascii="Arial" w:cs="Arial" w:eastAsia="Arial" w:hAnsi="Arial"/>
          <w:sz w:val="13"/>
          <w:szCs w:val="13"/>
          <w:color w:val="auto"/>
        </w:rPr>
      </w:pPr>
    </w:p>
    <w:p>
      <w:pPr>
        <w:jc w:val="both"/>
        <w:ind w:left="340" w:right="180" w:hanging="332"/>
        <w:spacing w:after="0" w:line="303" w:lineRule="auto"/>
        <w:tabs>
          <w:tab w:leader="none" w:pos="332" w:val="left"/>
        </w:tabs>
        <w:numPr>
          <w:ilvl w:val="0"/>
          <w:numId w:val="5"/>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3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Three Months Ended 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98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12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0"/>
              </w:rPr>
              <w:t>Terminals and</w:t>
            </w: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90"/>
              <w:spacing w:after="0" w:line="207" w:lineRule="exact"/>
              <w:rPr>
                <w:sz w:val="20"/>
                <w:szCs w:val="20"/>
                <w:color w:val="auto"/>
              </w:rPr>
            </w:pPr>
            <w:r>
              <w:rPr>
                <w:rFonts w:ascii="Arial" w:cs="Arial" w:eastAsia="Arial" w:hAnsi="Arial"/>
                <w:sz w:val="18"/>
                <w:szCs w:val="18"/>
                <w:b w:val="1"/>
                <w:bCs w:val="1"/>
                <w:color w:val="auto"/>
                <w:w w:val="97"/>
              </w:rPr>
              <w:t xml:space="preserve">Ships </w:t>
            </w:r>
            <w:r>
              <w:rPr>
                <w:rFonts w:ascii="MS PGothic" w:cs="MS PGothic" w:eastAsia="MS PGothic" w:hAnsi="MS PGothic"/>
                <w:sz w:val="18"/>
                <w:szCs w:val="18"/>
                <w:color w:val="auto"/>
                <w:w w:val="97"/>
              </w:rPr>
              <w:t>⁽</w:t>
            </w:r>
            <w:r>
              <w:rPr>
                <w:rFonts w:ascii="Arial" w:cs="Arial" w:eastAsia="Arial" w:hAnsi="Arial"/>
                <w:sz w:val="18"/>
                <w:szCs w:val="18"/>
                <w:b w:val="1"/>
                <w:bCs w:val="1"/>
                <w:color w:val="auto"/>
                <w:w w:val="97"/>
              </w:rPr>
              <w:t>²</w:t>
            </w:r>
            <w:r>
              <w:rPr>
                <w:rFonts w:ascii="MS PGothic" w:cs="MS PGothic" w:eastAsia="MS PGothic" w:hAnsi="MS PGothic"/>
                <w:sz w:val="18"/>
                <w:szCs w:val="18"/>
                <w:color w:val="auto"/>
                <w:w w:val="97"/>
              </w:rPr>
              <w:t>⁾</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60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w w:val="94"/>
              </w:rPr>
              <w:t>Consolidation and</w:t>
            </w:r>
          </w:p>
        </w:tc>
        <w:tc>
          <w:tcPr>
            <w:tcW w:w="2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55"/>
        </w:trPr>
        <w:tc>
          <w:tcPr>
            <w:tcW w:w="398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52"/>
              <w:spacing w:after="0" w:line="149" w:lineRule="exact"/>
              <w:rPr>
                <w:sz w:val="20"/>
                <w:szCs w:val="20"/>
                <w:color w:val="auto"/>
              </w:rPr>
            </w:pPr>
            <w:r>
              <w:rPr>
                <w:rFonts w:ascii="Arial" w:cs="Arial" w:eastAsia="Arial" w:hAnsi="Arial"/>
                <w:sz w:val="17"/>
                <w:szCs w:val="17"/>
                <w:b w:val="1"/>
                <w:bCs w:val="1"/>
                <w:color w:val="auto"/>
              </w:rPr>
              <w:t xml:space="preserve">Infrastructure </w:t>
            </w:r>
            <w:r>
              <w:rPr>
                <w:rFonts w:ascii="MS PGothic" w:cs="MS PGothic" w:eastAsia="MS PGothic" w:hAnsi="MS PGothic"/>
                <w:sz w:val="17"/>
                <w:szCs w:val="17"/>
                <w:color w:val="auto"/>
              </w:rPr>
              <w:t>⁽</w:t>
            </w:r>
            <w:r>
              <w:rPr>
                <w:rFonts w:ascii="Arial" w:cs="Arial" w:eastAsia="Arial" w:hAnsi="Arial"/>
                <w:sz w:val="17"/>
                <w:szCs w:val="17"/>
                <w:b w:val="1"/>
                <w:bCs w:val="1"/>
                <w:color w:val="auto"/>
              </w:rPr>
              <w:t>¹</w:t>
            </w:r>
            <w:r>
              <w:rPr>
                <w:rFonts w:ascii="MS PGothic" w:cs="MS PGothic" w:eastAsia="MS PGothic" w:hAnsi="MS PGothic"/>
                <w:sz w:val="17"/>
                <w:szCs w:val="17"/>
                <w:color w:val="auto"/>
              </w:rPr>
              <w:t>⁾</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393"/>
              <w:spacing w:after="0" w:line="149" w:lineRule="exact"/>
              <w:rPr>
                <w:sz w:val="20"/>
                <w:szCs w:val="20"/>
                <w:color w:val="auto"/>
              </w:rPr>
            </w:pPr>
            <w:r>
              <w:rPr>
                <w:rFonts w:ascii="Arial" w:cs="Arial" w:eastAsia="Arial" w:hAnsi="Arial"/>
                <w:sz w:val="17"/>
                <w:szCs w:val="17"/>
                <w:b w:val="1"/>
                <w:bCs w:val="1"/>
                <w:color w:val="auto"/>
              </w:rPr>
              <w:t xml:space="preserve">Other </w:t>
            </w:r>
            <w:r>
              <w:rPr>
                <w:rFonts w:ascii="MS PGothic" w:cs="MS PGothic" w:eastAsia="MS PGothic" w:hAnsi="MS PGothic"/>
                <w:sz w:val="17"/>
                <w:szCs w:val="17"/>
                <w:color w:val="auto"/>
              </w:rPr>
              <w:t>⁽</w:t>
            </w:r>
            <w:r>
              <w:rPr>
                <w:rFonts w:ascii="Arial" w:cs="Arial" w:eastAsia="Arial" w:hAnsi="Arial"/>
                <w:sz w:val="17"/>
                <w:szCs w:val="17"/>
                <w:b w:val="1"/>
                <w:bCs w:val="1"/>
                <w:color w:val="auto"/>
              </w:rPr>
              <w:t>³</w:t>
            </w:r>
            <w:r>
              <w:rPr>
                <w:rFonts w:ascii="MS PGothic" w:cs="MS PGothic" w:eastAsia="MS PGothic" w:hAnsi="MS PGothic"/>
                <w:sz w:val="17"/>
                <w:szCs w:val="17"/>
                <w:color w:val="auto"/>
              </w:rPr>
              <w:t>⁾</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278,354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94,796</w:t>
            </w:r>
          </w:p>
        </w:tc>
        <w:tc>
          <w:tcPr>
            <w:tcW w:w="38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373,150</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(46,328)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326,822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Less: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30,297</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46,567</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0" w:type="dxa"/>
            <w:vAlign w:val="bottom"/>
          </w:tcPr>
          <w:p>
            <w:pPr>
              <w:spacing w:after="0"/>
              <w:rPr>
                <w:sz w:val="1"/>
                <w:szCs w:val="1"/>
                <w:color w:val="auto"/>
              </w:rPr>
            </w:pPr>
          </w:p>
        </w:tc>
      </w:tr>
      <w:tr>
        <w:trPr>
          <w:trHeight w:val="250"/>
        </w:trPr>
        <w:tc>
          <w:tcPr>
            <w:tcW w:w="3980" w:type="dxa"/>
            <w:vAlign w:val="bottom"/>
          </w:tcPr>
          <w:p>
            <w:pPr>
              <w:ind w:left="20"/>
              <w:spacing w:after="0"/>
              <w:rPr>
                <w:sz w:val="20"/>
                <w:szCs w:val="20"/>
                <w:color w:val="auto"/>
              </w:rPr>
            </w:pPr>
            <w:r>
              <w:rPr>
                <w:rFonts w:ascii="Arial" w:cs="Arial" w:eastAsia="Arial" w:hAnsi="Arial"/>
                <w:sz w:val="18"/>
                <w:szCs w:val="18"/>
                <w:color w:val="auto"/>
              </w:rPr>
              <w:t>Loss from extinguishment of debt</w:t>
            </w: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10,975</w:t>
            </w:r>
          </w:p>
        </w:tc>
        <w:tc>
          <w:tcPr>
            <w:tcW w:w="0" w:type="dxa"/>
            <w:vAlign w:val="bottom"/>
          </w:tcPr>
          <w:p>
            <w:pPr>
              <w:spacing w:after="0"/>
              <w:rPr>
                <w:sz w:val="1"/>
                <w:szCs w:val="1"/>
                <w:color w:val="auto"/>
              </w:rPr>
            </w:pPr>
          </w:p>
        </w:tc>
      </w:tr>
      <w:tr>
        <w:trPr>
          <w:trHeight w:val="263"/>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equity method investments</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63"/>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provision</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5,403</w:t>
            </w:r>
          </w:p>
        </w:tc>
        <w:tc>
          <w:tcPr>
            <w:tcW w:w="0" w:type="dxa"/>
            <w:vAlign w:val="bottom"/>
          </w:tcPr>
          <w:p>
            <w:pPr>
              <w:spacing w:after="0"/>
              <w:rPr>
                <w:sz w:val="1"/>
                <w:szCs w:val="1"/>
                <w:color w:val="auto"/>
              </w:rPr>
            </w:pPr>
          </w:p>
        </w:tc>
      </w:tr>
      <w:tr>
        <w:trPr>
          <w:trHeight w:val="257"/>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151,723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-1962785</wp:posOffset>
            </wp:positionV>
            <wp:extent cx="106045" cy="86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-2023110</wp:posOffset>
            </wp:positionV>
            <wp:extent cx="106045" cy="86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6045" cy="86995"/>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-1962785</wp:posOffset>
            </wp:positionV>
            <wp:extent cx="106045" cy="86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6045" cy="86995"/>
                    </a:xfrm>
                    <a:prstGeom prst="rect">
                      <a:avLst/>
                    </a:prstGeom>
                    <a:noFill/>
                  </pic:spPr>
                </pic:pic>
              </a:graphicData>
            </a:graphic>
          </wp:anchor>
        </w:drawing>
      </w:r>
    </w:p>
    <w:p>
      <w:pPr>
        <w:spacing w:after="0" w:line="303" w:lineRule="exact"/>
        <w:rPr>
          <w:sz w:val="20"/>
          <w:szCs w:val="20"/>
          <w:color w:val="auto"/>
        </w:rPr>
      </w:pPr>
    </w:p>
    <w:p>
      <w:pPr>
        <w:ind w:left="340" w:right="60" w:hanging="332"/>
        <w:spacing w:after="0" w:line="238" w:lineRule="auto"/>
        <w:tabs>
          <w:tab w:leader="none" w:pos="332" w:val="left"/>
        </w:tabs>
        <w:numPr>
          <w:ilvl w:val="0"/>
          <w:numId w:val="6"/>
        </w:numPr>
        <w:rPr>
          <w:rFonts w:ascii="Arial" w:cs="Arial" w:eastAsia="Arial" w:hAnsi="Arial"/>
          <w:sz w:val="14"/>
          <w:szCs w:val="14"/>
          <w:color w:val="auto"/>
        </w:rPr>
      </w:pPr>
      <w:r>
        <w:rPr>
          <w:rFonts w:ascii="Arial" w:cs="Arial" w:eastAsia="Arial" w:hAnsi="Arial"/>
          <w:sz w:val="18"/>
          <w:szCs w:val="18"/>
          <w:color w:val="auto"/>
        </w:rPr>
        <w:t>Terminals and Infrastructure includes the Company's effective share of revenues, expenses and operating margin attributable to 50% ownership of CELSEPAR. The losses attributable to the investment of $18,580 for the three months ended December 31, 2021 are reported in (loss) income from equity method investments on the condensed consolidated statements of operations and comprehensive income (loss). Terminals and Infrastructure does not include the unrealized mark-to-market loss on derivative instruments of $472 for the three months ended December 31, 2021 reported in Cost of sales.</w:t>
      </w:r>
    </w:p>
    <w:p>
      <w:pPr>
        <w:spacing w:after="0" w:line="2" w:lineRule="exact"/>
        <w:rPr>
          <w:rFonts w:ascii="Arial" w:cs="Arial" w:eastAsia="Arial" w:hAnsi="Arial"/>
          <w:sz w:val="14"/>
          <w:szCs w:val="14"/>
          <w:color w:val="auto"/>
        </w:rPr>
      </w:pPr>
    </w:p>
    <w:p>
      <w:pPr>
        <w:ind w:left="340" w:right="220" w:hanging="332"/>
        <w:spacing w:after="0" w:line="248"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7"/>
          <w:szCs w:val="17"/>
          <w:color w:val="auto"/>
        </w:rPr>
        <w:t>Ships includes the Company's effective share of revenues, expenses and operating margin attributable to 50% ownership of the Hilli Common Units. The earnings attributable to the investment of $10,065 for the three months ended December 31, 2021 are reported in (loss) income from equity method investments on the condensed consolidated statements of operations and comprehensive income (loss).</w:t>
      </w:r>
    </w:p>
    <w:p>
      <w:pPr>
        <w:spacing w:after="0" w:line="1" w:lineRule="exact"/>
        <w:rPr>
          <w:rFonts w:ascii="Arial" w:cs="Arial" w:eastAsia="Arial" w:hAnsi="Arial"/>
          <w:sz w:val="13"/>
          <w:szCs w:val="13"/>
          <w:color w:val="auto"/>
        </w:rPr>
      </w:pPr>
    </w:p>
    <w:p>
      <w:pPr>
        <w:jc w:val="both"/>
        <w:ind w:left="340" w:right="180" w:hanging="332"/>
        <w:spacing w:after="0" w:line="303" w:lineRule="auto"/>
        <w:tabs>
          <w:tab w:leader="none" w:pos="332" w:val="left"/>
        </w:tabs>
        <w:numPr>
          <w:ilvl w:val="0"/>
          <w:numId w:val="6"/>
        </w:numPr>
        <w:rPr>
          <w:rFonts w:ascii="Arial" w:cs="Arial" w:eastAsia="Arial" w:hAnsi="Arial"/>
          <w:sz w:val="13"/>
          <w:szCs w:val="13"/>
          <w:color w:val="auto"/>
        </w:rPr>
      </w:pPr>
      <w:r>
        <w:rPr>
          <w:rFonts w:ascii="Arial" w:cs="Arial" w:eastAsia="Arial" w:hAnsi="Arial"/>
          <w:sz w:val="16"/>
          <w:szCs w:val="16"/>
          <w:color w:val="auto"/>
        </w:rPr>
        <w:t>Consolidation and Other adjusts for the inclusion of the effective share of revenues, expenses and operating margin attributable to 50% ownership of CELSEPAR and Hilli Common Units in our segment measure and exclusion of the unrealized mark-to-market gain or loss on derivative instruments.</w:t>
      </w:r>
    </w:p>
    <w:p>
      <w:pPr>
        <w:sectPr>
          <w:pgSz w:w="11900" w:h="16838" w:orient="portrait"/>
          <w:cols w:equalWidth="0" w:num="1">
            <w:col w:w="11240"/>
          </w:cols>
          <w:pgMar w:left="320" w:top="98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26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(in thousands of $)</w:t>
            </w:r>
          </w:p>
        </w:tc>
        <w:tc>
          <w:tcPr>
            <w:tcW w:w="88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Terminals and</w:t>
            </w:r>
          </w:p>
        </w:tc>
        <w:tc>
          <w:tcPr>
            <w:tcW w:w="3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Ships</w:t>
            </w:r>
          </w:p>
        </w:tc>
        <w:tc>
          <w:tcPr>
            <w:tcW w:w="12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1"/>
              </w:rPr>
              <w:t>Total Segment</w:t>
            </w:r>
          </w:p>
        </w:tc>
        <w:tc>
          <w:tcPr>
            <w:tcW w:w="182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Consolidation and</w:t>
            </w:r>
          </w:p>
        </w:tc>
        <w:tc>
          <w:tcPr>
            <w:tcW w:w="13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Consolidated</w:t>
            </w:r>
          </w:p>
        </w:tc>
        <w:tc>
          <w:tcPr>
            <w:tcW w:w="0" w:type="dxa"/>
            <w:vAlign w:val="bottom"/>
          </w:tcPr>
          <w:p>
            <w:pPr>
              <w:spacing w:after="0"/>
              <w:rPr>
                <w:sz w:val="1"/>
                <w:szCs w:val="1"/>
                <w:color w:val="auto"/>
              </w:rPr>
            </w:pPr>
          </w:p>
        </w:tc>
      </w:tr>
      <w:tr>
        <w:trPr>
          <w:trHeight w:val="148"/>
        </w:trPr>
        <w:tc>
          <w:tcPr>
            <w:tcW w:w="326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7"/>
                <w:szCs w:val="17"/>
                <w:b w:val="1"/>
                <w:bCs w:val="1"/>
                <w:color w:val="auto"/>
              </w:rPr>
              <w:t>Infrastructure</w:t>
            </w:r>
          </w:p>
        </w:tc>
        <w:tc>
          <w:tcPr>
            <w:tcW w:w="3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692"/>
              <w:spacing w:after="0" w:line="149" w:lineRule="exact"/>
              <w:rPr>
                <w:sz w:val="20"/>
                <w:szCs w:val="20"/>
                <w:color w:val="auto"/>
              </w:rPr>
            </w:pPr>
            <w:r>
              <w:rPr>
                <w:rFonts w:ascii="Arial" w:cs="Arial" w:eastAsia="Arial" w:hAnsi="Arial"/>
                <w:sz w:val="17"/>
                <w:szCs w:val="17"/>
                <w:b w:val="1"/>
                <w:bCs w:val="1"/>
                <w:color w:val="auto"/>
              </w:rPr>
              <w:t>Other</w:t>
            </w:r>
          </w:p>
        </w:tc>
        <w:tc>
          <w:tcPr>
            <w:tcW w:w="13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Margin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32,761</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32,761</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32,761</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33,617</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Transaction and integration costs</w:t>
            </w: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11,564</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w:t>
            </w:r>
          </w:p>
        </w:tc>
        <w:tc>
          <w:tcPr>
            <w:tcW w:w="0" w:type="dxa"/>
            <w:vAlign w:val="bottom"/>
          </w:tcPr>
          <w:p>
            <w:pPr>
              <w:spacing w:after="0"/>
              <w:rPr>
                <w:sz w:val="1"/>
                <w:szCs w:val="1"/>
                <w:color w:val="auto"/>
              </w:rPr>
            </w:pPr>
          </w:p>
        </w:tc>
      </w:tr>
      <w:tr>
        <w:trPr>
          <w:trHeight w:val="250"/>
        </w:trPr>
        <w:tc>
          <w:tcPr>
            <w:tcW w:w="32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18,680</w:t>
            </w:r>
          </w:p>
        </w:tc>
        <w:tc>
          <w:tcPr>
            <w:tcW w:w="0" w:type="dxa"/>
            <w:vAlign w:val="bottom"/>
          </w:tcPr>
          <w:p>
            <w:pPr>
              <w:spacing w:after="0"/>
              <w:rPr>
                <w:sz w:val="1"/>
                <w:szCs w:val="1"/>
                <w:color w:val="auto"/>
              </w:rPr>
            </w:pPr>
          </w:p>
        </w:tc>
      </w:tr>
      <w:tr>
        <w:trPr>
          <w:trHeight w:val="26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50"/>
        </w:trPr>
        <w:tc>
          <w:tcPr>
            <w:tcW w:w="3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 (benefit)</w:t>
            </w:r>
          </w:p>
        </w:tc>
        <w:tc>
          <w:tcPr>
            <w:tcW w:w="8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57"/>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8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w:t>
            </w: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2022 and December 31, 2021</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6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156,173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187,509</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74,873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68,561</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Receivables, net of allowances of $164 and $164, respectively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238,614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208,499</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Inventory</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54,273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37,182</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Prepaid expenses and other current assets, net</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82,392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83,115</w:t>
            </w:r>
          </w:p>
        </w:tc>
        <w:tc>
          <w:tcPr>
            <w:tcW w:w="0" w:type="dxa"/>
            <w:vAlign w:val="bottom"/>
          </w:tcPr>
          <w:p>
            <w:pPr>
              <w:spacing w:after="0"/>
              <w:rPr>
                <w:sz w:val="1"/>
                <w:szCs w:val="1"/>
                <w:color w:val="auto"/>
              </w:rPr>
            </w:pPr>
          </w:p>
        </w:tc>
      </w:tr>
      <w:tr>
        <w:trPr>
          <w:trHeight w:val="183"/>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1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606,325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584,866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7,960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Construction in progress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1,238,313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1,043,883</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2,160,025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2,137,936</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Equity method 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1,327,444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1,182,013</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Right-of-use assets</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419,819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309,663</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Intangible assets,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135,650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142,944</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Finance leases, net</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601,953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602,675</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760,135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760,135</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6,048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5,999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102,136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98,418</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7,365,808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Current portion of long-term debt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100,666</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97,251</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81,126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68,085</w:t>
            </w:r>
          </w:p>
        </w:tc>
        <w:tc>
          <w:tcPr>
            <w:tcW w:w="0" w:type="dxa"/>
            <w:vAlign w:val="bottom"/>
          </w:tcPr>
          <w:p>
            <w:pPr>
              <w:spacing w:after="0"/>
              <w:rPr>
                <w:sz w:val="1"/>
                <w:szCs w:val="1"/>
                <w:color w:val="auto"/>
              </w:rPr>
            </w:pPr>
          </w:p>
        </w:tc>
      </w:tr>
      <w:tr>
        <w:trPr>
          <w:trHeight w:val="191"/>
        </w:trPr>
        <w:tc>
          <w:tcPr>
            <w:tcW w:w="8020" w:type="dxa"/>
            <w:vAlign w:val="bottom"/>
          </w:tcPr>
          <w:p>
            <w:pPr>
              <w:ind w:left="140"/>
              <w:spacing w:after="0"/>
              <w:rPr>
                <w:sz w:val="20"/>
                <w:szCs w:val="20"/>
                <w:color w:val="auto"/>
              </w:rPr>
            </w:pPr>
            <w:r>
              <w:rPr>
                <w:rFonts w:ascii="Arial" w:cs="Arial" w:eastAsia="Arial" w:hAnsi="Arial"/>
                <w:sz w:val="14"/>
                <w:szCs w:val="14"/>
                <w:color w:val="auto"/>
              </w:rPr>
              <w:t>Accrued liabilities</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252,859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244,025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Current lease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60,552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47,114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current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83,128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106,036</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Total current liabilities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578,331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562,511</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Long-term debt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3,836,610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3,757,879</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Non-current lease liabilities</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336,399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234,060</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Deferred tax liabilities, net</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239,060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269,513</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57,503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58,475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5,047,903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4,882,438</w:t>
            </w:r>
          </w:p>
        </w:tc>
        <w:tc>
          <w:tcPr>
            <w:tcW w:w="0" w:type="dxa"/>
            <w:vAlign w:val="bottom"/>
          </w:tcPr>
          <w:p>
            <w:pPr>
              <w:spacing w:after="0"/>
              <w:rPr>
                <w:sz w:val="1"/>
                <w:szCs w:val="1"/>
                <w:color w:val="auto"/>
              </w:rPr>
            </w:pPr>
          </w:p>
        </w:tc>
      </w:tr>
      <w:tr>
        <w:trPr>
          <w:trHeight w:val="203"/>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8020" w:type="dxa"/>
            <w:vAlign w:val="bottom"/>
          </w:tcPr>
          <w:p>
            <w:pPr>
              <w:ind w:left="140"/>
              <w:spacing w:after="0"/>
              <w:rPr>
                <w:sz w:val="20"/>
                <w:szCs w:val="20"/>
                <w:color w:val="auto"/>
              </w:rPr>
            </w:pPr>
            <w:r>
              <w:rPr>
                <w:rFonts w:ascii="Arial" w:cs="Arial" w:eastAsia="Arial" w:hAnsi="Arial"/>
                <w:sz w:val="14"/>
                <w:szCs w:val="14"/>
                <w:color w:val="auto"/>
                <w:w w:val="95"/>
              </w:rPr>
              <w:t>Class A common stock, $0.01 par value, 750.0 million shares authorized, 207.5 million issued and outstanding as of March 31, 2022;</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280"/>
              <w:spacing w:after="0"/>
              <w:rPr>
                <w:sz w:val="20"/>
                <w:szCs w:val="20"/>
                <w:color w:val="auto"/>
              </w:rPr>
            </w:pPr>
            <w:r>
              <w:rPr>
                <w:rFonts w:ascii="Arial" w:cs="Arial" w:eastAsia="Arial" w:hAnsi="Arial"/>
                <w:sz w:val="14"/>
                <w:szCs w:val="14"/>
                <w:color w:val="auto"/>
              </w:rPr>
              <w:t>206.9 million issued and outstanding as of December 31, 2021</w:t>
            </w:r>
          </w:p>
        </w:tc>
        <w:tc>
          <w:tcPr>
            <w:tcW w:w="1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2,069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1,888,842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1,923,990</w:t>
            </w:r>
          </w:p>
        </w:tc>
        <w:tc>
          <w:tcPr>
            <w:tcW w:w="0" w:type="dxa"/>
            <w:vAlign w:val="bottom"/>
          </w:tcPr>
          <w:p>
            <w:pPr>
              <w:spacing w:after="0"/>
              <w:rPr>
                <w:sz w:val="1"/>
                <w:szCs w:val="1"/>
                <w:color w:val="auto"/>
              </w:rPr>
            </w:pPr>
          </w:p>
        </w:tc>
      </w:tr>
      <w:tr>
        <w:trPr>
          <w:trHeight w:val="190"/>
        </w:trPr>
        <w:tc>
          <w:tcPr>
            <w:tcW w:w="8020" w:type="dxa"/>
            <w:vAlign w:val="bottom"/>
          </w:tcPr>
          <w:p>
            <w:pPr>
              <w:ind w:left="140"/>
              <w:spacing w:after="0"/>
              <w:rPr>
                <w:sz w:val="20"/>
                <w:szCs w:val="20"/>
                <w:color w:val="auto"/>
              </w:rPr>
            </w:pPr>
            <w:r>
              <w:rPr>
                <w:rFonts w:ascii="Arial" w:cs="Arial" w:eastAsia="Arial" w:hAnsi="Arial"/>
                <w:sz w:val="14"/>
                <w:szCs w:val="14"/>
                <w:color w:val="auto"/>
              </w:rPr>
              <w:t>Retained earnings (accumulated deficit)</w:t>
            </w:r>
          </w:p>
        </w:tc>
        <w:tc>
          <w:tcPr>
            <w:tcW w:w="180" w:type="dxa"/>
            <w:vAlign w:val="bottom"/>
          </w:tcPr>
          <w:p>
            <w:pPr>
              <w:spacing w:after="0"/>
              <w:rPr>
                <w:sz w:val="16"/>
                <w:szCs w:val="16"/>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105,870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(132,399)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116,789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(2,085)</w:t>
            </w:r>
          </w:p>
        </w:tc>
        <w:tc>
          <w:tcPr>
            <w:tcW w:w="0" w:type="dxa"/>
            <w:vAlign w:val="bottom"/>
          </w:tcPr>
          <w:p>
            <w:pPr>
              <w:spacing w:after="0"/>
              <w:rPr>
                <w:sz w:val="1"/>
                <w:szCs w:val="1"/>
                <w:color w:val="auto"/>
              </w:rPr>
            </w:pPr>
          </w:p>
        </w:tc>
      </w:tr>
      <w:tr>
        <w:trPr>
          <w:trHeight w:val="184"/>
        </w:trPr>
        <w:tc>
          <w:tcPr>
            <w:tcW w:w="8020" w:type="dxa"/>
            <w:vAlign w:val="bottom"/>
          </w:tcPr>
          <w:p>
            <w:pPr>
              <w:ind w:left="140"/>
              <w:spacing w:after="0"/>
              <w:rPr>
                <w:sz w:val="20"/>
                <w:szCs w:val="20"/>
                <w:color w:val="auto"/>
              </w:rPr>
            </w:pPr>
            <w:r>
              <w:rPr>
                <w:rFonts w:ascii="Arial" w:cs="Arial" w:eastAsia="Arial" w:hAnsi="Arial"/>
                <w:sz w:val="14"/>
                <w:szCs w:val="14"/>
                <w:b w:val="1"/>
                <w:bCs w:val="1"/>
                <w:color w:val="auto"/>
              </w:rPr>
              <w:t>Total stockholders' equity attributable to NFE</w:t>
            </w:r>
          </w:p>
        </w:tc>
        <w:tc>
          <w:tcPr>
            <w:tcW w:w="18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2,113,577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1,791,575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204,328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202,479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Total stockholders' equity</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2,317,905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1,994,054</w:t>
            </w:r>
          </w:p>
        </w:tc>
        <w:tc>
          <w:tcPr>
            <w:tcW w:w="0" w:type="dxa"/>
            <w:vAlign w:val="bottom"/>
          </w:tcPr>
          <w:p>
            <w:pPr>
              <w:spacing w:after="0"/>
              <w:rPr>
                <w:sz w:val="1"/>
                <w:szCs w:val="1"/>
                <w:color w:val="auto"/>
              </w:rPr>
            </w:pPr>
          </w:p>
        </w:tc>
      </w:tr>
      <w:tr>
        <w:trPr>
          <w:trHeight w:val="241"/>
        </w:trPr>
        <w:tc>
          <w:tcPr>
            <w:tcW w:w="8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7,365,808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6,876,492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rPr>
          <w:sz w:val="20"/>
          <w:szCs w:val="20"/>
          <w:color w:val="auto"/>
        </w:rPr>
      </w:pPr>
      <w:r>
        <w:rPr>
          <w:rFonts w:ascii="Arial" w:cs="Arial" w:eastAsia="Arial" w:hAnsi="Arial"/>
          <w:sz w:val="18"/>
          <w:szCs w:val="18"/>
          <w:b w:val="1"/>
          <w:bCs w:val="1"/>
          <w:color w:val="auto"/>
        </w:rPr>
        <w:t>(Unaudited, in thousands of U.S. dollars, except share and per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263"/>
        </w:trPr>
        <w:tc>
          <w:tcPr>
            <w:tcW w:w="7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400,075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91,196</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Vessel charter revenue</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92,420</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54,488</w:t>
            </w:r>
          </w:p>
        </w:tc>
      </w:tr>
      <w:tr>
        <w:trPr>
          <w:trHeight w:val="26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Total revenues</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505,118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145,684</w:t>
            </w:r>
          </w:p>
        </w:tc>
      </w:tr>
      <w:tr>
        <w:trPr>
          <w:trHeight w:val="257"/>
        </w:trPr>
        <w:tc>
          <w:tcPr>
            <w:tcW w:w="78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208,298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96,671</w:t>
            </w:r>
          </w:p>
        </w:tc>
      </w:tr>
      <w:tr>
        <w:trPr>
          <w:trHeight w:val="256"/>
        </w:trPr>
        <w:tc>
          <w:tcPr>
            <w:tcW w:w="7820" w:type="dxa"/>
            <w:vAlign w:val="bottom"/>
          </w:tcPr>
          <w:p>
            <w:pPr>
              <w:ind w:left="20"/>
              <w:spacing w:after="0"/>
              <w:rPr>
                <w:sz w:val="20"/>
                <w:szCs w:val="20"/>
                <w:color w:val="auto"/>
              </w:rPr>
            </w:pPr>
            <w:r>
              <w:rPr>
                <w:rFonts w:ascii="Arial" w:cs="Arial" w:eastAsia="Arial" w:hAnsi="Arial"/>
                <w:sz w:val="18"/>
                <w:szCs w:val="18"/>
                <w:color w:val="auto"/>
              </w:rPr>
              <w:t>Vessel operating expenses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22,964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 and maintenance</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48,041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33,617</w:t>
            </w: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Transaction and integration costs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11,564</w:t>
            </w:r>
          </w:p>
        </w:tc>
      </w:tr>
      <w:tr>
        <w:trPr>
          <w:trHeight w:val="26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34,290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9,890</w:t>
            </w:r>
          </w:p>
        </w:tc>
      </w:tr>
      <w:tr>
        <w:trPr>
          <w:trHeight w:val="277"/>
        </w:trPr>
        <w:tc>
          <w:tcPr>
            <w:tcW w:w="78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338,662</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167,994</w:t>
            </w:r>
          </w:p>
        </w:tc>
      </w:tr>
      <w:tr>
        <w:trPr>
          <w:trHeight w:val="243"/>
        </w:trPr>
        <w:tc>
          <w:tcPr>
            <w:tcW w:w="7820" w:type="dxa"/>
            <w:vAlign w:val="bottom"/>
          </w:tcPr>
          <w:p>
            <w:pPr>
              <w:ind w:left="140"/>
              <w:spacing w:after="0"/>
              <w:rPr>
                <w:sz w:val="20"/>
                <w:szCs w:val="20"/>
                <w:color w:val="auto"/>
              </w:rPr>
            </w:pPr>
            <w:r>
              <w:rPr>
                <w:rFonts w:ascii="Arial" w:cs="Arial" w:eastAsia="Arial" w:hAnsi="Arial"/>
                <w:sz w:val="18"/>
                <w:szCs w:val="18"/>
                <w:b w:val="1"/>
                <w:bCs w:val="1"/>
                <w:color w:val="auto"/>
              </w:rPr>
              <w:t>Operating income (loss)</w:t>
            </w:r>
          </w:p>
        </w:tc>
        <w:tc>
          <w:tcPr>
            <w:tcW w:w="3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166,456</w:t>
            </w: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(22,310)</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18,680</w:t>
            </w:r>
          </w:p>
        </w:tc>
      </w:tr>
      <w:tr>
        <w:trPr>
          <w:trHeight w:val="257"/>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(19,725)</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r>
      <w:tr>
        <w:trPr>
          <w:trHeight w:val="236"/>
        </w:trPr>
        <w:tc>
          <w:tcPr>
            <w:tcW w:w="782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Net income (loss) before income from equity method investments and income taxes</w:t>
            </w: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(40,386)</w:t>
            </w:r>
          </w:p>
        </w:tc>
      </w:tr>
      <w:tr>
        <w:trPr>
          <w:trHeight w:val="257"/>
        </w:trPr>
        <w:tc>
          <w:tcPr>
            <w:tcW w:w="782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50,235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3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(49,681)</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50"/>
        </w:trPr>
        <w:tc>
          <w:tcPr>
            <w:tcW w:w="7820" w:type="dxa"/>
            <w:vAlign w:val="bottom"/>
          </w:tcPr>
          <w:p>
            <w:pPr>
              <w:ind w:left="140"/>
              <w:spacing w:after="0"/>
              <w:rPr>
                <w:sz w:val="20"/>
                <w:szCs w:val="20"/>
                <w:color w:val="auto"/>
              </w:rPr>
            </w:pPr>
            <w:r>
              <w:rPr>
                <w:rFonts w:ascii="Arial" w:cs="Arial" w:eastAsia="Arial" w:hAnsi="Arial"/>
                <w:sz w:val="18"/>
                <w:szCs w:val="18"/>
                <w:b w:val="1"/>
                <w:bCs w:val="1"/>
                <w:color w:val="auto"/>
              </w:rPr>
              <w:t>Net income (loss)</w:t>
            </w:r>
          </w:p>
        </w:tc>
        <w:tc>
          <w:tcPr>
            <w:tcW w:w="3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241,181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(39,509)</w:t>
            </w:r>
          </w:p>
        </w:tc>
      </w:tr>
      <w:tr>
        <w:trPr>
          <w:trHeight w:val="263"/>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8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income (loss) attributable to stockholders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238,269</w:t>
            </w:r>
          </w:p>
        </w:tc>
        <w:tc>
          <w:tcPr>
            <w:tcW w:w="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(37,903)</w:t>
            </w:r>
          </w:p>
        </w:tc>
      </w:tr>
      <w:tr>
        <w:trPr>
          <w:trHeight w:val="237"/>
        </w:trPr>
        <w:tc>
          <w:tcPr>
            <w:tcW w:w="78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56"/>
        </w:trPr>
        <w:tc>
          <w:tcPr>
            <w:tcW w:w="7820" w:type="dxa"/>
            <w:vAlign w:val="bottom"/>
          </w:tcPr>
          <w:p>
            <w:pPr>
              <w:ind w:left="20"/>
              <w:spacing w:after="0"/>
              <w:rPr>
                <w:sz w:val="20"/>
                <w:szCs w:val="20"/>
                <w:color w:val="auto"/>
              </w:rPr>
            </w:pPr>
            <w:r>
              <w:rPr>
                <w:rFonts w:ascii="Arial" w:cs="Arial" w:eastAsia="Arial" w:hAnsi="Arial"/>
                <w:sz w:val="18"/>
                <w:szCs w:val="18"/>
                <w:color w:val="auto"/>
              </w:rPr>
              <w:t>Net income (loss) per share – basic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5"/>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7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81"/>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number of shares outstanding – basic</w:t>
            </w:r>
          </w:p>
        </w:tc>
        <w:tc>
          <w:tcPr>
            <w:tcW w:w="30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209,928,070</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176,500,576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Weighted average number of shares outstanding – diluted</w:t>
            </w: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210,082,295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176,500,576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7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r>
      <w:tr>
        <w:trPr>
          <w:trHeight w:val="25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(39,509)</w:t>
            </w:r>
          </w:p>
        </w:tc>
      </w:tr>
      <w:tr>
        <w:trPr>
          <w:trHeight w:val="26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translation adjustment</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120,830</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r>
      <w:tr>
        <w:trPr>
          <w:trHeight w:val="25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3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362,011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(40,506)</w:t>
            </w:r>
          </w:p>
        </w:tc>
      </w:tr>
      <w:tr>
        <w:trPr>
          <w:trHeight w:val="264"/>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Comprehensive loss (income) attributable to non-controlling interest</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(4,868)</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2,480</w:t>
            </w:r>
          </w:p>
        </w:tc>
      </w:tr>
      <w:tr>
        <w:trPr>
          <w:trHeight w:val="281"/>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 attributable to stockholders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357,143</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(38,026)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2022 and 2021</w:t>
      </w:r>
    </w:p>
    <w:p>
      <w:pP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5" w:lineRule="exact"/>
        <w:rPr>
          <w:sz w:val="20"/>
          <w:szCs w:val="20"/>
          <w:color w:val="auto"/>
        </w:rPr>
      </w:pPr>
    </w:p>
    <w:p>
      <w:pPr>
        <w:jc w:val="right"/>
        <w:ind w:right="5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32385</wp:posOffset>
            </wp:positionV>
            <wp:extent cx="19113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11350" cy="171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p>
      <w:pPr>
        <w:spacing w:after="0" w:line="8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8200" w:type="dxa"/>
            <w:vAlign w:val="bottom"/>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0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241,181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8200" w:type="dxa"/>
            <w:vAlign w:val="bottom"/>
          </w:tcPr>
          <w:p>
            <w:pPr>
              <w:ind w:left="120"/>
              <w:spacing w:after="0"/>
              <w:rPr>
                <w:sz w:val="20"/>
                <w:szCs w:val="20"/>
                <w:color w:val="auto"/>
              </w:rPr>
            </w:pPr>
            <w:r>
              <w:rPr>
                <w:rFonts w:ascii="Arial" w:cs="Arial" w:eastAsia="Arial" w:hAnsi="Arial"/>
                <w:sz w:val="14"/>
                <w:szCs w:val="14"/>
                <w:color w:val="auto"/>
              </w:rPr>
              <w:t>Adjustments for:</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Amortization of deferred financing costs and debt guarantee,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34,852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(Earnings) of equity method investees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(50,235)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Drydocking expenditure</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Dividends received from equity method investees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7,609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Change in market value of derivatives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(24,855)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Deferred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(58,769)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Share-based compensation</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28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997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20"/>
              <w:spacing w:after="0"/>
              <w:rPr>
                <w:sz w:val="20"/>
                <w:szCs w:val="20"/>
                <w:color w:val="auto"/>
              </w:rPr>
            </w:pPr>
            <w:r>
              <w:rPr>
                <w:rFonts w:ascii="Arial" w:cs="Arial" w:eastAsia="Arial" w:hAnsi="Arial"/>
                <w:sz w:val="14"/>
                <w:szCs w:val="14"/>
                <w:color w:val="auto"/>
              </w:rPr>
              <w:t>Changes in operating assets and liabilities, net of acquisitions: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-1628775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-1354455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-1080135</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-805815</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32385</wp:posOffset>
            </wp:positionV>
            <wp:extent cx="92583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5830" cy="17145"/>
                    </a:xfrm>
                    <a:prstGeom prst="rect">
                      <a:avLst/>
                    </a:prstGeom>
                    <a:noFill/>
                  </pic:spPr>
                </pic:pic>
              </a:graphicData>
            </a:graphic>
          </wp:anchor>
        </w:drawing>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(39,509)</w:t>
      </w:r>
    </w:p>
    <w:p>
      <w:pPr>
        <w:spacing w:after="0" w:line="271"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400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10,160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(1,412)</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1,770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393</w:t>
      </w:r>
    </w:p>
    <w:p>
      <w:pPr>
        <w:spacing w:after="0" w:line="257" w:lineRule="exact"/>
        <w:rPr>
          <w:sz w:val="20"/>
          <w:szCs w:val="20"/>
          <w:color w:val="auto"/>
        </w:rPr>
      </w:pPr>
    </w:p>
    <w:p>
      <w:pPr>
        <w:sectPr>
          <w:pgSz w:w="11900" w:h="16838" w:orient="portrait"/>
          <w:cols w:equalWidth="0" w:num="2">
            <w:col w:w="9880" w:space="480"/>
            <w:col w:w="860"/>
          </w:cols>
          <w:pgMar w:left="320" w:top="931" w:right="359" w:bottom="1440" w:gutter="0" w:footer="0" w:header="0"/>
          <w:type w:val="continuous"/>
        </w:sectPr>
      </w:pPr>
    </w:p>
    <w:p>
      <w:pPr>
        <w:spacing w:after="0" w:line="1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receivables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other assets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Decrease in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(Decrease) in accounts payable/accrued liabilities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Increase in amounts due to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(Decrease) in lease liabilities</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(Decrease) in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62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flows from investing activities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Entities acquired in asset acquisitions, net of cash acquired</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Other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flows from financing activities</w:t>
      </w:r>
    </w:p>
    <w:p>
      <w:pPr>
        <w:spacing w:after="0" w:line="5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Proceeds from borrowings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Payment of deferred financing costs</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Repayment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Payments related to tax withholdings for share-based compensation</w:t>
      </w:r>
    </w:p>
    <w:p>
      <w:pPr>
        <w:spacing w:after="0" w:line="5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Payment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Net cash provided by financing activities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2"/>
          <w:szCs w:val="12"/>
          <w:color w:val="auto"/>
        </w:rPr>
        <w:t>Effect of exchange rate changes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54"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Net (decrease) in cash, cash equivalents and restricted cash</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cash equivalents and restricted cash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62"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Cash, cash equivalents and restricted 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78"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(58,462)</w:t>
            </w:r>
          </w:p>
        </w:tc>
        <w:tc>
          <w:tcPr>
            <w:tcW w:w="200" w:type="dxa"/>
            <w:vAlign w:val="bottom"/>
          </w:tcPr>
          <w:p>
            <w:pPr>
              <w:spacing w:after="0"/>
              <w:rPr>
                <w:sz w:val="15"/>
                <w:szCs w:val="15"/>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(18,617)</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(15,440)</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17,016</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68,520</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2,035</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(11,773)</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(21,527)</w:t>
            </w:r>
          </w:p>
        </w:tc>
        <w:tc>
          <w:tcPr>
            <w:tcW w:w="200" w:type="dxa"/>
            <w:vAlign w:val="bottom"/>
          </w:tcPr>
          <w:p>
            <w:pPr>
              <w:spacing w:after="0"/>
              <w:rPr>
                <w:sz w:val="18"/>
                <w:szCs w:val="18"/>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1"/>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114,382</w:t>
            </w:r>
          </w:p>
        </w:tc>
        <w:tc>
          <w:tcPr>
            <w:tcW w:w="200" w:type="dxa"/>
            <w:vAlign w:val="bottom"/>
          </w:tcPr>
          <w:p>
            <w:pPr>
              <w:spacing w:after="0"/>
              <w:rPr>
                <w:sz w:val="16"/>
                <w:szCs w:val="16"/>
                <w:color w:val="auto"/>
              </w:rPr>
            </w:pPr>
          </w:p>
        </w:tc>
      </w:tr>
      <w:tr>
        <w:trPr>
          <w:trHeight w:val="32"/>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623"/>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(189,221)</w:t>
            </w:r>
          </w:p>
        </w:tc>
        <w:tc>
          <w:tcPr>
            <w:tcW w:w="2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0"/>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(189,221)</w:t>
            </w:r>
          </w:p>
        </w:tc>
        <w:tc>
          <w:tcPr>
            <w:tcW w:w="200" w:type="dxa"/>
            <w:vAlign w:val="bottom"/>
          </w:tcPr>
          <w:p>
            <w:pPr>
              <w:spacing w:after="0"/>
              <w:rPr>
                <w:sz w:val="16"/>
                <w:szCs w:val="16"/>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623"/>
        </w:trPr>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200,836</w:t>
            </w:r>
          </w:p>
        </w:tc>
        <w:tc>
          <w:tcPr>
            <w:tcW w:w="20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(3,504)</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(123,669)</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(13,054)</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(23,773)</w:t>
            </w:r>
          </w:p>
        </w:tc>
        <w:tc>
          <w:tcPr>
            <w:tcW w:w="200" w:type="dxa"/>
            <w:vAlign w:val="bottom"/>
          </w:tcPr>
          <w:p>
            <w:pPr>
              <w:spacing w:after="0"/>
              <w:rPr>
                <w:sz w:val="18"/>
                <w:szCs w:val="18"/>
                <w:color w:val="auto"/>
              </w:rPr>
            </w:pPr>
          </w:p>
        </w:tc>
      </w:tr>
      <w:tr>
        <w:trPr>
          <w:trHeight w:val="25"/>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84"/>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36,836</w:t>
            </w:r>
          </w:p>
        </w:tc>
        <w:tc>
          <w:tcPr>
            <w:tcW w:w="200" w:type="dxa"/>
            <w:vAlign w:val="bottom"/>
          </w:tcPr>
          <w:p>
            <w:pPr>
              <w:spacing w:after="0"/>
              <w:rPr>
                <w:sz w:val="16"/>
                <w:szCs w:val="16"/>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1"/>
        </w:trPr>
        <w:tc>
          <w:tcPr>
            <w:tcW w:w="4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12,979</w:t>
            </w:r>
          </w:p>
        </w:tc>
        <w:tc>
          <w:tcPr>
            <w:tcW w:w="200" w:type="dxa"/>
            <w:vAlign w:val="bottom"/>
          </w:tcPr>
          <w:p>
            <w:pPr>
              <w:spacing w:after="0"/>
              <w:rPr>
                <w:sz w:val="16"/>
                <w:szCs w:val="16"/>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(25,024)</w:t>
            </w:r>
          </w:p>
        </w:tc>
        <w:tc>
          <w:tcPr>
            <w:tcW w:w="20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264,030</w:t>
            </w:r>
          </w:p>
        </w:tc>
        <w:tc>
          <w:tcPr>
            <w:tcW w:w="200" w:type="dxa"/>
            <w:vAlign w:val="bottom"/>
          </w:tcPr>
          <w:p>
            <w:pPr>
              <w:spacing w:after="0"/>
              <w:rPr>
                <w:sz w:val="18"/>
                <w:szCs w:val="18"/>
                <w:color w:val="auto"/>
              </w:rPr>
            </w:pP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r>
        <w:trPr>
          <w:trHeight w:val="190"/>
        </w:trPr>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239,006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33"/>
        </w:trPr>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(19,223)</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(5,171)</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(36,943)</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9,772</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(22,399)</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1,879</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(10,584)</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(1,119)</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color w:val="auto"/>
        </w:rPr>
        <w:t>(111,986)</w:t>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(80,810)</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(8,817)</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(630)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(90,257)</w:t>
      </w:r>
    </w:p>
    <w:p>
      <w:pPr>
        <w:spacing w:after="0" w:line="200" w:lineRule="exact"/>
        <w:rPr>
          <w:sz w:val="20"/>
          <w:szCs w:val="20"/>
          <w:color w:val="auto"/>
        </w:rPr>
      </w:pPr>
    </w:p>
    <w:p>
      <w:pPr>
        <w:spacing w:after="0" w:line="328"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(670)</w:t>
      </w:r>
    </w:p>
    <w:p>
      <w:pPr>
        <w:spacing w:after="0" w:line="55" w:lineRule="exact"/>
        <w:rPr>
          <w:sz w:val="20"/>
          <w:szCs w:val="20"/>
          <w:color w:val="auto"/>
        </w:rPr>
      </w:pPr>
    </w:p>
    <w:p>
      <w:pPr>
        <w:jc w:val="right"/>
        <w:ind w:right="4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(29,564)</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(17,657)</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(47,891)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20955</wp:posOffset>
            </wp:positionV>
            <wp:extent cx="9258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(250,134)</w:t>
      </w:r>
    </w:p>
    <w:p>
      <w:pPr>
        <w:spacing w:after="0" w:line="80" w:lineRule="exact"/>
        <w:rPr>
          <w:sz w:val="20"/>
          <w:szCs w:val="20"/>
          <w:color w:val="auto"/>
        </w:rPr>
      </w:pPr>
    </w:p>
    <w:p>
      <w:pPr>
        <w:ind w:left="60"/>
        <w:spacing w:after="0"/>
        <w:rPr>
          <w:sz w:val="20"/>
          <w:szCs w:val="20"/>
          <w:color w:val="auto"/>
        </w:rPr>
      </w:pPr>
      <w:r>
        <w:rPr>
          <w:rFonts w:ascii="Arial" w:cs="Arial" w:eastAsia="Arial" w:hAnsi="Arial"/>
          <w:sz w:val="14"/>
          <w:szCs w:val="14"/>
          <w:color w:val="auto"/>
        </w:rPr>
        <w:t>629,336</w:t>
      </w:r>
    </w:p>
    <w:p>
      <w:pPr>
        <w:spacing w:after="0" w:line="55" w:lineRule="exact"/>
        <w:rPr>
          <w:sz w:val="20"/>
          <w:szCs w:val="20"/>
          <w:color w:val="auto"/>
        </w:rPr>
      </w:pPr>
    </w:p>
    <w:p>
      <w:pPr>
        <w:ind w:left="60"/>
        <w:spacing w:after="0"/>
        <w:rPr>
          <w:sz w:val="20"/>
          <w:szCs w:val="20"/>
          <w:color w:val="auto"/>
        </w:rPr>
      </w:pPr>
      <w:r>
        <w:rPr>
          <w:rFonts w:ascii="Arial" w:cs="Arial" w:eastAsia="Arial" w:hAnsi="Arial"/>
          <w:sz w:val="14"/>
          <w:szCs w:val="14"/>
          <w:color w:val="auto"/>
        </w:rPr>
        <w:t>379,202</w:t>
      </w:r>
    </w:p>
    <w:p>
      <w:pPr>
        <w:spacing w:after="0" w:line="514" w:lineRule="exact"/>
        <w:rPr>
          <w:sz w:val="20"/>
          <w:szCs w:val="20"/>
          <w:color w:val="auto"/>
        </w:rPr>
      </w:pPr>
    </w:p>
    <w:p>
      <w:pPr>
        <w:sectPr>
          <w:pgSz w:w="11900" w:h="16838" w:orient="portrait"/>
          <w:cols w:equalWidth="0" w:num="3">
            <w:col w:w="7500" w:space="720"/>
            <w:col w:w="1700" w:space="720"/>
            <w:col w:w="580"/>
          </w:cols>
          <w:pgMar w:left="320" w:top="931" w:right="359" w:bottom="1440" w:gutter="0" w:footer="0" w:header="0"/>
          <w:type w:val="continuous"/>
        </w:sectPr>
      </w:pPr>
    </w:p>
    <w:p>
      <w:pPr>
        <w:ind w:left="140"/>
        <w:spacing w:after="0"/>
        <w:tabs>
          <w:tab w:leader="none" w:pos="8220" w:val="left"/>
          <w:tab w:leader="none" w:pos="9200" w:val="left"/>
          <w:tab w:leader="none" w:pos="9780" w:val="left"/>
        </w:tabs>
        <w:rPr>
          <w:sz w:val="20"/>
          <w:szCs w:val="20"/>
          <w:color w:val="auto"/>
        </w:rPr>
      </w:pPr>
      <w:r>
        <w:rPr>
          <w:rFonts w:ascii="Arial" w:cs="Arial" w:eastAsia="Arial" w:hAnsi="Arial"/>
          <w:sz w:val="13"/>
          <w:szCs w:val="13"/>
          <w:color w:val="auto"/>
        </w:rPr>
        <w:t>Changes in accounts payable and accrued liabilities associated with construction in progress and property, plant and equipment additions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19,838</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 w:lineRule="exact"/>
        <w:rPr>
          <w:sz w:val="20"/>
          <w:szCs w:val="20"/>
          <w:color w:val="auto"/>
        </w:rPr>
      </w:pPr>
    </w:p>
    <w:p>
      <w:pPr>
        <w:ind w:left="140"/>
        <w:spacing w:after="0"/>
        <w:tabs>
          <w:tab w:leader="none" w:pos="9440" w:val="left"/>
        </w:tabs>
        <w:rPr>
          <w:sz w:val="20"/>
          <w:szCs w:val="20"/>
          <w:color w:val="auto"/>
        </w:rPr>
      </w:pPr>
      <w:r>
        <w:rPr>
          <w:rFonts w:ascii="Arial" w:cs="Arial" w:eastAsia="Arial" w:hAnsi="Arial"/>
          <w:sz w:val="14"/>
          <w:szCs w:val="14"/>
          <w:color w:val="auto"/>
        </w:rPr>
        <w:t>Liabilities associated with consideration paid for entities acquired in asset acquisitions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26,311</w:t>
      </w:r>
    </w:p>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11,845</w:t>
      </w:r>
    </w:p>
    <w:sectPr>
      <w:pgSz w:w="11900" w:h="16838" w:orient="portrait"/>
      <w:cols w:equalWidth="0" w:num="2">
        <w:col w:w="10060" w:space="720"/>
        <w:col w:w="440"/>
      </w:cols>
      <w:pgMar w:left="320" w:top="93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2022-05-05T05:26:29Z</dcterms:created>
  <dcterms:modified xsi:type="dcterms:W3CDTF">2022-05-05T05:26:29Z</dcterms:modified>
</cp:coreProperties>
</file>