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8"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201295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92710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5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 Section 13 or 15(d) of</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The Securities Exchange Act of 1934</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Date of Report (Date of earliest event reported): June 15,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23"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New Fortress Energy Inc.</w:t>
      </w:r>
    </w:p>
    <w:p>
      <w:pPr>
        <w:spacing w:after="0" w:line="5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73025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35" w:right="339" w:bottom="1440" w:gutter="0" w:footer="0" w:header="0"/>
        </w:sectPr>
      </w:pPr>
    </w:p>
    <w:p>
      <w:pPr>
        <w:spacing w:after="0" w:line="200" w:lineRule="exact"/>
        <w:rPr>
          <w:sz w:val="24"/>
          <w:szCs w:val="24"/>
          <w:color w:val="auto"/>
        </w:rPr>
      </w:pPr>
    </w:p>
    <w:p>
      <w:pPr>
        <w:spacing w:after="0" w:line="275" w:lineRule="exact"/>
        <w:rPr>
          <w:sz w:val="24"/>
          <w:szCs w:val="24"/>
          <w:color w:val="auto"/>
        </w:rPr>
      </w:pPr>
    </w:p>
    <w:p>
      <w:pPr>
        <w:jc w:val="center"/>
        <w:ind w:right="20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jc w:val="center"/>
        <w:ind w:right="200"/>
        <w:spacing w:after="0"/>
        <w:rPr>
          <w:sz w:val="20"/>
          <w:szCs w:val="20"/>
          <w:color w:val="auto"/>
        </w:rPr>
      </w:pPr>
      <w:r>
        <w:rPr>
          <w:rFonts w:ascii="Arial" w:cs="Arial" w:eastAsia="Arial" w:hAnsi="Arial"/>
          <w:sz w:val="16"/>
          <w:szCs w:val="16"/>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55" w:lineRule="exact"/>
        <w:rPr>
          <w:sz w:val="24"/>
          <w:szCs w:val="24"/>
          <w:color w:val="auto"/>
        </w:rPr>
      </w:pPr>
    </w:p>
    <w:p>
      <w:pPr>
        <w:jc w:val="center"/>
        <w:ind w:right="740"/>
        <w:spacing w:after="0"/>
        <w:rPr>
          <w:sz w:val="20"/>
          <w:szCs w:val="20"/>
          <w:color w:val="auto"/>
        </w:rPr>
      </w:pPr>
      <w:r>
        <w:rPr>
          <w:rFonts w:ascii="Arial" w:cs="Arial" w:eastAsia="Arial" w:hAnsi="Arial"/>
          <w:sz w:val="18"/>
          <w:szCs w:val="18"/>
          <w:b w:val="1"/>
          <w:bCs w:val="1"/>
          <w:color w:val="auto"/>
        </w:rPr>
        <w:t>001-38790</w:t>
      </w:r>
    </w:p>
    <w:p>
      <w:pPr>
        <w:spacing w:after="0" w:line="27" w:lineRule="exact"/>
        <w:rPr>
          <w:sz w:val="24"/>
          <w:szCs w:val="24"/>
          <w:color w:val="auto"/>
        </w:rPr>
      </w:pPr>
    </w:p>
    <w:p>
      <w:pPr>
        <w:jc w:val="center"/>
        <w:ind w:right="74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55" w:lineRule="exact"/>
        <w:rPr>
          <w:sz w:val="24"/>
          <w:szCs w:val="24"/>
          <w:color w:val="auto"/>
        </w:rPr>
      </w:pPr>
    </w:p>
    <w:p>
      <w:pPr>
        <w:jc w:val="center"/>
        <w:ind w:right="540"/>
        <w:spacing w:after="0"/>
        <w:rPr>
          <w:sz w:val="20"/>
          <w:szCs w:val="20"/>
          <w:color w:val="auto"/>
        </w:rPr>
      </w:pPr>
      <w:r>
        <w:rPr>
          <w:rFonts w:ascii="Arial" w:cs="Arial" w:eastAsia="Arial" w:hAnsi="Arial"/>
          <w:sz w:val="18"/>
          <w:szCs w:val="18"/>
          <w:b w:val="1"/>
          <w:bCs w:val="1"/>
          <w:color w:val="auto"/>
        </w:rPr>
        <w:t>83-1482060</w:t>
      </w:r>
    </w:p>
    <w:p>
      <w:pPr>
        <w:spacing w:after="0" w:line="27" w:lineRule="exact"/>
        <w:rPr>
          <w:sz w:val="24"/>
          <w:szCs w:val="24"/>
          <w:color w:val="auto"/>
        </w:rPr>
      </w:pPr>
    </w:p>
    <w:p>
      <w:pPr>
        <w:jc w:val="center"/>
        <w:ind w:right="540"/>
        <w:spacing w:after="0"/>
        <w:rPr>
          <w:sz w:val="20"/>
          <w:szCs w:val="20"/>
          <w:color w:val="auto"/>
        </w:rPr>
      </w:pPr>
      <w:r>
        <w:rPr>
          <w:rFonts w:ascii="Arial" w:cs="Arial" w:eastAsia="Arial" w:hAnsi="Arial"/>
          <w:sz w:val="17"/>
          <w:szCs w:val="17"/>
          <w:color w:val="auto"/>
        </w:rPr>
        <w:t>(I.R.S. Employer Identification No.)</w:t>
      </w:r>
    </w:p>
    <w:p>
      <w:pPr>
        <w:spacing w:after="0" w:line="200" w:lineRule="exact"/>
        <w:rPr>
          <w:sz w:val="24"/>
          <w:szCs w:val="24"/>
          <w:color w:val="auto"/>
        </w:rPr>
      </w:pPr>
    </w:p>
    <w:p>
      <w:pPr>
        <w:sectPr>
          <w:pgSz w:w="11900" w:h="16838" w:orient="portrait"/>
          <w:cols w:equalWidth="0" w:num="3">
            <w:col w:w="3920" w:space="720"/>
            <w:col w:w="2720" w:space="720"/>
            <w:col w:w="3160"/>
          </w:cols>
          <w:pgMar w:left="320" w:top="535" w:right="339" w:bottom="1440" w:gutter="0" w:footer="0" w:header="0"/>
          <w:type w:val="continuous"/>
        </w:sectPr>
      </w:pPr>
    </w:p>
    <w:p>
      <w:pPr>
        <w:spacing w:after="0" w:line="18" w:lineRule="exact"/>
        <w:rPr>
          <w:sz w:val="24"/>
          <w:szCs w:val="24"/>
          <w:color w:val="auto"/>
        </w:rPr>
      </w:pPr>
    </w:p>
    <w:p>
      <w:pPr>
        <w:jc w:val="center"/>
        <w:ind w:right="1860"/>
        <w:spacing w:after="0"/>
        <w:rPr>
          <w:sz w:val="20"/>
          <w:szCs w:val="20"/>
          <w:color w:val="auto"/>
        </w:rPr>
      </w:pPr>
      <w:r>
        <w:rPr>
          <w:rFonts w:ascii="Arial" w:cs="Arial" w:eastAsia="Arial" w:hAnsi="Arial"/>
          <w:sz w:val="18"/>
          <w:szCs w:val="18"/>
          <w:b w:val="1"/>
          <w:bCs w:val="1"/>
          <w:color w:val="auto"/>
        </w:rPr>
        <w:t>111 W. 19th Street, 8th Floor</w:t>
      </w:r>
    </w:p>
    <w:p>
      <w:pPr>
        <w:spacing w:after="0" w:line="27" w:lineRule="exact"/>
        <w:rPr>
          <w:sz w:val="24"/>
          <w:szCs w:val="24"/>
          <w:color w:val="auto"/>
        </w:rPr>
      </w:pPr>
    </w:p>
    <w:p>
      <w:pPr>
        <w:jc w:val="center"/>
        <w:ind w:right="1860"/>
        <w:spacing w:after="0"/>
        <w:rPr>
          <w:sz w:val="20"/>
          <w:szCs w:val="20"/>
          <w:color w:val="auto"/>
        </w:rPr>
      </w:pPr>
      <w:r>
        <w:rPr>
          <w:rFonts w:ascii="Arial" w:cs="Arial" w:eastAsia="Arial" w:hAnsi="Arial"/>
          <w:sz w:val="18"/>
          <w:szCs w:val="18"/>
          <w:b w:val="1"/>
          <w:bCs w:val="1"/>
          <w:color w:val="auto"/>
        </w:rPr>
        <w:t>New York, NY</w:t>
      </w:r>
    </w:p>
    <w:p>
      <w:pPr>
        <w:spacing w:after="0" w:line="9" w:lineRule="exact"/>
        <w:rPr>
          <w:sz w:val="24"/>
          <w:szCs w:val="24"/>
          <w:color w:val="auto"/>
        </w:rPr>
      </w:pPr>
    </w:p>
    <w:p>
      <w:pPr>
        <w:jc w:val="center"/>
        <w:ind w:right="1860"/>
        <w:spacing w:after="0"/>
        <w:rPr>
          <w:sz w:val="20"/>
          <w:szCs w:val="20"/>
          <w:color w:val="auto"/>
        </w:rPr>
      </w:pPr>
      <w:r>
        <w:rPr>
          <w:rFonts w:ascii="Arial" w:cs="Arial" w:eastAsia="Arial" w:hAnsi="Arial"/>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14" w:lineRule="exact"/>
        <w:rPr>
          <w:sz w:val="24"/>
          <w:szCs w:val="24"/>
          <w:color w:val="auto"/>
        </w:rPr>
      </w:pPr>
    </w:p>
    <w:p>
      <w:pPr>
        <w:jc w:val="center"/>
        <w:ind w:right="2360"/>
        <w:spacing w:after="0"/>
        <w:rPr>
          <w:sz w:val="20"/>
          <w:szCs w:val="20"/>
          <w:color w:val="auto"/>
        </w:rPr>
      </w:pPr>
      <w:r>
        <w:rPr>
          <w:rFonts w:ascii="Arial" w:cs="Arial" w:eastAsia="Arial" w:hAnsi="Arial"/>
          <w:sz w:val="18"/>
          <w:szCs w:val="18"/>
          <w:b w:val="1"/>
          <w:bCs w:val="1"/>
          <w:color w:val="auto"/>
        </w:rPr>
        <w:t>10011</w:t>
      </w:r>
    </w:p>
    <w:p>
      <w:pPr>
        <w:spacing w:after="0" w:line="27" w:lineRule="exact"/>
        <w:rPr>
          <w:sz w:val="24"/>
          <w:szCs w:val="24"/>
          <w:color w:val="auto"/>
        </w:rPr>
      </w:pPr>
    </w:p>
    <w:p>
      <w:pPr>
        <w:jc w:val="center"/>
        <w:ind w:right="2340"/>
        <w:spacing w:after="0"/>
        <w:rPr>
          <w:sz w:val="20"/>
          <w:szCs w:val="20"/>
          <w:color w:val="auto"/>
        </w:rPr>
      </w:pPr>
      <w:r>
        <w:rPr>
          <w:rFonts w:ascii="Arial" w:cs="Arial" w:eastAsia="Arial" w:hAnsi="Arial"/>
          <w:sz w:val="16"/>
          <w:szCs w:val="16"/>
          <w:color w:val="auto"/>
        </w:rPr>
        <w:t>(Zip Code)</w:t>
      </w:r>
    </w:p>
    <w:p>
      <w:pPr>
        <w:spacing w:after="0" w:line="200" w:lineRule="exact"/>
        <w:rPr>
          <w:sz w:val="24"/>
          <w:szCs w:val="24"/>
          <w:color w:val="auto"/>
        </w:rPr>
      </w:pPr>
    </w:p>
    <w:p>
      <w:pPr>
        <w:sectPr>
          <w:pgSz w:w="11900" w:h="16838" w:orient="portrait"/>
          <w:cols w:equalWidth="0" w:num="2">
            <w:col w:w="7380" w:space="720"/>
            <w:col w:w="3140"/>
          </w:cols>
          <w:pgMar w:left="320" w:top="535" w:right="339" w:bottom="1440" w:gutter="0" w:footer="0" w:header="0"/>
          <w:type w:val="continuous"/>
        </w:sectPr>
      </w:pPr>
    </w:p>
    <w:p>
      <w:pPr>
        <w:spacing w:after="0" w:line="3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(516) 268-7400</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Not Applicable</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93" w:lineRule="exact"/>
        <w:rPr>
          <w:sz w:val="24"/>
          <w:szCs w:val="24"/>
          <w:color w:val="auto"/>
        </w:rPr>
      </w:pPr>
    </w:p>
    <w:p>
      <w:pPr>
        <w:ind w:right="320"/>
        <w:spacing w:after="0" w:line="277" w:lineRule="auto"/>
        <w:rPr>
          <w:sz w:val="20"/>
          <w:szCs w:val="20"/>
          <w:color w:val="auto"/>
        </w:rPr>
      </w:pPr>
      <w:r>
        <w:rPr>
          <w:rFonts w:ascii="Arial" w:cs="Arial" w:eastAsia="Arial" w:hAnsi="Arial"/>
          <w:sz w:val="18"/>
          <w:szCs w:val="18"/>
          <w:color w:val="auto"/>
        </w:rPr>
        <w:t>Check the appropriate box below if the Form 8-K is intended to simultaneously satisfy the filing obligation of the Registrant under any of the following provisions:</w:t>
      </w:r>
    </w:p>
    <w:p>
      <w:pPr>
        <w:spacing w:after="0" w:line="170"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4560" w:type="dxa"/>
            <w:vAlign w:val="bottom"/>
            <w:gridSpan w:val="3"/>
          </w:tcPr>
          <w:p>
            <w:pPr>
              <w:spacing w:after="0"/>
              <w:rPr>
                <w:sz w:val="20"/>
                <w:szCs w:val="20"/>
                <w:color w:val="auto"/>
              </w:rPr>
            </w:pPr>
            <w:r>
              <w:rPr>
                <w:rFonts w:ascii="Arial" w:cs="Arial" w:eastAsia="Arial" w:hAnsi="Arial"/>
                <w:sz w:val="18"/>
                <w:szCs w:val="18"/>
                <w:color w:val="auto"/>
                <w:w w:val="99"/>
              </w:rPr>
              <w:t>Securities registered pursuant to Section 12(b) of the Act:</w:t>
            </w:r>
          </w:p>
        </w:tc>
        <w:tc>
          <w:tcPr>
            <w:tcW w:w="28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vMerge w:val="restart"/>
          </w:tcPr>
          <w:p>
            <w:pPr>
              <w:jc w:val="center"/>
              <w:spacing w:after="0"/>
              <w:rPr>
                <w:sz w:val="20"/>
                <w:szCs w:val="20"/>
                <w:color w:val="auto"/>
              </w:rPr>
            </w:pPr>
            <w:r>
              <w:rPr>
                <w:rFonts w:ascii="Arial" w:cs="Arial" w:eastAsia="Arial" w:hAnsi="Arial"/>
                <w:sz w:val="18"/>
                <w:szCs w:val="18"/>
                <w:color w:val="auto"/>
                <w:w w:val="89"/>
              </w:rPr>
              <w:t>Name of each exchange on which</w:t>
            </w:r>
          </w:p>
        </w:tc>
        <w:tc>
          <w:tcPr>
            <w:tcW w:w="0" w:type="dxa"/>
            <w:vAlign w:val="bottom"/>
          </w:tcPr>
          <w:p>
            <w:pPr>
              <w:spacing w:after="0"/>
              <w:rPr>
                <w:sz w:val="1"/>
                <w:szCs w:val="1"/>
                <w:color w:val="auto"/>
              </w:rPr>
            </w:pPr>
          </w:p>
        </w:tc>
      </w:tr>
      <w:tr>
        <w:trPr>
          <w:trHeight w:val="202"/>
        </w:trPr>
        <w:tc>
          <w:tcPr>
            <w:tcW w:w="3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6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4560" w:type="dxa"/>
            <w:vAlign w:val="bottom"/>
            <w:gridSpan w:val="3"/>
          </w:tcPr>
          <w:p>
            <w:pPr>
              <w:jc w:val="center"/>
              <w:ind w:right="940"/>
              <w:spacing w:after="0"/>
              <w:rPr>
                <w:sz w:val="20"/>
                <w:szCs w:val="20"/>
                <w:color w:val="auto"/>
              </w:rPr>
            </w:pPr>
            <w:r>
              <w:rPr>
                <w:rFonts w:ascii="Arial" w:cs="Arial" w:eastAsia="Arial" w:hAnsi="Arial"/>
                <w:sz w:val="18"/>
                <w:szCs w:val="18"/>
                <w:color w:val="auto"/>
                <w:w w:val="90"/>
              </w:rPr>
              <w:t>Title of each class</w:t>
            </w:r>
          </w:p>
        </w:tc>
        <w:tc>
          <w:tcPr>
            <w:tcW w:w="3080" w:type="dxa"/>
            <w:vAlign w:val="bottom"/>
            <w:gridSpan w:val="2"/>
          </w:tcPr>
          <w:p>
            <w:pPr>
              <w:jc w:val="center"/>
              <w:ind w:right="920"/>
              <w:spacing w:after="0"/>
              <w:rPr>
                <w:sz w:val="20"/>
                <w:szCs w:val="20"/>
                <w:color w:val="auto"/>
              </w:rPr>
            </w:pPr>
            <w:r>
              <w:rPr>
                <w:rFonts w:ascii="Arial" w:cs="Arial" w:eastAsia="Arial" w:hAnsi="Arial"/>
                <w:sz w:val="18"/>
                <w:szCs w:val="18"/>
                <w:color w:val="auto"/>
                <w:w w:val="92"/>
              </w:rPr>
              <w:t>Trading Symbol(s)</w:t>
            </w:r>
          </w:p>
        </w:tc>
        <w:tc>
          <w:tcPr>
            <w:tcW w:w="3600" w:type="dxa"/>
            <w:vAlign w:val="bottom"/>
          </w:tcPr>
          <w:p>
            <w:pPr>
              <w:jc w:val="center"/>
              <w:spacing w:after="0"/>
              <w:rPr>
                <w:sz w:val="20"/>
                <w:szCs w:val="20"/>
                <w:color w:val="auto"/>
              </w:rPr>
            </w:pPr>
            <w:r>
              <w:rPr>
                <w:rFonts w:ascii="Arial" w:cs="Arial" w:eastAsia="Arial" w:hAnsi="Arial"/>
                <w:sz w:val="18"/>
                <w:szCs w:val="18"/>
                <w:color w:val="auto"/>
                <w:w w:val="87"/>
              </w:rPr>
              <w:t>registered</w:t>
            </w:r>
          </w:p>
        </w:tc>
        <w:tc>
          <w:tcPr>
            <w:tcW w:w="0" w:type="dxa"/>
            <w:vAlign w:val="bottom"/>
          </w:tcPr>
          <w:p>
            <w:pPr>
              <w:spacing w:after="0"/>
              <w:rPr>
                <w:sz w:val="1"/>
                <w:szCs w:val="1"/>
                <w:color w:val="auto"/>
              </w:rPr>
            </w:pPr>
          </w:p>
        </w:tc>
      </w:tr>
      <w:tr>
        <w:trPr>
          <w:trHeight w:val="234"/>
        </w:trPr>
        <w:tc>
          <w:tcPr>
            <w:tcW w:w="362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Class A common stock</w:t>
            </w:r>
          </w:p>
        </w:tc>
        <w:tc>
          <w:tcPr>
            <w:tcW w:w="220" w:type="dxa"/>
            <w:vAlign w:val="bottom"/>
          </w:tcPr>
          <w:p>
            <w:pPr>
              <w:spacing w:after="0"/>
              <w:rPr>
                <w:sz w:val="20"/>
                <w:szCs w:val="20"/>
                <w:color w:val="auto"/>
              </w:rPr>
            </w:pPr>
          </w:p>
        </w:tc>
        <w:tc>
          <w:tcPr>
            <w:tcW w:w="720" w:type="dxa"/>
            <w:vAlign w:val="bottom"/>
            <w:tcBorders>
              <w:top w:val="single" w:sz="8" w:color="auto"/>
            </w:tcBorders>
          </w:tcPr>
          <w:p>
            <w:pPr>
              <w:spacing w:after="0"/>
              <w:rPr>
                <w:sz w:val="20"/>
                <w:szCs w:val="20"/>
                <w:color w:val="auto"/>
              </w:rPr>
            </w:pPr>
          </w:p>
        </w:tc>
        <w:tc>
          <w:tcPr>
            <w:tcW w:w="2880" w:type="dxa"/>
            <w:vAlign w:val="bottom"/>
            <w:tcBorders>
              <w:top w:val="single" w:sz="8" w:color="auto"/>
            </w:tcBorders>
          </w:tcPr>
          <w:p>
            <w:pPr>
              <w:jc w:val="center"/>
              <w:ind w:right="630"/>
              <w:spacing w:after="0"/>
              <w:rPr>
                <w:sz w:val="20"/>
                <w:szCs w:val="20"/>
                <w:color w:val="auto"/>
              </w:rPr>
            </w:pPr>
            <w:r>
              <w:rPr>
                <w:rFonts w:ascii="Arial" w:cs="Arial" w:eastAsia="Arial" w:hAnsi="Arial"/>
                <w:sz w:val="18"/>
                <w:szCs w:val="18"/>
                <w:b w:val="1"/>
                <w:bCs w:val="1"/>
                <w:color w:val="auto"/>
                <w:w w:val="99"/>
              </w:rPr>
              <w:t>NFE</w:t>
            </w:r>
          </w:p>
        </w:tc>
        <w:tc>
          <w:tcPr>
            <w:tcW w:w="200" w:type="dxa"/>
            <w:vAlign w:val="bottom"/>
          </w:tcPr>
          <w:p>
            <w:pPr>
              <w:spacing w:after="0"/>
              <w:rPr>
                <w:sz w:val="20"/>
                <w:szCs w:val="20"/>
                <w:color w:val="auto"/>
              </w:rPr>
            </w:pPr>
          </w:p>
        </w:tc>
        <w:tc>
          <w:tcPr>
            <w:tcW w:w="360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NASDAQ Global Select Market</w:t>
            </w:r>
          </w:p>
        </w:tc>
        <w:tc>
          <w:tcPr>
            <w:tcW w:w="0" w:type="dxa"/>
            <w:vAlign w:val="bottom"/>
          </w:tcPr>
          <w:p>
            <w:pPr>
              <w:spacing w:after="0"/>
              <w:rPr>
                <w:sz w:val="1"/>
                <w:szCs w:val="1"/>
                <w:color w:val="auto"/>
              </w:rPr>
            </w:pPr>
          </w:p>
        </w:tc>
      </w:tr>
    </w:tbl>
    <w:p>
      <w:pPr>
        <w:spacing w:after="0" w:line="183" w:lineRule="exact"/>
        <w:rPr>
          <w:sz w:val="24"/>
          <w:szCs w:val="24"/>
          <w:color w:val="auto"/>
        </w:rPr>
      </w:pPr>
    </w:p>
    <w:p>
      <w:pPr>
        <w:ind w:right="5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ind w:left="8980"/>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281" w:lineRule="exact"/>
        <w:rPr>
          <w:sz w:val="24"/>
          <w:szCs w:val="24"/>
          <w:color w:val="auto"/>
        </w:rPr>
      </w:pPr>
    </w:p>
    <w:p>
      <w:pPr>
        <w:ind w:right="16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184785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279400</wp:posOffset>
            </wp:positionV>
            <wp:extent cx="7132320" cy="342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424815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35" w:right="339" w:bottom="1440" w:gutter="0" w:footer="0" w:header="0"/>
          <w:type w:val="continuous"/>
        </w:sectPr>
      </w:pPr>
    </w:p>
    <w:bookmarkStart w:id="1" w:name="page2"/>
    <w:bookmarkEnd w:id="1"/>
    <w:p>
      <w:pPr>
        <w:spacing w:after="0"/>
        <w:tabs>
          <w:tab w:leader="none" w:pos="960" w:val="left"/>
        </w:tabs>
        <w:rPr>
          <w:sz w:val="20"/>
          <w:szCs w:val="20"/>
          <w:color w:val="auto"/>
        </w:rPr>
      </w:pPr>
      <w:r>
        <w:rPr>
          <w:rFonts w:ascii="Arial" w:cs="Arial" w:eastAsia="Arial" w:hAnsi="Arial"/>
          <w:sz w:val="18"/>
          <w:szCs w:val="18"/>
          <w:b w:val="1"/>
          <w:bCs w:val="1"/>
          <w:color w:val="auto"/>
        </w:rPr>
        <w:t>Item 5.07.</w:t>
      </w:r>
      <w:r>
        <w:rPr>
          <w:sz w:val="20"/>
          <w:szCs w:val="20"/>
          <w:color w:val="auto"/>
        </w:rPr>
        <w:tab/>
      </w:r>
      <w:r>
        <w:rPr>
          <w:rFonts w:ascii="Arial" w:cs="Arial" w:eastAsia="Arial" w:hAnsi="Arial"/>
          <w:sz w:val="16"/>
          <w:szCs w:val="16"/>
          <w:b w:val="1"/>
          <w:bCs w:val="1"/>
          <w:color w:val="auto"/>
        </w:rPr>
        <w:t>Submission of Matters to a Vote of Security Holders.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At the 2021 Annual Meeting of Stockholders (the “Annual Meeting”) held on June 15, 2021, the stockholders of New Fortress Energy Inc. (the “Company”) voted on the matters described below:</w:t>
      </w:r>
    </w:p>
    <w:p>
      <w:pPr>
        <w:spacing w:after="0" w:line="170" w:lineRule="exact"/>
        <w:rPr>
          <w:sz w:val="20"/>
          <w:szCs w:val="20"/>
          <w:color w:val="auto"/>
        </w:rPr>
      </w:pPr>
    </w:p>
    <w:p>
      <w:pPr>
        <w:ind w:left="980" w:right="80" w:hanging="486"/>
        <w:spacing w:after="0" w:line="259" w:lineRule="auto"/>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Company’s stockholders elected two Class II directors, who comprise all the directors of such class, to serve until the 2024 Annual Meeting of Stockholders and until their respective successors are duly elected or appointed and qualified. The numbers of shares that voted for the election of such directors, withheld authority to vote for such directors, and represented broker non-votes with respect to this proposal are summarized in the table below:</w:t>
      </w:r>
    </w:p>
    <w:p>
      <w:pPr>
        <w:spacing w:after="0" w:line="200" w:lineRule="exact"/>
        <w:rPr>
          <w:sz w:val="20"/>
          <w:szCs w:val="20"/>
          <w:color w:val="auto"/>
        </w:rPr>
      </w:pPr>
    </w:p>
    <w:tbl>
      <w:tblPr>
        <w:tblLayout w:type="fixed"/>
        <w:tblInd w:w="1140" w:type="dxa"/>
        <w:tblCellMar>
          <w:top w:w="0" w:type="dxa"/>
          <w:left w:w="0" w:type="dxa"/>
          <w:bottom w:w="0" w:type="dxa"/>
          <w:right w:w="0" w:type="dxa"/>
        </w:tblCellMar>
      </w:tblPr>
      <w:tr>
        <w:trPr>
          <w:trHeight w:val="237"/>
        </w:trPr>
        <w:tc>
          <w:tcPr>
            <w:tcW w:w="2360" w:type="dxa"/>
            <w:vAlign w:val="bottom"/>
            <w:gridSpan w:val="2"/>
          </w:tcPr>
          <w:p>
            <w:pPr>
              <w:ind w:left="460"/>
              <w:spacing w:after="0"/>
              <w:rPr>
                <w:sz w:val="20"/>
                <w:szCs w:val="20"/>
                <w:color w:val="auto"/>
              </w:rPr>
            </w:pPr>
            <w:r>
              <w:rPr>
                <w:rFonts w:ascii="Arial" w:cs="Arial" w:eastAsia="Arial" w:hAnsi="Arial"/>
                <w:sz w:val="18"/>
                <w:szCs w:val="18"/>
                <w:color w:val="auto"/>
              </w:rPr>
              <w:t>Director Nominee</w:t>
            </w:r>
          </w:p>
        </w:tc>
        <w:tc>
          <w:tcPr>
            <w:tcW w:w="2120" w:type="dxa"/>
            <w:vAlign w:val="bottom"/>
          </w:tcPr>
          <w:p>
            <w:pPr>
              <w:jc w:val="center"/>
              <w:spacing w:after="0"/>
              <w:rPr>
                <w:sz w:val="20"/>
                <w:szCs w:val="20"/>
                <w:color w:val="auto"/>
              </w:rPr>
            </w:pPr>
            <w:r>
              <w:rPr>
                <w:rFonts w:ascii="Arial" w:cs="Arial" w:eastAsia="Arial" w:hAnsi="Arial"/>
                <w:sz w:val="18"/>
                <w:szCs w:val="18"/>
                <w:color w:val="auto"/>
                <w:w w:val="89"/>
              </w:rPr>
              <w:t>Votes For</w:t>
            </w:r>
          </w:p>
        </w:tc>
        <w:tc>
          <w:tcPr>
            <w:tcW w:w="120" w:type="dxa"/>
            <w:vAlign w:val="bottom"/>
          </w:tcPr>
          <w:p>
            <w:pPr>
              <w:spacing w:after="0"/>
              <w:rPr>
                <w:sz w:val="20"/>
                <w:szCs w:val="20"/>
                <w:color w:val="auto"/>
              </w:rPr>
            </w:pPr>
          </w:p>
        </w:tc>
        <w:tc>
          <w:tcPr>
            <w:tcW w:w="2120" w:type="dxa"/>
            <w:vAlign w:val="bottom"/>
          </w:tcPr>
          <w:p>
            <w:pPr>
              <w:jc w:val="center"/>
              <w:spacing w:after="0"/>
              <w:rPr>
                <w:sz w:val="20"/>
                <w:szCs w:val="20"/>
                <w:color w:val="auto"/>
              </w:rPr>
            </w:pPr>
            <w:r>
              <w:rPr>
                <w:rFonts w:ascii="Arial" w:cs="Arial" w:eastAsia="Arial" w:hAnsi="Arial"/>
                <w:sz w:val="18"/>
                <w:szCs w:val="18"/>
                <w:color w:val="auto"/>
                <w:w w:val="90"/>
              </w:rPr>
              <w:t>Votes Withheld</w:t>
            </w:r>
          </w:p>
        </w:tc>
        <w:tc>
          <w:tcPr>
            <w:tcW w:w="120" w:type="dxa"/>
            <w:vAlign w:val="bottom"/>
          </w:tcPr>
          <w:p>
            <w:pPr>
              <w:spacing w:after="0"/>
              <w:rPr>
                <w:sz w:val="20"/>
                <w:szCs w:val="20"/>
                <w:color w:val="auto"/>
              </w:rPr>
            </w:pPr>
          </w:p>
        </w:tc>
        <w:tc>
          <w:tcPr>
            <w:tcW w:w="2140" w:type="dxa"/>
            <w:vAlign w:val="bottom"/>
          </w:tcPr>
          <w:p>
            <w:pPr>
              <w:jc w:val="center"/>
              <w:spacing w:after="0"/>
              <w:rPr>
                <w:sz w:val="20"/>
                <w:szCs w:val="20"/>
                <w:color w:val="auto"/>
              </w:rPr>
            </w:pPr>
            <w:r>
              <w:rPr>
                <w:rFonts w:ascii="Arial" w:cs="Arial" w:eastAsia="Arial" w:hAnsi="Arial"/>
                <w:sz w:val="18"/>
                <w:szCs w:val="18"/>
                <w:color w:val="auto"/>
                <w:w w:val="93"/>
              </w:rPr>
              <w:t>Broker Non-Votes*</w:t>
            </w:r>
          </w:p>
        </w:tc>
      </w:tr>
      <w:tr>
        <w:trPr>
          <w:trHeight w:val="216"/>
        </w:trPr>
        <w:tc>
          <w:tcPr>
            <w:tcW w:w="22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David J. Grain</w:t>
            </w:r>
          </w:p>
        </w:tc>
        <w:tc>
          <w:tcPr>
            <w:tcW w:w="140" w:type="dxa"/>
            <w:vAlign w:val="bottom"/>
            <w:tcBorders>
              <w:top w:val="single" w:sz="8" w:color="CCEEFF"/>
            </w:tcBorders>
            <w:shd w:val="clear" w:color="auto" w:fill="CCEEFF"/>
          </w:tcPr>
          <w:p>
            <w:pPr>
              <w:spacing w:after="0"/>
              <w:rPr>
                <w:sz w:val="18"/>
                <w:szCs w:val="18"/>
                <w:color w:val="auto"/>
              </w:rPr>
            </w:pPr>
          </w:p>
        </w:tc>
        <w:tc>
          <w:tcPr>
            <w:tcW w:w="21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152,504,920</w:t>
            </w:r>
          </w:p>
        </w:tc>
        <w:tc>
          <w:tcPr>
            <w:tcW w:w="120" w:type="dxa"/>
            <w:vAlign w:val="bottom"/>
            <w:tcBorders>
              <w:top w:val="single" w:sz="8" w:color="CCEEFF"/>
            </w:tcBorders>
            <w:shd w:val="clear" w:color="auto" w:fill="CCEEFF"/>
          </w:tcPr>
          <w:p>
            <w:pPr>
              <w:spacing w:after="0"/>
              <w:rPr>
                <w:sz w:val="18"/>
                <w:szCs w:val="18"/>
                <w:color w:val="auto"/>
              </w:rPr>
            </w:pPr>
          </w:p>
        </w:tc>
        <w:tc>
          <w:tcPr>
            <w:tcW w:w="21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9,492,098</w:t>
            </w:r>
          </w:p>
        </w:tc>
        <w:tc>
          <w:tcPr>
            <w:tcW w:w="120" w:type="dxa"/>
            <w:vAlign w:val="bottom"/>
            <w:tcBorders>
              <w:top w:val="single" w:sz="8" w:color="CCEEFF"/>
            </w:tcBorders>
            <w:shd w:val="clear" w:color="auto" w:fill="CCEEFF"/>
          </w:tcPr>
          <w:p>
            <w:pPr>
              <w:spacing w:after="0"/>
              <w:rPr>
                <w:sz w:val="18"/>
                <w:szCs w:val="18"/>
                <w:color w:val="auto"/>
              </w:rPr>
            </w:pPr>
          </w:p>
        </w:tc>
        <w:tc>
          <w:tcPr>
            <w:tcW w:w="21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3,692,188</w:t>
            </w:r>
          </w:p>
        </w:tc>
      </w:tr>
      <w:tr>
        <w:trPr>
          <w:trHeight w:val="230"/>
        </w:trPr>
        <w:tc>
          <w:tcPr>
            <w:tcW w:w="2360" w:type="dxa"/>
            <w:vAlign w:val="bottom"/>
            <w:gridSpan w:val="2"/>
          </w:tcPr>
          <w:p>
            <w:pPr>
              <w:spacing w:after="0"/>
              <w:rPr>
                <w:sz w:val="20"/>
                <w:szCs w:val="20"/>
                <w:color w:val="auto"/>
              </w:rPr>
            </w:pPr>
            <w:r>
              <w:rPr>
                <w:rFonts w:ascii="Arial" w:cs="Arial" w:eastAsia="Arial" w:hAnsi="Arial"/>
                <w:sz w:val="18"/>
                <w:szCs w:val="18"/>
                <w:color w:val="auto"/>
              </w:rPr>
              <w:t>C. William Griffin</w:t>
            </w:r>
          </w:p>
        </w:tc>
        <w:tc>
          <w:tcPr>
            <w:tcW w:w="2120" w:type="dxa"/>
            <w:vAlign w:val="bottom"/>
          </w:tcPr>
          <w:p>
            <w:pPr>
              <w:jc w:val="center"/>
              <w:spacing w:after="0"/>
              <w:rPr>
                <w:sz w:val="20"/>
                <w:szCs w:val="20"/>
                <w:color w:val="auto"/>
              </w:rPr>
            </w:pPr>
            <w:r>
              <w:rPr>
                <w:rFonts w:ascii="Arial" w:cs="Arial" w:eastAsia="Arial" w:hAnsi="Arial"/>
                <w:sz w:val="18"/>
                <w:szCs w:val="18"/>
                <w:color w:val="auto"/>
                <w:w w:val="89"/>
              </w:rPr>
              <w:t>152,473,516</w:t>
            </w:r>
          </w:p>
        </w:tc>
        <w:tc>
          <w:tcPr>
            <w:tcW w:w="2240" w:type="dxa"/>
            <w:vAlign w:val="bottom"/>
            <w:gridSpan w:val="2"/>
          </w:tcPr>
          <w:p>
            <w:pPr>
              <w:jc w:val="center"/>
              <w:ind w:left="30"/>
              <w:spacing w:after="0"/>
              <w:rPr>
                <w:sz w:val="20"/>
                <w:szCs w:val="20"/>
                <w:color w:val="auto"/>
              </w:rPr>
            </w:pPr>
            <w:r>
              <w:rPr>
                <w:rFonts w:ascii="Arial" w:cs="Arial" w:eastAsia="Arial" w:hAnsi="Arial"/>
                <w:sz w:val="18"/>
                <w:szCs w:val="18"/>
                <w:color w:val="auto"/>
                <w:w w:val="89"/>
              </w:rPr>
              <w:t>9,523,502</w:t>
            </w:r>
          </w:p>
        </w:tc>
        <w:tc>
          <w:tcPr>
            <w:tcW w:w="2260" w:type="dxa"/>
            <w:vAlign w:val="bottom"/>
            <w:gridSpan w:val="2"/>
          </w:tcPr>
          <w:p>
            <w:pPr>
              <w:jc w:val="center"/>
              <w:ind w:left="10"/>
              <w:spacing w:after="0"/>
              <w:rPr>
                <w:sz w:val="20"/>
                <w:szCs w:val="20"/>
                <w:color w:val="auto"/>
              </w:rPr>
            </w:pPr>
            <w:r>
              <w:rPr>
                <w:rFonts w:ascii="Arial" w:cs="Arial" w:eastAsia="Arial" w:hAnsi="Arial"/>
                <w:sz w:val="18"/>
                <w:szCs w:val="18"/>
                <w:color w:val="auto"/>
                <w:w w:val="89"/>
              </w:rPr>
              <w:t>3,692,188</w:t>
            </w:r>
          </w:p>
        </w:tc>
      </w:tr>
    </w:tbl>
    <w:p>
      <w:pPr>
        <w:spacing w:after="0" w:line="187" w:lineRule="exact"/>
        <w:rPr>
          <w:sz w:val="20"/>
          <w:szCs w:val="20"/>
          <w:color w:val="auto"/>
        </w:rPr>
      </w:pPr>
    </w:p>
    <w:p>
      <w:pPr>
        <w:ind w:left="980" w:hanging="486"/>
        <w:spacing w:after="0" w:line="263" w:lineRule="auto"/>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Company’s stockholders ratified the appointment of Ernst &amp; Young LLP as the Company’s independent registered public accounting firm for the fiscal year ending December 31, 2021. The numbers of shares that voted for, against and abstained from voting for or against the ratification of the selection of Ernst &amp; Young LLP are summarized in the table below:</w:t>
      </w:r>
    </w:p>
    <w:p>
      <w:pPr>
        <w:spacing w:after="0" w:line="184" w:lineRule="exact"/>
        <w:rPr>
          <w:sz w:val="20"/>
          <w:szCs w:val="20"/>
          <w:color w:val="auto"/>
        </w:rPr>
      </w:pPr>
    </w:p>
    <w:tbl>
      <w:tblPr>
        <w:tblLayout w:type="fixed"/>
        <w:tblInd w:w="1140" w:type="dxa"/>
        <w:tblCellMar>
          <w:top w:w="0" w:type="dxa"/>
          <w:left w:w="0" w:type="dxa"/>
          <w:bottom w:w="0" w:type="dxa"/>
          <w:right w:w="0" w:type="dxa"/>
        </w:tblCellMar>
      </w:tblPr>
      <w:tr>
        <w:trPr>
          <w:trHeight w:val="237"/>
        </w:trPr>
        <w:tc>
          <w:tcPr>
            <w:tcW w:w="3020" w:type="dxa"/>
            <w:vAlign w:val="bottom"/>
            <w:gridSpan w:val="2"/>
          </w:tcPr>
          <w:p>
            <w:pPr>
              <w:jc w:val="center"/>
              <w:ind w:right="120"/>
              <w:spacing w:after="0"/>
              <w:rPr>
                <w:sz w:val="20"/>
                <w:szCs w:val="20"/>
                <w:color w:val="auto"/>
              </w:rPr>
            </w:pPr>
            <w:r>
              <w:rPr>
                <w:rFonts w:ascii="Arial" w:cs="Arial" w:eastAsia="Arial" w:hAnsi="Arial"/>
                <w:sz w:val="18"/>
                <w:szCs w:val="18"/>
                <w:color w:val="auto"/>
                <w:w w:val="89"/>
              </w:rPr>
              <w:t>Votes For</w:t>
            </w:r>
          </w:p>
        </w:tc>
        <w:tc>
          <w:tcPr>
            <w:tcW w:w="2920" w:type="dxa"/>
            <w:vAlign w:val="bottom"/>
          </w:tcPr>
          <w:p>
            <w:pPr>
              <w:jc w:val="right"/>
              <w:ind w:right="850"/>
              <w:spacing w:after="0"/>
              <w:rPr>
                <w:sz w:val="20"/>
                <w:szCs w:val="20"/>
                <w:color w:val="auto"/>
              </w:rPr>
            </w:pPr>
            <w:r>
              <w:rPr>
                <w:rFonts w:ascii="Arial" w:cs="Arial" w:eastAsia="Arial" w:hAnsi="Arial"/>
                <w:sz w:val="18"/>
                <w:szCs w:val="18"/>
                <w:color w:val="auto"/>
              </w:rPr>
              <w:t>Votes Against</w:t>
            </w:r>
          </w:p>
        </w:tc>
        <w:tc>
          <w:tcPr>
            <w:tcW w:w="100" w:type="dxa"/>
            <w:vAlign w:val="bottom"/>
          </w:tcPr>
          <w:p>
            <w:pPr>
              <w:spacing w:after="0"/>
              <w:rPr>
                <w:sz w:val="20"/>
                <w:szCs w:val="20"/>
                <w:color w:val="auto"/>
              </w:rPr>
            </w:pPr>
          </w:p>
        </w:tc>
        <w:tc>
          <w:tcPr>
            <w:tcW w:w="2940" w:type="dxa"/>
            <w:vAlign w:val="bottom"/>
          </w:tcPr>
          <w:p>
            <w:pPr>
              <w:jc w:val="center"/>
              <w:spacing w:after="0"/>
              <w:rPr>
                <w:sz w:val="20"/>
                <w:szCs w:val="20"/>
                <w:color w:val="auto"/>
              </w:rPr>
            </w:pPr>
            <w:r>
              <w:rPr>
                <w:rFonts w:ascii="Arial" w:cs="Arial" w:eastAsia="Arial" w:hAnsi="Arial"/>
                <w:sz w:val="18"/>
                <w:szCs w:val="18"/>
                <w:color w:val="auto"/>
                <w:w w:val="91"/>
              </w:rPr>
              <w:t>Abstentions</w:t>
            </w:r>
          </w:p>
        </w:tc>
      </w:tr>
      <w:tr>
        <w:trPr>
          <w:trHeight w:val="216"/>
        </w:trPr>
        <w:tc>
          <w:tcPr>
            <w:tcW w:w="2920" w:type="dxa"/>
            <w:vAlign w:val="bottom"/>
            <w:tcBorders>
              <w:top w:val="single" w:sz="8" w:color="auto"/>
            </w:tcBorders>
            <w:shd w:val="clear" w:color="auto" w:fill="CCEEFF"/>
          </w:tcPr>
          <w:p>
            <w:pPr>
              <w:jc w:val="right"/>
              <w:ind w:right="930"/>
              <w:spacing w:after="0"/>
              <w:rPr>
                <w:sz w:val="20"/>
                <w:szCs w:val="20"/>
                <w:color w:val="auto"/>
              </w:rPr>
            </w:pPr>
            <w:r>
              <w:rPr>
                <w:rFonts w:ascii="Arial" w:cs="Arial" w:eastAsia="Arial" w:hAnsi="Arial"/>
                <w:sz w:val="18"/>
                <w:szCs w:val="18"/>
                <w:color w:val="auto"/>
              </w:rPr>
              <w:t>165,623,369</w:t>
            </w:r>
          </w:p>
        </w:tc>
        <w:tc>
          <w:tcPr>
            <w:tcW w:w="100" w:type="dxa"/>
            <w:vAlign w:val="bottom"/>
            <w:tcBorders>
              <w:top w:val="single" w:sz="8" w:color="CCEEFF"/>
            </w:tcBorders>
            <w:shd w:val="clear" w:color="auto" w:fill="CCEEFF"/>
          </w:tcPr>
          <w:p>
            <w:pPr>
              <w:spacing w:after="0"/>
              <w:rPr>
                <w:sz w:val="18"/>
                <w:szCs w:val="18"/>
                <w:color w:val="auto"/>
              </w:rPr>
            </w:pPr>
          </w:p>
        </w:tc>
        <w:tc>
          <w:tcPr>
            <w:tcW w:w="2920" w:type="dxa"/>
            <w:vAlign w:val="bottom"/>
            <w:tcBorders>
              <w:top w:val="single" w:sz="8" w:color="auto"/>
            </w:tcBorders>
            <w:shd w:val="clear" w:color="auto" w:fill="CCEEFF"/>
          </w:tcPr>
          <w:p>
            <w:pPr>
              <w:jc w:val="right"/>
              <w:ind w:right="1130"/>
              <w:spacing w:after="0"/>
              <w:rPr>
                <w:sz w:val="20"/>
                <w:szCs w:val="20"/>
                <w:color w:val="auto"/>
              </w:rPr>
            </w:pPr>
            <w:r>
              <w:rPr>
                <w:rFonts w:ascii="Arial" w:cs="Arial" w:eastAsia="Arial" w:hAnsi="Arial"/>
                <w:sz w:val="18"/>
                <w:szCs w:val="18"/>
                <w:color w:val="auto"/>
              </w:rPr>
              <w:t>61,574</w:t>
            </w:r>
          </w:p>
        </w:tc>
        <w:tc>
          <w:tcPr>
            <w:tcW w:w="100" w:type="dxa"/>
            <w:vAlign w:val="bottom"/>
            <w:tcBorders>
              <w:top w:val="single" w:sz="8" w:color="CCEEFF"/>
            </w:tcBorders>
            <w:shd w:val="clear" w:color="auto" w:fill="CCEEFF"/>
          </w:tcPr>
          <w:p>
            <w:pPr>
              <w:spacing w:after="0"/>
              <w:rPr>
                <w:sz w:val="18"/>
                <w:szCs w:val="18"/>
                <w:color w:val="auto"/>
              </w:rPr>
            </w:pPr>
          </w:p>
        </w:tc>
        <w:tc>
          <w:tcPr>
            <w:tcW w:w="2940" w:type="dxa"/>
            <w:vAlign w:val="bottom"/>
            <w:tcBorders>
              <w:top w:val="single" w:sz="8" w:color="auto"/>
            </w:tcBorders>
            <w:shd w:val="clear" w:color="auto" w:fill="CCEEFF"/>
          </w:tcPr>
          <w:p>
            <w:pPr>
              <w:jc w:val="right"/>
              <w:ind w:right="1190"/>
              <w:spacing w:after="0"/>
              <w:rPr>
                <w:sz w:val="20"/>
                <w:szCs w:val="20"/>
                <w:color w:val="auto"/>
              </w:rPr>
            </w:pPr>
            <w:r>
              <w:rPr>
                <w:rFonts w:ascii="Arial" w:cs="Arial" w:eastAsia="Arial" w:hAnsi="Arial"/>
                <w:sz w:val="18"/>
                <w:szCs w:val="18"/>
                <w:color w:val="auto"/>
              </w:rPr>
              <w:t>4,263</w:t>
            </w:r>
          </w:p>
        </w:tc>
      </w:tr>
    </w:tbl>
    <w:p>
      <w:pPr>
        <w:spacing w:after="0" w:line="202" w:lineRule="exact"/>
        <w:rPr>
          <w:sz w:val="20"/>
          <w:szCs w:val="20"/>
          <w:color w:val="auto"/>
        </w:rPr>
      </w:pPr>
    </w:p>
    <w:p>
      <w:pPr>
        <w:ind w:left="980" w:right="240" w:hanging="486"/>
        <w:spacing w:after="0" w:line="263" w:lineRule="auto"/>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Company’s stockholders voted to approve, by a non-binding advisory basis, the compensation of its Named Executive Officers as described in the proxy statement. The numbers of shares that voted for, against, abstained and represented broker non-votes with respect to this proposal are summarized in the table below:</w:t>
      </w:r>
    </w:p>
    <w:p>
      <w:pPr>
        <w:spacing w:after="0" w:line="184" w:lineRule="exact"/>
        <w:rPr>
          <w:sz w:val="20"/>
          <w:szCs w:val="20"/>
          <w:color w:val="auto"/>
        </w:rPr>
      </w:pPr>
    </w:p>
    <w:tbl>
      <w:tblPr>
        <w:tblLayout w:type="fixed"/>
        <w:tblInd w:w="1140" w:type="dxa"/>
        <w:tblCellMar>
          <w:top w:w="0" w:type="dxa"/>
          <w:left w:w="0" w:type="dxa"/>
          <w:bottom w:w="0" w:type="dxa"/>
          <w:right w:w="0" w:type="dxa"/>
        </w:tblCellMar>
      </w:tblPr>
      <w:tr>
        <w:trPr>
          <w:trHeight w:val="237"/>
        </w:trPr>
        <w:tc>
          <w:tcPr>
            <w:tcW w:w="2360" w:type="dxa"/>
            <w:vAlign w:val="bottom"/>
            <w:gridSpan w:val="2"/>
          </w:tcPr>
          <w:p>
            <w:pPr>
              <w:jc w:val="center"/>
              <w:ind w:right="140"/>
              <w:spacing w:after="0"/>
              <w:rPr>
                <w:sz w:val="20"/>
                <w:szCs w:val="20"/>
                <w:color w:val="auto"/>
              </w:rPr>
            </w:pPr>
            <w:r>
              <w:rPr>
                <w:rFonts w:ascii="Arial" w:cs="Arial" w:eastAsia="Arial" w:hAnsi="Arial"/>
                <w:sz w:val="18"/>
                <w:szCs w:val="18"/>
                <w:color w:val="auto"/>
                <w:w w:val="89"/>
              </w:rPr>
              <w:t>Votes For</w:t>
            </w:r>
          </w:p>
        </w:tc>
        <w:tc>
          <w:tcPr>
            <w:tcW w:w="2120" w:type="dxa"/>
            <w:vAlign w:val="bottom"/>
          </w:tcPr>
          <w:p>
            <w:pPr>
              <w:jc w:val="right"/>
              <w:ind w:right="450"/>
              <w:spacing w:after="0"/>
              <w:rPr>
                <w:sz w:val="20"/>
                <w:szCs w:val="20"/>
                <w:color w:val="auto"/>
              </w:rPr>
            </w:pPr>
            <w:r>
              <w:rPr>
                <w:rFonts w:ascii="Arial" w:cs="Arial" w:eastAsia="Arial" w:hAnsi="Arial"/>
                <w:sz w:val="18"/>
                <w:szCs w:val="18"/>
                <w:color w:val="auto"/>
              </w:rPr>
              <w:t>Votes Against</w:t>
            </w:r>
          </w:p>
        </w:tc>
        <w:tc>
          <w:tcPr>
            <w:tcW w:w="120" w:type="dxa"/>
            <w:vAlign w:val="bottom"/>
          </w:tcPr>
          <w:p>
            <w:pPr>
              <w:spacing w:after="0"/>
              <w:rPr>
                <w:sz w:val="20"/>
                <w:szCs w:val="20"/>
                <w:color w:val="auto"/>
              </w:rPr>
            </w:pPr>
          </w:p>
        </w:tc>
        <w:tc>
          <w:tcPr>
            <w:tcW w:w="2120" w:type="dxa"/>
            <w:vAlign w:val="bottom"/>
          </w:tcPr>
          <w:p>
            <w:pPr>
              <w:jc w:val="center"/>
              <w:spacing w:after="0"/>
              <w:rPr>
                <w:sz w:val="20"/>
                <w:szCs w:val="20"/>
                <w:color w:val="auto"/>
              </w:rPr>
            </w:pPr>
            <w:r>
              <w:rPr>
                <w:rFonts w:ascii="Arial" w:cs="Arial" w:eastAsia="Arial" w:hAnsi="Arial"/>
                <w:sz w:val="18"/>
                <w:szCs w:val="18"/>
                <w:color w:val="auto"/>
                <w:w w:val="91"/>
              </w:rPr>
              <w:t>Abstentions</w:t>
            </w:r>
          </w:p>
        </w:tc>
        <w:tc>
          <w:tcPr>
            <w:tcW w:w="120" w:type="dxa"/>
            <w:vAlign w:val="bottom"/>
          </w:tcPr>
          <w:p>
            <w:pPr>
              <w:spacing w:after="0"/>
              <w:rPr>
                <w:sz w:val="20"/>
                <w:szCs w:val="20"/>
                <w:color w:val="auto"/>
              </w:rPr>
            </w:pPr>
          </w:p>
        </w:tc>
        <w:tc>
          <w:tcPr>
            <w:tcW w:w="2140" w:type="dxa"/>
            <w:vAlign w:val="bottom"/>
          </w:tcPr>
          <w:p>
            <w:pPr>
              <w:jc w:val="center"/>
              <w:spacing w:after="0"/>
              <w:rPr>
                <w:sz w:val="20"/>
                <w:szCs w:val="20"/>
                <w:color w:val="auto"/>
              </w:rPr>
            </w:pPr>
            <w:r>
              <w:rPr>
                <w:rFonts w:ascii="Arial" w:cs="Arial" w:eastAsia="Arial" w:hAnsi="Arial"/>
                <w:sz w:val="18"/>
                <w:szCs w:val="18"/>
                <w:color w:val="auto"/>
                <w:w w:val="93"/>
              </w:rPr>
              <w:t>Broker Non-Votes*</w:t>
            </w:r>
          </w:p>
        </w:tc>
      </w:tr>
      <w:tr>
        <w:trPr>
          <w:trHeight w:val="216"/>
        </w:trPr>
        <w:tc>
          <w:tcPr>
            <w:tcW w:w="2220" w:type="dxa"/>
            <w:vAlign w:val="bottom"/>
            <w:tcBorders>
              <w:top w:val="single" w:sz="8" w:color="auto"/>
            </w:tcBorders>
            <w:shd w:val="clear" w:color="auto" w:fill="CCEEFF"/>
          </w:tcPr>
          <w:p>
            <w:pPr>
              <w:jc w:val="right"/>
              <w:ind w:right="570"/>
              <w:spacing w:after="0"/>
              <w:rPr>
                <w:sz w:val="20"/>
                <w:szCs w:val="20"/>
                <w:color w:val="auto"/>
              </w:rPr>
            </w:pPr>
            <w:r>
              <w:rPr>
                <w:rFonts w:ascii="Arial" w:cs="Arial" w:eastAsia="Arial" w:hAnsi="Arial"/>
                <w:sz w:val="18"/>
                <w:szCs w:val="18"/>
                <w:color w:val="auto"/>
              </w:rPr>
              <w:t>161,844,456</w:t>
            </w:r>
          </w:p>
        </w:tc>
        <w:tc>
          <w:tcPr>
            <w:tcW w:w="140" w:type="dxa"/>
            <w:vAlign w:val="bottom"/>
            <w:tcBorders>
              <w:top w:val="single" w:sz="8" w:color="CCEEFF"/>
            </w:tcBorders>
            <w:shd w:val="clear" w:color="auto" w:fill="CCEEFF"/>
          </w:tcPr>
          <w:p>
            <w:pPr>
              <w:spacing w:after="0"/>
              <w:rPr>
                <w:sz w:val="18"/>
                <w:szCs w:val="18"/>
                <w:color w:val="auto"/>
              </w:rPr>
            </w:pPr>
          </w:p>
        </w:tc>
        <w:tc>
          <w:tcPr>
            <w:tcW w:w="2120" w:type="dxa"/>
            <w:vAlign w:val="bottom"/>
            <w:tcBorders>
              <w:top w:val="single" w:sz="8" w:color="auto"/>
            </w:tcBorders>
            <w:shd w:val="clear" w:color="auto" w:fill="CCEEFF"/>
          </w:tcPr>
          <w:p>
            <w:pPr>
              <w:jc w:val="right"/>
              <w:ind w:right="690"/>
              <w:spacing w:after="0"/>
              <w:rPr>
                <w:sz w:val="20"/>
                <w:szCs w:val="20"/>
                <w:color w:val="auto"/>
              </w:rPr>
            </w:pPr>
            <w:r>
              <w:rPr>
                <w:rFonts w:ascii="Arial" w:cs="Arial" w:eastAsia="Arial" w:hAnsi="Arial"/>
                <w:sz w:val="18"/>
                <w:szCs w:val="18"/>
                <w:color w:val="auto"/>
              </w:rPr>
              <w:t>126,005</w:t>
            </w:r>
          </w:p>
        </w:tc>
        <w:tc>
          <w:tcPr>
            <w:tcW w:w="120" w:type="dxa"/>
            <w:vAlign w:val="bottom"/>
            <w:tcBorders>
              <w:top w:val="single" w:sz="8" w:color="CCEEFF"/>
            </w:tcBorders>
            <w:shd w:val="clear" w:color="auto" w:fill="CCEEFF"/>
          </w:tcPr>
          <w:p>
            <w:pPr>
              <w:spacing w:after="0"/>
              <w:rPr>
                <w:sz w:val="18"/>
                <w:szCs w:val="18"/>
                <w:color w:val="auto"/>
              </w:rPr>
            </w:pPr>
          </w:p>
        </w:tc>
        <w:tc>
          <w:tcPr>
            <w:tcW w:w="2120" w:type="dxa"/>
            <w:vAlign w:val="bottom"/>
            <w:tcBorders>
              <w:top w:val="single" w:sz="8" w:color="auto"/>
            </w:tcBorders>
            <w:shd w:val="clear" w:color="auto" w:fill="CCEEFF"/>
          </w:tcPr>
          <w:p>
            <w:pPr>
              <w:jc w:val="right"/>
              <w:ind w:right="730"/>
              <w:spacing w:after="0"/>
              <w:rPr>
                <w:sz w:val="20"/>
                <w:szCs w:val="20"/>
                <w:color w:val="auto"/>
              </w:rPr>
            </w:pPr>
            <w:r>
              <w:rPr>
                <w:rFonts w:ascii="Arial" w:cs="Arial" w:eastAsia="Arial" w:hAnsi="Arial"/>
                <w:sz w:val="18"/>
                <w:szCs w:val="18"/>
                <w:color w:val="auto"/>
              </w:rPr>
              <w:t>26,557</w:t>
            </w:r>
          </w:p>
        </w:tc>
        <w:tc>
          <w:tcPr>
            <w:tcW w:w="120" w:type="dxa"/>
            <w:vAlign w:val="bottom"/>
            <w:tcBorders>
              <w:top w:val="single" w:sz="8" w:color="CCEEFF"/>
            </w:tcBorders>
            <w:shd w:val="clear" w:color="auto" w:fill="CCEEFF"/>
          </w:tcPr>
          <w:p>
            <w:pPr>
              <w:spacing w:after="0"/>
              <w:rPr>
                <w:sz w:val="18"/>
                <w:szCs w:val="18"/>
                <w:color w:val="auto"/>
              </w:rPr>
            </w:pPr>
          </w:p>
        </w:tc>
        <w:tc>
          <w:tcPr>
            <w:tcW w:w="2140" w:type="dxa"/>
            <w:vAlign w:val="bottom"/>
            <w:tcBorders>
              <w:top w:val="single" w:sz="8" w:color="auto"/>
            </w:tcBorders>
            <w:shd w:val="clear" w:color="auto" w:fill="CCEEFF"/>
          </w:tcPr>
          <w:p>
            <w:pPr>
              <w:jc w:val="right"/>
              <w:ind w:right="630"/>
              <w:spacing w:after="0"/>
              <w:rPr>
                <w:sz w:val="20"/>
                <w:szCs w:val="20"/>
                <w:color w:val="auto"/>
              </w:rPr>
            </w:pPr>
            <w:r>
              <w:rPr>
                <w:rFonts w:ascii="Arial" w:cs="Arial" w:eastAsia="Arial" w:hAnsi="Arial"/>
                <w:sz w:val="18"/>
                <w:szCs w:val="18"/>
                <w:color w:val="auto"/>
              </w:rPr>
              <w:t>3,692,188</w:t>
            </w:r>
          </w:p>
        </w:tc>
      </w:tr>
    </w:tbl>
    <w:p>
      <w:pPr>
        <w:spacing w:after="0" w:line="202" w:lineRule="exact"/>
        <w:rPr>
          <w:sz w:val="20"/>
          <w:szCs w:val="20"/>
          <w:color w:val="auto"/>
        </w:rPr>
      </w:pPr>
    </w:p>
    <w:p>
      <w:pPr>
        <w:ind w:left="980" w:right="280" w:hanging="486"/>
        <w:spacing w:after="0" w:line="263" w:lineRule="auto"/>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Company’s stockholders voted, by a non-binding advisory basis, for a frequency of three years for future advisory votes on Named Executive Officers’ compensation. The numbers of shares that voted for one year, two years, three years, abstained and represented broker non-votes with respect to this proposal are summarized in the table below:</w:t>
      </w:r>
    </w:p>
    <w:p>
      <w:pPr>
        <w:spacing w:after="0" w:line="184" w:lineRule="exact"/>
        <w:rPr>
          <w:sz w:val="20"/>
          <w:szCs w:val="20"/>
          <w:color w:val="auto"/>
        </w:rPr>
      </w:pPr>
    </w:p>
    <w:tbl>
      <w:tblPr>
        <w:tblLayout w:type="fixed"/>
        <w:tblInd w:w="1140" w:type="dxa"/>
        <w:tblCellMar>
          <w:top w:w="0" w:type="dxa"/>
          <w:left w:w="0" w:type="dxa"/>
          <w:bottom w:w="0" w:type="dxa"/>
          <w:right w:w="0" w:type="dxa"/>
        </w:tblCellMar>
      </w:tblPr>
      <w:tr>
        <w:trPr>
          <w:trHeight w:val="237"/>
        </w:trPr>
        <w:tc>
          <w:tcPr>
            <w:tcW w:w="1780" w:type="dxa"/>
            <w:vAlign w:val="bottom"/>
            <w:gridSpan w:val="2"/>
          </w:tcPr>
          <w:p>
            <w:pPr>
              <w:jc w:val="center"/>
              <w:ind w:right="100"/>
              <w:spacing w:after="0"/>
              <w:rPr>
                <w:sz w:val="20"/>
                <w:szCs w:val="20"/>
                <w:color w:val="auto"/>
              </w:rPr>
            </w:pPr>
            <w:r>
              <w:rPr>
                <w:rFonts w:ascii="Arial" w:cs="Arial" w:eastAsia="Arial" w:hAnsi="Arial"/>
                <w:sz w:val="18"/>
                <w:szCs w:val="18"/>
                <w:color w:val="auto"/>
                <w:w w:val="88"/>
              </w:rPr>
              <w:t>One Year</w:t>
            </w:r>
          </w:p>
        </w:tc>
        <w:tc>
          <w:tcPr>
            <w:tcW w:w="1700" w:type="dxa"/>
            <w:vAlign w:val="bottom"/>
          </w:tcPr>
          <w:p>
            <w:pPr>
              <w:jc w:val="center"/>
              <w:spacing w:after="0"/>
              <w:rPr>
                <w:sz w:val="20"/>
                <w:szCs w:val="20"/>
                <w:color w:val="auto"/>
              </w:rPr>
            </w:pPr>
            <w:r>
              <w:rPr>
                <w:rFonts w:ascii="Arial" w:cs="Arial" w:eastAsia="Arial" w:hAnsi="Arial"/>
                <w:sz w:val="18"/>
                <w:szCs w:val="18"/>
                <w:color w:val="auto"/>
                <w:w w:val="88"/>
              </w:rPr>
              <w:t>Two Years</w:t>
            </w:r>
          </w:p>
        </w:tc>
        <w:tc>
          <w:tcPr>
            <w:tcW w:w="80" w:type="dxa"/>
            <w:vAlign w:val="bottom"/>
          </w:tcPr>
          <w:p>
            <w:pPr>
              <w:spacing w:after="0"/>
              <w:rPr>
                <w:sz w:val="20"/>
                <w:szCs w:val="20"/>
                <w:color w:val="auto"/>
              </w:rPr>
            </w:pPr>
          </w:p>
        </w:tc>
        <w:tc>
          <w:tcPr>
            <w:tcW w:w="1700" w:type="dxa"/>
            <w:vAlign w:val="bottom"/>
          </w:tcPr>
          <w:p>
            <w:pPr>
              <w:ind w:left="420"/>
              <w:spacing w:after="0"/>
              <w:rPr>
                <w:sz w:val="20"/>
                <w:szCs w:val="20"/>
                <w:color w:val="auto"/>
              </w:rPr>
            </w:pPr>
            <w:r>
              <w:rPr>
                <w:rFonts w:ascii="Arial" w:cs="Arial" w:eastAsia="Arial" w:hAnsi="Arial"/>
                <w:sz w:val="18"/>
                <w:szCs w:val="18"/>
                <w:color w:val="auto"/>
              </w:rPr>
              <w:t>Three Years</w:t>
            </w:r>
          </w:p>
        </w:tc>
        <w:tc>
          <w:tcPr>
            <w:tcW w:w="80" w:type="dxa"/>
            <w:vAlign w:val="bottom"/>
          </w:tcPr>
          <w:p>
            <w:pPr>
              <w:spacing w:after="0"/>
              <w:rPr>
                <w:sz w:val="20"/>
                <w:szCs w:val="20"/>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91"/>
              </w:rPr>
              <w:t>Abstentions</w:t>
            </w:r>
          </w:p>
        </w:tc>
        <w:tc>
          <w:tcPr>
            <w:tcW w:w="100" w:type="dxa"/>
            <w:vAlign w:val="bottom"/>
          </w:tcPr>
          <w:p>
            <w:pPr>
              <w:spacing w:after="0"/>
              <w:rPr>
                <w:sz w:val="20"/>
                <w:szCs w:val="20"/>
                <w:color w:val="auto"/>
              </w:rPr>
            </w:pPr>
          </w:p>
        </w:tc>
        <w:tc>
          <w:tcPr>
            <w:tcW w:w="1840" w:type="dxa"/>
            <w:vAlign w:val="bottom"/>
          </w:tcPr>
          <w:p>
            <w:pPr>
              <w:jc w:val="center"/>
              <w:spacing w:after="0"/>
              <w:rPr>
                <w:sz w:val="20"/>
                <w:szCs w:val="20"/>
                <w:color w:val="auto"/>
              </w:rPr>
            </w:pPr>
            <w:r>
              <w:rPr>
                <w:rFonts w:ascii="Arial" w:cs="Arial" w:eastAsia="Arial" w:hAnsi="Arial"/>
                <w:sz w:val="18"/>
                <w:szCs w:val="18"/>
                <w:color w:val="auto"/>
                <w:w w:val="93"/>
              </w:rPr>
              <w:t>Broker Non-Votes*</w:t>
            </w:r>
          </w:p>
        </w:tc>
      </w:tr>
      <w:tr>
        <w:trPr>
          <w:trHeight w:val="216"/>
        </w:trPr>
        <w:tc>
          <w:tcPr>
            <w:tcW w:w="1680" w:type="dxa"/>
            <w:vAlign w:val="bottom"/>
            <w:tcBorders>
              <w:top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rPr>
              <w:t>20,507,270</w:t>
            </w:r>
          </w:p>
        </w:tc>
        <w:tc>
          <w:tcPr>
            <w:tcW w:w="100" w:type="dxa"/>
            <w:vAlign w:val="bottom"/>
            <w:tcBorders>
              <w:top w:val="single" w:sz="8" w:color="CCEEFF"/>
            </w:tcBorders>
            <w:shd w:val="clear" w:color="auto" w:fill="CCEEFF"/>
          </w:tcPr>
          <w:p>
            <w:pPr>
              <w:spacing w:after="0"/>
              <w:rPr>
                <w:sz w:val="18"/>
                <w:szCs w:val="18"/>
                <w:color w:val="auto"/>
              </w:rPr>
            </w:pPr>
          </w:p>
        </w:tc>
        <w:tc>
          <w:tcPr>
            <w:tcW w:w="1700" w:type="dxa"/>
            <w:vAlign w:val="bottom"/>
            <w:tcBorders>
              <w:top w:val="single" w:sz="8" w:color="auto"/>
            </w:tcBorders>
            <w:shd w:val="clear" w:color="auto" w:fill="CCEEFF"/>
          </w:tcPr>
          <w:p>
            <w:pPr>
              <w:jc w:val="right"/>
              <w:ind w:right="530"/>
              <w:spacing w:after="0"/>
              <w:rPr>
                <w:sz w:val="20"/>
                <w:szCs w:val="20"/>
                <w:color w:val="auto"/>
              </w:rPr>
            </w:pPr>
            <w:r>
              <w:rPr>
                <w:rFonts w:ascii="Arial" w:cs="Arial" w:eastAsia="Arial" w:hAnsi="Arial"/>
                <w:sz w:val="18"/>
                <w:szCs w:val="18"/>
                <w:color w:val="auto"/>
              </w:rPr>
              <w:t>33,437</w:t>
            </w:r>
          </w:p>
        </w:tc>
        <w:tc>
          <w:tcPr>
            <w:tcW w:w="80" w:type="dxa"/>
            <w:vAlign w:val="bottom"/>
            <w:tcBorders>
              <w:top w:val="single" w:sz="8" w:color="CCEEFF"/>
            </w:tcBorders>
            <w:shd w:val="clear" w:color="auto" w:fill="CCEEFF"/>
          </w:tcPr>
          <w:p>
            <w:pPr>
              <w:spacing w:after="0"/>
              <w:rPr>
                <w:sz w:val="18"/>
                <w:szCs w:val="18"/>
                <w:color w:val="auto"/>
              </w:rPr>
            </w:pPr>
          </w:p>
        </w:tc>
        <w:tc>
          <w:tcPr>
            <w:tcW w:w="1700" w:type="dxa"/>
            <w:vAlign w:val="bottom"/>
            <w:tcBorders>
              <w:top w:val="single" w:sz="8" w:color="auto"/>
            </w:tcBorders>
            <w:shd w:val="clear" w:color="auto" w:fill="CCEEFF"/>
          </w:tcPr>
          <w:p>
            <w:pPr>
              <w:ind w:left="400"/>
              <w:spacing w:after="0"/>
              <w:rPr>
                <w:sz w:val="20"/>
                <w:szCs w:val="20"/>
                <w:color w:val="auto"/>
              </w:rPr>
            </w:pPr>
            <w:r>
              <w:rPr>
                <w:rFonts w:ascii="Arial" w:cs="Arial" w:eastAsia="Arial" w:hAnsi="Arial"/>
                <w:sz w:val="18"/>
                <w:szCs w:val="18"/>
                <w:color w:val="auto"/>
              </w:rPr>
              <w:t>141,447,422</w:t>
            </w:r>
          </w:p>
        </w:tc>
        <w:tc>
          <w:tcPr>
            <w:tcW w:w="80" w:type="dxa"/>
            <w:vAlign w:val="bottom"/>
            <w:tcBorders>
              <w:top w:val="single" w:sz="8" w:color="CCEEFF"/>
            </w:tcBorders>
            <w:shd w:val="clear" w:color="auto" w:fill="CCEEFF"/>
          </w:tcPr>
          <w:p>
            <w:pPr>
              <w:spacing w:after="0"/>
              <w:rPr>
                <w:sz w:val="18"/>
                <w:szCs w:val="18"/>
                <w:color w:val="auto"/>
              </w:rPr>
            </w:pPr>
          </w:p>
        </w:tc>
        <w:tc>
          <w:tcPr>
            <w:tcW w:w="1700" w:type="dxa"/>
            <w:vAlign w:val="bottom"/>
            <w:tcBorders>
              <w:top w:val="single" w:sz="8" w:color="auto"/>
            </w:tcBorders>
            <w:shd w:val="clear" w:color="auto" w:fill="CCEEFF"/>
          </w:tcPr>
          <w:p>
            <w:pPr>
              <w:jc w:val="right"/>
              <w:ind w:right="550"/>
              <w:spacing w:after="0"/>
              <w:rPr>
                <w:sz w:val="20"/>
                <w:szCs w:val="20"/>
                <w:color w:val="auto"/>
              </w:rPr>
            </w:pPr>
            <w:r>
              <w:rPr>
                <w:rFonts w:ascii="Arial" w:cs="Arial" w:eastAsia="Arial" w:hAnsi="Arial"/>
                <w:sz w:val="18"/>
                <w:szCs w:val="18"/>
                <w:color w:val="auto"/>
              </w:rPr>
              <w:t>8,889</w:t>
            </w:r>
          </w:p>
        </w:tc>
        <w:tc>
          <w:tcPr>
            <w:tcW w:w="100" w:type="dxa"/>
            <w:vAlign w:val="bottom"/>
            <w:tcBorders>
              <w:top w:val="single" w:sz="8" w:color="CCEEFF"/>
            </w:tcBorders>
            <w:shd w:val="clear" w:color="auto" w:fill="CCEEFF"/>
          </w:tcPr>
          <w:p>
            <w:pPr>
              <w:spacing w:after="0"/>
              <w:rPr>
                <w:sz w:val="18"/>
                <w:szCs w:val="18"/>
                <w:color w:val="auto"/>
              </w:rPr>
            </w:pPr>
          </w:p>
        </w:tc>
        <w:tc>
          <w:tcPr>
            <w:tcW w:w="1840" w:type="dxa"/>
            <w:vAlign w:val="bottom"/>
            <w:tcBorders>
              <w:top w:val="single" w:sz="8" w:color="auto"/>
            </w:tcBorders>
            <w:shd w:val="clear" w:color="auto" w:fill="CCEEFF"/>
          </w:tcPr>
          <w:p>
            <w:pPr>
              <w:jc w:val="right"/>
              <w:ind w:right="470"/>
              <w:spacing w:after="0"/>
              <w:rPr>
                <w:sz w:val="20"/>
                <w:szCs w:val="20"/>
                <w:color w:val="auto"/>
              </w:rPr>
            </w:pPr>
            <w:r>
              <w:rPr>
                <w:rFonts w:ascii="Arial" w:cs="Arial" w:eastAsia="Arial" w:hAnsi="Arial"/>
                <w:sz w:val="18"/>
                <w:szCs w:val="18"/>
                <w:color w:val="auto"/>
              </w:rPr>
              <w:t>3,692,188</w:t>
            </w:r>
          </w:p>
        </w:tc>
      </w:tr>
    </w:tbl>
    <w:p>
      <w:pPr>
        <w:spacing w:after="0" w:line="202" w:lineRule="exact"/>
        <w:rPr>
          <w:sz w:val="20"/>
          <w:szCs w:val="20"/>
          <w:color w:val="auto"/>
        </w:rPr>
      </w:pPr>
    </w:p>
    <w:p>
      <w:pPr>
        <w:ind w:left="980" w:right="40" w:hanging="486"/>
        <w:spacing w:after="0" w:line="272" w:lineRule="auto"/>
        <w:tabs>
          <w:tab w:leader="none" w:pos="980" w:val="left"/>
        </w:tabs>
        <w:numPr>
          <w:ilvl w:val="0"/>
          <w:numId w:val="6"/>
        </w:numPr>
        <w:rPr>
          <w:rFonts w:ascii="Arial" w:cs="Arial" w:eastAsia="Arial" w:hAnsi="Arial"/>
          <w:sz w:val="17"/>
          <w:szCs w:val="17"/>
          <w:color w:val="auto"/>
        </w:rPr>
      </w:pPr>
      <w:r>
        <w:rPr>
          <w:rFonts w:ascii="Arial" w:cs="Arial" w:eastAsia="Arial" w:hAnsi="Arial"/>
          <w:sz w:val="17"/>
          <w:szCs w:val="17"/>
          <w:color w:val="auto"/>
        </w:rPr>
        <w:t>Broker non-votes are instances where a broker holding shares of record for a beneficial owner does not vote the shares because it has not received voting instructions from the beneficial owner and therefore is precluded by the rules of the Nasdaq Global Select Market (“Nasdaq”) from voting on a particular matter. Under Nasdaq rules, when a broker holding shares in “street name” does not receive voting instructions from a beneficial owner, the broker has discretionary authority to vote on certain routine matters but is prohibited from voting on non-routine matters. Brokers who do not receive instructions are not entitled to vote on the election of directors, the compensation of its Named Executive Officers or the frequency of future advisory votes on Named Executive Officers’ compensation, but they are entitled to vote on the ratification of the appointment of the independent registered public accounting firm.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370205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 w:name="page3"/>
    <w:bookmarkEnd w:id="2"/>
    <w:p>
      <w:pPr>
        <w:jc w:val="center"/>
        <w:ind w:right="-3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thereunto duly authorized.</w:t>
      </w:r>
    </w:p>
    <w:p>
      <w:pPr>
        <w:spacing w:after="0" w:line="166"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NEW FORTRESS ENERGY INC.</w:t>
      </w:r>
    </w:p>
    <w:p>
      <w:pPr>
        <w:spacing w:after="0" w:line="229" w:lineRule="exact"/>
        <w:rPr>
          <w:sz w:val="20"/>
          <w:szCs w:val="20"/>
          <w:color w:val="auto"/>
        </w:rPr>
      </w:pPr>
    </w:p>
    <w:p>
      <w:pPr>
        <w:spacing w:after="0"/>
        <w:tabs>
          <w:tab w:leader="none" w:pos="5620" w:val="left"/>
        </w:tabs>
        <w:rPr>
          <w:sz w:val="20"/>
          <w:szCs w:val="20"/>
          <w:color w:val="auto"/>
        </w:rPr>
      </w:pPr>
      <w:r>
        <w:rPr>
          <w:rFonts w:ascii="Arial" w:cs="Arial" w:eastAsia="Arial" w:hAnsi="Arial"/>
          <w:sz w:val="18"/>
          <w:szCs w:val="18"/>
          <w:color w:val="auto"/>
        </w:rPr>
        <w:t>Date: June 21, 2021</w:t>
      </w:r>
      <w:r>
        <w:rPr>
          <w:sz w:val="20"/>
          <w:szCs w:val="20"/>
          <w:color w:val="auto"/>
        </w:rPr>
        <w:tab/>
      </w:r>
      <w:r>
        <w:rPr>
          <w:rFonts w:ascii="Arial" w:cs="Arial" w:eastAsia="Arial" w:hAnsi="Arial"/>
          <w:sz w:val="16"/>
          <w:szCs w:val="16"/>
          <w:color w:val="auto"/>
        </w:rPr>
        <w:t>By: /s/ Christopher S. Guinta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3343275"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343275" cy="1714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Christopher S. Guinta</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340360</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20"/>
      </w:cols>
      <w:pgMar w:left="320" w:top="121"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1."/>
      <w:numFmt w:val="decimal"/>
      <w:start w:val="1"/>
    </w:lvl>
  </w:abstractNum>
  <w:abstractNum w:abstractNumId="2">
    <w:nsid w:val="238E1F29"/>
    <w:multiLevelType w:val="hybridMultilevel"/>
    <w:lvl w:ilvl="0">
      <w:lvlJc w:val="left"/>
      <w:lvlText w:val="%1."/>
      <w:numFmt w:val="decimal"/>
      <w:start w:val="2"/>
    </w:lvl>
  </w:abstractNum>
  <w:abstractNum w:abstractNumId="3">
    <w:nsid w:val="46E87CCD"/>
    <w:multiLevelType w:val="hybridMultilevel"/>
    <w:lvl w:ilvl="0">
      <w:lvlJc w:val="left"/>
      <w:lvlText w:val="%1."/>
      <w:numFmt w:val="decimal"/>
      <w:start w:val="3"/>
    </w:lvl>
  </w:abstractNum>
  <w:abstractNum w:abstractNumId="4">
    <w:nsid w:val="3D1B58BA"/>
    <w:multiLevelType w:val="hybridMultilevel"/>
    <w:lvl w:ilvl="0">
      <w:lvlJc w:val="left"/>
      <w:lvlText w:val="%1."/>
      <w:numFmt w:val="decimal"/>
      <w:start w:val="4"/>
    </w:lvl>
  </w:abstractNum>
  <w:abstractNum w:abstractNumId="5">
    <w:nsid w:val="507ED7A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2021-06-21T15:28:46Z</dcterms:created>
  <dcterms:modified xsi:type="dcterms:W3CDTF">2021-06-21T15:28:46Z</dcterms:modified>
</cp:coreProperties>
</file>