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644393 100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Wesley R. Edens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111 W. 19th St., 8th Floor</w:t>
      </w:r>
    </w:p>
    <w:p>
      <w:pPr>
        <w:jc w:val="center"/>
        <w:ind w:right="-19"/>
        <w:spacing w:after="0" w:line="230" w:lineRule="auto"/>
        <w:rPr>
          <w:sz w:val="20"/>
          <w:szCs w:val="20"/>
          <w:color w:val="auto"/>
        </w:rPr>
      </w:pPr>
      <w:r>
        <w:rPr>
          <w:rFonts w:ascii="Arial" w:cs="Arial" w:eastAsia="Arial" w:hAnsi="Arial"/>
          <w:sz w:val="22"/>
          <w:szCs w:val="22"/>
          <w:b w:val="1"/>
          <w:bCs w:val="1"/>
          <w:color w:val="auto"/>
        </w:rPr>
        <w:t>New York, NY 10011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June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80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4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firstLine="8"/>
        <w:spacing w:after="0"/>
        <w:tabs>
          <w:tab w:leader="none" w:pos="64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22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(the “</w:t>
      </w:r>
      <w:r>
        <w:rPr>
          <w:rFonts w:ascii="Arial" w:cs="Arial" w:eastAsia="Arial" w:hAnsi="Arial"/>
          <w:sz w:val="22"/>
          <w:szCs w:val="22"/>
          <w:i w:val="1"/>
          <w:iCs w:val="1"/>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13" w:lineRule="exact"/>
        <w:rPr>
          <w:sz w:val="24"/>
          <w:szCs w:val="24"/>
          <w:color w:val="auto"/>
        </w:rPr>
      </w:pPr>
    </w:p>
    <w:p>
      <w:pPr>
        <w:ind w:right="280"/>
        <w:spacing w:after="0" w:line="250" w:lineRule="auto"/>
        <w:rPr>
          <w:sz w:val="20"/>
          <w:szCs w:val="20"/>
          <w:color w:val="auto"/>
        </w:rPr>
      </w:pPr>
      <w:r>
        <w:rPr>
          <w:rFonts w:ascii="Arial" w:cs="Arial" w:eastAsia="Arial" w:hAnsi="Arial"/>
          <w:sz w:val="22"/>
          <w:szCs w:val="22"/>
          <w:color w:val="auto"/>
        </w:rPr>
        <w:t>†This Schedule 13D constitutes Amendment No. 2 to the Schedule 13D filed by Wesley R. Edens on February 4, 2019 and the initial Schedule 13D filing by FEP Holdco LLC. See Explanatory Note.</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89"/>
              </w:rPr>
              <w:t>Wesley R. Edens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67, 014,081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8,696,300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67, 014,081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8,696,300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75,710,381</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78.3%</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9" w:lineRule="exact"/>
        <w:rPr>
          <w:sz w:val="20"/>
          <w:szCs w:val="20"/>
          <w:color w:val="auto"/>
        </w:rPr>
      </w:pPr>
    </w:p>
    <w:p>
      <w:pPr>
        <w:ind w:left="660" w:right="1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24,236,495 Class A Shares outstanding as of April 30, 2020, as disclosed on the Quarterly Report on Form 10-Q filed by New Fortress Energy LLC on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2"/>
              </w:rPr>
              <w:t>FEP Holdco LLC</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N/A (please see Item 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8,696,300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2"/>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8,696,300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9"/>
              </w:rPr>
              <w:t>8,696,300</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9" w:lineRule="exact"/>
        <w:rPr>
          <w:sz w:val="20"/>
          <w:szCs w:val="20"/>
          <w:color w:val="auto"/>
        </w:rPr>
      </w:pPr>
    </w:p>
    <w:p>
      <w:pPr>
        <w:ind w:left="560" w:right="240" w:hanging="552"/>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Calculations are based upon a total of 24,236,495 Class A Shares outstanding as of April 30, 2020, as disclosed on the Quarterly Report on Form 10-Q filed by New Fortress Energy LLC on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4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This filing constitutes (i) the initial Schedule 13D filing by FEP Holco LLC (“</w:t>
      </w:r>
      <w:r>
        <w:rPr>
          <w:rFonts w:ascii="Arial" w:cs="Arial" w:eastAsia="Arial" w:hAnsi="Arial"/>
          <w:sz w:val="16"/>
          <w:szCs w:val="16"/>
          <w:i w:val="1"/>
          <w:iCs w:val="1"/>
          <w:color w:val="auto"/>
        </w:rPr>
        <w:t>HoldCo</w:t>
      </w:r>
      <w:r>
        <w:rPr>
          <w:rFonts w:ascii="Arial" w:cs="Arial" w:eastAsia="Arial" w:hAnsi="Arial"/>
          <w:sz w:val="16"/>
          <w:szCs w:val="16"/>
          <w:color w:val="auto"/>
        </w:rPr>
        <w:t>”) with respect to the Class A common shares representing limited liability company interests (“</w:t>
      </w:r>
      <w:r>
        <w:rPr>
          <w:rFonts w:ascii="Arial" w:cs="Arial" w:eastAsia="Arial" w:hAnsi="Arial"/>
          <w:sz w:val="16"/>
          <w:szCs w:val="16"/>
          <w:i w:val="1"/>
          <w:iCs w:val="1"/>
          <w:color w:val="auto"/>
        </w:rPr>
        <w:t>Class A Shares</w:t>
      </w:r>
      <w:r>
        <w:rPr>
          <w:rFonts w:ascii="Arial" w:cs="Arial" w:eastAsia="Arial" w:hAnsi="Arial"/>
          <w:sz w:val="16"/>
          <w:szCs w:val="16"/>
          <w:color w:val="auto"/>
        </w:rPr>
        <w:t>”) of New Fortress Energy LLC, a Delaware limited liability company (the “</w:t>
      </w:r>
      <w:r>
        <w:rPr>
          <w:rFonts w:ascii="Arial" w:cs="Arial" w:eastAsia="Arial" w:hAnsi="Arial"/>
          <w:sz w:val="16"/>
          <w:szCs w:val="16"/>
          <w:i w:val="1"/>
          <w:iCs w:val="1"/>
          <w:color w:val="auto"/>
        </w:rPr>
        <w:t>Issuer</w:t>
      </w:r>
      <w:r>
        <w:rPr>
          <w:rFonts w:ascii="Arial" w:cs="Arial" w:eastAsia="Arial" w:hAnsi="Arial"/>
          <w:sz w:val="16"/>
          <w:szCs w:val="16"/>
          <w:color w:val="auto"/>
        </w:rPr>
        <w:t>”), and (ii) Amendment No. 2 (this “</w:t>
      </w:r>
      <w:r>
        <w:rPr>
          <w:rFonts w:ascii="Arial" w:cs="Arial" w:eastAsia="Arial" w:hAnsi="Arial"/>
          <w:sz w:val="16"/>
          <w:szCs w:val="16"/>
          <w:i w:val="1"/>
          <w:iCs w:val="1"/>
          <w:color w:val="auto"/>
        </w:rPr>
        <w:t>Amendment</w:t>
      </w:r>
      <w:r>
        <w:rPr>
          <w:rFonts w:ascii="Arial" w:cs="Arial" w:eastAsia="Arial" w:hAnsi="Arial"/>
          <w:sz w:val="16"/>
          <w:szCs w:val="16"/>
          <w:color w:val="auto"/>
        </w:rPr>
        <w:t>”) to the Schedule 13D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February 4, 2019 (the “</w:t>
      </w:r>
      <w:r>
        <w:rPr>
          <w:rFonts w:ascii="Arial" w:cs="Arial" w:eastAsia="Arial" w:hAnsi="Arial"/>
          <w:sz w:val="16"/>
          <w:szCs w:val="16"/>
          <w:i w:val="1"/>
          <w:iCs w:val="1"/>
          <w:color w:val="auto"/>
        </w:rPr>
        <w:t>Original Schedule 13D</w:t>
      </w:r>
      <w:r>
        <w:rPr>
          <w:rFonts w:ascii="Arial" w:cs="Arial" w:eastAsia="Arial" w:hAnsi="Arial"/>
          <w:sz w:val="16"/>
          <w:szCs w:val="16"/>
          <w:color w:val="auto"/>
        </w:rPr>
        <w:t>”), as amended by Amendment No. 1 filed with the SEC on March 28, 2019 (the Original Schedule 13D, as previously amended and as further amended and supplemented by this Amendment, the “</w:t>
      </w:r>
      <w:r>
        <w:rPr>
          <w:rFonts w:ascii="Arial" w:cs="Arial" w:eastAsia="Arial" w:hAnsi="Arial"/>
          <w:sz w:val="16"/>
          <w:szCs w:val="16"/>
          <w:i w:val="1"/>
          <w:iCs w:val="1"/>
          <w:color w:val="auto"/>
        </w:rPr>
        <w:t>Schedule 13D</w:t>
      </w:r>
      <w:r>
        <w:rPr>
          <w:rFonts w:ascii="Arial" w:cs="Arial" w:eastAsia="Arial" w:hAnsi="Arial"/>
          <w:sz w:val="16"/>
          <w:szCs w:val="16"/>
          <w:color w:val="auto"/>
        </w:rPr>
        <w:t>”) by Wesley R. Edens (Mr. Edens and HoldCo, together, the “</w:t>
      </w:r>
      <w:r>
        <w:rPr>
          <w:rFonts w:ascii="Arial" w:cs="Arial" w:eastAsia="Arial" w:hAnsi="Arial"/>
          <w:sz w:val="16"/>
          <w:szCs w:val="16"/>
          <w:i w:val="1"/>
          <w:iCs w:val="1"/>
          <w:color w:val="auto"/>
        </w:rPr>
        <w: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Persons</w:t>
      </w:r>
      <w:r>
        <w:rPr>
          <w:rFonts w:ascii="Arial" w:cs="Arial" w:eastAsia="Arial" w:hAnsi="Arial"/>
          <w:sz w:val="16"/>
          <w:szCs w:val="16"/>
          <w:color w:val="auto"/>
        </w:rPr>
        <w:t>”). Mr. Edens is filing this Amendment to disclose events that may be deemed to constitute the acquisition of beneficial ownership of 72,432,182</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Shares, as more fully described below in Items 3 and 5, and the entry into certain agreements in respect of Issuer securities, as more fully described below in Item 3, together with the other changes disclosed herein. Pursuant to the events described herein, HoldCo may be deemed to have acquired beneficial ownership of more than 5% of the outstanding Class A Shares and hereby adopts the disclosure in the Schedule 13D in respect of itself to the extent applicable, except as otherwise set forth herein. The Reporting Persons have made this filing jointly pursuant to Rule 13d-1(k)(1).</w:t>
      </w:r>
    </w:p>
    <w:p>
      <w:pPr>
        <w:spacing w:after="0" w:line="188" w:lineRule="exact"/>
        <w:rPr>
          <w:sz w:val="20"/>
          <w:szCs w:val="20"/>
          <w:color w:val="auto"/>
        </w:rPr>
      </w:pPr>
    </w:p>
    <w:p>
      <w:pPr>
        <w:ind w:right="360" w:firstLine="702"/>
        <w:spacing w:after="0" w:line="328" w:lineRule="auto"/>
        <w:rPr>
          <w:sz w:val="20"/>
          <w:szCs w:val="20"/>
          <w:color w:val="auto"/>
        </w:rPr>
      </w:pPr>
      <w:r>
        <w:rPr>
          <w:rFonts w:ascii="Arial" w:cs="Arial" w:eastAsia="Arial" w:hAnsi="Arial"/>
          <w:sz w:val="19"/>
          <w:szCs w:val="19"/>
          <w:color w:val="auto"/>
        </w:rPr>
        <w:t>Unless set forth below, all previous Items of the Original Schedule 13D are unchanged. Capitalized terms used in this Amendment and not otherwise defined shall have the same meanings ascribed to them in the Original Schedule 13D.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2 to the Schedule 13D is hereby amended by the addition of the following text:</w:t>
      </w:r>
    </w:p>
    <w:p>
      <w:pPr>
        <w:spacing w:after="0" w:line="233" w:lineRule="exact"/>
        <w:rPr>
          <w:sz w:val="20"/>
          <w:szCs w:val="20"/>
          <w:color w:val="auto"/>
        </w:rPr>
      </w:pPr>
    </w:p>
    <w:p>
      <w:pPr>
        <w:ind w:right="120" w:firstLine="648"/>
        <w:spacing w:after="0" w:line="246" w:lineRule="auto"/>
        <w:rPr>
          <w:sz w:val="20"/>
          <w:szCs w:val="20"/>
          <w:color w:val="auto"/>
        </w:rPr>
      </w:pPr>
      <w:r>
        <w:rPr>
          <w:rFonts w:ascii="Arial" w:cs="Arial" w:eastAsia="Arial" w:hAnsi="Arial"/>
          <w:sz w:val="21"/>
          <w:szCs w:val="21"/>
          <w:color w:val="auto"/>
        </w:rPr>
        <w:t>HoldCo is an investment holding company organized under the laws of the State of Delaware with its principal office located at 1345 Avenue of the Americas, New York, NY 10105. Mr. Edens and Randal A. Nardone are each members of Holdco and members of its board of managers. On the date hereof, Mr. Nardone filed Amendment No. 2 to the Schedule 13D filed by him with the SEC on February 4, 2019, as previously amended by him on April 4, 2019. To the extent responsive to Special Instruction C to Schedule 13D, Mr. Nardone’s disclosure in such filings is incorporated in each Item of this filing to the extent applicable. The Reporting Persons disclaim beneficial ownership of Class A Shares beneficially owned by Mr. Nardone other than those held by HoldCo, as disclosed herein.</w:t>
      </w:r>
    </w:p>
    <w:p>
      <w:pPr>
        <w:spacing w:after="0" w:line="211"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In the past five years, HoldCo has not been convicted in a criminal proceeding (excluding traffic violations or similar misdemeanors), nor has it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3 to the Schedule 13D is hereby amended by the addition of the following text: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Amended and Restated Limited Liability Company Agreement (the “</w:t>
      </w:r>
      <w:r>
        <w:rPr>
          <w:rFonts w:ascii="Arial" w:cs="Arial" w:eastAsia="Arial" w:hAnsi="Arial"/>
          <w:sz w:val="19"/>
          <w:szCs w:val="19"/>
          <w:i w:val="1"/>
          <w:iCs w:val="1"/>
          <w:color w:val="auto"/>
        </w:rPr>
        <w:t>NFI LLCA</w:t>
      </w:r>
      <w:r>
        <w:rPr>
          <w:rFonts w:ascii="Arial" w:cs="Arial" w:eastAsia="Arial" w:hAnsi="Arial"/>
          <w:sz w:val="19"/>
          <w:szCs w:val="19"/>
          <w:color w:val="auto"/>
        </w:rPr>
        <w:t>”) of New Fortress Intermediate LLC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NFI</w:t>
      </w:r>
      <w:r>
        <w:rPr>
          <w:rFonts w:ascii="Arial" w:cs="Arial" w:eastAsia="Arial" w:hAnsi="Arial"/>
          <w:sz w:val="19"/>
          <w:szCs w:val="19"/>
          <w:color w:val="auto"/>
        </w:rPr>
        <w:t>”) provides certain holders of common units (“</w:t>
      </w:r>
      <w:r>
        <w:rPr>
          <w:rFonts w:ascii="Arial" w:cs="Arial" w:eastAsia="Arial" w:hAnsi="Arial"/>
          <w:sz w:val="19"/>
          <w:szCs w:val="19"/>
          <w:i w:val="1"/>
          <w:iCs w:val="1"/>
          <w:color w:val="auto"/>
        </w:rPr>
        <w:t>NFI LLC Units</w:t>
      </w:r>
      <w:r>
        <w:rPr>
          <w:rFonts w:ascii="Arial" w:cs="Arial" w:eastAsia="Arial" w:hAnsi="Arial"/>
          <w:sz w:val="19"/>
          <w:szCs w:val="19"/>
          <w:color w:val="auto"/>
        </w:rPr>
        <w:t>”) of NFI and non-economic Class B common shares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Class B Shares</w:t>
      </w:r>
      <w:r>
        <w:rPr>
          <w:rFonts w:ascii="Arial" w:cs="Arial" w:eastAsia="Arial" w:hAnsi="Arial"/>
          <w:sz w:val="19"/>
          <w:szCs w:val="19"/>
          <w:color w:val="auto"/>
        </w:rPr>
        <w:t>”) of the Issuer with certain rights to cause NFI or the Issuer to acquire all or a portion of the NFI LLC Units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 equal number of Class B Shares (the “</w:t>
      </w:r>
      <w:r>
        <w:rPr>
          <w:rFonts w:ascii="Arial" w:cs="Arial" w:eastAsia="Arial" w:hAnsi="Arial"/>
          <w:sz w:val="19"/>
          <w:szCs w:val="19"/>
          <w:i w:val="1"/>
          <w:iCs w:val="1"/>
          <w:color w:val="auto"/>
        </w:rPr>
        <w:t>Redemption Right</w:t>
      </w:r>
      <w:r>
        <w:rPr>
          <w:rFonts w:ascii="Arial" w:cs="Arial" w:eastAsia="Arial" w:hAnsi="Arial"/>
          <w:sz w:val="19"/>
          <w:szCs w:val="19"/>
          <w:color w:val="auto"/>
        </w:rPr>
        <w:t>”) for, at the election at NFI or the Issuer, as applicable, (a) Class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Shares at a redemption ratio of one Class A Share for each NFI LLC Unit and Class B Share redeemed, subject to conversion rate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adjustments for any equity split, equity distribution, reclassification or other similar transaction, or (b) an equivalent amount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cash based on the trading price of a Class A Share on the trading day that is immediately prior to the date of the redemption.</w:t>
      </w:r>
    </w:p>
    <w:p>
      <w:pPr>
        <w:spacing w:after="0" w:line="250"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The NFI LLC Units were previously held directly by New Fortress Energy Holdings LLC (“</w:t>
      </w:r>
      <w:r>
        <w:rPr>
          <w:rFonts w:ascii="Arial" w:cs="Arial" w:eastAsia="Arial" w:hAnsi="Arial"/>
          <w:sz w:val="19"/>
          <w:szCs w:val="19"/>
          <w:i w:val="1"/>
          <w:iCs w:val="1"/>
          <w:color w:val="auto"/>
        </w:rPr>
        <w:t>NFEH</w:t>
      </w:r>
      <w:r>
        <w:rPr>
          <w:rFonts w:ascii="Arial" w:cs="Arial" w:eastAsia="Arial" w:hAnsi="Arial"/>
          <w:sz w:val="19"/>
          <w:szCs w:val="19"/>
          <w:color w:val="auto"/>
        </w:rPr>
        <w:t>”). As of June 3, 2020, NFEH was majority owned and controlled by Fortress Equity Partners (A) LP (the “</w:t>
      </w:r>
      <w:r>
        <w:rPr>
          <w:rFonts w:ascii="Arial" w:cs="Arial" w:eastAsia="Arial" w:hAnsi="Arial"/>
          <w:sz w:val="19"/>
          <w:szCs w:val="19"/>
          <w:i w:val="1"/>
          <w:iCs w:val="1"/>
          <w:color w:val="auto"/>
        </w:rPr>
        <w:t>Fortress Shareholder</w:t>
      </w:r>
      <w:r>
        <w:rPr>
          <w:rFonts w:ascii="Arial" w:cs="Arial" w:eastAsia="Arial" w:hAnsi="Arial"/>
          <w:sz w:val="19"/>
          <w:szCs w:val="19"/>
          <w:color w:val="auto"/>
        </w:rPr>
        <w:t>”), of which the Reporting Person and WRE 2012 Trust LLC, an entity controlled by Mr. Edens (“</w:t>
      </w:r>
      <w:r>
        <w:rPr>
          <w:rFonts w:ascii="Arial" w:cs="Arial" w:eastAsia="Arial" w:hAnsi="Arial"/>
          <w:sz w:val="19"/>
          <w:szCs w:val="19"/>
          <w:i w:val="1"/>
          <w:iCs w:val="1"/>
          <w:color w:val="auto"/>
        </w:rPr>
        <w:t>WRE Trust</w:t>
      </w:r>
      <w:r>
        <w:rPr>
          <w:rFonts w:ascii="Arial" w:cs="Arial" w:eastAsia="Arial" w:hAnsi="Arial"/>
          <w:sz w:val="19"/>
          <w:szCs w:val="19"/>
          <w:color w:val="auto"/>
        </w:rPr>
        <w:t>”), are limited partners. Fortress Shareholder has adopted a plan of liquidation and on June 3, 2020 Fortress Shareholder distributed common units of NFEH to its limited partners, including the Reporting Persons, in a pro rata distribution. Following the distribution by the Fortress Shareholder and also on June 3, 2020, NFEH distributed the NFI LLC Units, together with an equal number of Class B Shares, to its members, including the Reporting Persons, in a pro rata distribution (the “</w:t>
      </w:r>
      <w:r>
        <w:rPr>
          <w:rFonts w:ascii="Arial" w:cs="Arial" w:eastAsia="Arial" w:hAnsi="Arial"/>
          <w:sz w:val="19"/>
          <w:szCs w:val="19"/>
          <w:i w:val="1"/>
          <w:iCs w:val="1"/>
          <w:color w:val="auto"/>
        </w:rPr>
        <w:t>Pro Rata Distributions</w:t>
      </w:r>
      <w:r>
        <w:rPr>
          <w:rFonts w:ascii="Arial" w:cs="Arial" w:eastAsia="Arial" w:hAnsi="Arial"/>
          <w:sz w:val="19"/>
          <w:szCs w:val="19"/>
          <w:color w:val="auto"/>
        </w:rPr>
        <w:t>”).</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On June 3, 2020, each of the Reporting Persons entered into a mutual agreement (the “</w:t>
      </w:r>
      <w:r>
        <w:rPr>
          <w:rFonts w:ascii="Arial" w:cs="Arial" w:eastAsia="Arial" w:hAnsi="Arial"/>
          <w:sz w:val="19"/>
          <w:szCs w:val="19"/>
          <w:i w:val="1"/>
          <w:iCs w:val="1"/>
          <w:color w:val="auto"/>
        </w:rPr>
        <w:t>Mutual Agreement</w:t>
      </w:r>
      <w:r>
        <w:rPr>
          <w:rFonts w:ascii="Arial" w:cs="Arial" w:eastAsia="Arial" w:hAnsi="Arial"/>
          <w:sz w:val="19"/>
          <w:szCs w:val="19"/>
          <w:color w:val="auto"/>
        </w:rPr>
        <w:t>”) with the Issuer, Fortress Equity Partners GP, LLC (“</w:t>
      </w:r>
      <w:r>
        <w:rPr>
          <w:rFonts w:ascii="Arial" w:cs="Arial" w:eastAsia="Arial" w:hAnsi="Arial"/>
          <w:sz w:val="19"/>
          <w:szCs w:val="19"/>
          <w:i w:val="1"/>
          <w:iCs w:val="1"/>
          <w:color w:val="auto"/>
        </w:rPr>
        <w:t>FEP GP</w:t>
      </w:r>
      <w:r>
        <w:rPr>
          <w:rFonts w:ascii="Arial" w:cs="Arial" w:eastAsia="Arial" w:hAnsi="Arial"/>
          <w:sz w:val="19"/>
          <w:szCs w:val="19"/>
          <w:color w:val="auto"/>
        </w:rPr>
        <w:t>”), WRE Trust, Randal A. Nardone, NFE SMRS Holdings LLC (collectively, with the Reporting Persons, FEP GP, WRE Trust and Randal A. Nardone, the “</w:t>
      </w:r>
      <w:r>
        <w:rPr>
          <w:rFonts w:ascii="Arial" w:cs="Arial" w:eastAsia="Arial" w:hAnsi="Arial"/>
          <w:sz w:val="19"/>
          <w:szCs w:val="19"/>
          <w:i w:val="1"/>
          <w:iCs w:val="1"/>
          <w:color w:val="auto"/>
        </w:rPr>
        <w:t>Exchanging Members</w:t>
      </w:r>
      <w:r>
        <w:rPr>
          <w:rFonts w:ascii="Arial" w:cs="Arial" w:eastAsia="Arial" w:hAnsi="Arial"/>
          <w:sz w:val="19"/>
          <w:szCs w:val="19"/>
          <w:color w:val="auto"/>
        </w:rPr>
        <w:t>”) and NFE Sub LLC, a wholly owned subsidiary of the Issuer (“</w:t>
      </w:r>
      <w:r>
        <w:rPr>
          <w:rFonts w:ascii="Arial" w:cs="Arial" w:eastAsia="Arial" w:hAnsi="Arial"/>
          <w:sz w:val="19"/>
          <w:szCs w:val="19"/>
          <w:i w:val="1"/>
          <w:iCs w:val="1"/>
          <w:color w:val="auto"/>
        </w:rPr>
        <w:t>NFE Sub</w:t>
      </w:r>
      <w:r>
        <w:rPr>
          <w:rFonts w:ascii="Arial" w:cs="Arial" w:eastAsia="Arial" w:hAnsi="Arial"/>
          <w:sz w:val="19"/>
          <w:szCs w:val="19"/>
          <w:color w:val="auto"/>
        </w:rPr>
        <w:t>”). Pursuant to the Mutual Agreement, each of the Exchanging Members agreed that they will deliver a block redemption notice in accordance with Section 4.6(b)(ii)(B) of the NFI LLCA with respect to all of the NFI LLC Units, together with an equal number of Class B Shares that they indirectly own as members of NFEH or indirectly as limited partners of Fortress Shareholder (the “</w:t>
      </w:r>
      <w:r>
        <w:rPr>
          <w:rFonts w:ascii="Arial" w:cs="Arial" w:eastAsia="Arial" w:hAnsi="Arial"/>
          <w:sz w:val="19"/>
          <w:szCs w:val="19"/>
          <w:i w:val="1"/>
          <w:iCs w:val="1"/>
          <w:color w:val="auto"/>
        </w:rPr>
        <w:t>Block Redemption Notice</w:t>
      </w:r>
      <w:r>
        <w:rPr>
          <w:rFonts w:ascii="Arial" w:cs="Arial" w:eastAsia="Arial" w:hAnsi="Arial"/>
          <w:sz w:val="19"/>
          <w:szCs w:val="19"/>
          <w:color w:val="auto"/>
        </w:rPr>
        <w:t>”). Pursuant to the Mutual Agreement, the Issuer has agreed that it will exercise the Call Right (as defined in the NFI LLCA), pursuant to which the Issuer will acquire such NFI LLC Units and such Class B Shares in exchange for Class A Shares to be issued to the Exchanging Members, including the Reporting Person (the “</w:t>
      </w:r>
      <w:r>
        <w:rPr>
          <w:rFonts w:ascii="Arial" w:cs="Arial" w:eastAsia="Arial" w:hAnsi="Arial"/>
          <w:sz w:val="19"/>
          <w:szCs w:val="19"/>
          <w:i w:val="1"/>
          <w:iCs w:val="1"/>
          <w:color w:val="auto"/>
        </w:rPr>
        <w:t>Exchange Transaction</w:t>
      </w:r>
      <w:r>
        <w:rPr>
          <w:rFonts w:ascii="Arial" w:cs="Arial" w:eastAsia="Arial" w:hAnsi="Arial"/>
          <w:sz w:val="19"/>
          <w:szCs w:val="19"/>
          <w:color w:val="auto"/>
        </w:rPr>
        <w:t>”). Pursuant to the Mutual Agreement, the Exchanging Members have also agreed with the Issuer to not, without the consent of Mr. Edens and Randal A. Nardone, transfer any of the Class A Shares they receive in the Exchange Transaction for 90 days following the date of the Exchange Transaction. FEP GP and/or other affiliates of Fortress Investment Group LLC (together, "Fortress"), of which Mr. Edens is Principal, Co-Chief Executive Officer and a Class A Director, beneficially own 13,399,317 Class A Shares. While Mr. Edens may participate in Fortress's voting and investment</w:t>
      </w:r>
    </w:p>
    <w:p>
      <w:pPr>
        <w:sectPr>
          <w:pgSz w:w="11900" w:h="16838" w:orient="portrait"/>
          <w:cols w:equalWidth="0" w:num="1">
            <w:col w:w="11220"/>
          </w:cols>
          <w:pgMar w:left="320" w:top="355" w:right="359" w:bottom="0" w:gutter="0" w:footer="0" w:header="0"/>
        </w:sectPr>
      </w:pPr>
    </w:p>
    <w:bookmarkStart w:id="4" w:name="page5"/>
    <w:bookmarkEnd w:id="4"/>
    <w:p>
      <w:pPr>
        <w:spacing w:after="0" w:line="329" w:lineRule="auto"/>
        <w:rPr>
          <w:sz w:val="20"/>
          <w:szCs w:val="20"/>
          <w:color w:val="auto"/>
        </w:rPr>
      </w:pPr>
      <w:r>
        <w:rPr>
          <w:rFonts w:ascii="Arial" w:cs="Arial" w:eastAsia="Arial" w:hAnsi="Arial"/>
          <w:sz w:val="19"/>
          <w:szCs w:val="19"/>
          <w:color w:val="auto"/>
        </w:rPr>
        <w:t>decisions concerning its holdings of Class A Shares, Mr. Edens disclaims beneficial ownership thereof and each Reporting Person otherwise disclaims beneficial ownership of the Class A Shares held by the other Exchanging Members.</w:t>
      </w:r>
    </w:p>
    <w:p>
      <w:pPr>
        <w:spacing w:after="0" w:line="30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18" w:right="979" w:bottom="1440" w:gutter="0" w:footer="0" w:header="0"/>
        </w:sectPr>
      </w:pPr>
    </w:p>
    <w:bookmarkStart w:id="5" w:name="page6"/>
    <w:bookmarkEnd w:id="5"/>
    <w:p>
      <w:pPr>
        <w:ind w:firstLine="648"/>
        <w:spacing w:after="0" w:line="274" w:lineRule="auto"/>
        <w:rPr>
          <w:sz w:val="20"/>
          <w:szCs w:val="20"/>
          <w:color w:val="auto"/>
        </w:rPr>
      </w:pPr>
      <w:r>
        <w:rPr>
          <w:rFonts w:ascii="Arial" w:cs="Arial" w:eastAsia="Arial" w:hAnsi="Arial"/>
          <w:sz w:val="19"/>
          <w:szCs w:val="19"/>
          <w:color w:val="auto"/>
        </w:rPr>
        <w:t>On June 3, 2020, the Reporting Persons and the other Exchanging Members delivered to the Issuer a Block Redemption Notice to initiate the Exchange Transaction, pursuant to which the Issuer is obligated to issue the Class A Shares. On June 10, 2020, the Exchange Transaction was consummated. Mr. Edens received 63,735,882 NFI LLC Units and Class B Shares in the Pro Rata Distributions (directly or in the WRE Trust) and on June 10, 2020 Mr. Edens received 63,735,882 Class A Shares in exchange therefor in the Exchange Transaction (directly or in the WRE Trust). Holdco received 8,696,300 NFI LLC Units and Class B Shares in the Pro Rata Distributions and on June 10, 2020 Holdco received 8,696,300 Class A Shares in exchange therefor in the Exchange Transaction. Neither such transaction was subject to material conditions outside the control of Mr. Edens. Accordingly, the entry into the Mutual Agreement may be deemed Mr. Edens’s acquisition of beneficial ownership of 72,432,182 Class A Shares, including 8,696,300 Class A Shares, the beneficial ownership of which was acquired by Holdco.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to the Schedule 13D is hereby amended by the addition of the following text: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contained in Item 3 to this Amendment is incorporated herein by reference.</w:t>
      </w:r>
    </w:p>
    <w:p>
      <w:pPr>
        <w:spacing w:after="0" w:line="24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Except as disclosed in Item 3 to this Amendment, Holdco has no plans or proposals which relate to, or could result in, any of the matters referred to in paragraphs (a) through (j), inclusive, of Item 4 of Schedule 13D. HoldCo may, at any time and from time to time, review or reconsider its position and/or change its purpose and/or formulate plans or proposals with respect thereto.</w:t>
      </w:r>
    </w:p>
    <w:p>
      <w:pPr>
        <w:spacing w:after="0" w:line="203" w:lineRule="exact"/>
        <w:rPr>
          <w:sz w:val="20"/>
          <w:szCs w:val="20"/>
          <w:color w:val="auto"/>
        </w:rPr>
      </w:pPr>
    </w:p>
    <w:p>
      <w:pPr>
        <w:ind w:right="340" w:firstLine="656"/>
        <w:spacing w:after="0"/>
        <w:tabs>
          <w:tab w:leader="none" w:pos="1392" w:val="left"/>
        </w:tabs>
        <w:numPr>
          <w:ilvl w:val="0"/>
          <w:numId w:val="4"/>
        </w:numPr>
        <w:rPr>
          <w:rFonts w:ascii="Arial" w:cs="Arial" w:eastAsia="Arial" w:hAnsi="Arial"/>
          <w:sz w:val="22"/>
          <w:szCs w:val="22"/>
          <w:color w:val="auto"/>
        </w:rPr>
      </w:pPr>
      <w:r>
        <w:rPr>
          <w:rFonts w:ascii="Arial" w:cs="Arial" w:eastAsia="Arial" w:hAnsi="Arial"/>
          <w:sz w:val="22"/>
          <w:szCs w:val="22"/>
          <w:color w:val="auto"/>
        </w:rPr>
        <w:t>NFE WE LLC and NFE RN LLC, entities controlled by the Reporting Person and Randal A. Nardone, were assigned NFEH’s right to appoint five of the nine members to the board of directors of the Issuer, on the terms set forth in that certain Shareholder Agreement, by and between the Issuer and NFEH.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is hereby amended and restated as follows:</w:t>
      </w:r>
    </w:p>
    <w:p>
      <w:pPr>
        <w:spacing w:after="0" w:line="233" w:lineRule="exact"/>
        <w:rPr>
          <w:sz w:val="20"/>
          <w:szCs w:val="20"/>
          <w:color w:val="auto"/>
        </w:rPr>
      </w:pPr>
    </w:p>
    <w:p>
      <w:pPr>
        <w:jc w:val="both"/>
        <w:ind w:right="440" w:firstLine="656"/>
        <w:spacing w:after="0" w:line="257" w:lineRule="auto"/>
        <w:tabs>
          <w:tab w:leader="none" w:pos="942" w:val="left"/>
        </w:tabs>
        <w:numPr>
          <w:ilvl w:val="0"/>
          <w:numId w:val="5"/>
        </w:numPr>
        <w:rPr>
          <w:rFonts w:ascii="Arial" w:cs="Arial" w:eastAsia="Arial" w:hAnsi="Arial"/>
          <w:sz w:val="21"/>
          <w:szCs w:val="21"/>
          <w:color w:val="auto"/>
        </w:rPr>
      </w:pPr>
      <w:r>
        <w:rPr>
          <w:rFonts w:ascii="Arial" w:cs="Arial" w:eastAsia="Arial" w:hAnsi="Arial"/>
          <w:sz w:val="21"/>
          <w:szCs w:val="21"/>
          <w:color w:val="auto"/>
        </w:rPr>
        <w:t>— (b) Items 7 through 11 and 13 of each of the cover pages of this Schedule 13D are incorporated herein by reference. Such information is based on a total of 24,236,495 Class A Shares issued and outstanding as of April 30, 2020, as disclosed on the Quarterly Report on Form 10-Q filed by the Issuer on May 6, 2020.</w:t>
      </w:r>
    </w:p>
    <w:p>
      <w:pPr>
        <w:spacing w:after="0" w:line="196" w:lineRule="exact"/>
        <w:rPr>
          <w:sz w:val="20"/>
          <w:szCs w:val="20"/>
          <w:color w:val="auto"/>
        </w:rPr>
      </w:pPr>
    </w:p>
    <w:p>
      <w:pPr>
        <w:ind w:right="500" w:firstLine="656"/>
        <w:spacing w:after="0" w:line="274" w:lineRule="auto"/>
        <w:tabs>
          <w:tab w:leader="none" w:pos="1428"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information contained in Item 3 above is incorporated herein by reference. Except as described therein, neither Reporting Person has effected any transactions in the Class A Shares during the past 60 days.</w:t>
      </w:r>
    </w:p>
    <w:p>
      <w:pPr>
        <w:spacing w:after="0" w:line="177" w:lineRule="exact"/>
        <w:rPr>
          <w:rFonts w:ascii="Arial" w:cs="Arial" w:eastAsia="Arial" w:hAnsi="Arial"/>
          <w:sz w:val="21"/>
          <w:szCs w:val="21"/>
          <w:color w:val="auto"/>
        </w:rPr>
      </w:pPr>
    </w:p>
    <w:p>
      <w:pPr>
        <w:ind w:right="140" w:firstLine="656"/>
        <w:spacing w:after="0" w:line="246" w:lineRule="auto"/>
        <w:tabs>
          <w:tab w:leader="none" w:pos="1440" w:val="left"/>
        </w:tabs>
        <w:numPr>
          <w:ilvl w:val="0"/>
          <w:numId w:val="6"/>
        </w:numPr>
        <w:rPr>
          <w:rFonts w:ascii="Arial" w:cs="Arial" w:eastAsia="Arial" w:hAnsi="Arial"/>
          <w:sz w:val="21"/>
          <w:szCs w:val="21"/>
          <w:color w:val="auto"/>
        </w:rPr>
      </w:pPr>
      <w:r>
        <w:rPr>
          <w:rFonts w:ascii="Arial" w:cs="Arial" w:eastAsia="Arial" w:hAnsi="Arial"/>
          <w:sz w:val="21"/>
          <w:szCs w:val="21"/>
          <w:color w:val="auto"/>
        </w:rPr>
        <w:t>Mr. Edens holds or will hold certain Class A Shares through a WRE Trust, but has the sole right to receive or direct the receipt of dividends on and the proceeds from the sale of the Class A Shares reported on the cover page of this Schedule 13D and in this Item 5, other than those Class A Shares beneficially owned by HoldCo. HoldCo is a limited liability company, the members of which have the right to receive or direct the receipt of dividends on and the proceeds from the sale of the Class A Shares beneficially owned by HoldCo. Except for the foregoing, no other person is known by the Reporting Persons to have the right to receive or the power to direct the receipt of dividends on or the proceeds from the sale of the Class A Shares beneficially owned by the Reporting Persons.</w:t>
      </w:r>
    </w:p>
    <w:p>
      <w:pPr>
        <w:spacing w:after="0" w:line="211" w:lineRule="exact"/>
        <w:rPr>
          <w:rFonts w:ascii="Arial" w:cs="Arial" w:eastAsia="Arial" w:hAnsi="Arial"/>
          <w:sz w:val="21"/>
          <w:szCs w:val="21"/>
          <w:color w:val="auto"/>
        </w:rPr>
      </w:pPr>
    </w:p>
    <w:p>
      <w:pPr>
        <w:ind w:left="1440" w:hanging="784"/>
        <w:spacing w:after="0"/>
        <w:tabs>
          <w:tab w:leader="none" w:pos="14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6 to the Schedule 13D is hereby amended by the addition of the following text:</w:t>
      </w:r>
    </w:p>
    <w:p>
      <w:pPr>
        <w:spacing w:after="0" w:line="233"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information contained in Item 3 to this Amendment regarding the Mutual Agreement and the Exchange Transaction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4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Exhibit A Mutual Agreement by and between the Reporting Person and the other parties named therein, dated June 3, 2020 (as incorporated herein by reference to Exhibit 1.1 to the Issuer’s Current Report on Form 8-K filed on June 5, 2020).</w:t>
      </w:r>
    </w:p>
    <w:p>
      <w:pPr>
        <w:spacing w:after="0" w:line="132" w:lineRule="exact"/>
        <w:rPr>
          <w:sz w:val="20"/>
          <w:szCs w:val="20"/>
          <w:color w:val="auto"/>
        </w:rPr>
      </w:pPr>
    </w:p>
    <w:p>
      <w:pPr>
        <w:spacing w:after="0"/>
        <w:tabs>
          <w:tab w:leader="none" w:pos="1360" w:val="left"/>
        </w:tabs>
        <w:rPr>
          <w:rFonts w:ascii="Arial" w:cs="Arial" w:eastAsia="Arial" w:hAnsi="Arial"/>
          <w:sz w:val="22"/>
          <w:szCs w:val="22"/>
          <w:color w:val="0000EE"/>
        </w:rPr>
      </w:pPr>
      <w:hyperlink w:anchor="page9">
        <w:r>
          <w:rPr>
            <w:rFonts w:ascii="Arial" w:cs="Arial" w:eastAsia="Arial" w:hAnsi="Arial"/>
            <w:sz w:val="22"/>
            <w:szCs w:val="22"/>
            <w:u w:val="single" w:color="auto"/>
            <w:color w:val="0000EE"/>
          </w:rPr>
          <w:t>Exhibit B</w:t>
        </w:r>
      </w:hyperlink>
      <w:r>
        <w:rPr>
          <w:rFonts w:ascii="Arial" w:cs="Arial" w:eastAsia="Arial" w:hAnsi="Arial"/>
          <w:sz w:val="22"/>
          <w:szCs w:val="22"/>
          <w:color w:val="0000EE"/>
        </w:rPr>
        <w:tab/>
      </w:r>
      <w:r>
        <w:rPr>
          <w:rFonts w:ascii="Arial" w:cs="Arial" w:eastAsia="Arial" w:hAnsi="Arial"/>
          <w:sz w:val="19"/>
          <w:szCs w:val="19"/>
          <w:color w:val="0000EE"/>
        </w:rPr>
        <w:t>Joint Filing Agreement by and between Wesley R. Edens and FEP HoldCo LLC, dated June 10, 2020.</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as of June 10, 2020.</w:t>
            </w:r>
          </w:p>
        </w:tc>
        <w:tc>
          <w:tcPr>
            <w:tcW w:w="2560" w:type="dxa"/>
            <w:vAlign w:val="bottom"/>
          </w:tcPr>
          <w:p>
            <w:pPr>
              <w:ind w:left="1880"/>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9"/>
        </w:trPr>
        <w:tc>
          <w:tcPr>
            <w:tcW w:w="3760" w:type="dxa"/>
            <w:vAlign w:val="bottom"/>
          </w:tcPr>
          <w:p>
            <w:pPr>
              <w:spacing w:after="0"/>
              <w:rPr>
                <w:sz w:val="24"/>
                <w:szCs w:val="24"/>
                <w:color w:val="auto"/>
              </w:rPr>
            </w:pPr>
          </w:p>
        </w:tc>
        <w:tc>
          <w:tcPr>
            <w:tcW w:w="2560" w:type="dxa"/>
            <w:vAlign w:val="bottom"/>
          </w:tcPr>
          <w:p>
            <w:pPr>
              <w:ind w:left="18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c>
          <w:tcPr>
            <w:tcW w:w="1000" w:type="dxa"/>
            <w:vAlign w:val="bottom"/>
          </w:tcPr>
          <w:p>
            <w:pPr>
              <w:spacing w:after="0"/>
              <w:rPr>
                <w:sz w:val="24"/>
                <w:szCs w:val="24"/>
                <w:color w:val="auto"/>
              </w:rPr>
            </w:pPr>
          </w:p>
        </w:tc>
      </w:tr>
      <w:tr>
        <w:trPr>
          <w:trHeight w:val="230"/>
        </w:trPr>
        <w:tc>
          <w:tcPr>
            <w:tcW w:w="3760" w:type="dxa"/>
            <w:vAlign w:val="bottom"/>
          </w:tcPr>
          <w:p>
            <w:pPr>
              <w:spacing w:after="0"/>
              <w:rPr>
                <w:sz w:val="20"/>
                <w:szCs w:val="20"/>
                <w:color w:val="auto"/>
              </w:rPr>
            </w:pPr>
          </w:p>
        </w:tc>
        <w:tc>
          <w:tcPr>
            <w:tcW w:w="2560" w:type="dxa"/>
            <w:vAlign w:val="bottom"/>
          </w:tcPr>
          <w:p>
            <w:pPr>
              <w:ind w:left="1880"/>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Wesley R. Edens</w:t>
            </w:r>
          </w:p>
        </w:tc>
        <w:tc>
          <w:tcPr>
            <w:tcW w:w="1000" w:type="dxa"/>
            <w:vAlign w:val="bottom"/>
          </w:tcPr>
          <w:p>
            <w:pPr>
              <w:spacing w:after="0"/>
              <w:rPr>
                <w:sz w:val="20"/>
                <w:szCs w:val="20"/>
                <w:color w:val="auto"/>
              </w:rPr>
            </w:pPr>
          </w:p>
        </w:tc>
      </w:tr>
      <w:tr>
        <w:trPr>
          <w:trHeight w:val="418"/>
        </w:trPr>
        <w:tc>
          <w:tcPr>
            <w:tcW w:w="3760" w:type="dxa"/>
            <w:vAlign w:val="bottom"/>
          </w:tcPr>
          <w:p>
            <w:pPr>
              <w:spacing w:after="0"/>
              <w:rPr>
                <w:sz w:val="24"/>
                <w:szCs w:val="24"/>
                <w:color w:val="auto"/>
              </w:rPr>
            </w:pPr>
          </w:p>
        </w:tc>
        <w:tc>
          <w:tcPr>
            <w:tcW w:w="6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FEP HoldCo LLC</w:t>
            </w:r>
          </w:p>
        </w:tc>
        <w:tc>
          <w:tcPr>
            <w:tcW w:w="1000" w:type="dxa"/>
            <w:vAlign w:val="bottom"/>
          </w:tcPr>
          <w:p>
            <w:pPr>
              <w:spacing w:after="0"/>
              <w:rPr>
                <w:sz w:val="24"/>
                <w:szCs w:val="24"/>
                <w:color w:val="auto"/>
              </w:rPr>
            </w:pPr>
          </w:p>
        </w:tc>
      </w:tr>
      <w:tr>
        <w:trPr>
          <w:trHeight w:val="453"/>
        </w:trPr>
        <w:tc>
          <w:tcPr>
            <w:tcW w:w="3760" w:type="dxa"/>
            <w:vAlign w:val="bottom"/>
          </w:tcPr>
          <w:p>
            <w:pPr>
              <w:spacing w:after="0"/>
              <w:rPr>
                <w:sz w:val="24"/>
                <w:szCs w:val="24"/>
                <w:color w:val="auto"/>
              </w:rPr>
            </w:pPr>
          </w:p>
        </w:tc>
        <w:tc>
          <w:tcPr>
            <w:tcW w:w="2560" w:type="dxa"/>
            <w:vAlign w:val="bottom"/>
          </w:tcPr>
          <w:p>
            <w:pPr>
              <w:ind w:left="18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c>
          <w:tcPr>
            <w:tcW w:w="1000" w:type="dxa"/>
            <w:vAlign w:val="bottom"/>
          </w:tcPr>
          <w:p>
            <w:pPr>
              <w:spacing w:after="0"/>
              <w:rPr>
                <w:sz w:val="24"/>
                <w:szCs w:val="24"/>
                <w:color w:val="auto"/>
              </w:rPr>
            </w:pPr>
          </w:p>
        </w:tc>
      </w:tr>
      <w:tr>
        <w:trPr>
          <w:trHeight w:val="202"/>
        </w:trPr>
        <w:tc>
          <w:tcPr>
            <w:tcW w:w="3760" w:type="dxa"/>
            <w:vAlign w:val="bottom"/>
          </w:tcPr>
          <w:p>
            <w:pPr>
              <w:spacing w:after="0"/>
              <w:rPr>
                <w:sz w:val="17"/>
                <w:szCs w:val="17"/>
                <w:color w:val="auto"/>
              </w:rPr>
            </w:pPr>
          </w:p>
        </w:tc>
        <w:tc>
          <w:tcPr>
            <w:tcW w:w="2560" w:type="dxa"/>
            <w:vAlign w:val="bottom"/>
          </w:tcPr>
          <w:p>
            <w:pPr>
              <w:ind w:left="18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Wesley R. Edens</w:t>
            </w:r>
          </w:p>
        </w:tc>
        <w:tc>
          <w:tcPr>
            <w:tcW w:w="1000" w:type="dxa"/>
            <w:vAlign w:val="bottom"/>
          </w:tcPr>
          <w:p>
            <w:pPr>
              <w:spacing w:after="0"/>
              <w:rPr>
                <w:sz w:val="17"/>
                <w:szCs w:val="17"/>
                <w:color w:val="auto"/>
              </w:rPr>
            </w:pPr>
          </w:p>
        </w:tc>
      </w:tr>
      <w:tr>
        <w:trPr>
          <w:trHeight w:val="230"/>
        </w:trPr>
        <w:tc>
          <w:tcPr>
            <w:tcW w:w="3760" w:type="dxa"/>
            <w:vAlign w:val="bottom"/>
          </w:tcPr>
          <w:p>
            <w:pPr>
              <w:spacing w:after="0"/>
              <w:rPr>
                <w:sz w:val="20"/>
                <w:szCs w:val="20"/>
                <w:color w:val="auto"/>
              </w:rPr>
            </w:pPr>
          </w:p>
        </w:tc>
        <w:tc>
          <w:tcPr>
            <w:tcW w:w="2560" w:type="dxa"/>
            <w:vAlign w:val="bottom"/>
          </w:tcPr>
          <w:p>
            <w:pPr>
              <w:ind w:left="18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Member, Board of Managers</w:t>
            </w:r>
          </w:p>
        </w:tc>
        <w:tc>
          <w:tcPr>
            <w:tcW w:w="1000" w:type="dxa"/>
            <w:vAlign w:val="bottom"/>
          </w:tcPr>
          <w:p>
            <w:pPr>
              <w:spacing w:after="0"/>
              <w:rPr>
                <w:sz w:val="20"/>
                <w:szCs w:val="20"/>
                <w:color w:val="auto"/>
              </w:rPr>
            </w:pPr>
          </w:p>
        </w:tc>
      </w:tr>
      <w:tr>
        <w:trPr>
          <w:trHeight w:val="453"/>
        </w:trPr>
        <w:tc>
          <w:tcPr>
            <w:tcW w:w="3760" w:type="dxa"/>
            <w:vAlign w:val="bottom"/>
          </w:tcPr>
          <w:p>
            <w:pPr>
              <w:spacing w:after="0"/>
              <w:rPr>
                <w:sz w:val="24"/>
                <w:szCs w:val="24"/>
                <w:color w:val="auto"/>
              </w:rPr>
            </w:pPr>
          </w:p>
        </w:tc>
        <w:tc>
          <w:tcPr>
            <w:tcW w:w="2560" w:type="dxa"/>
            <w:vAlign w:val="bottom"/>
          </w:tcPr>
          <w:p>
            <w:pPr>
              <w:ind w:left="18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 A. Nardone</w:t>
            </w:r>
          </w:p>
        </w:tc>
        <w:tc>
          <w:tcPr>
            <w:tcW w:w="1000" w:type="dxa"/>
            <w:vAlign w:val="bottom"/>
          </w:tcPr>
          <w:p>
            <w:pPr>
              <w:spacing w:after="0"/>
              <w:rPr>
                <w:sz w:val="24"/>
                <w:szCs w:val="24"/>
                <w:color w:val="auto"/>
              </w:rPr>
            </w:pPr>
          </w:p>
        </w:tc>
      </w:tr>
      <w:tr>
        <w:trPr>
          <w:trHeight w:val="202"/>
        </w:trPr>
        <w:tc>
          <w:tcPr>
            <w:tcW w:w="3760" w:type="dxa"/>
            <w:vAlign w:val="bottom"/>
          </w:tcPr>
          <w:p>
            <w:pPr>
              <w:spacing w:after="0"/>
              <w:rPr>
                <w:sz w:val="17"/>
                <w:szCs w:val="17"/>
                <w:color w:val="auto"/>
              </w:rPr>
            </w:pPr>
          </w:p>
        </w:tc>
        <w:tc>
          <w:tcPr>
            <w:tcW w:w="2560" w:type="dxa"/>
            <w:vAlign w:val="bottom"/>
          </w:tcPr>
          <w:p>
            <w:pPr>
              <w:ind w:left="18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Randal A. Nardone</w:t>
            </w:r>
          </w:p>
        </w:tc>
        <w:tc>
          <w:tcPr>
            <w:tcW w:w="1000" w:type="dxa"/>
            <w:vAlign w:val="bottom"/>
          </w:tcPr>
          <w:p>
            <w:pPr>
              <w:spacing w:after="0"/>
              <w:rPr>
                <w:sz w:val="17"/>
                <w:szCs w:val="17"/>
                <w:color w:val="auto"/>
              </w:rPr>
            </w:pPr>
          </w:p>
        </w:tc>
      </w:tr>
      <w:tr>
        <w:trPr>
          <w:trHeight w:val="230"/>
        </w:trPr>
        <w:tc>
          <w:tcPr>
            <w:tcW w:w="3760" w:type="dxa"/>
            <w:vAlign w:val="bottom"/>
          </w:tcPr>
          <w:p>
            <w:pPr>
              <w:spacing w:after="0"/>
              <w:rPr>
                <w:sz w:val="20"/>
                <w:szCs w:val="20"/>
                <w:color w:val="auto"/>
              </w:rPr>
            </w:pPr>
          </w:p>
        </w:tc>
        <w:tc>
          <w:tcPr>
            <w:tcW w:w="2560" w:type="dxa"/>
            <w:vAlign w:val="bottom"/>
          </w:tcPr>
          <w:p>
            <w:pPr>
              <w:ind w:left="18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Member, Board of Managers</w:t>
            </w:r>
          </w:p>
        </w:tc>
        <w:tc>
          <w:tcPr>
            <w:tcW w:w="1000" w:type="dxa"/>
            <w:vAlign w:val="bottom"/>
          </w:tcPr>
          <w:p>
            <w:pPr>
              <w:spacing w:after="0"/>
              <w:rPr>
                <w:sz w:val="20"/>
                <w:szCs w:val="20"/>
                <w:color w:val="auto"/>
              </w:rPr>
            </w:pPr>
          </w:p>
        </w:tc>
      </w:tr>
      <w:tr>
        <w:trPr>
          <w:trHeight w:val="406"/>
        </w:trPr>
        <w:tc>
          <w:tcPr>
            <w:tcW w:w="3760" w:type="dxa"/>
            <w:vAlign w:val="bottom"/>
          </w:tcPr>
          <w:p>
            <w:pPr>
              <w:spacing w:after="0"/>
              <w:rPr>
                <w:sz w:val="24"/>
                <w:szCs w:val="24"/>
                <w:color w:val="auto"/>
              </w:rPr>
            </w:pPr>
          </w:p>
        </w:tc>
        <w:tc>
          <w:tcPr>
            <w:tcW w:w="2560" w:type="dxa"/>
            <w:vAlign w:val="bottom"/>
          </w:tcPr>
          <w:p>
            <w:pPr>
              <w:ind w:left="1820"/>
              <w:spacing w:after="0"/>
              <w:rPr>
                <w:sz w:val="20"/>
                <w:szCs w:val="20"/>
                <w:color w:val="auto"/>
              </w:rPr>
            </w:pPr>
            <w:r>
              <w:rPr>
                <w:rFonts w:ascii="Arial" w:cs="Arial" w:eastAsia="Arial" w:hAnsi="Arial"/>
                <w:sz w:val="14"/>
                <w:szCs w:val="14"/>
                <w:color w:val="auto"/>
              </w:rPr>
              <w:t>6</w:t>
            </w:r>
          </w:p>
        </w:tc>
        <w:tc>
          <w:tcPr>
            <w:tcW w:w="3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0"/>
        </w:trPr>
        <w:tc>
          <w:tcPr>
            <w:tcW w:w="376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B</w:t>
      </w:r>
    </w:p>
    <w:p>
      <w:pPr>
        <w:spacing w:after="0" w:line="23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JOINT FILING AGREEMENT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PURSUANT TO RULE 13d-1(k)</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accordance with Rule 13d-1(k), the undersigned acknowledge and agree that only one statement on Schedule 13D, constituting</w:t>
      </w:r>
    </w:p>
    <w:p>
      <w:pPr>
        <w:spacing w:after="0" w:line="43" w:lineRule="exact"/>
        <w:rPr>
          <w:sz w:val="20"/>
          <w:szCs w:val="20"/>
          <w:color w:val="auto"/>
        </w:rPr>
      </w:pPr>
    </w:p>
    <w:p>
      <w:pPr>
        <w:ind w:right="100" w:firstLine="8"/>
        <w:spacing w:after="0" w:line="271" w:lineRule="auto"/>
        <w:tabs>
          <w:tab w:leader="none" w:pos="25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initial Schedule 13D filed by FEP HoldCo LLC with the Securities and Exchange Commission (the “SEC”) in respect of the Class A common shares (“Class A Shares”) representing limited liability company interests of New Fortress Energy LLC (“NFE”), a Delaware limited liability company, and (ii) Amendment No. 2 to the Schedule 13D filed by Wesley R. Edens with the SEC on February 4, 2019, as previously amended by Amendment No. 1 filed with the SEC on March 28, 2019, and any further amendments thereto, need be filed with respect to each of the undersigned’s beneficial ownership of Class A Shares,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June 10,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Wesley R. Edens</w:t>
            </w:r>
          </w:p>
        </w:tc>
      </w:tr>
      <w:tr>
        <w:trPr>
          <w:trHeight w:val="445"/>
        </w:trPr>
        <w:tc>
          <w:tcPr>
            <w:tcW w:w="3580" w:type="dxa"/>
            <w:vAlign w:val="bottom"/>
          </w:tcPr>
          <w:p>
            <w:pPr>
              <w:spacing w:after="0"/>
              <w:rPr>
                <w:sz w:val="20"/>
                <w:szCs w:val="20"/>
                <w:color w:val="auto"/>
              </w:rPr>
            </w:pPr>
            <w:r>
              <w:rPr>
                <w:rFonts w:ascii="Arial" w:cs="Arial" w:eastAsia="Arial" w:hAnsi="Arial"/>
                <w:sz w:val="18"/>
                <w:szCs w:val="18"/>
                <w:color w:val="auto"/>
              </w:rPr>
              <w:t>Dated: June 10, 2020</w:t>
            </w: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FEP HoldCo LLC</w:t>
            </w:r>
          </w:p>
        </w:tc>
      </w:tr>
      <w:tr>
        <w:trPr>
          <w:trHeight w:val="439"/>
        </w:trPr>
        <w:tc>
          <w:tcPr>
            <w:tcW w:w="358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02"/>
        </w:trPr>
        <w:tc>
          <w:tcPr>
            <w:tcW w:w="3580" w:type="dxa"/>
            <w:vAlign w:val="bottom"/>
          </w:tcPr>
          <w:p>
            <w:pPr>
              <w:spacing w:after="0"/>
              <w:rPr>
                <w:sz w:val="17"/>
                <w:szCs w:val="17"/>
                <w:color w:val="auto"/>
              </w:rPr>
            </w:pPr>
          </w:p>
        </w:tc>
        <w:tc>
          <w:tcPr>
            <w:tcW w:w="262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Wesley R. Edens</w:t>
            </w:r>
          </w:p>
        </w:tc>
      </w:tr>
      <w:tr>
        <w:trPr>
          <w:trHeight w:val="230"/>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Member, Board of Managers</w:t>
            </w:r>
          </w:p>
        </w:tc>
      </w:tr>
      <w:tr>
        <w:trPr>
          <w:trHeight w:val="439"/>
        </w:trPr>
        <w:tc>
          <w:tcPr>
            <w:tcW w:w="358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 A. Nardone</w:t>
            </w:r>
          </w:p>
        </w:tc>
      </w:tr>
      <w:tr>
        <w:trPr>
          <w:trHeight w:val="202"/>
        </w:trPr>
        <w:tc>
          <w:tcPr>
            <w:tcW w:w="3580" w:type="dxa"/>
            <w:vAlign w:val="bottom"/>
          </w:tcPr>
          <w:p>
            <w:pPr>
              <w:spacing w:after="0"/>
              <w:rPr>
                <w:sz w:val="17"/>
                <w:szCs w:val="17"/>
                <w:color w:val="auto"/>
              </w:rPr>
            </w:pPr>
          </w:p>
        </w:tc>
        <w:tc>
          <w:tcPr>
            <w:tcW w:w="262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Randal A. Nardone</w:t>
            </w:r>
          </w:p>
        </w:tc>
      </w:tr>
      <w:tr>
        <w:trPr>
          <w:trHeight w:val="230"/>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Member, Board of Managers</w:t>
            </w:r>
          </w:p>
        </w:tc>
      </w:tr>
      <w:tr>
        <w:trPr>
          <w:trHeight w:val="601"/>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2020-06-11T15:30:14Z</dcterms:created>
  <dcterms:modified xsi:type="dcterms:W3CDTF">2020-06-11T15:30:14Z</dcterms:modified>
</cp:coreProperties>
</file>