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330200</wp:posOffset>
            </wp:positionH>
            <wp:positionV relativeFrom="page">
              <wp:posOffset>220980</wp:posOffset>
            </wp:positionV>
            <wp:extent cx="70866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340360</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jc w:val="center"/>
        <w:ind w:right="-39"/>
        <w:spacing w:after="0" w:line="219"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4"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086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NEW FORTRESS ENERGY LLC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no par value</w:t>
      </w: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644393100</w:t>
      </w: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3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31, 2019</w:t>
      </w: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08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8" w:lineRule="exact"/>
        <w:rPr>
          <w:sz w:val="24"/>
          <w:szCs w:val="24"/>
          <w:color w:val="auto"/>
        </w:rPr>
      </w:pPr>
    </w:p>
    <w:p>
      <w:pPr>
        <w:ind w:left="5200" w:hanging="212"/>
        <w:spacing w:after="0"/>
        <w:tabs>
          <w:tab w:leader="none" w:pos="52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08" w:lineRule="exact"/>
        <w:rPr>
          <w:rFonts w:ascii="MS PGothic" w:cs="MS PGothic" w:eastAsia="MS PGothic" w:hAnsi="MS PGothic"/>
          <w:sz w:val="18"/>
          <w:szCs w:val="18"/>
          <w:color w:val="auto"/>
        </w:rPr>
      </w:pPr>
    </w:p>
    <w:p>
      <w:pPr>
        <w:ind w:left="5200" w:hanging="207"/>
        <w:spacing w:after="0"/>
        <w:tabs>
          <w:tab w:leader="none" w:pos="520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08" w:lineRule="exact"/>
        <w:rPr>
          <w:rFonts w:ascii="MS PGothic" w:cs="MS PGothic" w:eastAsia="MS PGothic" w:hAnsi="MS PGothic"/>
          <w:sz w:val="18"/>
          <w:szCs w:val="18"/>
          <w:color w:val="auto"/>
        </w:rPr>
      </w:pPr>
    </w:p>
    <w:p>
      <w:pPr>
        <w:ind w:left="5200" w:hanging="212"/>
        <w:spacing w:after="0"/>
        <w:tabs>
          <w:tab w:leader="none" w:pos="52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5" w:lineRule="exact"/>
        <w:rPr>
          <w:rFonts w:ascii="MS PGothic" w:cs="MS PGothic" w:eastAsia="MS PGothic" w:hAnsi="MS PGothic"/>
          <w:sz w:val="18"/>
          <w:szCs w:val="18"/>
          <w:color w:val="auto"/>
        </w:rPr>
      </w:pPr>
    </w:p>
    <w:p>
      <w:pPr>
        <w:ind w:left="460" w:right="260" w:hanging="456"/>
        <w:spacing w:after="0" w:line="285"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416560</wp:posOffset>
            </wp:positionV>
            <wp:extent cx="70866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586740</wp:posOffset>
            </wp:positionV>
            <wp:extent cx="70866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1274" w:right="560" w:bottom="1440" w:gutter="0" w:footer="0" w:header="0"/>
        </w:sectPr>
      </w:pPr>
    </w:p>
    <w:bookmarkStart w:id="1" w:name="page2"/>
    <w:bookmarkEnd w:id="1"/>
    <w:p>
      <w:pPr>
        <w:spacing w:after="0"/>
        <w:tabs>
          <w:tab w:leader="none" w:pos="986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086600" cy="4653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4653915"/>
                    </a:xfrm>
                    <a:prstGeom prst="rect">
                      <a:avLst/>
                    </a:prstGeom>
                    <a:noFill/>
                  </pic:spPr>
                </pic:pic>
              </a:graphicData>
            </a:graphic>
          </wp:anchor>
        </w:drawing>
      </w:r>
    </w:p>
    <w:p>
      <w:pPr>
        <w:spacing w:after="0" w:line="367" w:lineRule="exact"/>
        <w:rPr>
          <w:sz w:val="20"/>
          <w:szCs w:val="20"/>
          <w:color w:val="auto"/>
        </w:rPr>
      </w:pPr>
    </w:p>
    <w:p>
      <w:pPr>
        <w:ind w:left="720" w:right="8300" w:hanging="617"/>
        <w:spacing w:after="0" w:line="416" w:lineRule="auto"/>
        <w:tabs>
          <w:tab w:leader="none" w:pos="7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Duquesne Family Office LLC</w:t>
      </w:r>
    </w:p>
    <w:p>
      <w:pPr>
        <w:spacing w:after="0" w:line="5" w:lineRule="exact"/>
        <w:rPr>
          <w:rFonts w:ascii="Arial" w:cs="Arial" w:eastAsia="Arial" w:hAnsi="Arial"/>
          <w:sz w:val="16"/>
          <w:szCs w:val="16"/>
          <w:b w:val="1"/>
          <w:bCs w:val="1"/>
          <w:color w:val="auto"/>
        </w:rPr>
      </w:pPr>
    </w:p>
    <w:p>
      <w:pPr>
        <w:ind w:left="720" w:hanging="617"/>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 w:lineRule="exact"/>
        <w:rPr>
          <w:rFonts w:ascii="Arial" w:cs="Arial" w:eastAsia="Arial" w:hAnsi="Arial"/>
          <w:sz w:val="18"/>
          <w:szCs w:val="18"/>
          <w:b w:val="1"/>
          <w:bCs w:val="1"/>
          <w:color w:val="auto"/>
        </w:rPr>
      </w:pPr>
    </w:p>
    <w:p>
      <w:pPr>
        <w:ind w:left="940" w:hanging="216"/>
        <w:spacing w:after="0" w:line="201" w:lineRule="exact"/>
        <w:tabs>
          <w:tab w:leader="none" w:pos="9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940" w:hanging="216"/>
        <w:spacing w:after="0" w:line="207" w:lineRule="exact"/>
        <w:tabs>
          <w:tab w:leader="none" w:pos="9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720" w:hanging="617"/>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19" w:lineRule="exact"/>
        <w:rPr>
          <w:rFonts w:ascii="Arial" w:cs="Arial" w:eastAsia="Arial" w:hAnsi="Arial"/>
          <w:sz w:val="18"/>
          <w:szCs w:val="18"/>
          <w:b w:val="1"/>
          <w:bCs w:val="1"/>
          <w:color w:val="auto"/>
        </w:rPr>
      </w:pPr>
    </w:p>
    <w:p>
      <w:pPr>
        <w:ind w:left="720" w:right="7840" w:hanging="617"/>
        <w:spacing w:after="0" w:line="370" w:lineRule="auto"/>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4" w:lineRule="exact"/>
        <w:rPr>
          <w:rFonts w:ascii="Arial" w:cs="Arial" w:eastAsia="Arial" w:hAnsi="Arial"/>
          <w:sz w:val="18"/>
          <w:szCs w:val="18"/>
          <w:b w:val="1"/>
          <w:bCs w:val="1"/>
          <w:color w:val="auto"/>
        </w:rPr>
      </w:pPr>
    </w:p>
    <w:p>
      <w:pPr>
        <w:ind w:left="2500" w:hanging="879"/>
        <w:spacing w:after="0"/>
        <w:tabs>
          <w:tab w:leader="none" w:pos="2500" w:val="left"/>
        </w:tabs>
        <w:numPr>
          <w:ilvl w:val="2"/>
          <w:numId w:val="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1160" w:type="dxa"/>
            <w:vAlign w:val="bottom"/>
          </w:tcPr>
          <w:p>
            <w:pPr>
              <w:jc w:val="center"/>
              <w:ind w:right="211"/>
              <w:spacing w:after="0"/>
              <w:rPr>
                <w:sz w:val="20"/>
                <w:szCs w:val="20"/>
                <w:color w:val="auto"/>
              </w:rPr>
            </w:pPr>
            <w:r>
              <w:rPr>
                <w:rFonts w:ascii="Arial" w:cs="Arial" w:eastAsia="Arial" w:hAnsi="Arial"/>
                <w:sz w:val="18"/>
                <w:szCs w:val="18"/>
                <w:color w:val="auto"/>
                <w:w w:val="92"/>
              </w:rPr>
              <w:t>Number of</w:t>
            </w:r>
          </w:p>
        </w:tc>
        <w:tc>
          <w:tcPr>
            <w:tcW w:w="6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1160" w:type="dxa"/>
            <w:vAlign w:val="bottom"/>
          </w:tcPr>
          <w:p>
            <w:pPr>
              <w:jc w:val="center"/>
              <w:ind w:right="191"/>
              <w:spacing w:after="0" w:line="200" w:lineRule="exact"/>
              <w:rPr>
                <w:sz w:val="20"/>
                <w:szCs w:val="20"/>
                <w:color w:val="auto"/>
              </w:rPr>
            </w:pPr>
            <w:r>
              <w:rPr>
                <w:rFonts w:ascii="Arial" w:cs="Arial" w:eastAsia="Arial" w:hAnsi="Arial"/>
                <w:sz w:val="18"/>
                <w:szCs w:val="18"/>
                <w:color w:val="auto"/>
                <w:w w:val="84"/>
              </w:rPr>
              <w:t>Shares</w:t>
            </w:r>
          </w:p>
        </w:tc>
        <w:tc>
          <w:tcPr>
            <w:tcW w:w="660" w:type="dxa"/>
            <w:vAlign w:val="bottom"/>
          </w:tcPr>
          <w:p>
            <w:pPr>
              <w:jc w:val="right"/>
              <w:ind w:right="271"/>
              <w:spacing w:after="0" w:line="200"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380"/>
              <w:spacing w:after="0" w:line="200"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1160" w:type="dxa"/>
            <w:vAlign w:val="bottom"/>
          </w:tcPr>
          <w:p>
            <w:pPr>
              <w:jc w:val="center"/>
              <w:ind w:right="191"/>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22"/>
        </w:trPr>
        <w:tc>
          <w:tcPr>
            <w:tcW w:w="1160" w:type="dxa"/>
            <w:vAlign w:val="bottom"/>
          </w:tcPr>
          <w:p>
            <w:pPr>
              <w:jc w:val="center"/>
              <w:ind w:right="191"/>
              <w:spacing w:after="0"/>
              <w:rPr>
                <w:sz w:val="20"/>
                <w:szCs w:val="20"/>
                <w:color w:val="auto"/>
              </w:rPr>
            </w:pPr>
            <w:r>
              <w:rPr>
                <w:rFonts w:ascii="Arial" w:cs="Arial" w:eastAsia="Arial" w:hAnsi="Arial"/>
                <w:sz w:val="18"/>
                <w:szCs w:val="18"/>
                <w:color w:val="auto"/>
                <w:w w:val="91"/>
              </w:rPr>
              <w:t>Owned By</w:t>
            </w:r>
          </w:p>
        </w:tc>
        <w:tc>
          <w:tcPr>
            <w:tcW w:w="66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160" w:type="dxa"/>
            <w:vAlign w:val="bottom"/>
          </w:tcPr>
          <w:p>
            <w:pPr>
              <w:jc w:val="center"/>
              <w:ind w:right="191"/>
              <w:spacing w:after="0" w:line="161" w:lineRule="exact"/>
              <w:rPr>
                <w:sz w:val="20"/>
                <w:szCs w:val="20"/>
                <w:color w:val="auto"/>
              </w:rPr>
            </w:pPr>
            <w:r>
              <w:rPr>
                <w:rFonts w:ascii="Arial" w:cs="Arial" w:eastAsia="Arial" w:hAnsi="Arial"/>
                <w:sz w:val="18"/>
                <w:szCs w:val="18"/>
                <w:color w:val="auto"/>
                <w:w w:val="87"/>
              </w:rPr>
              <w:t>Each</w:t>
            </w:r>
          </w:p>
        </w:tc>
        <w:tc>
          <w:tcPr>
            <w:tcW w:w="660" w:type="dxa"/>
            <w:vAlign w:val="bottom"/>
          </w:tcPr>
          <w:p>
            <w:pPr>
              <w:jc w:val="right"/>
              <w:ind w:right="271"/>
              <w:spacing w:after="0" w:line="161"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380"/>
              <w:spacing w:after="0" w:line="16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160" w:type="dxa"/>
            <w:vAlign w:val="bottom"/>
          </w:tcPr>
          <w:p>
            <w:pPr>
              <w:jc w:val="center"/>
              <w:ind w:right="191"/>
              <w:spacing w:after="0" w:line="200" w:lineRule="exact"/>
              <w:rPr>
                <w:sz w:val="20"/>
                <w:szCs w:val="20"/>
                <w:color w:val="auto"/>
              </w:rPr>
            </w:pPr>
            <w:r>
              <w:rPr>
                <w:rFonts w:ascii="Arial" w:cs="Arial" w:eastAsia="Arial" w:hAnsi="Arial"/>
                <w:sz w:val="18"/>
                <w:szCs w:val="18"/>
                <w:color w:val="auto"/>
                <w:w w:val="92"/>
              </w:rPr>
              <w:t>Reporting</w:t>
            </w:r>
          </w:p>
        </w:tc>
        <w:tc>
          <w:tcPr>
            <w:tcW w:w="66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7"/>
                <w:szCs w:val="17"/>
                <w:color w:val="auto"/>
              </w:rPr>
            </w:pPr>
          </w:p>
        </w:tc>
        <w:tc>
          <w:tcPr>
            <w:tcW w:w="9040" w:type="dxa"/>
            <w:vAlign w:val="bottom"/>
          </w:tcPr>
          <w:p>
            <w:pPr>
              <w:ind w:left="38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0"/>
        </w:trPr>
        <w:tc>
          <w:tcPr>
            <w:tcW w:w="1160" w:type="dxa"/>
            <w:vAlign w:val="bottom"/>
            <w:vMerge w:val="restart"/>
          </w:tcPr>
          <w:p>
            <w:pPr>
              <w:jc w:val="center"/>
              <w:ind w:right="191"/>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60" w:type="dxa"/>
            <w:vAlign w:val="bottom"/>
            <w:vMerge w:val="continue"/>
          </w:tcPr>
          <w:p>
            <w:pPr>
              <w:spacing w:after="0"/>
              <w:rPr>
                <w:sz w:val="12"/>
                <w:szCs w:val="12"/>
                <w:color w:val="auto"/>
              </w:rPr>
            </w:pPr>
          </w:p>
        </w:tc>
        <w:tc>
          <w:tcPr>
            <w:tcW w:w="6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8.</w:t>
            </w: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4"/>
        </w:trPr>
        <w:tc>
          <w:tcPr>
            <w:tcW w:w="1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1,200,000</w:t>
      </w:r>
    </w:p>
    <w:p>
      <w:pPr>
        <w:spacing w:after="0" w:line="34" w:lineRule="exact"/>
        <w:rPr>
          <w:sz w:val="20"/>
          <w:szCs w:val="20"/>
          <w:color w:val="auto"/>
        </w:rPr>
      </w:pPr>
    </w:p>
    <w:p>
      <w:pPr>
        <w:ind w:left="720" w:right="5680" w:hanging="617"/>
        <w:spacing w:after="0" w:line="36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1,200,000</w:t>
      </w:r>
    </w:p>
    <w:p>
      <w:pPr>
        <w:spacing w:after="0" w:line="1" w:lineRule="exact"/>
        <w:rPr>
          <w:rFonts w:ascii="Arial" w:cs="Arial" w:eastAsia="Arial" w:hAnsi="Arial"/>
          <w:sz w:val="18"/>
          <w:szCs w:val="18"/>
          <w:b w:val="1"/>
          <w:bCs w:val="1"/>
          <w:color w:val="auto"/>
        </w:rPr>
      </w:pPr>
    </w:p>
    <w:p>
      <w:pPr>
        <w:ind w:left="720" w:hanging="707"/>
        <w:spacing w:after="0" w:line="207" w:lineRule="exact"/>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49" w:lineRule="exact"/>
        <w:rPr>
          <w:rFonts w:ascii="Arial" w:cs="Arial" w:eastAsia="Arial" w:hAnsi="Arial"/>
          <w:sz w:val="18"/>
          <w:szCs w:val="18"/>
          <w:b w:val="1"/>
          <w:bCs w:val="1"/>
          <w:color w:val="auto"/>
        </w:rPr>
      </w:pPr>
    </w:p>
    <w:p>
      <w:pPr>
        <w:ind w:left="720" w:right="6640" w:hanging="707"/>
        <w:spacing w:after="0" w:line="370"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4" w:lineRule="exact"/>
        <w:rPr>
          <w:rFonts w:ascii="Arial" w:cs="Arial" w:eastAsia="Arial" w:hAnsi="Arial"/>
          <w:sz w:val="18"/>
          <w:szCs w:val="18"/>
          <w:b w:val="1"/>
          <w:bCs w:val="1"/>
          <w:color w:val="auto"/>
        </w:rPr>
      </w:pPr>
    </w:p>
    <w:p>
      <w:pPr>
        <w:ind w:left="720" w:hanging="707"/>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94"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626110</wp:posOffset>
            </wp:positionV>
            <wp:extent cx="7086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37" w:right="560" w:bottom="1440" w:gutter="0" w:footer="0" w:header="0"/>
        </w:sectPr>
      </w:pPr>
    </w:p>
    <w:bookmarkStart w:id="2" w:name="page3"/>
    <w:bookmarkEnd w:id="2"/>
    <w:p>
      <w:pPr>
        <w:spacing w:after="0"/>
        <w:tabs>
          <w:tab w:leader="none" w:pos="986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086600" cy="4653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4653915"/>
                    </a:xfrm>
                    <a:prstGeom prst="rect">
                      <a:avLst/>
                    </a:prstGeom>
                    <a:noFill/>
                  </pic:spPr>
                </pic:pic>
              </a:graphicData>
            </a:graphic>
          </wp:anchor>
        </w:drawing>
      </w:r>
    </w:p>
    <w:p>
      <w:pPr>
        <w:spacing w:after="0" w:line="367" w:lineRule="exact"/>
        <w:rPr>
          <w:sz w:val="20"/>
          <w:szCs w:val="20"/>
          <w:color w:val="auto"/>
        </w:rPr>
      </w:pPr>
    </w:p>
    <w:p>
      <w:pPr>
        <w:ind w:left="720" w:right="8380" w:hanging="617"/>
        <w:spacing w:after="0" w:line="416" w:lineRule="auto"/>
        <w:tabs>
          <w:tab w:leader="none" w:pos="7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Names of Reporting Persons Stanley Druckenmiller</w:t>
      </w:r>
    </w:p>
    <w:p>
      <w:pPr>
        <w:spacing w:after="0" w:line="5" w:lineRule="exact"/>
        <w:rPr>
          <w:rFonts w:ascii="Arial" w:cs="Arial" w:eastAsia="Arial" w:hAnsi="Arial"/>
          <w:sz w:val="16"/>
          <w:szCs w:val="16"/>
          <w:b w:val="1"/>
          <w:bCs w:val="1"/>
          <w:color w:val="auto"/>
        </w:rPr>
      </w:pPr>
    </w:p>
    <w:p>
      <w:pPr>
        <w:ind w:left="720" w:hanging="617"/>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 w:lineRule="exact"/>
        <w:rPr>
          <w:rFonts w:ascii="Arial" w:cs="Arial" w:eastAsia="Arial" w:hAnsi="Arial"/>
          <w:sz w:val="18"/>
          <w:szCs w:val="18"/>
          <w:b w:val="1"/>
          <w:bCs w:val="1"/>
          <w:color w:val="auto"/>
        </w:rPr>
      </w:pPr>
    </w:p>
    <w:p>
      <w:pPr>
        <w:ind w:left="940" w:hanging="216"/>
        <w:spacing w:after="0" w:line="201" w:lineRule="exact"/>
        <w:tabs>
          <w:tab w:leader="none" w:pos="9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ind w:left="940" w:hanging="216"/>
        <w:spacing w:after="0" w:line="207" w:lineRule="exact"/>
        <w:tabs>
          <w:tab w:leader="none" w:pos="9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720" w:hanging="617"/>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19" w:lineRule="exact"/>
        <w:rPr>
          <w:rFonts w:ascii="Arial" w:cs="Arial" w:eastAsia="Arial" w:hAnsi="Arial"/>
          <w:sz w:val="18"/>
          <w:szCs w:val="18"/>
          <w:b w:val="1"/>
          <w:bCs w:val="1"/>
          <w:color w:val="auto"/>
        </w:rPr>
      </w:pPr>
    </w:p>
    <w:p>
      <w:pPr>
        <w:ind w:left="720" w:right="7840" w:hanging="617"/>
        <w:spacing w:after="0" w:line="370" w:lineRule="auto"/>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4" w:lineRule="exact"/>
        <w:rPr>
          <w:rFonts w:ascii="Arial" w:cs="Arial" w:eastAsia="Arial" w:hAnsi="Arial"/>
          <w:sz w:val="18"/>
          <w:szCs w:val="18"/>
          <w:b w:val="1"/>
          <w:bCs w:val="1"/>
          <w:color w:val="auto"/>
        </w:rPr>
      </w:pPr>
    </w:p>
    <w:p>
      <w:pPr>
        <w:ind w:left="2500" w:hanging="879"/>
        <w:spacing w:after="0"/>
        <w:tabs>
          <w:tab w:leader="none" w:pos="2500" w:val="left"/>
        </w:tabs>
        <w:numPr>
          <w:ilvl w:val="2"/>
          <w:numId w:val="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1160" w:type="dxa"/>
            <w:vAlign w:val="bottom"/>
          </w:tcPr>
          <w:p>
            <w:pPr>
              <w:jc w:val="center"/>
              <w:ind w:right="211"/>
              <w:spacing w:after="0"/>
              <w:rPr>
                <w:sz w:val="20"/>
                <w:szCs w:val="20"/>
                <w:color w:val="auto"/>
              </w:rPr>
            </w:pPr>
            <w:r>
              <w:rPr>
                <w:rFonts w:ascii="Arial" w:cs="Arial" w:eastAsia="Arial" w:hAnsi="Arial"/>
                <w:sz w:val="18"/>
                <w:szCs w:val="18"/>
                <w:color w:val="auto"/>
                <w:w w:val="92"/>
              </w:rPr>
              <w:t>Number of</w:t>
            </w:r>
          </w:p>
        </w:tc>
        <w:tc>
          <w:tcPr>
            <w:tcW w:w="6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1160" w:type="dxa"/>
            <w:vAlign w:val="bottom"/>
          </w:tcPr>
          <w:p>
            <w:pPr>
              <w:jc w:val="center"/>
              <w:ind w:right="191"/>
              <w:spacing w:after="0" w:line="200" w:lineRule="exact"/>
              <w:rPr>
                <w:sz w:val="20"/>
                <w:szCs w:val="20"/>
                <w:color w:val="auto"/>
              </w:rPr>
            </w:pPr>
            <w:r>
              <w:rPr>
                <w:rFonts w:ascii="Arial" w:cs="Arial" w:eastAsia="Arial" w:hAnsi="Arial"/>
                <w:sz w:val="18"/>
                <w:szCs w:val="18"/>
                <w:color w:val="auto"/>
                <w:w w:val="84"/>
              </w:rPr>
              <w:t>Shares</w:t>
            </w:r>
          </w:p>
        </w:tc>
        <w:tc>
          <w:tcPr>
            <w:tcW w:w="660" w:type="dxa"/>
            <w:vAlign w:val="bottom"/>
          </w:tcPr>
          <w:p>
            <w:pPr>
              <w:jc w:val="right"/>
              <w:ind w:right="271"/>
              <w:spacing w:after="0" w:line="200"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380"/>
              <w:spacing w:after="0" w:line="200"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1160" w:type="dxa"/>
            <w:vAlign w:val="bottom"/>
          </w:tcPr>
          <w:p>
            <w:pPr>
              <w:jc w:val="center"/>
              <w:ind w:right="191"/>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22"/>
        </w:trPr>
        <w:tc>
          <w:tcPr>
            <w:tcW w:w="1160" w:type="dxa"/>
            <w:vAlign w:val="bottom"/>
          </w:tcPr>
          <w:p>
            <w:pPr>
              <w:jc w:val="center"/>
              <w:ind w:right="191"/>
              <w:spacing w:after="0"/>
              <w:rPr>
                <w:sz w:val="20"/>
                <w:szCs w:val="20"/>
                <w:color w:val="auto"/>
              </w:rPr>
            </w:pPr>
            <w:r>
              <w:rPr>
                <w:rFonts w:ascii="Arial" w:cs="Arial" w:eastAsia="Arial" w:hAnsi="Arial"/>
                <w:sz w:val="18"/>
                <w:szCs w:val="18"/>
                <w:color w:val="auto"/>
                <w:w w:val="91"/>
              </w:rPr>
              <w:t>Owned By</w:t>
            </w:r>
          </w:p>
        </w:tc>
        <w:tc>
          <w:tcPr>
            <w:tcW w:w="66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160" w:type="dxa"/>
            <w:vAlign w:val="bottom"/>
          </w:tcPr>
          <w:p>
            <w:pPr>
              <w:jc w:val="center"/>
              <w:ind w:right="191"/>
              <w:spacing w:after="0" w:line="161" w:lineRule="exact"/>
              <w:rPr>
                <w:sz w:val="20"/>
                <w:szCs w:val="20"/>
                <w:color w:val="auto"/>
              </w:rPr>
            </w:pPr>
            <w:r>
              <w:rPr>
                <w:rFonts w:ascii="Arial" w:cs="Arial" w:eastAsia="Arial" w:hAnsi="Arial"/>
                <w:sz w:val="18"/>
                <w:szCs w:val="18"/>
                <w:color w:val="auto"/>
                <w:w w:val="87"/>
              </w:rPr>
              <w:t>Each</w:t>
            </w:r>
          </w:p>
        </w:tc>
        <w:tc>
          <w:tcPr>
            <w:tcW w:w="660" w:type="dxa"/>
            <w:vAlign w:val="bottom"/>
          </w:tcPr>
          <w:p>
            <w:pPr>
              <w:jc w:val="right"/>
              <w:ind w:right="271"/>
              <w:spacing w:after="0" w:line="161"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380"/>
              <w:spacing w:after="0" w:line="16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160" w:type="dxa"/>
            <w:vAlign w:val="bottom"/>
          </w:tcPr>
          <w:p>
            <w:pPr>
              <w:jc w:val="center"/>
              <w:ind w:right="191"/>
              <w:spacing w:after="0" w:line="200" w:lineRule="exact"/>
              <w:rPr>
                <w:sz w:val="20"/>
                <w:szCs w:val="20"/>
                <w:color w:val="auto"/>
              </w:rPr>
            </w:pPr>
            <w:r>
              <w:rPr>
                <w:rFonts w:ascii="Arial" w:cs="Arial" w:eastAsia="Arial" w:hAnsi="Arial"/>
                <w:sz w:val="18"/>
                <w:szCs w:val="18"/>
                <w:color w:val="auto"/>
                <w:w w:val="92"/>
              </w:rPr>
              <w:t>Reporting</w:t>
            </w:r>
          </w:p>
        </w:tc>
        <w:tc>
          <w:tcPr>
            <w:tcW w:w="66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7"/>
                <w:szCs w:val="17"/>
                <w:color w:val="auto"/>
              </w:rPr>
            </w:pPr>
          </w:p>
        </w:tc>
        <w:tc>
          <w:tcPr>
            <w:tcW w:w="9040" w:type="dxa"/>
            <w:vAlign w:val="bottom"/>
          </w:tcPr>
          <w:p>
            <w:pPr>
              <w:ind w:left="38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0"/>
        </w:trPr>
        <w:tc>
          <w:tcPr>
            <w:tcW w:w="1160" w:type="dxa"/>
            <w:vAlign w:val="bottom"/>
            <w:vMerge w:val="restart"/>
          </w:tcPr>
          <w:p>
            <w:pPr>
              <w:jc w:val="center"/>
              <w:ind w:right="191"/>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60" w:type="dxa"/>
            <w:vAlign w:val="bottom"/>
            <w:vMerge w:val="continue"/>
          </w:tcPr>
          <w:p>
            <w:pPr>
              <w:spacing w:after="0"/>
              <w:rPr>
                <w:sz w:val="12"/>
                <w:szCs w:val="12"/>
                <w:color w:val="auto"/>
              </w:rPr>
            </w:pPr>
          </w:p>
        </w:tc>
        <w:tc>
          <w:tcPr>
            <w:tcW w:w="6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8.</w:t>
            </w: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4"/>
        </w:trPr>
        <w:tc>
          <w:tcPr>
            <w:tcW w:w="1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1,200,000</w:t>
      </w:r>
    </w:p>
    <w:p>
      <w:pPr>
        <w:spacing w:after="0" w:line="34" w:lineRule="exact"/>
        <w:rPr>
          <w:sz w:val="20"/>
          <w:szCs w:val="20"/>
          <w:color w:val="auto"/>
        </w:rPr>
      </w:pPr>
    </w:p>
    <w:p>
      <w:pPr>
        <w:ind w:left="720" w:right="5680" w:hanging="617"/>
        <w:spacing w:after="0" w:line="364"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1,200,000</w:t>
      </w:r>
    </w:p>
    <w:p>
      <w:pPr>
        <w:spacing w:after="0" w:line="1" w:lineRule="exact"/>
        <w:rPr>
          <w:rFonts w:ascii="Arial" w:cs="Arial" w:eastAsia="Arial" w:hAnsi="Arial"/>
          <w:sz w:val="18"/>
          <w:szCs w:val="18"/>
          <w:b w:val="1"/>
          <w:bCs w:val="1"/>
          <w:color w:val="auto"/>
        </w:rPr>
      </w:pPr>
    </w:p>
    <w:p>
      <w:pPr>
        <w:ind w:left="720" w:hanging="707"/>
        <w:spacing w:after="0" w:line="207" w:lineRule="exact"/>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49" w:lineRule="exact"/>
        <w:rPr>
          <w:rFonts w:ascii="Arial" w:cs="Arial" w:eastAsia="Arial" w:hAnsi="Arial"/>
          <w:sz w:val="18"/>
          <w:szCs w:val="18"/>
          <w:b w:val="1"/>
          <w:bCs w:val="1"/>
          <w:color w:val="auto"/>
        </w:rPr>
      </w:pPr>
    </w:p>
    <w:p>
      <w:pPr>
        <w:ind w:left="720" w:right="6640" w:hanging="707"/>
        <w:spacing w:after="0" w:line="370"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4" w:lineRule="exact"/>
        <w:rPr>
          <w:rFonts w:ascii="Arial" w:cs="Arial" w:eastAsia="Arial" w:hAnsi="Arial"/>
          <w:sz w:val="18"/>
          <w:szCs w:val="18"/>
          <w:b w:val="1"/>
          <w:bCs w:val="1"/>
          <w:color w:val="auto"/>
        </w:rPr>
      </w:pPr>
    </w:p>
    <w:p>
      <w:pPr>
        <w:ind w:left="720" w:hanging="707"/>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94"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541020</wp:posOffset>
            </wp:positionV>
            <wp:extent cx="70866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22" w:right="56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CUSIP NO. 644393100</w:t>
            </w:r>
          </w:p>
        </w:tc>
        <w:tc>
          <w:tcPr>
            <w:tcW w:w="1520" w:type="dxa"/>
            <w:vAlign w:val="bottom"/>
          </w:tcPr>
          <w:p>
            <w:pPr>
              <w:ind w:left="240"/>
              <w:spacing w:after="0"/>
              <w:rPr>
                <w:sz w:val="20"/>
                <w:szCs w:val="20"/>
                <w:color w:val="auto"/>
              </w:rPr>
            </w:pPr>
            <w:r>
              <w:rPr>
                <w:rFonts w:ascii="Arial" w:cs="Arial" w:eastAsia="Arial" w:hAnsi="Arial"/>
                <w:sz w:val="18"/>
                <w:szCs w:val="18"/>
                <w:b w:val="1"/>
                <w:bCs w:val="1"/>
                <w:color w:val="auto"/>
                <w:w w:val="82"/>
              </w:rPr>
              <w:t>Page 4 of 7 Pages</w:t>
            </w:r>
          </w:p>
        </w:tc>
      </w:tr>
      <w:tr>
        <w:trPr>
          <w:trHeight w:val="37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Name of Issuer:</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New Fortress Energy LLC</w:t>
            </w:r>
          </w:p>
        </w:tc>
        <w:tc>
          <w:tcPr>
            <w:tcW w:w="1520" w:type="dxa"/>
            <w:vAlign w:val="bottom"/>
          </w:tcPr>
          <w:p>
            <w:pPr>
              <w:spacing w:after="0"/>
              <w:rPr>
                <w:sz w:val="24"/>
                <w:szCs w:val="24"/>
                <w:color w:val="auto"/>
              </w:rPr>
            </w:pPr>
          </w:p>
        </w:tc>
      </w:tr>
      <w:tr>
        <w:trPr>
          <w:trHeight w:val="48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Address of the Issuer’s Principal Executive Offices:</w:t>
            </w:r>
          </w:p>
        </w:tc>
        <w:tc>
          <w:tcPr>
            <w:tcW w:w="1520" w:type="dxa"/>
            <w:vAlign w:val="bottom"/>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520" w:type="dxa"/>
            <w:vAlign w:val="bottom"/>
          </w:tcPr>
          <w:p>
            <w:pPr>
              <w:spacing w:after="0"/>
              <w:rPr>
                <w:sz w:val="24"/>
                <w:szCs w:val="24"/>
                <w:color w:val="auto"/>
              </w:rPr>
            </w:pPr>
          </w:p>
        </w:tc>
      </w:tr>
      <w:tr>
        <w:trPr>
          <w:trHeight w:val="227"/>
        </w:trPr>
        <w:tc>
          <w:tcPr>
            <w:tcW w:w="9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New York, NY 10011</w:t>
            </w:r>
          </w:p>
        </w:tc>
        <w:tc>
          <w:tcPr>
            <w:tcW w:w="1520" w:type="dxa"/>
            <w:vAlign w:val="bottom"/>
          </w:tcPr>
          <w:p>
            <w:pPr>
              <w:spacing w:after="0"/>
              <w:rPr>
                <w:sz w:val="19"/>
                <w:szCs w:val="19"/>
                <w:color w:val="auto"/>
              </w:rPr>
            </w:pP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Name of Person Filing</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This statement is filed by (i) Duquesne Family Office LLC and (ii) Stanley Druckenmiller.</w:t>
            </w:r>
          </w:p>
        </w:tc>
        <w:tc>
          <w:tcPr>
            <w:tcW w:w="1520" w:type="dxa"/>
            <w:vAlign w:val="bottom"/>
          </w:tcPr>
          <w:p>
            <w:pPr>
              <w:spacing w:after="0"/>
              <w:rPr>
                <w:sz w:val="24"/>
                <w:szCs w:val="24"/>
                <w:color w:val="auto"/>
              </w:rPr>
            </w:pPr>
          </w:p>
        </w:tc>
      </w:tr>
      <w:tr>
        <w:trPr>
          <w:trHeight w:val="336"/>
        </w:trPr>
        <w:tc>
          <w:tcPr>
            <w:tcW w:w="920" w:type="dxa"/>
            <w:vAlign w:val="bottom"/>
          </w:tcPr>
          <w:p>
            <w:pPr>
              <w:spacing w:after="0"/>
              <w:rPr>
                <w:sz w:val="24"/>
                <w:szCs w:val="24"/>
                <w:color w:val="auto"/>
              </w:rPr>
            </w:pP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w w:val="95"/>
              </w:rPr>
              <w:t>Duquesne Family Office LLC and Stanley Druckenmiller have entered into a Joint Filing Agreement, a copy of which is filed with this</w:t>
            </w:r>
          </w:p>
        </w:tc>
      </w:tr>
      <w:tr>
        <w:trPr>
          <w:trHeight w:val="188"/>
        </w:trPr>
        <w:tc>
          <w:tcPr>
            <w:tcW w:w="920" w:type="dxa"/>
            <w:vAlign w:val="bottom"/>
          </w:tcPr>
          <w:p>
            <w:pPr>
              <w:spacing w:after="0"/>
              <w:rPr>
                <w:sz w:val="16"/>
                <w:szCs w:val="16"/>
                <w:color w:val="auto"/>
              </w:rPr>
            </w:pPr>
          </w:p>
        </w:tc>
        <w:tc>
          <w:tcPr>
            <w:tcW w:w="10240" w:type="dxa"/>
            <w:vAlign w:val="bottom"/>
            <w:gridSpan w:val="2"/>
          </w:tcPr>
          <w:p>
            <w:pPr>
              <w:ind w:left="160"/>
              <w:spacing w:after="0" w:line="188" w:lineRule="exact"/>
              <w:rPr>
                <w:sz w:val="20"/>
                <w:szCs w:val="20"/>
                <w:color w:val="auto"/>
              </w:rPr>
            </w:pPr>
            <w:r>
              <w:rPr>
                <w:rFonts w:ascii="Arial" w:cs="Arial" w:eastAsia="Arial" w:hAnsi="Arial"/>
                <w:sz w:val="18"/>
                <w:szCs w:val="18"/>
                <w:color w:val="auto"/>
                <w:w w:val="90"/>
              </w:rPr>
              <w:t>Schedule 13G as Exhibit 99.1, pursuant to which they have agreed to file this Schedule 13G jointly in accordance with the provisions of Rule</w:t>
            </w:r>
          </w:p>
        </w:tc>
      </w:tr>
      <w:tr>
        <w:trPr>
          <w:trHeight w:val="227"/>
        </w:trPr>
        <w:tc>
          <w:tcPr>
            <w:tcW w:w="9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13d-1(k) of the Act.</w:t>
            </w:r>
          </w:p>
        </w:tc>
        <w:tc>
          <w:tcPr>
            <w:tcW w:w="1520" w:type="dxa"/>
            <w:vAlign w:val="bottom"/>
          </w:tcPr>
          <w:p>
            <w:pPr>
              <w:spacing w:after="0"/>
              <w:rPr>
                <w:sz w:val="19"/>
                <w:szCs w:val="19"/>
                <w:color w:val="auto"/>
              </w:rPr>
            </w:pP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520" w:type="dxa"/>
            <w:vAlign w:val="bottom"/>
          </w:tcPr>
          <w:p>
            <w:pPr>
              <w:spacing w:after="0"/>
              <w:rPr>
                <w:sz w:val="24"/>
                <w:szCs w:val="24"/>
                <w:color w:val="auto"/>
              </w:rPr>
            </w:pPr>
          </w:p>
        </w:tc>
      </w:tr>
      <w:tr>
        <w:trPr>
          <w:trHeight w:val="389"/>
        </w:trPr>
        <w:tc>
          <w:tcPr>
            <w:tcW w:w="920" w:type="dxa"/>
            <w:vAlign w:val="bottom"/>
          </w:tcPr>
          <w:p>
            <w:pPr>
              <w:spacing w:after="0"/>
              <w:rPr>
                <w:sz w:val="24"/>
                <w:szCs w:val="24"/>
                <w:color w:val="auto"/>
              </w:rPr>
            </w:pP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w w:val="90"/>
              </w:rPr>
              <w:t>The address of the principal business office of each of Duquesne Family Office LLC and Stanley Druckenmiller is 40 West 57th Street, 25th</w:t>
            </w:r>
          </w:p>
        </w:tc>
      </w:tr>
      <w:tr>
        <w:trPr>
          <w:trHeight w:val="227"/>
        </w:trPr>
        <w:tc>
          <w:tcPr>
            <w:tcW w:w="9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Floor New York, New York, 10019.</w:t>
            </w:r>
          </w:p>
        </w:tc>
        <w:tc>
          <w:tcPr>
            <w:tcW w:w="1520" w:type="dxa"/>
            <w:vAlign w:val="bottom"/>
          </w:tcPr>
          <w:p>
            <w:pPr>
              <w:spacing w:after="0"/>
              <w:rPr>
                <w:sz w:val="19"/>
                <w:szCs w:val="19"/>
                <w:color w:val="auto"/>
              </w:rPr>
            </w:pP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Citizenship:</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w w:val="95"/>
              </w:rPr>
              <w:t>Duquesne Family Office LLC is a Delaware limited liability company. Mr. Druckenmiller is a United States citizen.</w:t>
            </w:r>
          </w:p>
        </w:tc>
        <w:tc>
          <w:tcPr>
            <w:tcW w:w="1520" w:type="dxa"/>
            <w:vAlign w:val="bottom"/>
          </w:tcPr>
          <w:p>
            <w:pPr>
              <w:spacing w:after="0"/>
              <w:rPr>
                <w:sz w:val="24"/>
                <w:szCs w:val="24"/>
                <w:color w:val="auto"/>
              </w:rPr>
            </w:pPr>
          </w:p>
        </w:tc>
      </w:tr>
      <w:tr>
        <w:trPr>
          <w:trHeight w:val="616"/>
        </w:trPr>
        <w:tc>
          <w:tcPr>
            <w:tcW w:w="9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Title of Class of Securities:</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Class A Common Stock</w:t>
            </w:r>
          </w:p>
        </w:tc>
        <w:tc>
          <w:tcPr>
            <w:tcW w:w="1520" w:type="dxa"/>
            <w:vAlign w:val="bottom"/>
          </w:tcPr>
          <w:p>
            <w:pPr>
              <w:spacing w:after="0"/>
              <w:rPr>
                <w:sz w:val="24"/>
                <w:szCs w:val="24"/>
                <w:color w:val="auto"/>
              </w:rPr>
            </w:pPr>
          </w:p>
        </w:tc>
      </w:tr>
      <w:tr>
        <w:trPr>
          <w:trHeight w:val="48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CUSIP Number:</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644393100</w:t>
            </w:r>
          </w:p>
        </w:tc>
        <w:tc>
          <w:tcPr>
            <w:tcW w:w="1520" w:type="dxa"/>
            <w:vAlign w:val="bottom"/>
          </w:tcPr>
          <w:p>
            <w:pPr>
              <w:spacing w:after="0"/>
              <w:rPr>
                <w:sz w:val="24"/>
                <w:szCs w:val="24"/>
                <w:color w:val="auto"/>
              </w:rPr>
            </w:pPr>
          </w:p>
        </w:tc>
      </w:tr>
      <w:tr>
        <w:trPr>
          <w:trHeight w:val="375"/>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w w:val="95"/>
              </w:rPr>
              <w:t>If this statement is filed pursuant to Rule 13d-1(b), or 13d-2(b) or (c), check whether the person filing is a:</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This Item 3 is not applicable.</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Ownership:</w:t>
            </w:r>
          </w:p>
        </w:tc>
        <w:tc>
          <w:tcPr>
            <w:tcW w:w="1520" w:type="dxa"/>
            <w:vAlign w:val="bottom"/>
          </w:tcPr>
          <w:p>
            <w:pPr>
              <w:spacing w:after="0"/>
              <w:rPr>
                <w:sz w:val="24"/>
                <w:szCs w:val="24"/>
                <w:color w:val="auto"/>
              </w:rPr>
            </w:pPr>
          </w:p>
        </w:tc>
      </w:tr>
      <w:tr>
        <w:trPr>
          <w:trHeight w:val="375"/>
        </w:trPr>
        <w:tc>
          <w:tcPr>
            <w:tcW w:w="920" w:type="dxa"/>
            <w:vAlign w:val="bottom"/>
          </w:tcPr>
          <w:p>
            <w:pPr>
              <w:spacing w:after="0"/>
              <w:rPr>
                <w:sz w:val="24"/>
                <w:szCs w:val="24"/>
                <w:color w:val="auto"/>
              </w:rPr>
            </w:pP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w w:val="91"/>
              </w:rPr>
              <w:t>The percentages used herein are calculated based upon a total of 20,000,000 Class A Common Stock outstanding as of February 4, 2019.</w:t>
            </w: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Amount Beneficially Owned:</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1,200,000 shares of Class A Common Stock</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4(b).</w:t>
            </w:r>
          </w:p>
        </w:tc>
        <w:tc>
          <w:tcPr>
            <w:tcW w:w="8720" w:type="dxa"/>
            <w:vAlign w:val="bottom"/>
          </w:tcPr>
          <w:p>
            <w:pPr>
              <w:ind w:left="160"/>
              <w:spacing w:after="0"/>
              <w:rPr>
                <w:sz w:val="20"/>
                <w:szCs w:val="20"/>
                <w:color w:val="auto"/>
              </w:rPr>
            </w:pPr>
            <w:r>
              <w:rPr>
                <w:rFonts w:ascii="Arial" w:cs="Arial" w:eastAsia="Arial" w:hAnsi="Arial"/>
                <w:sz w:val="18"/>
                <w:szCs w:val="18"/>
                <w:b w:val="1"/>
                <w:bCs w:val="1"/>
                <w:color w:val="auto"/>
              </w:rPr>
              <w:t>Percent of Class:</w:t>
            </w:r>
          </w:p>
        </w:tc>
        <w:tc>
          <w:tcPr>
            <w:tcW w:w="1520" w:type="dxa"/>
            <w:vAlign w:val="bottom"/>
          </w:tcPr>
          <w:p>
            <w:pPr>
              <w:spacing w:after="0"/>
              <w:rPr>
                <w:sz w:val="24"/>
                <w:szCs w:val="24"/>
                <w:color w:val="auto"/>
              </w:rPr>
            </w:pPr>
          </w:p>
        </w:tc>
      </w:tr>
      <w:tr>
        <w:trPr>
          <w:trHeight w:val="429"/>
        </w:trPr>
        <w:tc>
          <w:tcPr>
            <w:tcW w:w="9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6.0% of the total number of shares of Class A Common Stock outstanding.</w:t>
            </w:r>
          </w:p>
        </w:tc>
        <w:tc>
          <w:tcPr>
            <w:tcW w:w="1520" w:type="dxa"/>
            <w:vAlign w:val="bottom"/>
          </w:tcPr>
          <w:p>
            <w:pPr>
              <w:spacing w:after="0"/>
              <w:rPr>
                <w:sz w:val="24"/>
                <w:szCs w:val="24"/>
                <w:color w:val="auto"/>
              </w:rPr>
            </w:pPr>
          </w:p>
        </w:tc>
      </w:tr>
      <w:tr>
        <w:trPr>
          <w:trHeight w:val="451"/>
        </w:trPr>
        <w:tc>
          <w:tcPr>
            <w:tcW w:w="9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423" w:right="56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CUSIP NO. 644393100</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Page 5 of 7 Pages</w:t>
            </w:r>
          </w:p>
        </w:tc>
        <w:tc>
          <w:tcPr>
            <w:tcW w:w="0" w:type="dxa"/>
            <w:vAlign w:val="bottom"/>
          </w:tcPr>
          <w:p>
            <w:pPr>
              <w:spacing w:after="0"/>
              <w:rPr>
                <w:sz w:val="1"/>
                <w:szCs w:val="1"/>
                <w:color w:val="auto"/>
              </w:rPr>
            </w:pPr>
          </w:p>
        </w:tc>
      </w:tr>
      <w:tr>
        <w:trPr>
          <w:trHeight w:val="37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4(c).</w:t>
            </w:r>
          </w:p>
        </w:tc>
        <w:tc>
          <w:tcPr>
            <w:tcW w:w="636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7260" w:type="dxa"/>
            <w:vAlign w:val="bottom"/>
            <w:gridSpan w:val="5"/>
          </w:tcPr>
          <w:p>
            <w:pPr>
              <w:spacing w:after="0"/>
              <w:rPr>
                <w:sz w:val="20"/>
                <w:szCs w:val="20"/>
                <w:color w:val="auto"/>
              </w:rPr>
            </w:pPr>
            <w:r>
              <w:rPr>
                <w:rFonts w:ascii="Arial" w:cs="Arial" w:eastAsia="Arial" w:hAnsi="Arial"/>
                <w:sz w:val="18"/>
                <w:szCs w:val="18"/>
                <w:color w:val="auto"/>
              </w:rPr>
              <w:t>Duquesne Family Office LLC</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(i)</w:t>
            </w:r>
          </w:p>
        </w:tc>
        <w:tc>
          <w:tcPr>
            <w:tcW w:w="1820" w:type="dxa"/>
            <w:vAlign w:val="bottom"/>
            <w:tcBorders>
              <w:top w:val="single" w:sz="8" w:color="auto"/>
            </w:tcBorders>
            <w:gridSpan w:val="3"/>
          </w:tcPr>
          <w:p>
            <w:pPr>
              <w:ind w:left="140"/>
              <w:spacing w:after="0" w:line="167" w:lineRule="exact"/>
              <w:rPr>
                <w:sz w:val="20"/>
                <w:szCs w:val="20"/>
                <w:color w:val="auto"/>
              </w:rPr>
            </w:pPr>
            <w:r>
              <w:rPr>
                <w:rFonts w:ascii="Arial" w:cs="Arial" w:eastAsia="Arial" w:hAnsi="Arial"/>
                <w:sz w:val="18"/>
                <w:szCs w:val="18"/>
                <w:color w:val="auto"/>
                <w:w w:val="97"/>
              </w:rPr>
              <w:t>Sole power to vote or</w:t>
            </w:r>
          </w:p>
        </w:tc>
        <w:tc>
          <w:tcPr>
            <w:tcW w:w="5120" w:type="dxa"/>
            <w:vAlign w:val="bottom"/>
          </w:tcPr>
          <w:p>
            <w:pPr>
              <w:spacing w:after="0" w:line="167" w:lineRule="exact"/>
              <w:rPr>
                <w:sz w:val="20"/>
                <w:szCs w:val="20"/>
                <w:color w:val="auto"/>
              </w:rPr>
            </w:pPr>
            <w:r>
              <w:rPr>
                <w:rFonts w:ascii="Arial" w:cs="Arial" w:eastAsia="Arial" w:hAnsi="Arial"/>
                <w:sz w:val="18"/>
                <w:szCs w:val="18"/>
                <w:color w:val="auto"/>
              </w:rPr>
              <w:t>direct the vote</w:t>
            </w:r>
          </w:p>
        </w:tc>
        <w:tc>
          <w:tcPr>
            <w:tcW w:w="3900" w:type="dxa"/>
            <w:vAlign w:val="bottom"/>
          </w:tcPr>
          <w:p>
            <w:pPr>
              <w:jc w:val="right"/>
              <w:spacing w:after="0" w:line="16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8"/>
        </w:trPr>
        <w:tc>
          <w:tcPr>
            <w:tcW w:w="7260" w:type="dxa"/>
            <w:vAlign w:val="bottom"/>
            <w:gridSpan w:val="5"/>
          </w:tcPr>
          <w:p>
            <w:pPr>
              <w:spacing w:after="0" w:line="188" w:lineRule="exact"/>
              <w:rPr>
                <w:sz w:val="20"/>
                <w:szCs w:val="20"/>
                <w:color w:val="auto"/>
              </w:rPr>
            </w:pPr>
            <w:r>
              <w:rPr>
                <w:rFonts w:ascii="Arial" w:cs="Arial" w:eastAsia="Arial" w:hAnsi="Arial"/>
                <w:sz w:val="18"/>
                <w:szCs w:val="18"/>
                <w:color w:val="auto"/>
              </w:rPr>
              <w:t>(ii)   Shared power to vote or to direct the vote</w:t>
            </w:r>
          </w:p>
        </w:tc>
        <w:tc>
          <w:tcPr>
            <w:tcW w:w="3900" w:type="dxa"/>
            <w:vAlign w:val="bottom"/>
          </w:tcPr>
          <w:p>
            <w:pPr>
              <w:jc w:val="right"/>
              <w:spacing w:after="0" w:line="188" w:lineRule="exact"/>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188"/>
        </w:trPr>
        <w:tc>
          <w:tcPr>
            <w:tcW w:w="7260" w:type="dxa"/>
            <w:vAlign w:val="bottom"/>
            <w:gridSpan w:val="5"/>
          </w:tcPr>
          <w:p>
            <w:pPr>
              <w:spacing w:after="0" w:line="188" w:lineRule="exact"/>
              <w:rPr>
                <w:sz w:val="20"/>
                <w:szCs w:val="20"/>
                <w:color w:val="auto"/>
              </w:rPr>
            </w:pPr>
            <w:r>
              <w:rPr>
                <w:rFonts w:ascii="Arial" w:cs="Arial" w:eastAsia="Arial" w:hAnsi="Arial"/>
                <w:sz w:val="18"/>
                <w:szCs w:val="18"/>
                <w:color w:val="auto"/>
              </w:rPr>
              <w:t>(iii)  Sole power to dispose or to direct the disposition of</w:t>
            </w:r>
          </w:p>
        </w:tc>
        <w:tc>
          <w:tcPr>
            <w:tcW w:w="3900" w:type="dxa"/>
            <w:vAlign w:val="bottom"/>
          </w:tcPr>
          <w:p>
            <w:pPr>
              <w:jc w:val="right"/>
              <w:spacing w:after="0" w:line="18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7260" w:type="dxa"/>
            <w:vAlign w:val="bottom"/>
            <w:gridSpan w:val="5"/>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900" w:type="dxa"/>
            <w:vAlign w:val="bottom"/>
          </w:tcPr>
          <w:p>
            <w:pPr>
              <w:jc w:val="right"/>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390"/>
        </w:trPr>
        <w:tc>
          <w:tcPr>
            <w:tcW w:w="7260" w:type="dxa"/>
            <w:vAlign w:val="bottom"/>
            <w:gridSpan w:val="5"/>
          </w:tcPr>
          <w:p>
            <w:pPr>
              <w:spacing w:after="0"/>
              <w:rPr>
                <w:sz w:val="20"/>
                <w:szCs w:val="20"/>
                <w:color w:val="auto"/>
              </w:rPr>
            </w:pPr>
            <w:r>
              <w:rPr>
                <w:rFonts w:ascii="Arial" w:cs="Arial" w:eastAsia="Arial" w:hAnsi="Arial"/>
                <w:sz w:val="18"/>
                <w:szCs w:val="18"/>
                <w:color w:val="auto"/>
              </w:rPr>
              <w:t>Stanley Druckenmiller</w:t>
            </w:r>
          </w:p>
        </w:tc>
        <w:tc>
          <w:tcPr>
            <w:tcW w:w="390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0" w:type="dxa"/>
            <w:vAlign w:val="bottom"/>
          </w:tcPr>
          <w:p>
            <w:pPr>
              <w:spacing w:after="0" w:line="167" w:lineRule="exact"/>
              <w:rPr>
                <w:sz w:val="20"/>
                <w:szCs w:val="20"/>
                <w:color w:val="auto"/>
              </w:rPr>
            </w:pPr>
            <w:r>
              <w:rPr>
                <w:rFonts w:ascii="Arial" w:cs="Arial" w:eastAsia="Arial" w:hAnsi="Arial"/>
                <w:sz w:val="18"/>
                <w:szCs w:val="18"/>
                <w:color w:val="auto"/>
              </w:rPr>
              <w:t>(i)</w:t>
            </w:r>
          </w:p>
        </w:tc>
        <w:tc>
          <w:tcPr>
            <w:tcW w:w="6940" w:type="dxa"/>
            <w:vAlign w:val="bottom"/>
            <w:gridSpan w:val="4"/>
          </w:tcPr>
          <w:p>
            <w:pPr>
              <w:ind w:left="140"/>
              <w:spacing w:after="0" w:line="167" w:lineRule="exact"/>
              <w:rPr>
                <w:sz w:val="20"/>
                <w:szCs w:val="20"/>
                <w:color w:val="auto"/>
              </w:rPr>
            </w:pPr>
            <w:r>
              <w:rPr>
                <w:rFonts w:ascii="Arial" w:cs="Arial" w:eastAsia="Arial" w:hAnsi="Arial"/>
                <w:sz w:val="18"/>
                <w:szCs w:val="18"/>
                <w:color w:val="auto"/>
              </w:rPr>
              <w:t>Sole power to vote or direct the vote</w:t>
            </w:r>
          </w:p>
        </w:tc>
        <w:tc>
          <w:tcPr>
            <w:tcW w:w="3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60" w:type="dxa"/>
            <w:vAlign w:val="bottom"/>
            <w:gridSpan w:val="5"/>
          </w:tcPr>
          <w:p>
            <w:pPr>
              <w:spacing w:after="0" w:line="188" w:lineRule="exact"/>
              <w:rPr>
                <w:sz w:val="20"/>
                <w:szCs w:val="20"/>
                <w:color w:val="auto"/>
              </w:rPr>
            </w:pPr>
            <w:r>
              <w:rPr>
                <w:rFonts w:ascii="Arial" w:cs="Arial" w:eastAsia="Arial" w:hAnsi="Arial"/>
                <w:sz w:val="18"/>
                <w:szCs w:val="18"/>
                <w:color w:val="auto"/>
              </w:rPr>
              <w:t>(ii)   Shared power to vote or to direct the vote</w:t>
            </w:r>
          </w:p>
        </w:tc>
        <w:tc>
          <w:tcPr>
            <w:tcW w:w="3900" w:type="dxa"/>
            <w:vAlign w:val="bottom"/>
          </w:tcPr>
          <w:p>
            <w:pPr>
              <w:jc w:val="right"/>
              <w:spacing w:after="0" w:line="188" w:lineRule="exact"/>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188"/>
        </w:trPr>
        <w:tc>
          <w:tcPr>
            <w:tcW w:w="7260" w:type="dxa"/>
            <w:vAlign w:val="bottom"/>
            <w:gridSpan w:val="5"/>
          </w:tcPr>
          <w:p>
            <w:pPr>
              <w:spacing w:after="0" w:line="188" w:lineRule="exact"/>
              <w:rPr>
                <w:sz w:val="20"/>
                <w:szCs w:val="20"/>
                <w:color w:val="auto"/>
              </w:rPr>
            </w:pPr>
            <w:r>
              <w:rPr>
                <w:rFonts w:ascii="Arial" w:cs="Arial" w:eastAsia="Arial" w:hAnsi="Arial"/>
                <w:sz w:val="18"/>
                <w:szCs w:val="18"/>
                <w:color w:val="auto"/>
              </w:rPr>
              <w:t>(iii)  Sole power to dispose or to direct the disposition of</w:t>
            </w:r>
          </w:p>
        </w:tc>
        <w:tc>
          <w:tcPr>
            <w:tcW w:w="3900" w:type="dxa"/>
            <w:vAlign w:val="bottom"/>
          </w:tcPr>
          <w:p>
            <w:pPr>
              <w:jc w:val="right"/>
              <w:spacing w:after="0" w:line="18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7260" w:type="dxa"/>
            <w:vAlign w:val="bottom"/>
            <w:gridSpan w:val="5"/>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900" w:type="dxa"/>
            <w:vAlign w:val="bottom"/>
          </w:tcPr>
          <w:p>
            <w:pPr>
              <w:jc w:val="right"/>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Duquesne Family Office LLC and Stanley Druckenmiller own directly no Class A Common Stock. Pursuant to a management agreement, Duquesne Family Office LLC maintains investment and voting power with respect to the securities held by certain investment funds it manages. Mr. Druckenmiller, as managing member, controls Duquesne Family Office LLC. By reason of the provisions of Rule 13d-3 of the Act each of Duquesne Family Office LLC and Mr. Druckenmiller may be deemed to beneficially own 1,200,000 shares of Class A Common Stock (constituting 6.0% of such shares outstanding). Each of Duquesne Family Office LLC and Mr. Druckenmiller disclaims beneficial ownership of any of the securities covered by this statement.</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6" w:lineRule="exact"/>
        <w:rPr>
          <w:sz w:val="20"/>
          <w:szCs w:val="20"/>
          <w:color w:val="auto"/>
        </w:rPr>
      </w:pPr>
    </w:p>
    <w:p>
      <w:pPr>
        <w:ind w:left="1080" w:right="140"/>
        <w:spacing w:after="0"/>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[_].</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6" w:lineRule="exact"/>
        <w:rPr>
          <w:sz w:val="20"/>
          <w:szCs w:val="20"/>
          <w:color w:val="auto"/>
        </w:rPr>
      </w:pPr>
    </w:p>
    <w:p>
      <w:pPr>
        <w:ind w:left="1080"/>
        <w:spacing w:after="0" w:line="228"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589915</wp:posOffset>
            </wp:positionV>
            <wp:extent cx="70866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50" w:right="560" w:bottom="1440" w:gutter="0" w:footer="0" w:header="0"/>
        </w:sectPr>
      </w:pPr>
    </w:p>
    <w:bookmarkStart w:id="5" w:name="page6"/>
    <w:bookmarkEnd w:id="5"/>
    <w:p>
      <w:pPr>
        <w:spacing w:after="0"/>
        <w:tabs>
          <w:tab w:leader="none" w:pos="986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6 of 7 Pages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9"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33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12, 2019</w:t>
      </w:r>
      <w:r>
        <w:rPr>
          <w:sz w:val="20"/>
          <w:szCs w:val="20"/>
          <w:color w:val="auto"/>
        </w:rPr>
        <w:tab/>
      </w:r>
      <w:r>
        <w:rPr>
          <w:rFonts w:ascii="Arial" w:cs="Arial" w:eastAsia="Arial" w:hAnsi="Arial"/>
          <w:sz w:val="16"/>
          <w:szCs w:val="16"/>
          <w:color w:val="auto"/>
        </w:rPr>
        <w:t>Duquesne Family Office LLC</w:t>
      </w:r>
    </w:p>
    <w:p>
      <w:pPr>
        <w:spacing w:after="0" w:line="331" w:lineRule="exact"/>
        <w:rPr>
          <w:sz w:val="20"/>
          <w:szCs w:val="20"/>
          <w:color w:val="auto"/>
        </w:rPr>
      </w:pPr>
    </w:p>
    <w:p>
      <w:pPr>
        <w:ind w:left="5720"/>
        <w:spacing w:after="0"/>
        <w:rPr>
          <w:sz w:val="20"/>
          <w:szCs w:val="20"/>
          <w:color w:val="auto"/>
        </w:rPr>
      </w:pPr>
      <w:r>
        <w:rPr>
          <w:rFonts w:ascii="Arial" w:cs="Arial" w:eastAsia="Arial" w:hAnsi="Arial"/>
          <w:sz w:val="35"/>
          <w:szCs w:val="35"/>
          <w:color w:val="auto"/>
          <w:vertAlign w:val="superscript"/>
        </w:rPr>
        <w:t>By:</w:t>
      </w:r>
      <w:r>
        <w:rPr>
          <w:rFonts w:ascii="Arial" w:cs="Arial" w:eastAsia="Arial" w:hAnsi="Arial"/>
          <w:sz w:val="21"/>
          <w:szCs w:val="21"/>
          <w:color w:val="auto"/>
        </w:rPr>
        <w:t xml:space="preserve">  /s/ </w:t>
      </w:r>
      <w:r>
        <w:rPr>
          <w:rFonts w:ascii="Arial" w:cs="Arial" w:eastAsia="Arial" w:hAnsi="Arial"/>
          <w:sz w:val="17"/>
          <w:szCs w:val="17"/>
          <w:color w:val="auto"/>
        </w:rPr>
        <w:t>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-51435</wp:posOffset>
            </wp:positionV>
            <wp:extent cx="22129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Name: Stanley Druckenmiller</w:t>
      </w:r>
    </w:p>
    <w:p>
      <w:pPr>
        <w:spacing w:after="0" w:line="1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February 12, 2019</w:t>
      </w:r>
      <w:r>
        <w:rPr>
          <w:sz w:val="20"/>
          <w:szCs w:val="20"/>
          <w:color w:val="auto"/>
        </w:rPr>
        <w:tab/>
      </w:r>
      <w:r>
        <w:rPr>
          <w:rFonts w:ascii="Arial" w:cs="Arial" w:eastAsia="Arial" w:hAnsi="Arial"/>
          <w:sz w:val="20"/>
          <w:szCs w:val="20"/>
          <w:color w:val="auto"/>
        </w:rPr>
        <w:t xml:space="preserve">/s/ </w:t>
      </w:r>
      <w:r>
        <w:rPr>
          <w:rFonts w:ascii="Arial" w:cs="Arial" w:eastAsia="Arial" w:hAnsi="Arial"/>
          <w:sz w:val="16"/>
          <w:szCs w:val="16"/>
          <w:color w:val="auto"/>
        </w:rPr>
        <w:t>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-4445</wp:posOffset>
            </wp:positionV>
            <wp:extent cx="2212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spacing w:after="0" w:line="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Stanley Druckenmiller</w:t>
      </w:r>
    </w:p>
    <w:p>
      <w:pPr>
        <w:sectPr>
          <w:pgSz w:w="12240" w:h="15840" w:orient="portrait"/>
          <w:cols w:equalWidth="0" w:num="1">
            <w:col w:w="11160"/>
          </w:cols>
          <w:pgMar w:left="520" w:top="209" w:right="560"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JOINT FILING AGREEMENT</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3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12, 2019</w:t>
      </w:r>
      <w:r>
        <w:rPr>
          <w:sz w:val="20"/>
          <w:szCs w:val="20"/>
          <w:color w:val="auto"/>
        </w:rPr>
        <w:tab/>
      </w:r>
      <w:r>
        <w:rPr>
          <w:rFonts w:ascii="Arial" w:cs="Arial" w:eastAsia="Arial" w:hAnsi="Arial"/>
          <w:sz w:val="16"/>
          <w:szCs w:val="16"/>
          <w:color w:val="auto"/>
        </w:rPr>
        <w:t>Duquesne Family Office LLC</w:t>
      </w:r>
    </w:p>
    <w:p>
      <w:pPr>
        <w:spacing w:after="0" w:line="331" w:lineRule="exact"/>
        <w:rPr>
          <w:sz w:val="20"/>
          <w:szCs w:val="20"/>
          <w:color w:val="auto"/>
        </w:rPr>
      </w:pPr>
    </w:p>
    <w:p>
      <w:pPr>
        <w:ind w:left="5720"/>
        <w:spacing w:after="0"/>
        <w:rPr>
          <w:sz w:val="20"/>
          <w:szCs w:val="20"/>
          <w:color w:val="auto"/>
        </w:rPr>
      </w:pPr>
      <w:r>
        <w:rPr>
          <w:rFonts w:ascii="Arial" w:cs="Arial" w:eastAsia="Arial" w:hAnsi="Arial"/>
          <w:sz w:val="35"/>
          <w:szCs w:val="35"/>
          <w:color w:val="auto"/>
          <w:vertAlign w:val="superscript"/>
        </w:rPr>
        <w:t>By:</w:t>
      </w:r>
      <w:r>
        <w:rPr>
          <w:rFonts w:ascii="Arial" w:cs="Arial" w:eastAsia="Arial" w:hAnsi="Arial"/>
          <w:sz w:val="21"/>
          <w:szCs w:val="21"/>
          <w:color w:val="auto"/>
        </w:rPr>
        <w:t xml:space="preserve">  /s/ </w:t>
      </w:r>
      <w:r>
        <w:rPr>
          <w:rFonts w:ascii="Arial" w:cs="Arial" w:eastAsia="Arial" w:hAnsi="Arial"/>
          <w:sz w:val="17"/>
          <w:szCs w:val="17"/>
          <w:color w:val="auto"/>
        </w:rPr>
        <w:t>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-51435</wp:posOffset>
            </wp:positionV>
            <wp:extent cx="2212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Name: Stanley Druckenmiller</w:t>
      </w:r>
    </w:p>
    <w:p>
      <w:pPr>
        <w:spacing w:after="0" w:line="1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February 12, 2019</w:t>
      </w:r>
      <w:r>
        <w:rPr>
          <w:sz w:val="20"/>
          <w:szCs w:val="20"/>
          <w:color w:val="auto"/>
        </w:rPr>
        <w:tab/>
      </w:r>
      <w:r>
        <w:rPr>
          <w:rFonts w:ascii="Arial" w:cs="Arial" w:eastAsia="Arial" w:hAnsi="Arial"/>
          <w:sz w:val="20"/>
          <w:szCs w:val="20"/>
          <w:color w:val="auto"/>
        </w:rPr>
        <w:t xml:space="preserve">/s/ </w:t>
      </w:r>
      <w:r>
        <w:rPr>
          <w:rFonts w:ascii="Arial" w:cs="Arial" w:eastAsia="Arial" w:hAnsi="Arial"/>
          <w:sz w:val="16"/>
          <w:szCs w:val="16"/>
          <w:color w:val="auto"/>
        </w:rPr>
        <w:t>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-4445</wp:posOffset>
            </wp:positionV>
            <wp:extent cx="2212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spacing w:after="0" w:line="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Stanley Druckenmiller</w:t>
      </w:r>
    </w:p>
    <w:sectPr>
      <w:pgSz w:w="12240" w:h="15840" w:orient="portrait"/>
      <w:cols w:equalWidth="0" w:num="1">
        <w:col w:w="11100"/>
      </w:cols>
      <w:pgMar w:left="520" w:top="209" w:right="6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2019-12-15T16:21:50Z</dcterms:created>
  <dcterms:modified xsi:type="dcterms:W3CDTF">2019-12-15T16:21:50Z</dcterms:modified>
</cp:coreProperties>
</file>