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UNITED STATES</w:t>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SECURITIES AND EXCHANGE COMMISSION</w:t>
      </w:r>
    </w:p>
    <w:p>
      <w:pPr>
        <w:pStyle w:val="TextBody"/>
        <w:bidi w:val="0"/>
        <w:spacing w:lineRule="auto" w:line="288" w:before="0" w:after="0"/>
        <w:jc w:val="center"/>
        <w:rPr>
          <w:rFonts w:ascii="Times New Roman;serif" w:hAnsi="Times New Roman;serif"/>
          <w:b/>
          <w:color w:val="221F1F"/>
          <w:sz w:val="24"/>
        </w:rPr>
      </w:pPr>
      <w:r>
        <w:rPr>
          <w:rFonts w:ascii="Times New Roman;serif" w:hAnsi="Times New Roman;serif"/>
          <w:b/>
          <w:color w:val="221F1F"/>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36"/>
        </w:rPr>
      </w:pPr>
      <w:r>
        <w:rPr>
          <w:rFonts w:ascii="Times New Roman;serif" w:hAnsi="Times New Roman;serif"/>
          <w:b/>
          <w:color w:val="221F1F"/>
          <w:sz w:val="36"/>
        </w:rPr>
        <w:t>FORM 12b-25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NOTIFICATION OF LATE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001-38790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CUSIP Number </w:t>
      </w:r>
      <w:r>
        <w:rPr>
          <w:rFonts w:ascii="Times New Roman;serif" w:hAnsi="Times New Roman;serif"/>
          <w:b/>
          <w:color w:val="000000"/>
          <w:sz w:val="20"/>
        </w:rPr>
        <w:t>644393100</w:t>
      </w:r>
    </w:p>
    <w:p>
      <w:pPr>
        <w:pStyle w:val="TextBody"/>
        <w:bidi w:val="0"/>
        <w:spacing w:before="0" w:after="0"/>
        <w:jc w:val="left"/>
        <w:rPr/>
      </w:pPr>
      <w:r>
        <w:rPr/>
      </w:r>
    </w:p>
    <w:tbl>
      <w:tblPr>
        <w:tblW w:w="9324"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379"/>
        <w:gridCol w:w="379"/>
        <w:gridCol w:w="382"/>
        <w:gridCol w:w="109"/>
        <w:gridCol w:w="109"/>
        <w:gridCol w:w="109"/>
        <w:gridCol w:w="314"/>
        <w:gridCol w:w="314"/>
        <w:gridCol w:w="316"/>
        <w:gridCol w:w="109"/>
        <w:gridCol w:w="109"/>
        <w:gridCol w:w="109"/>
        <w:gridCol w:w="324"/>
        <w:gridCol w:w="324"/>
        <w:gridCol w:w="327"/>
        <w:gridCol w:w="109"/>
        <w:gridCol w:w="109"/>
        <w:gridCol w:w="109"/>
        <w:gridCol w:w="324"/>
        <w:gridCol w:w="324"/>
        <w:gridCol w:w="327"/>
        <w:gridCol w:w="109"/>
        <w:gridCol w:w="109"/>
        <w:gridCol w:w="109"/>
        <w:gridCol w:w="324"/>
        <w:gridCol w:w="324"/>
        <w:gridCol w:w="327"/>
        <w:gridCol w:w="109"/>
        <w:gridCol w:w="109"/>
        <w:gridCol w:w="109"/>
        <w:gridCol w:w="350"/>
        <w:gridCol w:w="350"/>
        <w:gridCol w:w="49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i/>
                <w:color w:val="221F1F"/>
                <w:sz w:val="20"/>
              </w:rPr>
            </w:pPr>
            <w:r>
              <w:rPr>
                <w:rFonts w:ascii="Times New Roman;serif" w:hAnsi="Times New Roman;serif"/>
                <w:b w:val="false"/>
                <w:i/>
                <w:color w:val="221F1F"/>
                <w:sz w:val="20"/>
              </w:rPr>
              <w:t>(Check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11-K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10-Q</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N-CEN</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N-CSR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640" w:type="dxa"/>
        <w:jc w:val="left"/>
        <w:tblInd w:w="0" w:type="dxa"/>
        <w:tblLayout w:type="fixed"/>
        <w:tblCellMar>
          <w:top w:w="28" w:type="dxa"/>
          <w:left w:w="28" w:type="dxa"/>
          <w:bottom w:w="28" w:type="dxa"/>
          <w:right w:w="28" w:type="dxa"/>
        </w:tblCellMar>
      </w:tblPr>
      <w:tblGrid>
        <w:gridCol w:w="124"/>
        <w:gridCol w:w="109"/>
        <w:gridCol w:w="109"/>
        <w:gridCol w:w="524"/>
        <w:gridCol w:w="524"/>
        <w:gridCol w:w="526"/>
        <w:gridCol w:w="504"/>
        <w:gridCol w:w="504"/>
        <w:gridCol w:w="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Period Ended:</w:t>
            </w:r>
          </w:p>
        </w:tc>
        <w:tc>
          <w:tcPr>
            <w:tcW w:w="172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r>
    </w:tbl>
    <w:p>
      <w:pPr>
        <w:pStyle w:val="TextBody"/>
        <w:bidi w:val="0"/>
        <w:spacing w:before="0" w:after="0"/>
        <w:jc w:val="left"/>
        <w:rPr/>
      </w:pPr>
      <w:r>
        <w:rPr/>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7"/>
        <w:gridCol w:w="807"/>
        <w:gridCol w:w="11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20-F</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11-K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10-Q</w:t>
            </w:r>
          </w:p>
        </w:tc>
      </w:tr>
    </w:tbl>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the Transition Period Ended:</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9959" w:type="dxa"/>
        <w:jc w:val="left"/>
        <w:tblInd w:w="0" w:type="dxa"/>
        <w:tblLayout w:type="fixed"/>
        <w:tblCellMar>
          <w:top w:w="28" w:type="dxa"/>
          <w:left w:w="28" w:type="dxa"/>
          <w:bottom w:w="28" w:type="dxa"/>
          <w:right w:w="28" w:type="dxa"/>
        </w:tblCellMar>
      </w:tblPr>
      <w:tblGrid>
        <w:gridCol w:w="3186"/>
        <w:gridCol w:w="2801"/>
        <w:gridCol w:w="3972"/>
      </w:tblGrid>
      <w:tr>
        <w:trPr/>
        <w:tc>
          <w:tcPr>
            <w:tcW w:w="3186"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9959"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Nothing in this Form shall be construed to imply that the Commission has verified any information contained herein.</w:t>
            </w:r>
          </w:p>
        </w:tc>
      </w:tr>
    </w:tbl>
    <w:p>
      <w:pPr>
        <w:pStyle w:val="TextBody"/>
        <w:bidi w:val="0"/>
        <w:spacing w:before="0" w:after="0"/>
        <w:jc w:val="left"/>
        <w:rPr/>
      </w:pPr>
      <w:r>
        <w:rPr/>
      </w:r>
    </w:p>
    <w:tbl>
      <w:tblPr>
        <w:tblW w:w="9689" w:type="dxa"/>
        <w:jc w:val="left"/>
        <w:tblInd w:w="0" w:type="dxa"/>
        <w:tblLayout w:type="fixed"/>
        <w:tblCellMar>
          <w:top w:w="28" w:type="dxa"/>
          <w:left w:w="28" w:type="dxa"/>
          <w:bottom w:w="28" w:type="dxa"/>
          <w:right w:w="28" w:type="dxa"/>
        </w:tblCellMar>
      </w:tblPr>
      <w:tblGrid>
        <w:gridCol w:w="3096"/>
        <w:gridCol w:w="2721"/>
        <w:gridCol w:w="3872"/>
      </w:tblGrid>
      <w:tr>
        <w:trPr/>
        <w:tc>
          <w:tcPr>
            <w:tcW w:w="3096"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the notiﬁcation relates to a portion of the ﬁling checked above, identify the Item(s) to which the notiﬁcation relates:</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21F1F"/>
                <w:sz w:val="20"/>
              </w:rPr>
            </w:pPr>
            <w:r>
              <w:rPr>
                <w:rFonts w:ascii="Times New Roman;serif" w:hAnsi="Times New Roman;serif"/>
                <w:b/>
                <w:color w:val="221F1F"/>
                <w:sz w:val="20"/>
              </w:rPr>
              <w:t>PART I - REGISTRANT INFORMATION</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Name of Registrant</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Name if Applicable</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111 W. 19th Street, 8th Floor</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 (Street and Number)</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 New York 10011</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State and Zip Code</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II - RULES 12b-25(b) AND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If the subject report could not be ﬁled without unreasonable effort or expense and the registrant seeks relief pursuant to Rule 12b-25(b), the following should be completed. (Check box if appropriate)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
        <w:gridCol w:w="112"/>
        <w:gridCol w:w="112"/>
        <w:gridCol w:w="109"/>
        <w:gridCol w:w="109"/>
        <w:gridCol w:w="109"/>
        <w:gridCol w:w="2785"/>
        <w:gridCol w:w="2785"/>
        <w:gridCol w:w="3956"/>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5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reason described in reasonable detail in Part III of this Form could not be eliminated without unreasonable effort or expense;</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subject annual report, semi-annual report, transition report on Form 10-K, Form 20-F, Form 11-K, Form N-CEN or Form N-CSR, or portion thereof, will be ﬁled on or before the ﬁfteenth calendar day following the prescribed due date; or the subject quarterly report or transition report on Form 10-Q or subject distribution report on Form 10-D, or portion thereof, will be ﬁled on or before the ﬁfth calendar day following the prescribed due date; and</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accountant’s statement or other exhibit required by Rule 12b-25(c) has been attached if applicable.</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III - NARRATIVE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below in reasonable detail why Forms 10-K, 20-F, 11-K, 10-Q, 10-D, N-CEN, N-CSR, or the transition report or portion thereof, could not be filed within the prescribed time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New Fortress Energy Inc. (the “Company”) is working diligently and plans to file its Annual Report on Form 10-K for the fiscal year ended December 31, 2025 (the “Annual Report”) as soon as practicable. As reported in Item 4.02 of its Current Report on Form 8-K dated March 17, 2026 (the "Form 8-K"), the Audit Committee of the Board of Directors concluded that the Company's previously issued financial statements for the years ended December 31, 2024 and 2023 included in the </w:t>
      </w:r>
      <w:r>
        <w:rPr>
          <w:rFonts w:ascii="Times New Roman;serif" w:hAnsi="Times New Roman;serif"/>
          <w:b w:val="false"/>
          <w:color w:val="000000"/>
          <w:sz w:val="20"/>
          <w:shd w:fill="FFFFFF" w:val="clear"/>
        </w:rPr>
        <w:t>Company's Annual</w:t>
      </w:r>
      <w:r>
        <w:rPr>
          <w:color w:val="000000"/>
        </w:rPr>
        <w:t xml:space="preserve"> </w:t>
      </w:r>
      <w:r>
        <w:rPr>
          <w:rFonts w:ascii="Times New Roman;serif" w:hAnsi="Times New Roman;serif"/>
          <w:b w:val="false"/>
          <w:color w:val="000000"/>
          <w:sz w:val="20"/>
        </w:rPr>
        <w:t xml:space="preserve">Report on Form 10-K/A for the fiscal year ended December 31, 2024, filed on June 30, 2025, and each of the Company's previously issued financial statements included in its Quarterly Reports on Form 10-Q as of and for each of the interim periods in 2025 and 2024 should no longer be relied upon.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the Form 8-K, the Company requires additional time to complete a restatement of its historical financial statements related to the incorrect presentation of certain capital expenditures on its statements of cash flows. Additionally, certain errors were identified in the capitalization of interest, as well as other insignificant errors, that require restatement of the Company's 2025 interim financial statements. The Company continues to work diligently to complete the remaining review and restatement procedures. As a result, the Company has determined that it is unable, without unreasonable effort or expense, to file the Annual Report within the prescribed time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file the Annual Report, including all required restated financial statements, no later than March 31, 2026 or as soon as practicable; however, the timing of the filing may be subject to further delay, and the Company cannot provide assurance regarding the definitive filing date while this work remains in progress.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IV - OTHER INFORMATION</w:t>
      </w:r>
    </w:p>
    <w:p>
      <w:pPr>
        <w:pStyle w:val="TextBody"/>
        <w:bidi w:val="0"/>
        <w:spacing w:lineRule="auto" w:line="288" w:before="0" w:after="0"/>
        <w:jc w:val="left"/>
        <w:rPr>
          <w:color w:val="000000"/>
        </w:rPr>
      </w:pPr>
      <w:r>
        <w:rPr>
          <w:color w:val="000000"/>
        </w:rPr>
        <w:t> </w:t>
      </w:r>
    </w:p>
    <w:tbl>
      <w:tblPr>
        <w:tblW w:w="6779" w:type="dxa"/>
        <w:jc w:val="left"/>
        <w:tblInd w:w="0" w:type="dxa"/>
        <w:tblLayout w:type="fixed"/>
        <w:tblCellMar>
          <w:top w:w="28" w:type="dxa"/>
          <w:left w:w="28" w:type="dxa"/>
          <w:bottom w:w="28" w:type="dxa"/>
          <w:right w:w="28" w:type="dxa"/>
        </w:tblCellMar>
      </w:tblPr>
      <w:tblGrid>
        <w:gridCol w:w="125"/>
        <w:gridCol w:w="110"/>
        <w:gridCol w:w="110"/>
        <w:gridCol w:w="1884"/>
        <w:gridCol w:w="1884"/>
        <w:gridCol w:w="266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Name and telephone number of person to contact in regard to this notiﬁcation</w:t>
            </w:r>
          </w:p>
        </w:tc>
      </w:tr>
    </w:tbl>
    <w:p>
      <w:pPr>
        <w:pStyle w:val="TextBody"/>
        <w:bidi w:val="0"/>
        <w:spacing w:before="0" w:after="0"/>
        <w:jc w:val="left"/>
        <w:rPr/>
      </w:pPr>
      <w:r>
        <w:rPr/>
      </w:r>
    </w:p>
    <w:tbl>
      <w:tblPr>
        <w:tblW w:w="543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357"/>
        <w:gridCol w:w="357"/>
        <w:gridCol w:w="365"/>
        <w:gridCol w:w="109"/>
        <w:gridCol w:w="109"/>
        <w:gridCol w:w="109"/>
        <w:gridCol w:w="533"/>
        <w:gridCol w:w="533"/>
        <w:gridCol w:w="76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Christopher S. Guinta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268-7400</w:t>
            </w:r>
          </w:p>
        </w:tc>
      </w:tr>
      <w:tr>
        <w:trPr/>
        <w:tc>
          <w:tcPr>
            <w:tcW w:w="18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(Area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(Telephone Number)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221F1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ﬁle such report(s) been ﬁled? If answer is no, identify report(s).Yes </w:t>
            </w:r>
            <w:r>
              <w:rPr>
                <w:color w:val="221F1F"/>
              </w:rPr>
              <w:t xml:space="preserve">☒ </w:t>
            </w:r>
            <w:r>
              <w:rPr>
                <w:rFonts w:ascii="Times New Roman;serif" w:hAnsi="Times New Roman;serif"/>
                <w:b w:val="false"/>
                <w:color w:val="221F1F"/>
                <w:sz w:val="20"/>
              </w:rPr>
              <w:t xml:space="preserve">No </w:t>
            </w:r>
            <w:r>
              <w:rPr>
                <w:color w:val="221F1F"/>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Is it anticipated that any signiﬁcant change in results of operations from the corresponding period for the last ﬁscal year will be reﬂected by the earnings statements to be included in the subject report or portion thereof?</w:t>
            </w:r>
          </w:p>
        </w:tc>
      </w:tr>
    </w:tbl>
    <w:p>
      <w:pPr>
        <w:pStyle w:val="TextBody"/>
        <w:bidi w:val="0"/>
        <w:spacing w:lineRule="auto" w:line="288" w:before="0" w:after="0"/>
        <w:jc w:val="left"/>
        <w:rPr>
          <w:color w:val="000000"/>
        </w:rPr>
      </w:pPr>
      <w:r>
        <w:rPr>
          <w:color w:val="000000"/>
        </w:rPr>
        <w:t> </w:t>
      </w:r>
    </w:p>
    <w:tbl>
      <w:tblPr>
        <w:tblW w:w="1793"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21F1F"/>
              </w:rPr>
            </w:pPr>
            <w:r>
              <w:rPr>
                <w:color w:val="221F1F"/>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21F1F"/>
              </w:rPr>
            </w:pPr>
            <w:r>
              <w:rPr>
                <w:color w:val="221F1F"/>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Form 12b-25 requires that the Company disclose any significant changes during the year ended December 31, 2025 compared to December 31, 2024. The Company's revenue from terminal operations for the year ended December 31, 2025 significantly decreased compared to the year ended December 31, 2024, largely related to revenue attributable to the temporary power project in Puerto Rico that was discontinued on March 15, 2024, reduced revenues in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Jamaica due to the sale of the Company’s business in Jamaica in May 2025 and lower cargo sales. In addition, the Company generated significant losses for the year ended December 31, 2025 compared with the year ended December 31, 2024 largely as a result of goodwill and asset impairments, significant increase in the cost of borrowing as well as increases in costs incurred relating to the Company's strategic transactions, including restructuring of the Company's debt obligations. The significant losses were partially offset by the gain on the sale of the Company's business in Jamaica and sale of certain vessels.</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12b-25 contains certain statements and information that may constitute “forward-looking statements” within the meaning of the Private Securities Litigation Reform Act of 1995. All statements contained in this Form 12b-25 (including, without limitation, statements regarding the Company’s ability to complete the review and restatement procedures described in this Form 12b-25 and the impacts thereof, the anticipated timing of the filing of the Annual Report and the Company’s expected results for three and twelve months ending December 31, 2025)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including the timing and nature of the resolution of the issues discussed in this Form 12b-25, any further delay in the filing of the Annual Report or other required periodic reports, whether a restatement or correction of financial results will be required for other accounting issues and adverse effects on the Company related to the disclosures made in this Form 12b-25.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on Form 10-K for the fiscal year ended December 31, 2025,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58" w:type="dxa"/>
        <w:jc w:val="left"/>
        <w:tblInd w:w="0" w:type="dxa"/>
        <w:tblLayout w:type="fixed"/>
        <w:tblCellMar>
          <w:top w:w="28" w:type="dxa"/>
          <w:left w:w="28" w:type="dxa"/>
          <w:bottom w:w="28" w:type="dxa"/>
          <w:right w:w="28" w:type="dxa"/>
        </w:tblCellMar>
      </w:tblPr>
      <w:tblGrid>
        <w:gridCol w:w="124"/>
        <w:gridCol w:w="109"/>
        <w:gridCol w:w="109"/>
        <w:gridCol w:w="1213"/>
        <w:gridCol w:w="1213"/>
        <w:gridCol w:w="12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Fortress Energy Inc.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Speciﬁed in Charter)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has caused this notification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319" w:type="dxa"/>
        <w:jc w:val="left"/>
        <w:tblInd w:w="0" w:type="dxa"/>
        <w:tblLayout w:type="fixed"/>
        <w:tblCellMar>
          <w:top w:w="28" w:type="dxa"/>
          <w:left w:w="28" w:type="dxa"/>
          <w:bottom w:w="28" w:type="dxa"/>
          <w:right w:w="28" w:type="dxa"/>
        </w:tblCellMar>
      </w:tblPr>
      <w:tblGrid>
        <w:gridCol w:w="683"/>
        <w:gridCol w:w="601"/>
        <w:gridCol w:w="605"/>
        <w:gridCol w:w="709"/>
        <w:gridCol w:w="709"/>
        <w:gridCol w:w="101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Date: March 17, 2026</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u w:val="single"/>
              </w:rPr>
            </w:pPr>
            <w:r>
              <w:rPr>
                <w:rFonts w:ascii="Times New Roman;serif" w:hAnsi="Times New Roman;serif"/>
                <w:b w:val="false"/>
                <w:color w:val="221F1F"/>
                <w:sz w:val="20"/>
                <w:u w:val="single"/>
              </w:rPr>
              <w:t>By /s/ Christopher S. Guinta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Christopher S. Guinta</w:t>
            </w:r>
          </w:p>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Chief Financial Officer</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1470</Words>
  <Characters>7849</Characters>
  <CharactersWithSpaces>9276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