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CURRENT REPORT</w:t>
      </w: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7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March 5, 2024</w:t>
      </w:r>
    </w:p>
    <w:p>
      <w:pPr>
        <w:spacing w:after="0" w:line="16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4"/>
          <w:szCs w:val="34"/>
          <w:b w:val="1"/>
          <w:bCs w:val="1"/>
          <w:color w:val="auto"/>
        </w:rPr>
        <w:t>New Fortress Energy Inc.</w:t>
      </w:r>
    </w:p>
    <w:p>
      <w:pPr>
        <w:spacing w:after="0" w:line="4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060"/>
          </w:cols>
          <w:pgMar w:left="300" w:top="839" w:right="539" w:bottom="1440" w:gutter="0" w:footer="0" w:header="0"/>
        </w:sectPr>
      </w:pPr>
    </w:p>
    <w:p>
      <w:pPr>
        <w:spacing w:after="0" w:line="214"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3"/>
          <w:szCs w:val="13"/>
          <w:b w:val="1"/>
          <w:bCs w:val="1"/>
          <w:color w:val="auto"/>
        </w:rPr>
        <w:t>001-38790</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83-1482060</w:t>
      </w:r>
    </w:p>
    <w:p>
      <w:pPr>
        <w:spacing w:after="0" w:line="40" w:lineRule="exact"/>
        <w:rPr>
          <w:sz w:val="24"/>
          <w:szCs w:val="24"/>
          <w:color w:val="auto"/>
        </w:rPr>
      </w:pPr>
    </w:p>
    <w:p>
      <w:pPr>
        <w:sectPr>
          <w:pgSz w:w="11900" w:h="16838" w:orient="portrait"/>
          <w:cols w:equalWidth="0" w:num="3">
            <w:col w:w="4740" w:space="720"/>
            <w:col w:w="2800" w:space="720"/>
            <w:col w:w="2080"/>
          </w:cols>
          <w:pgMar w:left="300" w:top="839" w:right="53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1"/>
          <w:szCs w:val="1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4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200" w:lineRule="exact"/>
        <w:rPr>
          <w:sz w:val="24"/>
          <w:szCs w:val="24"/>
          <w:color w:val="auto"/>
        </w:rPr>
      </w:pPr>
    </w:p>
    <w:p>
      <w:pPr>
        <w:sectPr>
          <w:pgSz w:w="11900" w:h="16838" w:orient="portrait"/>
          <w:cols w:equalWidth="0" w:num="3">
            <w:col w:w="4420" w:space="720"/>
            <w:col w:w="2680" w:space="720"/>
            <w:col w:w="2520"/>
          </w:cols>
          <w:pgMar w:left="300" w:top="839" w:right="539" w:bottom="1440" w:gutter="0" w:footer="0" w:header="0"/>
          <w:type w:val="continuous"/>
        </w:sectPr>
      </w:pPr>
    </w:p>
    <w:p>
      <w:pPr>
        <w:spacing w:after="0" w:line="130"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3"/>
          <w:szCs w:val="13"/>
          <w:b w:val="1"/>
          <w:bCs w:val="1"/>
          <w:color w:val="auto"/>
        </w:rPr>
        <w:t>111 W. 19th Street, 8th Floor</w:t>
      </w:r>
    </w:p>
    <w:p>
      <w:pPr>
        <w:spacing w:after="0" w:line="28"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New York, NY</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10011</w:t>
      </w:r>
    </w:p>
    <w:p>
      <w:pPr>
        <w:spacing w:after="0" w:line="53" w:lineRule="exact"/>
        <w:rPr>
          <w:sz w:val="24"/>
          <w:szCs w:val="24"/>
          <w:color w:val="auto"/>
        </w:rPr>
      </w:pPr>
    </w:p>
    <w:p>
      <w:pPr>
        <w:sectPr>
          <w:pgSz w:w="11900" w:h="16838" w:orient="portrait"/>
          <w:cols w:equalWidth="0" w:num="2">
            <w:col w:w="8380" w:space="720"/>
            <w:col w:w="1960"/>
          </w:cols>
          <w:pgMar w:left="300" w:top="839" w:right="539" w:bottom="1440" w:gutter="0" w:footer="0" w:header="0"/>
          <w:type w:val="continuous"/>
        </w:sectPr>
      </w:pPr>
    </w:p>
    <w:p>
      <w:pPr>
        <w:ind w:left="24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9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(516) 268-7400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452" w:lineRule="exact"/>
        <w:rPr>
          <w:sz w:val="24"/>
          <w:szCs w:val="24"/>
          <w:color w:val="auto"/>
        </w:rPr>
      </w:pPr>
    </w:p>
    <w:p>
      <w:pPr>
        <w:sectPr>
          <w:pgSz w:w="11900" w:h="16838" w:orient="portrait"/>
          <w:cols w:equalWidth="0" w:num="2">
            <w:col w:w="8240" w:space="720"/>
            <w:col w:w="2100"/>
          </w:cols>
          <w:pgMar w:left="300" w:top="839" w:right="539" w:bottom="1440" w:gutter="0" w:footer="0" w:header="0"/>
          <w:type w:val="continuous"/>
        </w:sectPr>
      </w:pP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32" w:lineRule="exact"/>
        <w:rPr>
          <w:sz w:val="24"/>
          <w:szCs w:val="2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5"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83" w:lineRule="exact"/>
        <w:rPr>
          <w:sz w:val="24"/>
          <w:szCs w:val="24"/>
          <w:color w:val="auto"/>
        </w:rPr>
      </w:pPr>
    </w:p>
    <w:tbl>
      <w:tblPr>
        <w:tblLayout w:type="fixed"/>
        <w:tblInd w:w="26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520" w:type="dxa"/>
            <w:vAlign w:val="bottom"/>
          </w:tcPr>
          <w:p>
            <w:pPr>
              <w:spacing w:after="0"/>
              <w:rPr>
                <w:sz w:val="16"/>
                <w:szCs w:val="16"/>
                <w:color w:val="auto"/>
              </w:rPr>
            </w:pPr>
          </w:p>
        </w:tc>
      </w:tr>
      <w:tr>
        <w:trPr>
          <w:trHeight w:val="552"/>
        </w:trPr>
        <w:tc>
          <w:tcPr>
            <w:tcW w:w="10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3"/>
        </w:trPr>
        <w:tc>
          <w:tcPr>
            <w:tcW w:w="10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“NFE”</w:t>
            </w:r>
          </w:p>
        </w:tc>
        <w:tc>
          <w:tcPr>
            <w:tcW w:w="2080" w:type="dxa"/>
            <w:vAlign w:val="bottom"/>
          </w:tcPr>
          <w:p>
            <w:pPr>
              <w:spacing w:after="0"/>
              <w:rPr>
                <w:sz w:val="18"/>
                <w:szCs w:val="18"/>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r>
        <w:trPr>
          <w:trHeight w:val="191"/>
        </w:trPr>
        <w:tc>
          <w:tcPr>
            <w:tcW w:w="33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Class A Common Stock, par value $0.01 per share</w:t>
            </w: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520" w:type="dxa"/>
            <w:vAlign w:val="bottom"/>
          </w:tcPr>
          <w:p>
            <w:pPr>
              <w:spacing w:after="0"/>
              <w:rPr>
                <w:sz w:val="16"/>
                <w:szCs w:val="16"/>
                <w:color w:val="auto"/>
              </w:rPr>
            </w:pPr>
          </w:p>
        </w:tc>
      </w:tr>
    </w:tbl>
    <w:p>
      <w:pPr>
        <w:spacing w:after="0" w:line="262" w:lineRule="exact"/>
        <w:rPr>
          <w:sz w:val="24"/>
          <w:szCs w:val="24"/>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6" w:lineRule="exact"/>
        <w:rPr>
          <w:sz w:val="24"/>
          <w:szCs w:val="24"/>
          <w:color w:val="auto"/>
        </w:rPr>
      </w:pPr>
    </w:p>
    <w:p>
      <w:pPr>
        <w:ind w:left="160" w:hanging="155"/>
        <w:spacing w:after="0"/>
        <w:tabs>
          <w:tab w:leader="none" w:pos="1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Emerging growth company</w:t>
      </w:r>
    </w:p>
    <w:p>
      <w:pPr>
        <w:spacing w:after="0" w:line="189" w:lineRule="exact"/>
        <w:rPr>
          <w:sz w:val="24"/>
          <w:szCs w:val="24"/>
          <w:color w:val="auto"/>
        </w:rPr>
      </w:pPr>
    </w:p>
    <w:p>
      <w:pPr>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431800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839" w:right="539" w:bottom="1440" w:gutter="0" w:footer="0" w:header="0"/>
          <w:type w:val="continuous"/>
        </w:sectPr>
      </w:pPr>
    </w:p>
    <w:bookmarkStart w:id="1" w:name="page2"/>
    <w:bookmarkEnd w:id="1"/>
    <w:p>
      <w:pPr>
        <w:spacing w:after="0"/>
        <w:tabs>
          <w:tab w:leader="none" w:pos="760" w:val="left"/>
        </w:tabs>
        <w:rPr>
          <w:sz w:val="20"/>
          <w:szCs w:val="20"/>
          <w:color w:val="auto"/>
        </w:rPr>
      </w:pPr>
      <w:r>
        <w:rPr>
          <w:rFonts w:ascii="Times New Roman" w:cs="Times New Roman" w:eastAsia="Times New Roman" w:hAnsi="Times New Roman"/>
          <w:sz w:val="14"/>
          <w:szCs w:val="14"/>
          <w:b w:val="1"/>
          <w:bCs w:val="1"/>
          <w:color w:val="auto"/>
        </w:rPr>
        <w:t>Item 8.01.</w:t>
        <w:tab/>
        <w:t>Other Events</w:t>
      </w:r>
    </w:p>
    <w:p>
      <w:pPr>
        <w:spacing w:after="0" w:line="170"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4"/>
          <w:szCs w:val="14"/>
          <w:color w:val="auto"/>
        </w:rPr>
        <w:t>On March 5, 2024, New Fortress Energy Inc. (the “Company”) announced the pricing of its previously announced private offering of $750 million aggregate principal amount of senior secured notes due 2029 (the “Notes”). The aggregate principal amount represents an increase in the size of the offering of $250 million from the previously announced offering of $500 million. The Company</w:t>
      </w:r>
    </w:p>
    <w:p>
      <w:pPr>
        <w:spacing w:after="0" w:line="1"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4"/>
          <w:szCs w:val="14"/>
          <w:color w:val="auto"/>
        </w:rPr>
        <w:t>intends to use the net proceeds from the offering to repay a portion of its outstanding indebtedness, including to repurchase up to $375 million of the Company’s existing senior secured notes due 2025 pursuant to its tender offer announced on March 5, 2024, together with any fees and related expenses, and/or for general corporate purposes.</w:t>
      </w:r>
    </w:p>
    <w:p>
      <w:pPr>
        <w:spacing w:after="0" w:line="134"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4"/>
          <w:szCs w:val="14"/>
          <w:color w:val="auto"/>
        </w:rPr>
        <w:t>A copy of the press release is attached hereto as exhibit 99.1, and is incorporated into this Item 8.01 by reference. The Notes and the guarantees thereof will not be registered under the Securities Act of 1933, as amended, or any state securities laws, and may not be offered or sold in the United States absent registration or an applicable exemption from registration requirements.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9.01.</w:t>
            </w:r>
          </w:p>
        </w:tc>
        <w:tc>
          <w:tcPr>
            <w:tcW w:w="57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Financial Statements and Exhibits.</w:t>
            </w:r>
          </w:p>
        </w:tc>
        <w:tc>
          <w:tcPr>
            <w:tcW w:w="0" w:type="dxa"/>
            <w:vAlign w:val="bottom"/>
          </w:tcPr>
          <w:p>
            <w:pPr>
              <w:spacing w:after="0"/>
              <w:rPr>
                <w:sz w:val="1"/>
                <w:szCs w:val="1"/>
                <w:color w:val="auto"/>
              </w:rPr>
            </w:pPr>
          </w:p>
        </w:tc>
      </w:tr>
      <w:tr>
        <w:trPr>
          <w:trHeight w:val="329"/>
        </w:trPr>
        <w:tc>
          <w:tcPr>
            <w:tcW w:w="720" w:type="dxa"/>
            <w:vAlign w:val="bottom"/>
          </w:tcPr>
          <w:p>
            <w:pPr>
              <w:spacing w:after="0"/>
              <w:rPr>
                <w:sz w:val="20"/>
                <w:szCs w:val="20"/>
                <w:color w:val="auto"/>
              </w:rPr>
            </w:pPr>
            <w:r>
              <w:rPr>
                <w:rFonts w:ascii="Times New Roman" w:cs="Times New Roman" w:eastAsia="Times New Roman" w:hAnsi="Times New Roman"/>
                <w:sz w:val="14"/>
                <w:szCs w:val="14"/>
                <w:color w:val="auto"/>
              </w:rPr>
              <w:t>(d) Exhibits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2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5760" w:type="dxa"/>
            <w:vAlign w:val="bottom"/>
            <w:vMerge w:val="restart"/>
          </w:tcPr>
          <w:p>
            <w:pPr>
              <w:ind w:left="5060"/>
              <w:spacing w:after="0"/>
              <w:rPr>
                <w:sz w:val="20"/>
                <w:szCs w:val="20"/>
                <w:color w:val="auto"/>
              </w:rPr>
            </w:pPr>
            <w:r>
              <w:rPr>
                <w:rFonts w:ascii="Times New Roman" w:cs="Times New Roman" w:eastAsia="Times New Roman" w:hAnsi="Times New Roman"/>
                <w:sz w:val="14"/>
                <w:szCs w:val="14"/>
                <w:b w:val="1"/>
                <w:bCs w:val="1"/>
                <w:color w:val="auto"/>
                <w:w w:val="98"/>
              </w:rPr>
              <w:t>Description</w:t>
            </w:r>
          </w:p>
        </w:tc>
        <w:tc>
          <w:tcPr>
            <w:tcW w:w="0" w:type="dxa"/>
            <w:vAlign w:val="bottom"/>
          </w:tcPr>
          <w:p>
            <w:pPr>
              <w:spacing w:after="0"/>
              <w:rPr>
                <w:sz w:val="1"/>
                <w:szCs w:val="1"/>
                <w:color w:val="auto"/>
              </w:rPr>
            </w:pPr>
          </w:p>
        </w:tc>
      </w:tr>
      <w:tr>
        <w:trPr>
          <w:trHeight w:val="186"/>
        </w:trPr>
        <w:tc>
          <w:tcPr>
            <w:tcW w:w="72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5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16153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13" w:lineRule="exact"/>
        <w:rPr>
          <w:sz w:val="20"/>
          <w:szCs w:val="20"/>
          <w:color w:val="auto"/>
        </w:rPr>
      </w:pPr>
    </w:p>
    <w:p>
      <w:pPr>
        <w:ind w:left="320"/>
        <w:spacing w:after="0"/>
        <w:tabs>
          <w:tab w:leader="none" w:pos="960" w:val="left"/>
        </w:tabs>
        <w:rPr>
          <w:sz w:val="20"/>
          <w:szCs w:val="20"/>
          <w:color w:val="auto"/>
        </w:rPr>
      </w:pPr>
      <w:r>
        <w:rPr>
          <w:rFonts w:ascii="Times New Roman" w:cs="Times New Roman" w:eastAsia="Times New Roman" w:hAnsi="Times New Roman"/>
          <w:sz w:val="14"/>
          <w:szCs w:val="14"/>
          <w:u w:val="single" w:color="auto"/>
          <w:color w:val="0000FF"/>
        </w:rPr>
        <w:t>99.1</w:t>
      </w:r>
      <w:r>
        <w:rPr>
          <w:sz w:val="20"/>
          <w:szCs w:val="20"/>
          <w:color w:val="auto"/>
        </w:rPr>
        <w:tab/>
      </w:r>
      <w:r>
        <w:rPr>
          <w:rFonts w:ascii="Times New Roman" w:cs="Times New Roman" w:eastAsia="Times New Roman" w:hAnsi="Times New Roman"/>
          <w:sz w:val="14"/>
          <w:szCs w:val="14"/>
          <w:color w:val="auto"/>
        </w:rPr>
        <w:t>Press release, dated March 5, 2024.</w:t>
      </w:r>
    </w:p>
    <w:p>
      <w:pPr>
        <w:spacing w:after="0" w:line="41" w:lineRule="exact"/>
        <w:rPr>
          <w:sz w:val="20"/>
          <w:szCs w:val="20"/>
          <w:color w:val="auto"/>
        </w:rPr>
      </w:pPr>
    </w:p>
    <w:p>
      <w:pPr>
        <w:ind w:left="320"/>
        <w:spacing w:after="0"/>
        <w:tabs>
          <w:tab w:leader="none" w:pos="96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(embedded within the Inline XBRL document).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Statements</w:t>
      </w:r>
    </w:p>
    <w:p>
      <w:pPr>
        <w:spacing w:after="0" w:line="181" w:lineRule="exact"/>
        <w:rPr>
          <w:sz w:val="20"/>
          <w:szCs w:val="20"/>
          <w:color w:val="auto"/>
        </w:rPr>
      </w:pPr>
    </w:p>
    <w:p>
      <w:pPr>
        <w:ind w:right="100"/>
        <w:spacing w:after="0" w:line="196" w:lineRule="auto"/>
        <w:rPr>
          <w:sz w:val="20"/>
          <w:szCs w:val="20"/>
          <w:color w:val="auto"/>
        </w:rPr>
      </w:pPr>
      <w:r>
        <w:rPr>
          <w:rFonts w:ascii="Times New Roman" w:cs="Times New Roman" w:eastAsia="Times New Roman" w:hAnsi="Times New Roman"/>
          <w:sz w:val="14"/>
          <w:szCs w:val="14"/>
          <w:color w:val="auto"/>
        </w:rPr>
        <w:t>This communication contains certain statements and information that may constitute “forward-looking statements” within the meaning of the Private Securities Litigation Reform Act of 1995. All statements contained in this communication other than historical information are forward-looking statements that involve known and unknown risks and relate to future events, our future financial performance or our projected business results. You can identify these forward-looking statements by the use of forward-looking words such as “expects,” “may,” “will,” “approximately,” “predicts,” “intends,” “plans,” “estimates,” “anticipates,” or the negative version of those words or other comparable words. It is uncertain whether any of the events anticipated by the forward-looking statements will transpire or occur, or if any of them do, what impact they will have on the results of operations and financial condition or the stock prices of the Company. These forward-looking statements represent the Company’s expectations or beliefs concerning future events, and it is possible that the results described herein will not be achieved. These forward-looking statements are necessarily estimates based upon current information and are subject to risks, uncertainties and other factors, many of which are outside of the Company’s control, that could cause actual results to differ materially from the results discussed in the forward-looking statements. 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Company's annual report, quarterly and other reports filed with the SEC, which could cause its actual results to differ materially from those contained in any forward-looking statement. The Company undertakes no duty to update these forward-looking statements, even though its situation may change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436880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 FORTRESS ENERGY INC.</w:t>
            </w:r>
          </w:p>
        </w:tc>
      </w:tr>
      <w:tr>
        <w:trPr>
          <w:trHeight w:val="213"/>
        </w:trPr>
        <w:tc>
          <w:tcPr>
            <w:tcW w:w="5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0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Date:March 5, 2024</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 Christopher S. Guinta</w:t>
            </w:r>
          </w:p>
        </w:tc>
      </w:tr>
      <w:tr>
        <w:trPr>
          <w:trHeight w:val="191"/>
        </w:trPr>
        <w:tc>
          <w:tcPr>
            <w:tcW w:w="526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Christopher S. Guinta</w:t>
            </w:r>
          </w:p>
        </w:tc>
      </w:tr>
      <w:tr>
        <w:trPr>
          <w:trHeight w:val="202"/>
        </w:trPr>
        <w:tc>
          <w:tcPr>
            <w:tcW w:w="526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60"/>
          </w:cols>
          <w:pgMar w:left="300" w:top="759"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4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2024-03-06T05:07:42Z</dcterms:created>
  <dcterms:modified xsi:type="dcterms:W3CDTF">2024-03-06T05:07:42Z</dcterms:modified>
</cp:coreProperties>
</file>