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August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New Fortress Energy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6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50" w:lineRule="exact"/>
        <w:rPr>
          <w:sz w:val="24"/>
          <w:szCs w:val="24"/>
          <w:color w:val="auto"/>
        </w:rPr>
      </w:pPr>
    </w:p>
    <w:p>
      <w:pPr>
        <w:sectPr>
          <w:pgSz w:w="11900" w:h="16838" w:orient="portrait"/>
          <w:cols w:equalWidth="0" w:num="3">
            <w:col w:w="4520" w:space="720"/>
            <w:col w:w="3000" w:space="720"/>
            <w:col w:w="2280"/>
          </w:cols>
          <w:pgMar w:left="320" w:top="535"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35" w:right="339" w:bottom="1440" w:gutter="0" w:footer="0" w:header="0"/>
          <w:type w:val="continuous"/>
        </w:sectPr>
      </w:pPr>
    </w:p>
    <w:p>
      <w:pPr>
        <w:spacing w:after="0" w:line="4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111 W. 19th Street 8th Floor</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(516) 268-7400</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New Fortress Energy LLC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right="480"/>
        <w:spacing w:after="0" w:line="250" w:lineRule="auto"/>
        <w:rPr>
          <w:sz w:val="20"/>
          <w:szCs w:val="20"/>
          <w:color w:val="auto"/>
        </w:rPr>
      </w:pPr>
      <w:r>
        <w:rPr>
          <w:rFonts w:ascii="Arial" w:cs="Arial" w:eastAsia="Arial" w:hAnsi="Arial"/>
          <w:sz w:val="22"/>
          <w:szCs w:val="22"/>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580" w:type="dxa"/>
            <w:vAlign w:val="bottom"/>
            <w:gridSpan w:val="2"/>
          </w:tcPr>
          <w:p>
            <w:pPr>
              <w:ind w:left="1620"/>
              <w:spacing w:after="0"/>
              <w:rPr>
                <w:sz w:val="20"/>
                <w:szCs w:val="20"/>
                <w:color w:val="auto"/>
              </w:rPr>
            </w:pPr>
            <w:r>
              <w:rPr>
                <w:rFonts w:ascii="Arial" w:cs="Arial" w:eastAsia="Arial" w:hAnsi="Arial"/>
                <w:sz w:val="18"/>
                <w:szCs w:val="18"/>
                <w:color w:val="auto"/>
              </w:rPr>
              <w:t>Title of each class</w:t>
            </w:r>
          </w:p>
        </w:tc>
        <w:tc>
          <w:tcPr>
            <w:tcW w:w="21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Trading Symbol(s)</w:t>
            </w:r>
          </w:p>
        </w:tc>
        <w:tc>
          <w:tcPr>
            <w:tcW w:w="45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4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Class A Common Stock, par value $0.01 per share</w:t>
            </w:r>
          </w:p>
        </w:tc>
        <w:tc>
          <w:tcPr>
            <w:tcW w:w="40" w:type="dxa"/>
            <w:vAlign w:val="bottom"/>
          </w:tcPr>
          <w:p>
            <w:pPr>
              <w:spacing w:after="0"/>
              <w:rPr>
                <w:sz w:val="20"/>
                <w:szCs w:val="20"/>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NFE</w:t>
            </w:r>
          </w:p>
        </w:tc>
        <w:tc>
          <w:tcPr>
            <w:tcW w:w="6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3" w:lineRule="exact"/>
        <w:rPr>
          <w:sz w:val="24"/>
          <w:szCs w:val="24"/>
          <w:color w:val="auto"/>
        </w:rPr>
      </w:pPr>
    </w:p>
    <w:p>
      <w:pPr>
        <w:ind w:right="380"/>
        <w:spacing w:after="0" w:line="279"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5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b w:val="1"/>
          <w:bCs w:val="1"/>
          <w:color w:val="auto"/>
        </w:rPr>
        <w:t>Introductory Note</w:t>
      </w:r>
    </w:p>
    <w:p>
      <w:pPr>
        <w:spacing w:after="0" w:line="24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New Fortress Energy Inc. is providing the disclosure contained in this Current Report on Form 8-K in order to reflect the completion of its conversion (the “Conversion”) from a Delaware limited liability company named New Fortress Energy LLC (“NFE LLC”) to a Delaware corporation named New Fortress Energy Inc. (“NFE Inc.”) effective at 12:01 a.m. (Eastern Time) on August 7, 2020 (the “Effective Time”). References to the “Company” in this report mean (i) prior to the Effective Time, NFE LLC, and (ii) following the Effective Time, NFE Inc.</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249" w:lineRule="exact"/>
        <w:rPr>
          <w:sz w:val="20"/>
          <w:szCs w:val="20"/>
          <w:color w:val="auto"/>
        </w:rPr>
      </w:pPr>
    </w:p>
    <w:p>
      <w:pPr>
        <w:ind w:right="160"/>
        <w:spacing w:after="0" w:line="270" w:lineRule="auto"/>
        <w:rPr>
          <w:sz w:val="20"/>
          <w:szCs w:val="20"/>
          <w:color w:val="auto"/>
        </w:rPr>
      </w:pPr>
      <w:r>
        <w:rPr>
          <w:rFonts w:ascii="Arial" w:cs="Arial" w:eastAsia="Arial" w:hAnsi="Arial"/>
          <w:sz w:val="19"/>
          <w:szCs w:val="19"/>
          <w:color w:val="auto"/>
        </w:rPr>
        <w:t xml:space="preserve">As previously disclosed in connection with the Conversion, on August 3, 2020, NFE LLC notified the NASDAQ Global Select Market (“Nasdaq”) that the Certificate of Conversion to a Corporation of New Fortress Energy LLC (the “Certificate of Conversion”) had been filed with the Secretary of State of the State of Delaware. At the Effective Time, each Class A share, representing Class A limited liability company interests of the Company (“Class A LLC Share”), outstanding immediately prior to the Effective Time converted into one issued and outstanding, fully paid and nonassessable share of Class A common stock, $0.01 par value per share, of NFE Inc. (“Class A Common Stock”). </w:t>
      </w:r>
      <w:r>
        <w:rPr>
          <w:rFonts w:ascii="Arial" w:cs="Arial" w:eastAsia="Arial" w:hAnsi="Arial"/>
          <w:sz w:val="19"/>
          <w:szCs w:val="19"/>
          <w:b w:val="1"/>
          <w:bCs w:val="1"/>
          <w:color w:val="auto"/>
        </w:rPr>
        <w:t>As of the open of trading on Friday, August 7, 2020, the</w:t>
      </w:r>
    </w:p>
    <w:p>
      <w:pPr>
        <w:spacing w:after="0" w:line="1"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b w:val="1"/>
          <w:bCs w:val="1"/>
          <w:color w:val="auto"/>
        </w:rPr>
        <w:t>Company expects that Nasdaq will provide that the Class A Common Stock will be listed in place of the Class A LLC Shares and will trade on Nasdaq under the existing ticker symbol, “NFE,” and the existing CUSIP number (CUSIP: 644393100), and the Company expects Nasdaq to file with the Securities and Exchange Commission (the “SEC”) an application on Form 25 to report that the Class A LLC Shares are discontinued for trading on Nasdaq. As a result, any holder of Class A LLC Shares that traded on Nasdaq immediately prior to the Effective Time will hold the same number of shares of Class A Common Stock traded on Nasdaq immediately after the Effective Time.</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249"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To the extent applicable, the disclosures set forth in (i) Item 3.01 above regarding the conversion of the Class A LLC Shares into Class A Common Stock, (ii) Item 5.03 below regarding the Certificate of Conversion, the Certificate of Incorporation of New Fortress Energy Inc. (the “Certificate of Incorporation”) and the Bylaws of New Fortress Energy Inc. (the “Bylaws”), and (iii) Item 8.01 below regarding the Conversion are incorporated herein by reference.</w:t>
      </w:r>
    </w:p>
    <w:p>
      <w:pPr>
        <w:spacing w:after="0" w:line="204" w:lineRule="exact"/>
        <w:rPr>
          <w:sz w:val="20"/>
          <w:szCs w:val="20"/>
          <w:color w:val="auto"/>
        </w:rPr>
      </w:pPr>
    </w:p>
    <w:p>
      <w:pPr>
        <w:jc w:val="both"/>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ind w:right="60"/>
        <w:spacing w:after="0" w:line="297" w:lineRule="auto"/>
        <w:rPr>
          <w:sz w:val="20"/>
          <w:szCs w:val="20"/>
          <w:color w:val="auto"/>
        </w:rPr>
      </w:pPr>
      <w:r>
        <w:rPr>
          <w:rFonts w:ascii="Arial" w:cs="Arial" w:eastAsia="Arial" w:hAnsi="Arial"/>
          <w:sz w:val="19"/>
          <w:szCs w:val="19"/>
          <w:color w:val="auto"/>
        </w:rPr>
        <w:t>The directors and executive officers of NFE Inc. immediately after the Conversion were the same individuals who were directors and executive officers, respectively, of NFE LLC immediately prior to the Conversion. In addition, the committees of the board, and the membership thereof, immediately prior to the Effective Time, were replicated at NFE Inc. at the Effective Time.</w:t>
      </w:r>
    </w:p>
    <w:p>
      <w:pPr>
        <w:spacing w:after="0" w:line="1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49" w:lineRule="exact"/>
        <w:rPr>
          <w:sz w:val="20"/>
          <w:szCs w:val="20"/>
          <w:color w:val="auto"/>
        </w:rPr>
      </w:pPr>
    </w:p>
    <w:p>
      <w:pPr>
        <w:ind w:right="220"/>
        <w:spacing w:after="0" w:line="257" w:lineRule="auto"/>
        <w:rPr>
          <w:sz w:val="20"/>
          <w:szCs w:val="20"/>
          <w:color w:val="auto"/>
        </w:rPr>
      </w:pPr>
      <w:r>
        <w:rPr>
          <w:rFonts w:ascii="Arial" w:cs="Arial" w:eastAsia="Arial" w:hAnsi="Arial"/>
          <w:sz w:val="21"/>
          <w:szCs w:val="21"/>
          <w:color w:val="auto"/>
        </w:rPr>
        <w:t>At the Effective Time, NFE LLC was converted to NFE Inc. pursuant to the Certificate of Conversion. The Certificate of Incorporation and Bylaws of NFE Inc. provide its stockholders with substantially the same rights and obligations that members had in the Company’s First Amended and Restated Limited Liability Company Agreement.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foregoing description of the Certificate of Conversion, Certificate of Incorporation and Bylaws does not purport to be complete and is qualified in its entirety by reference to Exhibits 3.1, 3.2 and 3.3 to this Current Report on Form 8-K, respectively, which are incorporated herein by reference.</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In accordance with Rule 12g-3(a) under the Securities Exchange Act of 1934, as amended (the “Exchange Act”), NFE Inc. is a successor registrant to NFE LLC and thereby subject to the informational requirements of the Exchange Act and the rules and regulations promulgated thereunder. The shares of Class A Common Stock, as the successor registrant to NFE LLC, are deemed to be registered under Section 12(b) of the Exchange Act. Holders of uncertificated shares of NFE LLC immediately prior to the Conversion continued as holders of uncertificated stock of NFE Inc. upon effectiveness of the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i w:val="1"/>
          <w:iCs w:val="1"/>
          <w:color w:val="auto"/>
        </w:rPr>
        <w:t>Description of Capital Stock</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Description of Capital Stock set forth in Exhibit 99.1 is being filed for the purpose of providing a description of the capital stock of the Company. The Description of Capital Stock summarizes the material terms of the Company’s capital stock as of the date hereof. This summary is not a complete description of the terms of the Company’s capital stock and is qualified by reference to the Company’s Certificate of Incorporation and Bylaws, each filed herewith, as well as applicable provisions of Delaware law.</w:t>
      </w:r>
    </w:p>
    <w:p>
      <w:pPr>
        <w:spacing w:after="0" w:line="170"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The Description of Capital Stock set forth in Exhibit 99.1 is incorporated into this Item 8.01 by reference. The disclosure contained in this Current Report on Form 8-K modifies and supersedes any corresponding discussions included in any registration statement or report previously filed with the SEC pursuant to the Securities Act of 1933, as amended, the Exchange Act, and the rules and regulations promulgated thereunder to the extent they are inconsistent with such information.</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3.1</w:t>
              </w:r>
            </w:hyperlink>
          </w:p>
        </w:tc>
        <w:tc>
          <w:tcPr>
            <w:tcW w:w="10620" w:type="dxa"/>
            <w:vAlign w:val="bottom"/>
          </w:tcPr>
          <w:p>
            <w:pPr>
              <w:ind w:left="300"/>
              <w:spacing w:after="0"/>
              <w:rPr>
                <w:sz w:val="20"/>
                <w:szCs w:val="20"/>
                <w:color w:val="auto"/>
              </w:rPr>
            </w:pPr>
            <w:r>
              <w:rPr>
                <w:rFonts w:ascii="Arial" w:cs="Arial" w:eastAsia="Arial" w:hAnsi="Arial"/>
                <w:sz w:val="18"/>
                <w:szCs w:val="18"/>
                <w:color w:val="auto"/>
                <w:w w:val="93"/>
              </w:rPr>
              <w:t>Certificate of Conversion to a Corporation of New Fortress Energy LLC (incorporated herein by reference to Exhibit 99.2 of the Company’s</w:t>
            </w:r>
          </w:p>
        </w:tc>
      </w:tr>
      <w:tr>
        <w:trPr>
          <w:trHeight w:val="230"/>
        </w:trPr>
        <w:tc>
          <w:tcPr>
            <w:tcW w:w="620" w:type="dxa"/>
            <w:vAlign w:val="bottom"/>
          </w:tcPr>
          <w:p>
            <w:pPr>
              <w:spacing w:after="0"/>
              <w:rPr>
                <w:sz w:val="20"/>
                <w:szCs w:val="20"/>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Quarterly Report on Form 10-Q filed on August 4, 2020)</w:t>
            </w:r>
          </w:p>
        </w:tc>
      </w:tr>
      <w:tr>
        <w:trPr>
          <w:trHeight w:val="418"/>
        </w:trPr>
        <w:tc>
          <w:tcPr>
            <w:tcW w:w="620" w:type="dxa"/>
            <w:vAlign w:val="bottom"/>
          </w:tcPr>
          <w:p>
            <w:pPr>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3.2</w:t>
              </w:r>
            </w:hyperlink>
          </w:p>
        </w:tc>
        <w:tc>
          <w:tcPr>
            <w:tcW w:w="10620" w:type="dxa"/>
            <w:vAlign w:val="bottom"/>
          </w:tcPr>
          <w:p>
            <w:pPr>
              <w:ind w:left="300"/>
              <w:spacing w:after="0"/>
              <w:rPr>
                <w:sz w:val="20"/>
                <w:szCs w:val="20"/>
                <w:color w:val="auto"/>
              </w:rPr>
            </w:pPr>
            <w:r>
              <w:rPr>
                <w:rFonts w:ascii="Arial" w:cs="Arial" w:eastAsia="Arial" w:hAnsi="Arial"/>
                <w:sz w:val="18"/>
                <w:szCs w:val="18"/>
                <w:color w:val="auto"/>
                <w:w w:val="92"/>
              </w:rPr>
              <w:t>Certificate of Incorporation of New Fortress Energy Inc. (incorporated herein by reference to Exhibit 99.3 of the Company’s Quarterly Report</w:t>
            </w:r>
          </w:p>
        </w:tc>
      </w:tr>
      <w:tr>
        <w:trPr>
          <w:trHeight w:val="230"/>
        </w:trPr>
        <w:tc>
          <w:tcPr>
            <w:tcW w:w="620" w:type="dxa"/>
            <w:vAlign w:val="bottom"/>
          </w:tcPr>
          <w:p>
            <w:pPr>
              <w:spacing w:after="0"/>
              <w:rPr>
                <w:sz w:val="20"/>
                <w:szCs w:val="20"/>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on Form 10-Q filed on August 4, 2020)</w:t>
            </w:r>
          </w:p>
        </w:tc>
      </w:tr>
      <w:tr>
        <w:trPr>
          <w:trHeight w:val="418"/>
        </w:trPr>
        <w:tc>
          <w:tcPr>
            <w:tcW w:w="620" w:type="dxa"/>
            <w:vAlign w:val="bottom"/>
          </w:tcPr>
          <w:p>
            <w:pPr>
              <w:spacing w:after="0"/>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3.3</w:t>
              </w:r>
            </w:hyperlink>
          </w:p>
        </w:tc>
        <w:tc>
          <w:tcPr>
            <w:tcW w:w="10620" w:type="dxa"/>
            <w:vAlign w:val="bottom"/>
          </w:tcPr>
          <w:p>
            <w:pPr>
              <w:ind w:left="300"/>
              <w:spacing w:after="0"/>
              <w:rPr>
                <w:sz w:val="20"/>
                <w:szCs w:val="20"/>
                <w:color w:val="auto"/>
              </w:rPr>
            </w:pPr>
            <w:r>
              <w:rPr>
                <w:rFonts w:ascii="Arial" w:cs="Arial" w:eastAsia="Arial" w:hAnsi="Arial"/>
                <w:sz w:val="18"/>
                <w:szCs w:val="18"/>
                <w:color w:val="auto"/>
                <w:w w:val="92"/>
              </w:rPr>
              <w:t>Bylaws of New Fortress Energy Inc. (incorporated herein by reference to Exhibit 99.4 of the Company’s Quarterly Report on Form 10-Q filed</w:t>
            </w:r>
          </w:p>
        </w:tc>
      </w:tr>
      <w:tr>
        <w:trPr>
          <w:trHeight w:val="230"/>
        </w:trPr>
        <w:tc>
          <w:tcPr>
            <w:tcW w:w="620" w:type="dxa"/>
            <w:vAlign w:val="bottom"/>
          </w:tcPr>
          <w:p>
            <w:pPr>
              <w:spacing w:after="0"/>
              <w:rPr>
                <w:sz w:val="20"/>
                <w:szCs w:val="20"/>
                <w:color w:val="auto"/>
              </w:rPr>
            </w:pPr>
          </w:p>
        </w:tc>
        <w:tc>
          <w:tcPr>
            <w:tcW w:w="10620" w:type="dxa"/>
            <w:vAlign w:val="bottom"/>
          </w:tcPr>
          <w:p>
            <w:pPr>
              <w:ind w:left="300"/>
              <w:spacing w:after="0"/>
              <w:rPr>
                <w:sz w:val="20"/>
                <w:szCs w:val="20"/>
                <w:color w:val="auto"/>
              </w:rPr>
            </w:pPr>
            <w:r>
              <w:rPr>
                <w:rFonts w:ascii="Arial" w:cs="Arial" w:eastAsia="Arial" w:hAnsi="Arial"/>
                <w:sz w:val="18"/>
                <w:szCs w:val="18"/>
                <w:color w:val="auto"/>
              </w:rPr>
              <w:t>on August 4, 2020)</w:t>
            </w:r>
          </w:p>
        </w:tc>
      </w:tr>
      <w:tr>
        <w:trPr>
          <w:trHeight w:val="432"/>
        </w:trPr>
        <w:tc>
          <w:tcPr>
            <w:tcW w:w="6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10620" w:type="dxa"/>
            <w:vAlign w:val="bottom"/>
          </w:tcPr>
          <w:p>
            <w:pPr>
              <w:ind w:left="300"/>
              <w:spacing w:after="0"/>
              <w:rPr>
                <w:sz w:val="20"/>
                <w:szCs w:val="20"/>
                <w:color w:val="auto"/>
              </w:rPr>
            </w:pPr>
            <w:r>
              <w:rPr>
                <w:rFonts w:ascii="Arial" w:cs="Arial" w:eastAsia="Arial" w:hAnsi="Arial"/>
                <w:sz w:val="18"/>
                <w:szCs w:val="18"/>
                <w:color w:val="auto"/>
              </w:rPr>
              <w:t>Description of Capital Stock</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104</w:t>
            </w:r>
          </w:p>
        </w:tc>
        <w:tc>
          <w:tcPr>
            <w:tcW w:w="10620" w:type="dxa"/>
            <w:vAlign w:val="bottom"/>
          </w:tcPr>
          <w:p>
            <w:pPr>
              <w:ind w:left="3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25"/>
        </w:trPr>
        <w:tc>
          <w:tcPr>
            <w:tcW w:w="62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NEW FORTRESS ENERGY INC.</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August 7, 2020</w:t>
      </w:r>
      <w:r>
        <w:rPr>
          <w:sz w:val="20"/>
          <w:szCs w:val="20"/>
          <w:color w:val="auto"/>
        </w:rPr>
        <w:tab/>
      </w:r>
      <w:r>
        <w:rPr>
          <w:rFonts w:ascii="Arial" w:cs="Arial" w:eastAsia="Arial" w:hAnsi="Arial"/>
          <w:sz w:val="16"/>
          <w:szCs w:val="16"/>
          <w:color w:val="auto"/>
        </w:rPr>
        <w:t>By: /s/ Christopher S.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S. Guinta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2" w:right="43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68"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DESCRIPTION OF REGISTRANT’S SECURITIES REGISTERED PURSUANT TO SECTION 12 OF THE SECURITIES EXCHANGE ACT OF 1934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CAPITAL STOCK</w:t>
      </w:r>
    </w:p>
    <w:p>
      <w:pPr>
        <w:spacing w:after="0" w:line="239" w:lineRule="exact"/>
        <w:rPr>
          <w:sz w:val="20"/>
          <w:szCs w:val="20"/>
          <w:color w:val="auto"/>
        </w:rPr>
      </w:pPr>
    </w:p>
    <w:p>
      <w:pPr>
        <w:ind w:right="60" w:firstLine="360"/>
        <w:spacing w:after="0" w:line="236" w:lineRule="auto"/>
        <w:rPr>
          <w:sz w:val="20"/>
          <w:szCs w:val="20"/>
          <w:color w:val="auto"/>
        </w:rPr>
      </w:pPr>
      <w:r>
        <w:rPr>
          <w:rFonts w:ascii="Arial" w:cs="Arial" w:eastAsia="Arial" w:hAnsi="Arial"/>
          <w:sz w:val="22"/>
          <w:szCs w:val="22"/>
          <w:color w:val="auto"/>
        </w:rPr>
        <w:t>The following description of capital stock of New Fortress Energy Inc. (the “Company,” “NFE,” “our” or “we”) is based upon the provisions of the General Corporation Law of the State of Delaware (the “DGCL”), the Certificate of Incorporation of New Fortress Energy Inc. (the “Certificate of Incorporation”) and the Bylaws of New Fortress Energy Inc. (the “Bylaws”). The summary is not complete and is subject to, and is qualified in its entirety by express reference to, the provisions of applicable law and to the Certificate of Incorporation and the Bylaws.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Authorized Shares</w:t>
      </w:r>
    </w:p>
    <w:p>
      <w:pPr>
        <w:spacing w:after="0" w:line="239"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Under our Certificate of Incorporation, we are authorized to issue up to 750 million Class A shares, each having a par value of one cent ($0.01), 50 million Class B shares, each having a par value of one cent ($0.01), and 200 million preferred shares, each having a par value of one cent ($0.01). Our Class A shares are registered pursuant to Section 12 of the Securities Exchange Act of 1934, as amended (the “Exchange Act”), and are listed on the Nasdaq Global Select Market (“NASDAQ”) under the symbol “NFE.” Our Class B shares are not registered pursuant to Section 12 of the Exchange Act nor listed on any securities exchange. As of July 30, 2020, there were 168,706,396 Class A shares outstanding. As of the date hereof, there are no Class B shares or preferred shares outstanding.</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Shares</w:t>
      </w:r>
    </w:p>
    <w:p>
      <w:pPr>
        <w:spacing w:after="0" w:line="24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Holders of Class A shares are entitled to one vote per share held of record on all matters to be voted upon by the shareholders.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Class A shares and Class B shares 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A shares do not have cumulative voting rights in the election of directors.</w:t>
      </w:r>
    </w:p>
    <w:p>
      <w:pPr>
        <w:spacing w:after="0" w:line="188"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our Class A shares are entitled to ratably receive dividends when and if declared by our board of directors out of funds</w:t>
      </w:r>
      <w:r>
        <w:rPr>
          <w:rFonts w:ascii="Arial" w:cs="Arial" w:eastAsia="Arial" w:hAnsi="Arial"/>
          <w:sz w:val="18"/>
          <w:szCs w:val="18"/>
          <w:i w:val="1"/>
          <w:iCs w:val="1"/>
          <w:color w:val="auto"/>
        </w:rPr>
        <w:t xml:space="preserve"> </w:t>
      </w:r>
      <w:r>
        <w:rPr>
          <w:rFonts w:ascii="Arial" w:cs="Arial" w:eastAsia="Arial" w:hAnsi="Arial"/>
          <w:sz w:val="18"/>
          <w:szCs w:val="18"/>
          <w:color w:val="auto"/>
        </w:rPr>
        <w:t>legally available for that purpose, subject to any statutory or contractual restrictions on the payment of dividends and to any prior rights and preferences that may be applicable to any outstanding preferred shares.</w:t>
      </w:r>
    </w:p>
    <w:p>
      <w:pPr>
        <w:spacing w:after="0" w:line="21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Upon our dissolution, liquidation or winding up, after payment in full of all amounts required to be paid to creditors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preferred shares having liquidation preferences, if any, the holders of our Class A shares will be entitled to receive our remaining assets available for distribution in accordance with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ind w:right="440" w:firstLine="324"/>
        <w:spacing w:after="0" w:line="342" w:lineRule="auto"/>
        <w:rPr>
          <w:sz w:val="20"/>
          <w:szCs w:val="20"/>
          <w:color w:val="auto"/>
        </w:rPr>
      </w:pPr>
      <w:r>
        <w:rPr>
          <w:rFonts w:ascii="Arial" w:cs="Arial" w:eastAsia="Arial" w:hAnsi="Arial"/>
          <w:sz w:val="16"/>
          <w:szCs w:val="16"/>
          <w:i w:val="1"/>
          <w:iCs w:val="1"/>
          <w:color w:val="auto"/>
        </w:rPr>
        <w:t>Other Matters</w:t>
      </w:r>
      <w:r>
        <w:rPr>
          <w:rFonts w:ascii="Arial" w:cs="Arial" w:eastAsia="Arial" w:hAnsi="Arial"/>
          <w:sz w:val="16"/>
          <w:szCs w:val="16"/>
          <w:color w:val="auto"/>
        </w:rPr>
        <w:t>. The Class A shares have no preemptive or conversion rights and are not subject to further calls or assessment by us. There are no</w:t>
      </w:r>
      <w:r>
        <w:rPr>
          <w:rFonts w:ascii="Arial" w:cs="Arial" w:eastAsia="Arial" w:hAnsi="Arial"/>
          <w:sz w:val="16"/>
          <w:szCs w:val="16"/>
          <w:i w:val="1"/>
          <w:iCs w:val="1"/>
          <w:color w:val="auto"/>
        </w:rPr>
        <w:t xml:space="preserve"> </w:t>
      </w:r>
      <w:r>
        <w:rPr>
          <w:rFonts w:ascii="Arial" w:cs="Arial" w:eastAsia="Arial" w:hAnsi="Arial"/>
          <w:sz w:val="16"/>
          <w:szCs w:val="16"/>
          <w:color w:val="auto"/>
        </w:rPr>
        <w:t>redemption or sinking fund provisions applicable to the Class A shares. All outstanding Class A shares are fully paid and non-assessable.</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B Shares</w:t>
      </w:r>
    </w:p>
    <w:p>
      <w:pPr>
        <w:spacing w:after="0" w:line="24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Generally</w:t>
      </w:r>
      <w:r>
        <w:rPr>
          <w:rFonts w:ascii="Arial" w:cs="Arial" w:eastAsia="Arial" w:hAnsi="Arial"/>
          <w:sz w:val="18"/>
          <w:szCs w:val="18"/>
          <w:color w:val="auto"/>
        </w:rPr>
        <w:t>. Prior to the exchange of all of the units (the “NFI LLC Units”) (other than NFI LLC Units owned by NFE or its subsidiaries) of New</w:t>
      </w:r>
      <w:r>
        <w:rPr>
          <w:rFonts w:ascii="Arial" w:cs="Arial" w:eastAsia="Arial" w:hAnsi="Arial"/>
          <w:sz w:val="18"/>
          <w:szCs w:val="18"/>
          <w:i w:val="1"/>
          <w:iCs w:val="1"/>
          <w:color w:val="auto"/>
        </w:rPr>
        <w:t xml:space="preserve"> </w:t>
      </w:r>
      <w:r>
        <w:rPr>
          <w:rFonts w:ascii="Arial" w:cs="Arial" w:eastAsia="Arial" w:hAnsi="Arial"/>
          <w:sz w:val="18"/>
          <w:szCs w:val="18"/>
          <w:color w:val="auto"/>
        </w:rPr>
        <w:t>Fortress Intermediate LLC (“NFI”) and all of the Class B shares for Class A shares (the “Exchange Transactions”), the NFI unitholders held one Class B share for each NFI LLC Unit that they held. Accordingly, prior to the Exchange Transactions, the NFI unitholders had a number of votes in NFE equal to the aggregate number of NFI LLC Units that they held. Following the Exchange Transactions and as of the date hereof, there are no Class B shares outstanding and all of the NFI LLC Units are owned by NFE or its subsidiaries. Class B shares cannot be transferred without transferring an equal number of NFI LLC Units and vice versa.</w:t>
      </w:r>
    </w:p>
    <w:p>
      <w:pPr>
        <w:spacing w:after="0" w:line="219"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Holders of our Class B shares are entitled to one vote per share held of record on all matters to be voted upon by the shareholders.</w:t>
      </w:r>
      <w:r>
        <w:rPr>
          <w:rFonts w:ascii="Arial" w:cs="Arial" w:eastAsia="Arial" w:hAnsi="Arial"/>
          <w:sz w:val="16"/>
          <w:szCs w:val="16"/>
          <w:i w:val="1"/>
          <w:iCs w:val="1"/>
          <w:color w:val="auto"/>
        </w:rPr>
        <w:t xml:space="preserve"> </w:t>
      </w:r>
      <w:r>
        <w:rPr>
          <w:rFonts w:ascii="Arial" w:cs="Arial" w:eastAsia="Arial" w:hAnsi="Arial"/>
          <w:sz w:val="16"/>
          <w:szCs w:val="16"/>
          <w:color w:val="auto"/>
        </w:rPr>
        <w:t>Holders of our Class A shares and Class B shares vote together as a single class on all matters presented to our shareholders for their vote or approval, except that the amendment of certain provisions of our Certificate of Incorporation or Bylaws that would have a material adverse effect on the rights or preferences of any class or series of shares in relation to other classes or series of shares must be approved by the holders of a majority of the outstanding shares of the class or series affected. The holders of Class B shares do not have cumulative voting rights in the election of directors.</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Dividend and Liquidation Rights</w:t>
      </w:r>
      <w:r>
        <w:rPr>
          <w:rFonts w:ascii="Arial" w:cs="Arial" w:eastAsia="Arial" w:hAnsi="Arial"/>
          <w:sz w:val="18"/>
          <w:szCs w:val="18"/>
          <w:color w:val="auto"/>
        </w:rPr>
        <w:t>. Holders of our Class B shares do not have any right to receive dividends, unless the dividend consists of our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or of rights, options, warrants or other securities convertible or exercisable into or exchangeable for Class B shares paid proportionally with respect to each outstanding Class B share and a dividend consisting of Class A shares or of rights, options, warrants or other securities convertible or exercisable into or exchangeable for Class A shares on the same terms is simultaneously paid to the holders of Class A shares. Holders of our Class B shares do not have any right to receive a distribution upon our liquidation or winding up.</w:t>
      </w:r>
    </w:p>
    <w:p>
      <w:pPr>
        <w:spacing w:after="0" w:line="21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Pursuant to the limited liability company agreement of NFI, each holder of NFI LLC Units has the right to redeem his or her NFI</w:t>
      </w:r>
      <w:r>
        <w:rPr>
          <w:rFonts w:ascii="Arial" w:cs="Arial" w:eastAsia="Arial" w:hAnsi="Arial"/>
          <w:sz w:val="18"/>
          <w:szCs w:val="18"/>
          <w:i w:val="1"/>
          <w:iCs w:val="1"/>
          <w:color w:val="auto"/>
        </w:rPr>
        <w:t xml:space="preserve"> </w:t>
      </w:r>
      <w:r>
        <w:rPr>
          <w:rFonts w:ascii="Arial" w:cs="Arial" w:eastAsia="Arial" w:hAnsi="Arial"/>
          <w:sz w:val="18"/>
          <w:szCs w:val="18"/>
          <w:color w:val="auto"/>
        </w:rPr>
        <w:t>LLC Units, together with an equal number of Class B shares, for Class A shares (or cash at the Company’s election, subject to customary conversion rate adjustments for stock splits, stock dividends and reclassifications).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Preferred Shares</w:t>
      </w:r>
    </w:p>
    <w:p>
      <w:pPr>
        <w:spacing w:after="0" w:line="240" w:lineRule="exact"/>
        <w:rPr>
          <w:sz w:val="20"/>
          <w:szCs w:val="20"/>
          <w:color w:val="auto"/>
        </w:rPr>
      </w:pPr>
    </w:p>
    <w:p>
      <w:pPr>
        <w:ind w:right="20" w:firstLine="324"/>
        <w:spacing w:after="0" w:line="235" w:lineRule="auto"/>
        <w:rPr>
          <w:sz w:val="20"/>
          <w:szCs w:val="20"/>
          <w:color w:val="auto"/>
        </w:rPr>
      </w:pPr>
      <w:r>
        <w:rPr>
          <w:rFonts w:ascii="Arial" w:cs="Arial" w:eastAsia="Arial" w:hAnsi="Arial"/>
          <w:sz w:val="22"/>
          <w:szCs w:val="22"/>
          <w:color w:val="auto"/>
        </w:rPr>
        <w:t>Pursuant to our Certificate of Incorporation, our board of directors by resolution may establish one or more series of preferred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to the extent permitted by applicable law. The rights with respect to a series of preferred shares may be more favorable to the holder(s) thereof than the rights attached to our Class A shares.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Duties</w:t>
      </w:r>
    </w:p>
    <w:p>
      <w:pPr>
        <w:spacing w:after="0" w:line="233" w:lineRule="exact"/>
        <w:rPr>
          <w:sz w:val="20"/>
          <w:szCs w:val="20"/>
          <w:color w:val="auto"/>
        </w:rPr>
      </w:pPr>
    </w:p>
    <w:p>
      <w:pPr>
        <w:jc w:val="both"/>
        <w:ind w:firstLine="360"/>
        <w:spacing w:after="0"/>
        <w:rPr>
          <w:sz w:val="20"/>
          <w:szCs w:val="20"/>
          <w:color w:val="auto"/>
        </w:rPr>
      </w:pPr>
      <w:r>
        <w:rPr>
          <w:rFonts w:ascii="Arial" w:cs="Arial" w:eastAsia="Arial" w:hAnsi="Arial"/>
          <w:sz w:val="22"/>
          <w:szCs w:val="22"/>
          <w:color w:val="auto"/>
        </w:rPr>
        <w:t>American Stock Transfer &amp; Trust Company, LLC is the registrar and transfer agent for the Class A shares. We pay all fees charged by the transfer agent for transfers of Class A shares except the following, which must be paid by our Class A shareholders:</w:t>
      </w:r>
    </w:p>
    <w:p>
      <w:pPr>
        <w:spacing w:after="0" w:line="22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Class A share;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4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There are no charges to our Class A shareholders for disbursements of any dividends. We indemnify the transfer agent, its agents and each of their stockholders,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Resignation or Removal</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transfer agent may resign, by notice to us, or be removed by us.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of Class A shares and Class B shares</w:t>
      </w:r>
    </w:p>
    <w:p>
      <w:pPr>
        <w:spacing w:after="0" w:line="239"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Class A shares and Class B shares are securities and any transfers are subject to the laws governing the transfer of securities.</w:t>
      </w:r>
    </w:p>
    <w:p>
      <w:pPr>
        <w:spacing w:after="0" w:line="268" w:lineRule="exact"/>
        <w:rPr>
          <w:sz w:val="20"/>
          <w:szCs w:val="20"/>
          <w:color w:val="auto"/>
        </w:rPr>
      </w:pPr>
    </w:p>
    <w:p>
      <w:pPr>
        <w:ind w:right="160" w:firstLine="324"/>
        <w:spacing w:after="0"/>
        <w:rPr>
          <w:sz w:val="20"/>
          <w:szCs w:val="20"/>
          <w:color w:val="auto"/>
        </w:rPr>
      </w:pPr>
      <w:r>
        <w:rPr>
          <w:rFonts w:ascii="Arial" w:cs="Arial" w:eastAsia="Arial" w:hAnsi="Arial"/>
          <w:sz w:val="22"/>
          <w:szCs w:val="22"/>
          <w:color w:val="auto"/>
        </w:rPr>
        <w:t>Until a Class A share or Class B share has been transferred on our books, we and the transfer agent may treat the record holder of the Class A share or Class B share as the absolute owner for all purposes, except as otherwise required by law or stock exchange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22"/>
          <w:szCs w:val="22"/>
          <w:b w:val="1"/>
          <w:bCs w:val="1"/>
          <w:color w:val="auto"/>
        </w:rPr>
        <w:t>OUR CERTIFICATE OF INCORPORATION AND BYLAWS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Organization and Duration</w:t>
      </w:r>
    </w:p>
    <w:p>
      <w:pPr>
        <w:spacing w:after="0" w:line="239"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New Fortress Energy LLC was formed on August 6, 2018. On August 7, 2020, we converted from a Delaware limited liability company named New Fortress Energy LLC to a Delaware corporation named New Fortress Energy Inc. The Company will remain in existence until dissolved in accordance with the DGCL.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239" w:lineRule="exact"/>
        <w:rPr>
          <w:sz w:val="20"/>
          <w:szCs w:val="20"/>
          <w:color w:val="auto"/>
        </w:rPr>
      </w:pPr>
    </w:p>
    <w:p>
      <w:pPr>
        <w:ind w:firstLine="324"/>
        <w:spacing w:after="0"/>
        <w:rPr>
          <w:sz w:val="20"/>
          <w:szCs w:val="20"/>
          <w:color w:val="auto"/>
        </w:rPr>
      </w:pPr>
      <w:r>
        <w:rPr>
          <w:rFonts w:ascii="Arial" w:cs="Arial" w:eastAsia="Arial" w:hAnsi="Arial"/>
          <w:sz w:val="22"/>
          <w:szCs w:val="22"/>
          <w:color w:val="auto"/>
        </w:rPr>
        <w:t>Under our organizational documents, we are permitted to engage in any business activity that lawfully may be conducted by a corporation organized under Delaware law and, in connection therewith, to exercise all of the rights and powers conferred upon us pursuant to the agreements relating to such business activity.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 of Our Organizational Documents</w:t>
      </w:r>
    </w:p>
    <w:p>
      <w:pPr>
        <w:spacing w:after="0" w:line="239" w:lineRule="exact"/>
        <w:rPr>
          <w:sz w:val="20"/>
          <w:szCs w:val="20"/>
          <w:color w:val="auto"/>
        </w:rPr>
      </w:pPr>
    </w:p>
    <w:p>
      <w:pPr>
        <w:ind w:right="100" w:firstLine="324"/>
        <w:spacing w:after="0" w:line="236" w:lineRule="auto"/>
        <w:rPr>
          <w:sz w:val="20"/>
          <w:szCs w:val="20"/>
          <w:color w:val="auto"/>
        </w:rPr>
      </w:pPr>
      <w:r>
        <w:rPr>
          <w:rFonts w:ascii="Arial" w:cs="Arial" w:eastAsia="Arial" w:hAnsi="Arial"/>
          <w:sz w:val="22"/>
          <w:szCs w:val="22"/>
          <w:color w:val="auto"/>
        </w:rPr>
        <w:t>Amendments to our Certificate of Incorporation may be proposed only by or with the consent of our board of directors. To adopt a proposed amendment to our Certificate of Incorporation or Bylaws, our board of directors is generally required to seek written approval of the holders of the number of shares required to approve the amendment or call a meeting of our shareholders to consider and vote upon the proposed amendment. Except as set forth below, an amendment must be approved by holders of a majority of the outstanding shares.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Prohibited Amendments</w:t>
      </w:r>
      <w:r>
        <w:rPr>
          <w:rFonts w:ascii="Arial" w:cs="Arial" w:eastAsia="Arial" w:hAnsi="Arial"/>
          <w:sz w:val="18"/>
          <w:szCs w:val="18"/>
          <w:color w:val="auto"/>
        </w:rPr>
        <w:t>. No amendment may be made that would:</w:t>
      </w:r>
    </w:p>
    <w:p>
      <w:pPr>
        <w:spacing w:after="0" w:line="252" w:lineRule="exact"/>
        <w:rPr>
          <w:sz w:val="20"/>
          <w:szCs w:val="20"/>
          <w:color w:val="auto"/>
        </w:rPr>
      </w:pPr>
    </w:p>
    <w:p>
      <w:pPr>
        <w:ind w:left="980" w:right="24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such shareholder’s consent, unless approved by at least a majority of the type or class of shares so affected; or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the term of existence of our company.</w:t>
      </w:r>
    </w:p>
    <w:p>
      <w:pPr>
        <w:spacing w:after="0" w:line="245" w:lineRule="exact"/>
        <w:rPr>
          <w:sz w:val="20"/>
          <w:szCs w:val="20"/>
          <w:color w:val="auto"/>
        </w:rPr>
      </w:pPr>
    </w:p>
    <w:p>
      <w:pPr>
        <w:ind w:right="100" w:firstLine="324"/>
        <w:spacing w:after="0" w:line="274" w:lineRule="auto"/>
        <w:rPr>
          <w:sz w:val="20"/>
          <w:szCs w:val="20"/>
          <w:color w:val="auto"/>
        </w:rPr>
      </w:pPr>
      <w:r>
        <w:rPr>
          <w:rFonts w:ascii="Arial" w:cs="Arial" w:eastAsia="Arial" w:hAnsi="Arial"/>
          <w:sz w:val="21"/>
          <w:szCs w:val="21"/>
          <w:color w:val="auto"/>
        </w:rPr>
        <w:t>The provision of our organizational documents preventing the amendments having the effects described in any of the clauses above can be amended upon the approval of holders of at least two-thirds of the outstanding shares.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No Shareholder Approval</w:t>
      </w:r>
      <w:r>
        <w:rPr>
          <w:rFonts w:ascii="Arial" w:cs="Arial" w:eastAsia="Arial" w:hAnsi="Arial"/>
          <w:sz w:val="16"/>
          <w:szCs w:val="16"/>
          <w:color w:val="auto"/>
        </w:rPr>
        <w:t>. Our board of directors may generally make amendments to our Bylaws, and in certain circumstances to our Certificate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Incorporation, without the approval of any shareholder or assignee to reflect:</w:t>
      </w:r>
    </w:p>
    <w:p>
      <w:pPr>
        <w:spacing w:after="0" w:line="238"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change in our name, the location of our principal place of our business, our registered agent or our registered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 w:name="page9"/>
    <w:bookmarkEnd w:id="8"/>
    <w:p>
      <w:pPr>
        <w:ind w:left="980" w:hanging="324"/>
        <w:spacing w:after="0" w:line="27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amendment that our board of directors determines, based upon the advice of counsel, to be necessary or appropriate to prevent us, members of our board, or our officers, agents or trustees from in any manner being subjected to the provisions of the Investment Company Act of 1940, the Investment Advisers Act of 1940, or “plan asset” regulations adopted under the Employee Retirement Income Security Act of 1974, whether or not substantially similar to plan asset regulations currently applied or proposed;</w:t>
      </w:r>
    </w:p>
    <w:p>
      <w:pPr>
        <w:spacing w:after="0" w:line="198"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amendment that our board of directors determines to be necessary or appropriate for the authorization of additional securities;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amendment expressly permitted in our organizational documents to be made by our board of directors acting alone;</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 merger agreement that has been approved under the terms of our organizational documents;</w:t>
      </w:r>
    </w:p>
    <w:p>
      <w:pPr>
        <w:spacing w:after="0" w:line="197"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amendment that our board of directors determines to be necessary or appropriate for the formation by us of, or our investment in, any corporation, partnership or other entity, as otherwise permitted by our organizational documents;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the clauses above.</w:t>
      </w:r>
    </w:p>
    <w:p>
      <w:pPr>
        <w:spacing w:after="0" w:line="245"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In addition, our board of directors may make amendments to our Bylaws without the approval of any shareholder or assignee if our board of directors determines that those amendments:</w:t>
      </w:r>
    </w:p>
    <w:p>
      <w:pPr>
        <w:spacing w:after="0" w:line="20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not adversely affect the shareholders in any material respect;</w:t>
      </w:r>
    </w:p>
    <w:p>
      <w:pPr>
        <w:spacing w:after="0" w:line="252"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97" w:lineRule="exact"/>
        <w:rPr>
          <w:rFonts w:ascii="Arial" w:cs="Arial" w:eastAsia="Arial" w:hAnsi="Arial"/>
          <w:sz w:val="18"/>
          <w:szCs w:val="18"/>
          <w:color w:val="auto"/>
        </w:rPr>
      </w:pPr>
    </w:p>
    <w:p>
      <w:pPr>
        <w:ind w:left="980" w:right="180" w:hanging="324"/>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shares or to comply with any rule, regulation, guideline or requirement of any securities exchange on which the shares are or will be listed for trading, compliance with any of which our board of directors deems to be in the best interests of us and our shareholders;</w:t>
      </w:r>
    </w:p>
    <w:p>
      <w:pPr>
        <w:spacing w:after="0" w:line="21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board of directors relating to splits or combinations of shares under the provisions of our Bylaws; or</w:t>
      </w:r>
    </w:p>
    <w:p>
      <w:pPr>
        <w:spacing w:after="0" w:line="197"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required to effect the intent of the provisions of our organizational documents or are otherwise contemplated by our organizational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Merger, Sale or Other Disposition of Assets</w:t>
      </w:r>
    </w:p>
    <w:p>
      <w:pPr>
        <w:spacing w:after="0" w:line="240" w:lineRule="exact"/>
        <w:rPr>
          <w:sz w:val="20"/>
          <w:szCs w:val="20"/>
          <w:color w:val="auto"/>
        </w:rPr>
      </w:pPr>
    </w:p>
    <w:p>
      <w:pPr>
        <w:ind w:right="20" w:firstLine="324"/>
        <w:spacing w:after="0" w:line="277" w:lineRule="auto"/>
        <w:rPr>
          <w:sz w:val="20"/>
          <w:szCs w:val="20"/>
          <w:color w:val="auto"/>
        </w:rPr>
      </w:pPr>
      <w:r>
        <w:rPr>
          <w:rFonts w:ascii="Arial" w:cs="Arial" w:eastAsia="Arial" w:hAnsi="Arial"/>
          <w:sz w:val="19"/>
          <w:szCs w:val="19"/>
          <w:color w:val="auto"/>
        </w:rPr>
        <w:t>Pursuant to the provisions of the DGCL, our board of directors is generally prohibited, without the prior approval of holders of a majority of the total combined voting power of all of our Class A shares and Class B shares, from causing us to, among other things, merge, sell, exchange or otherwise dispose of all or substantially all of our assets in a single transaction or a series of related transactions, or approving on our behalf the sale, exchange or other disposition of all or substantially all of our assets, provided that our board of directors may mortgage, pledge, hypothecate or grant a security interest in all or substantially all of our assets without the approval of any shareholder. Our board of directors may also sell all or substantially all of our assets under a foreclosure or other realization upon the encumbrances above without that approval.</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Books and Reports</w:t>
      </w:r>
    </w:p>
    <w:p>
      <w:pPr>
        <w:spacing w:after="0" w:line="239" w:lineRule="exact"/>
        <w:rPr>
          <w:sz w:val="20"/>
          <w:szCs w:val="20"/>
          <w:color w:val="auto"/>
        </w:rPr>
      </w:pPr>
    </w:p>
    <w:p>
      <w:pPr>
        <w:ind w:right="80" w:firstLine="324"/>
        <w:spacing w:after="0"/>
        <w:rPr>
          <w:sz w:val="20"/>
          <w:szCs w:val="20"/>
          <w:color w:val="auto"/>
        </w:rPr>
      </w:pPr>
      <w:r>
        <w:rPr>
          <w:rFonts w:ascii="Arial" w:cs="Arial" w:eastAsia="Arial" w:hAnsi="Arial"/>
          <w:sz w:val="22"/>
          <w:szCs w:val="22"/>
          <w:color w:val="auto"/>
        </w:rPr>
        <w:t>We are required to keep appropriate books of our business at our principal offices. The books are maintained for both tax and financial reporting purposes on an accrual basis. For financial reporting purposes and for tax purposes, our fiscal year is the calendar year.</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Delaware Law and Our Organizational Documents</w:t>
      </w:r>
    </w:p>
    <w:p>
      <w:pPr>
        <w:spacing w:after="0" w:line="239"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The following is a summary of certain provisions of our organizational documents that may be deemed to have an anti-takeover effect and may delay, deter or prevent a tender offer or takeover attempt that a shareholder might consider to be in its best interest, including those attempts that might result in a premium over the market price for the Class A shares held by Class A shareholders.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Issuance of Additional Interests</w:t>
      </w:r>
    </w:p>
    <w:p>
      <w:pPr>
        <w:spacing w:after="0" w:line="233" w:lineRule="exact"/>
        <w:rPr>
          <w:sz w:val="20"/>
          <w:szCs w:val="20"/>
          <w:color w:val="auto"/>
        </w:rPr>
      </w:pPr>
    </w:p>
    <w:p>
      <w:pPr>
        <w:ind w:right="200" w:firstLine="324"/>
        <w:spacing w:after="0" w:line="235" w:lineRule="auto"/>
        <w:rPr>
          <w:sz w:val="20"/>
          <w:szCs w:val="20"/>
          <w:color w:val="auto"/>
        </w:rPr>
      </w:pPr>
      <w:r>
        <w:rPr>
          <w:rFonts w:ascii="Arial" w:cs="Arial" w:eastAsia="Arial" w:hAnsi="Arial"/>
          <w:sz w:val="22"/>
          <w:szCs w:val="22"/>
          <w:color w:val="auto"/>
        </w:rPr>
        <w:t>Our organizational documents authorize us to issue up to 750 million Class A shares, 50 million Class B shares and 200 million preferred shares for the consideration and on the terms and conditions determined by our board of directors without the approval of the shareholders, subject to the requirements of NASDAQ. These additional shares may be utilized for a variety of corporate purposes, including future offerings to raise additional capital and corporate acquisitions. The existence of authorized but unissued shares could render more difficult or discourage an attempt to obtain control over us by means of a proxy contest, tender offer, merger or otherwise.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Business Combination Statute—Section 203</w:t>
      </w:r>
    </w:p>
    <w:p>
      <w:pPr>
        <w:spacing w:after="0" w:line="233" w:lineRule="exact"/>
        <w:rPr>
          <w:sz w:val="20"/>
          <w:szCs w:val="20"/>
          <w:color w:val="auto"/>
        </w:rPr>
      </w:pPr>
    </w:p>
    <w:p>
      <w:pPr>
        <w:ind w:right="340" w:firstLine="324"/>
        <w:spacing w:after="0" w:line="250" w:lineRule="auto"/>
        <w:rPr>
          <w:sz w:val="20"/>
          <w:szCs w:val="20"/>
          <w:color w:val="auto"/>
        </w:rPr>
      </w:pPr>
      <w:r>
        <w:rPr>
          <w:rFonts w:ascii="Arial" w:cs="Arial" w:eastAsia="Arial" w:hAnsi="Arial"/>
          <w:sz w:val="22"/>
          <w:szCs w:val="22"/>
          <w:color w:val="auto"/>
        </w:rPr>
        <w:t>We are a corporation organized under Delaware law. Some provisions of Delaware law may delay or prevent a transaction that would cause a change in our control.</w:t>
      </w:r>
    </w:p>
    <w:p>
      <w:pPr>
        <w:spacing w:after="0" w:line="202" w:lineRule="exact"/>
        <w:rPr>
          <w:sz w:val="20"/>
          <w:szCs w:val="20"/>
          <w:color w:val="auto"/>
        </w:rPr>
      </w:pPr>
    </w:p>
    <w:p>
      <w:pPr>
        <w:ind w:right="20" w:firstLine="324"/>
        <w:spacing w:after="0" w:line="238" w:lineRule="auto"/>
        <w:rPr>
          <w:sz w:val="20"/>
          <w:szCs w:val="20"/>
          <w:color w:val="auto"/>
        </w:rPr>
      </w:pPr>
      <w:r>
        <w:rPr>
          <w:rFonts w:ascii="Arial" w:cs="Arial" w:eastAsia="Arial" w:hAnsi="Arial"/>
          <w:sz w:val="22"/>
          <w:szCs w:val="22"/>
          <w:color w:val="auto"/>
        </w:rPr>
        <w:t>Section 203 of the DGCL restricts certain business combinations with interested stockholders in certain situations. In general, this statute prohibits a publicly held Delaware corporation from engaging in a business combination with an interested stockholder for a period of three years after the date of the transaction by which that person became an interested stockholder, unless the business combination is approved in a prescribed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0" w:name="page11"/>
    <w:bookmarkEnd w:id="10"/>
    <w:p>
      <w:pPr>
        <w:ind w:right="260" w:firstLine="324"/>
        <w:spacing w:after="0" w:line="258" w:lineRule="auto"/>
        <w:rPr>
          <w:sz w:val="20"/>
          <w:szCs w:val="20"/>
          <w:color w:val="auto"/>
        </w:rPr>
      </w:pPr>
      <w:r>
        <w:rPr>
          <w:rFonts w:ascii="Arial" w:cs="Arial" w:eastAsia="Arial" w:hAnsi="Arial"/>
          <w:sz w:val="21"/>
          <w:szCs w:val="21"/>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shareholder became an interested stockholder, unless:</w:t>
      </w:r>
    </w:p>
    <w:p>
      <w:pPr>
        <w:spacing w:after="0" w:line="201" w:lineRule="exact"/>
        <w:rPr>
          <w:sz w:val="20"/>
          <w:szCs w:val="20"/>
          <w:color w:val="auto"/>
        </w:rPr>
      </w:pPr>
    </w:p>
    <w:p>
      <w:pPr>
        <w:ind w:left="980" w:right="5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shareholder becoming an interested stockholder;</w:t>
      </w:r>
    </w:p>
    <w:p>
      <w:pPr>
        <w:spacing w:after="0" w:line="19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shareholder becoming an interested stockholder, the interested stockholder owned at least 85% of our voting stock outstanding at the time the transaction commenced, excluding certain shares; or</w:t>
      </w:r>
    </w:p>
    <w:p>
      <w:pPr>
        <w:spacing w:after="0" w:line="173" w:lineRule="exact"/>
        <w:rPr>
          <w:rFonts w:ascii="Arial" w:cs="Arial" w:eastAsia="Arial" w:hAnsi="Arial"/>
          <w:sz w:val="17"/>
          <w:szCs w:val="17"/>
          <w:color w:val="auto"/>
        </w:rPr>
      </w:pPr>
    </w:p>
    <w:p>
      <w:pPr>
        <w:ind w:left="980" w:right="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19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9"/>
          <w:szCs w:val="19"/>
          <w:color w:val="auto"/>
        </w:rPr>
        <w:t>The restrictions described above do not apply if (a) the Company does not have a class of voting stock that is: (i) listed on a national securities exchange; or (ii) held of record by more than 2,000 shareholders, unless any of the foregoing results from action taken, directly or indirectly, by an interested stockholder or from a transaction in which a person becomes an interested stockholder; or (b) a shareholder becomes an interested stockholder inadvertently and (i) as soon as practicable divests itself of ownership of sufficient shares so that the shareholder ceases to be an interested stockholder; and (ii) would not, at any time within the three year period immediately prior to a business combination between the Company and such shareholder, have been an interested stockholder but for the inadvertent acquisition of ownership.</w:t>
      </w:r>
    </w:p>
    <w:p>
      <w:pPr>
        <w:spacing w:after="0" w:line="186"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Generally, a “business combination” includes a merger, asset or stock sale or other transaction resulting in a financial benefit to the interested stockholder.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Our Certificate of Incorporation provides that certain entities controlled by Wesley R. Edens and Randal A. Nardone (the “Consenting Entities”) and NFE SMRS Holdings LLC and any of their respective direct or indirect transferees (except in the context of a public offering), and any group as to which such persons are a party, do not constitute “interested stockholders” for purposes of this provision. Additionally, the “interested stockholders” definition does not include any person whose ownership of shares in excess of 15% of our outstanding voting stock is the result of any action taken solely by us. For purposes of this description only, “voting stock” has the meaning given to it in Section 203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ind w:firstLine="324"/>
        <w:spacing w:after="0" w:line="279" w:lineRule="auto"/>
        <w:rPr>
          <w:sz w:val="20"/>
          <w:szCs w:val="20"/>
          <w:color w:val="auto"/>
        </w:rPr>
      </w:pPr>
      <w:r>
        <w:rPr>
          <w:rFonts w:ascii="Arial" w:cs="Arial" w:eastAsia="Arial" w:hAnsi="Arial"/>
          <w:sz w:val="19"/>
          <w:szCs w:val="19"/>
          <w:color w:val="auto"/>
        </w:rPr>
        <w:t>Under certain circumstances, this provision makes it more difficult for a person who is an “interested stockholder”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approved either the business combination or the transaction which resulted in the shareholder becoming an interested stockholder. These provisions also may have the effect of preventing changes in our board of directors and may make it more difficult to accomplish transactions which shareholders may otherwise deem to be in their best interests.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Provisions of Our Organizational Documents</w:t>
      </w:r>
    </w:p>
    <w:p>
      <w:pPr>
        <w:spacing w:after="0" w:line="233" w:lineRule="exact"/>
        <w:rPr>
          <w:sz w:val="20"/>
          <w:szCs w:val="20"/>
          <w:color w:val="auto"/>
        </w:rPr>
      </w:pPr>
    </w:p>
    <w:p>
      <w:pPr>
        <w:ind w:firstLine="324"/>
        <w:spacing w:after="0" w:line="274" w:lineRule="auto"/>
        <w:rPr>
          <w:sz w:val="20"/>
          <w:szCs w:val="20"/>
          <w:color w:val="auto"/>
        </w:rPr>
      </w:pPr>
      <w:r>
        <w:rPr>
          <w:rFonts w:ascii="Arial" w:cs="Arial" w:eastAsia="Arial" w:hAnsi="Arial"/>
          <w:sz w:val="19"/>
          <w:szCs w:val="19"/>
          <w:color w:val="auto"/>
        </w:rPr>
        <w:t>Our Certificate of Incorporation provides that our board shall consist of not fewer than one and not more than fifteen directors as the board of directors may from time to time determine, subject to the consent rights of the Consenting Entities described under “Description of Capital Stock—Consent Rights” below. Our board of directors is divided into three classes that are, as nearly as possible, of equal size. Each class of directors is elected for a three-year term of office, but the terms are staggered so that the term of only one class of directors expires at each annual general meeting. We believe that classification of our board of directors will help to assure the continuity and stability of our business strategies and policies as determined by our board of directors. Additionally, there is no cumulative voting in the election of directors. This classified board provision could have the effect of making the replacement of incumbent directors more time consuming and difficult. At least two annual meetings of shareholders, instead of one, will generally be required to effect a change in a majority of our board of directors.</w:t>
      </w:r>
    </w:p>
    <w:p>
      <w:pPr>
        <w:spacing w:after="0" w:line="185" w:lineRule="exact"/>
        <w:rPr>
          <w:sz w:val="20"/>
          <w:szCs w:val="20"/>
          <w:color w:val="auto"/>
        </w:rPr>
      </w:pPr>
    </w:p>
    <w:p>
      <w:pPr>
        <w:ind w:right="20" w:firstLine="324"/>
        <w:spacing w:after="0"/>
        <w:rPr>
          <w:sz w:val="20"/>
          <w:szCs w:val="20"/>
          <w:color w:val="auto"/>
        </w:rPr>
      </w:pPr>
      <w:r>
        <w:rPr>
          <w:rFonts w:ascii="Arial" w:cs="Arial" w:eastAsia="Arial" w:hAnsi="Arial"/>
          <w:sz w:val="22"/>
          <w:szCs w:val="22"/>
          <w:color w:val="auto"/>
        </w:rPr>
        <w:t>The classified board provision could increase the likelihood that incumbent directors will retain their positions. The staggered terms of directors may delay, defer or prevent a tender offer or an attempt to change control of us, even though a tender offer or change in control might be believed by our shareholders to be in their best interest.</w:t>
      </w:r>
    </w:p>
    <w:p>
      <w:pPr>
        <w:spacing w:after="0" w:line="213" w:lineRule="exact"/>
        <w:rPr>
          <w:sz w:val="20"/>
          <w:szCs w:val="20"/>
          <w:color w:val="auto"/>
        </w:rPr>
      </w:pPr>
    </w:p>
    <w:p>
      <w:pPr>
        <w:ind w:right="200" w:firstLine="324"/>
        <w:spacing w:after="0"/>
        <w:rPr>
          <w:sz w:val="20"/>
          <w:szCs w:val="20"/>
          <w:color w:val="auto"/>
        </w:rPr>
      </w:pPr>
      <w:r>
        <w:rPr>
          <w:rFonts w:ascii="Arial" w:cs="Arial" w:eastAsia="Arial" w:hAnsi="Arial"/>
          <w:sz w:val="22"/>
          <w:szCs w:val="22"/>
          <w:color w:val="auto"/>
        </w:rPr>
        <w:t>In addition, our board of directors shall have the power to appoint a person as a director to fill a vacancy on our board occurring as a result of the death, disability, disqualification, removal or resignation of a director, or as a result of an increase in the size of our board of directors.</w:t>
      </w:r>
    </w:p>
    <w:p>
      <w:pPr>
        <w:spacing w:after="0" w:line="213" w:lineRule="exact"/>
        <w:rPr>
          <w:sz w:val="20"/>
          <w:szCs w:val="20"/>
          <w:color w:val="auto"/>
        </w:rPr>
      </w:pPr>
    </w:p>
    <w:p>
      <w:pPr>
        <w:jc w:val="both"/>
        <w:ind w:right="160" w:firstLine="324"/>
        <w:spacing w:after="0"/>
        <w:rPr>
          <w:sz w:val="20"/>
          <w:szCs w:val="20"/>
          <w:color w:val="auto"/>
        </w:rPr>
      </w:pPr>
      <w:r>
        <w:rPr>
          <w:rFonts w:ascii="Arial" w:cs="Arial" w:eastAsia="Arial" w:hAnsi="Arial"/>
          <w:sz w:val="22"/>
          <w:szCs w:val="22"/>
          <w:color w:val="auto"/>
        </w:rPr>
        <w:t>Pursuant to our Certificate of Incorporation, preferred shares may be issued from time to time, and the board of directors is authorized to determine and alter all designations, preferences, rights, powers and duties without limitation. See “Description of Capital Stock—Preferred Shares.”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Ability of Our Shareholders to Act</w:t>
      </w:r>
    </w:p>
    <w:p>
      <w:pPr>
        <w:spacing w:after="0" w:line="233" w:lineRule="exact"/>
        <w:rPr>
          <w:sz w:val="20"/>
          <w:szCs w:val="20"/>
          <w:color w:val="auto"/>
        </w:rPr>
      </w:pPr>
    </w:p>
    <w:p>
      <w:pPr>
        <w:ind w:right="60" w:firstLine="324"/>
        <w:spacing w:after="0" w:line="246" w:lineRule="auto"/>
        <w:rPr>
          <w:sz w:val="20"/>
          <w:szCs w:val="20"/>
          <w:color w:val="auto"/>
        </w:rPr>
      </w:pPr>
      <w:r>
        <w:rPr>
          <w:rFonts w:ascii="Arial" w:cs="Arial" w:eastAsia="Arial" w:hAnsi="Arial"/>
          <w:sz w:val="21"/>
          <w:szCs w:val="21"/>
          <w:color w:val="auto"/>
        </w:rPr>
        <w:t>Our organizational documents do not permit our shareholders to call special shareholders meetings, except that if any Consenting Entities or their affiliates collectively own outstanding voting shares that represent a majority of the total combined voting power of all of our outstanding Class A shares and Class B shares then entitled to vote at an election of directors, such Consenting Entities may call a special meeting of the shareholders. Special meetings of shareholders may be called by a majority of the board of directors or a committee of the board of directors that has been duly designated by the board of directors and whose powers include the authority to call such meetings. Written notice of any special meeting so called shall be given to each shareholder of record entitled to vote at such meeting not less than 10 or more than 60 days before the date of such meeting, unless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ind w:right="100" w:firstLine="324"/>
        <w:spacing w:after="0" w:line="287" w:lineRule="auto"/>
        <w:rPr>
          <w:sz w:val="20"/>
          <w:szCs w:val="20"/>
          <w:color w:val="auto"/>
        </w:rPr>
      </w:pPr>
      <w:r>
        <w:rPr>
          <w:rFonts w:ascii="Arial" w:cs="Arial" w:eastAsia="Arial" w:hAnsi="Arial"/>
          <w:sz w:val="19"/>
          <w:szCs w:val="19"/>
          <w:color w:val="auto"/>
        </w:rPr>
        <w:t>Our organizational documents permit our shareholders to consent in writing to take any action in lieu of taking such action at a duly called annual or special meeting of our shareholders if a consent or consents in writing, setting forth the action so taken, shall be signed by the shareholders having not less than the minimum number of votes that would be necessary to authorize or take such action at a meeting at which all shareholders entitled to vote thereon were present and voted.</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9"/>
          <w:szCs w:val="19"/>
          <w:color w:val="auto"/>
        </w:rPr>
        <w:t>Our organizational documents provide that nominations of persons for election to our board of directors may be made at any annual meeting of our shareholders, or at any special meeting of our shareholders called for the purpose of electing directors, (a) by or at the direction of our board of directors or (b) by certain shareholders. In addition to any other applicable requirements, for business to be properly brought before an annual meeting by a shareholder, such shareholder must have given timely notice thereof in proper written form to our secretary. To be timely, a shareholder’s notice must be delivered to or mailed and received at our principal executive offices (i) in the case of an annual meeting, not less than 90 days nor more than 120 days prior to the anniversary of the date on which we first made publicly available (whether by mailing, by filing with the SEC or by posting on an internet website) our proxy materials for the immediately preceding annual meeting of shareholders; provided, however, that in the event that the annual meeting is called for a date that is not within 30 days before or after such anniversary date, notice by a shareholder in order to be timely must be so received not later than the close of business on the tenth day following the day on which such notice of the date of the annual meeting was mailed or such public disclosure of the date of the annual meeting was made, whichever first occurs and (ii) in the case of a special meeting, not later than the tenth day following the day on which such notice of the date of the special meeting was mailed or such public disclosure of the date of the special meeting was made, whichever first occurs.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Removal of Members of Our Board of Directors</w:t>
      </w:r>
    </w:p>
    <w:p>
      <w:pPr>
        <w:spacing w:after="0" w:line="239" w:lineRule="exact"/>
        <w:rPr>
          <w:sz w:val="20"/>
          <w:szCs w:val="20"/>
          <w:color w:val="auto"/>
        </w:rPr>
      </w:pPr>
    </w:p>
    <w:p>
      <w:pPr>
        <w:ind w:right="60" w:firstLine="324"/>
        <w:spacing w:after="0" w:line="238" w:lineRule="auto"/>
        <w:rPr>
          <w:sz w:val="20"/>
          <w:szCs w:val="20"/>
          <w:color w:val="auto"/>
        </w:rPr>
      </w:pPr>
      <w:r>
        <w:rPr>
          <w:rFonts w:ascii="Arial" w:cs="Arial" w:eastAsia="Arial" w:hAnsi="Arial"/>
          <w:sz w:val="22"/>
          <w:szCs w:val="22"/>
          <w:color w:val="auto"/>
        </w:rPr>
        <w:t>A director or the entire board of directors may be removed, with or without cause, at any time, by holders of a majority of the total combined voting power of all of our outstanding Class A shares and Class B shares then entitled to vote at an election of directors. The vacancy in the board of directors caused by any such removal will be filled by a vote of the majority of directors then in office.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Forum Selection</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Our Bylaws provide that unless we consent in writing to the selection of an alternative forum, the Court of Chancery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State of Delaware will, to the fullest extent permitted by applicable law, be the sole and exclusive forum for:</w:t>
      </w:r>
    </w:p>
    <w:p>
      <w:pPr>
        <w:spacing w:after="0" w:line="22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980" w:righ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left="980" w:right="16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asserting a claim against us or any director or officer or other employee of ours arising pursuant to any provision of the DGCL or our organizational documents; or</w:t>
      </w:r>
    </w:p>
    <w:p>
      <w:pPr>
        <w:spacing w:after="0" w:line="19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action asserting a claim against us or any director or officer or other employee of ours that is governed by the internal affairs doctrine, in each such case subject to such Court of Chancery having personal jurisdiction over the indispensable parties named as defendants therein.</w:t>
      </w:r>
    </w:p>
    <w:p>
      <w:pPr>
        <w:spacing w:after="0" w:line="144" w:lineRule="exact"/>
        <w:rPr>
          <w:sz w:val="20"/>
          <w:szCs w:val="20"/>
          <w:color w:val="auto"/>
        </w:rPr>
      </w:pPr>
    </w:p>
    <w:p>
      <w:pPr>
        <w:ind w:right="140" w:firstLine="324"/>
        <w:spacing w:after="0" w:line="279" w:lineRule="auto"/>
        <w:rPr>
          <w:sz w:val="20"/>
          <w:szCs w:val="20"/>
          <w:color w:val="auto"/>
        </w:rPr>
      </w:pPr>
      <w:r>
        <w:rPr>
          <w:rFonts w:ascii="Arial" w:cs="Arial" w:eastAsia="Arial" w:hAnsi="Arial"/>
          <w:sz w:val="19"/>
          <w:szCs w:val="19"/>
          <w:color w:val="auto"/>
        </w:rPr>
        <w:t>The exclusive forum provision would not apply to suits brought to enforce any liability or duty created by the Securities Act of 1933, as amended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w:t>
      </w:r>
    </w:p>
    <w:p>
      <w:pPr>
        <w:spacing w:after="0" w:line="177" w:lineRule="exact"/>
        <w:rPr>
          <w:sz w:val="20"/>
          <w:szCs w:val="20"/>
          <w:color w:val="auto"/>
        </w:rPr>
      </w:pPr>
    </w:p>
    <w:p>
      <w:pPr>
        <w:ind w:firstLine="324"/>
        <w:spacing w:after="0" w:line="246" w:lineRule="auto"/>
        <w:rPr>
          <w:sz w:val="20"/>
          <w:szCs w:val="20"/>
          <w:color w:val="auto"/>
        </w:rPr>
      </w:pPr>
      <w:r>
        <w:rPr>
          <w:rFonts w:ascii="Arial" w:cs="Arial" w:eastAsia="Arial" w:hAnsi="Arial"/>
          <w:sz w:val="21"/>
          <w:szCs w:val="21"/>
          <w:color w:val="auto"/>
        </w:rPr>
        <w:t>Our Bylaws also provide that any person or entity purchasing or otherwise acquiring any interest in our shares will be deemed to have notice of, and to have consented to, this forum selection provision. Although we believe these provisions will benefit us by providing increased consistency in the application of Delaware law for the specified types of actions and proceedings, the provisions may have the effect of discouraging lawsuits against our directors, officers, employees and agents. The enforceability of similar exclusive forum provisions in other companies’ organizational documents has been challenged in legal proceedings, and it is possible that, in connection with one or more actions or proceedings described above, a court could rule that this provision in our Bylaws is inapplicable or unenforceable.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Consent Rights</w:t>
      </w:r>
    </w:p>
    <w:p>
      <w:pPr>
        <w:spacing w:after="0" w:line="239" w:lineRule="exact"/>
        <w:rPr>
          <w:sz w:val="20"/>
          <w:szCs w:val="20"/>
          <w:color w:val="auto"/>
        </w:rPr>
      </w:pPr>
    </w:p>
    <w:p>
      <w:pPr>
        <w:ind w:right="80" w:firstLine="324"/>
        <w:spacing w:after="0" w:line="287" w:lineRule="auto"/>
        <w:rPr>
          <w:sz w:val="20"/>
          <w:szCs w:val="20"/>
          <w:color w:val="auto"/>
        </w:rPr>
      </w:pPr>
      <w:r>
        <w:rPr>
          <w:rFonts w:ascii="Arial" w:cs="Arial" w:eastAsia="Arial" w:hAnsi="Arial"/>
          <w:sz w:val="19"/>
          <w:szCs w:val="19"/>
          <w:color w:val="auto"/>
        </w:rPr>
        <w:t>So long as the Consenting Entities or their affiliates collectively, directly or indirectly, own at least 30% of the outstanding Class A shares and Class B shares, we have agreed not to take, and will take all necessary action to cause our subsidiaries not to take, the following direct or indirect actions (or enter into an agreement to take such actions) without the prior consent of each of the Consenting Entities (so long as such Consenting Entity or its affiliates owns at least one share):</w:t>
      </w:r>
    </w:p>
    <w:p>
      <w:pPr>
        <w:spacing w:after="0" w:line="177" w:lineRule="exact"/>
        <w:rPr>
          <w:sz w:val="20"/>
          <w:szCs w:val="20"/>
          <w:color w:val="auto"/>
        </w:rPr>
      </w:pPr>
    </w:p>
    <w:p>
      <w:pPr>
        <w:ind w:left="980" w:right="82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material change, through any acquisition, disposition of assets or otherwise, in the nature of our business or operations and our subsidiaries as of February 4, 2019;</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terminating Wesley Edens as our chief executive officer or as Chairman of the Board of Directors and hiring or appointing his successor;</w:t>
      </w:r>
    </w:p>
    <w:p>
      <w:pPr>
        <w:spacing w:after="0" w:line="263" w:lineRule="exact"/>
        <w:rPr>
          <w:rFonts w:ascii="Arial" w:cs="Arial" w:eastAsia="Arial" w:hAnsi="Arial"/>
          <w:sz w:val="17"/>
          <w:szCs w:val="17"/>
          <w:color w:val="auto"/>
        </w:rPr>
      </w:pPr>
    </w:p>
    <w:p>
      <w:pPr>
        <w:ind w:left="980" w:right="24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transaction that, if consummated, would constitute a Change of Control (as defined in our Certificate of Incorporation) or entering into any definitive agreement or series of related agreements that govern any transaction or series of related transactions that, if consummated, would result in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ind w:left="980" w:right="7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of directors, committees of the board of directors and board and committees of our subsidiaries;</w:t>
      </w:r>
    </w:p>
    <w:p>
      <w:pPr>
        <w:spacing w:after="0" w:line="197"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voluntary election by us or any of our subsidiaries to liquidate or dissolve or commence bankruptcy or insolvency proceedings or the adoption of a plan with respect to any of the foregoing; and</w:t>
      </w:r>
    </w:p>
    <w:p>
      <w:pPr>
        <w:spacing w:after="0" w:line="19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amendment, modification or waiver of our organizational documents or any other of our governing documents following the date of our Certificate of Incorporation that materially and adversely affects any Consenting Entity or any of their affiliates.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Opportunity</w:t>
      </w:r>
    </w:p>
    <w:p>
      <w:pPr>
        <w:spacing w:after="0" w:line="23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9"/>
          <w:szCs w:val="19"/>
          <w:color w:val="auto"/>
        </w:rPr>
        <w:t>Under our Certificate of Incorporation, we renounce, to the fullest extent permitted by Section 122 (17) of the DGCL, any interest or expectancy of the Company in, or in being offered, an opportunity to participate in, any Business Opportunity. A “Business Opportunity” is any matter, transaction or interest that is presented to, or acquired, created or developed by, or which otherwise comes into the possession of, any of our directors who is not an employee of the Company (collectively, “Covered Persons”), unless such matter, transaction or interest is presented to, or acquired, created or developed by, or otherwise comes into the possession of, a Covered Person solely in such Covered Person’s capacity as a director of the Company.</w:t>
      </w:r>
    </w:p>
    <w:p>
      <w:pPr>
        <w:spacing w:after="0" w:line="177" w:lineRule="exact"/>
        <w:rPr>
          <w:sz w:val="20"/>
          <w:szCs w:val="20"/>
          <w:color w:val="auto"/>
        </w:rPr>
      </w:pPr>
    </w:p>
    <w:p>
      <w:pPr>
        <w:ind w:firstLine="324"/>
        <w:spacing w:after="0" w:line="279" w:lineRule="auto"/>
        <w:rPr>
          <w:sz w:val="20"/>
          <w:szCs w:val="20"/>
          <w:color w:val="auto"/>
        </w:rPr>
      </w:pPr>
      <w:r>
        <w:rPr>
          <w:rFonts w:ascii="Arial" w:cs="Arial" w:eastAsia="Arial" w:hAnsi="Arial"/>
          <w:sz w:val="19"/>
          <w:szCs w:val="19"/>
          <w:color w:val="auto"/>
        </w:rPr>
        <w:t>To the fullest extent permitted by law, we waive any claim against a Covered Person, and agree to indemnify all Covered Persons against any claim, that is based on fiduciary duties, the corporate opportunity doctrine or any other legal theory which could limit any Covered Person from pursuing or engaging in any Business Opportunity. Directors have no obligation under the Certificate of Incorporation or as a result of any duty expressed or implied by law to present Business Opportunities to the Company that may become available to affiliates of such director. None of the Company, any shareholder or any other person has any rights by virtue of a director’s duties as a director or our organizational documents in any business ventures of any director.</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Shareholders’ Agreement</w:t>
      </w:r>
    </w:p>
    <w:p>
      <w:pPr>
        <w:spacing w:after="0" w:line="239" w:lineRule="exact"/>
        <w:rPr>
          <w:sz w:val="20"/>
          <w:szCs w:val="20"/>
          <w:color w:val="auto"/>
        </w:rPr>
      </w:pPr>
    </w:p>
    <w:p>
      <w:pPr>
        <w:ind w:right="40" w:firstLine="324"/>
        <w:spacing w:after="0" w:line="277" w:lineRule="auto"/>
        <w:rPr>
          <w:sz w:val="20"/>
          <w:szCs w:val="20"/>
          <w:color w:val="auto"/>
        </w:rPr>
      </w:pPr>
      <w:r>
        <w:rPr>
          <w:rFonts w:ascii="Arial" w:cs="Arial" w:eastAsia="Arial" w:hAnsi="Arial"/>
          <w:sz w:val="19"/>
          <w:szCs w:val="19"/>
          <w:color w:val="auto"/>
        </w:rPr>
        <w:t>In connection with our initial public offering, we entered into a shareholders’ agreement (the “Shareholders’ Agreement”) with New Fortress Energy Holdings LLC, Wesley R. Edens and Randal A. Nardone. The Shareholders’ Agreement provides the Consenting Entities or their respective affiliates with the right to designate a certain number of individuals to be nominated for election to our board of directors so long as the Consenting Entities and their respective affiliates collectively beneficially own at least 5% of the outstanding Class A shares and Class B shares. The Shareholders’ Agreement also provides that the parties to the Shareholders’ Agreement (including certain direct or indirect former members of New Fortress Energy Holdings LLC) (i) shall vote their shares in favor of such nominees and (ii) are entitled to certain registration rights with respect to their Class A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2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19" Type="http://schemas.openxmlformats.org/officeDocument/2006/relationships/hyperlink" Target="http://www.sec.gov/Archives/edgar/data/1749723/000114036120017367/brhc10013767_ex99-2.htm" TargetMode="External"/><Relationship Id="rId20" Type="http://schemas.openxmlformats.org/officeDocument/2006/relationships/hyperlink" Target="http://www.sec.gov/Archives/edgar/data/1749723/000114036120017367/brhc10013767_ex99-3.htm" TargetMode="External"/><Relationship Id="rId21" Type="http://schemas.openxmlformats.org/officeDocument/2006/relationships/hyperlink" Target="http://www.sec.gov/Archives/edgar/data/1749723/000114036120017367/brhc10013767_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2020-08-07T05:36:49Z</dcterms:created>
  <dcterms:modified xsi:type="dcterms:W3CDTF">2020-08-07T05:36:49Z</dcterms:modified>
</cp:coreProperties>
</file>