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MACK JOHN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New Fortress Energy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NFE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 W. 19TH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8TH FLOOR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42.2019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1,326,013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42.2019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1,351,013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NFE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transfer of shares from grantor retained annuity trust to the reporting person. The reporting person believes that his transfer of shares from the trust constitutes only a change in form of indirect beneficial ownership of the shares, exempted by Rule 16a-13 under the Securities Exchange Act of 1934.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J. Mack, by Cameron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MacDougall as Attorney-</w:t>
        <w:tab/>
        <w:t>12/23/2022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2147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2022-12-23T19:55:46Z</dcterms:created>
  <dcterms:modified xsi:type="dcterms:W3CDTF">2022-12-23T19:55:46Z</dcterms:modified>
</cp:coreProperties>
</file>