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August 19, 2020</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846" w:right="339" w:bottom="1440" w:gutter="0" w:footer="0" w:header="0"/>
        </w:sectPr>
      </w:pPr>
    </w:p>
    <w:p>
      <w:pPr>
        <w:spacing w:after="0" w:line="2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right"/>
        <w:ind w:right="40"/>
        <w:spacing w:after="0"/>
        <w:rPr>
          <w:sz w:val="20"/>
          <w:szCs w:val="20"/>
          <w:color w:val="auto"/>
        </w:rPr>
      </w:pPr>
      <w:r>
        <w:rPr>
          <w:rFonts w:ascii="Arial" w:cs="Arial" w:eastAsia="Arial" w:hAnsi="Arial"/>
          <w:sz w:val="16"/>
          <w:szCs w:val="16"/>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4">
            <w:col w:w="2260" w:space="40"/>
            <w:col w:w="1660" w:space="720"/>
            <w:col w:w="2680" w:space="720"/>
            <w:col w:w="3160"/>
          </w:cols>
          <w:pgMar w:left="320" w:top="846" w:right="339" w:bottom="1440" w:gutter="0" w:footer="0" w:header="0"/>
          <w:type w:val="continuous"/>
        </w:sectPr>
      </w:pPr>
    </w:p>
    <w:p>
      <w:pPr>
        <w:spacing w:after="0" w:line="5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10011</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846"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 268-7400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3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540" w:hanging="343"/>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40" w:hanging="343"/>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40" w:hanging="343"/>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40" w:hanging="343"/>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66"/>
        </w:trPr>
        <w:tc>
          <w:tcPr>
            <w:tcW w:w="4540" w:type="dxa"/>
            <w:vAlign w:val="bottom"/>
            <w:gridSpan w:val="3"/>
          </w:tcPr>
          <w:p>
            <w:pPr>
              <w:ind w:left="1120"/>
              <w:spacing w:after="0"/>
              <w:rPr>
                <w:sz w:val="20"/>
                <w:szCs w:val="20"/>
                <w:color w:val="auto"/>
              </w:rPr>
            </w:pPr>
            <w:r>
              <w:rPr>
                <w:rFonts w:ascii="Arial" w:cs="Arial" w:eastAsia="Arial" w:hAnsi="Arial"/>
                <w:sz w:val="18"/>
                <w:szCs w:val="18"/>
                <w:b w:val="1"/>
                <w:bCs w:val="1"/>
                <w:color w:val="auto"/>
              </w:rPr>
              <w:t>Title of each class</w:t>
            </w:r>
          </w:p>
        </w:tc>
        <w:tc>
          <w:tcPr>
            <w:tcW w:w="31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Trading Symbol(s)</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8"/>
        </w:trPr>
        <w:tc>
          <w:tcPr>
            <w:tcW w:w="360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5"/>
              </w:rPr>
              <w:t>Class A Common Stock, par value $0.01 per</w:t>
            </w:r>
          </w:p>
        </w:tc>
        <w:tc>
          <w:tcPr>
            <w:tcW w:w="1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650"/>
              <w:spacing w:after="0" w:line="198" w:lineRule="exact"/>
              <w:rPr>
                <w:sz w:val="20"/>
                <w:szCs w:val="20"/>
                <w:color w:val="auto"/>
              </w:rPr>
            </w:pPr>
            <w:r>
              <w:rPr>
                <w:rFonts w:ascii="Arial" w:cs="Arial" w:eastAsia="Arial" w:hAnsi="Arial"/>
                <w:sz w:val="18"/>
                <w:szCs w:val="18"/>
                <w:b w:val="1"/>
                <w:bCs w:val="1"/>
                <w:color w:val="auto"/>
                <w:w w:val="99"/>
              </w:rPr>
              <w:t>NFE</w:t>
            </w:r>
          </w:p>
        </w:tc>
        <w:tc>
          <w:tcPr>
            <w:tcW w:w="180" w:type="dxa"/>
            <w:vAlign w:val="bottom"/>
          </w:tcPr>
          <w:p>
            <w:pPr>
              <w:spacing w:after="0"/>
              <w:rPr>
                <w:sz w:val="17"/>
                <w:szCs w:val="17"/>
                <w:color w:val="auto"/>
              </w:rPr>
            </w:pPr>
          </w:p>
        </w:tc>
        <w:tc>
          <w:tcPr>
            <w:tcW w:w="35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NASDAQ Global Select Market</w:t>
            </w:r>
          </w:p>
        </w:tc>
      </w:tr>
      <w:tr>
        <w:trPr>
          <w:trHeight w:val="234"/>
        </w:trPr>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share</w:t>
            </w: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200" w:lineRule="exact"/>
        <w:rPr>
          <w:sz w:val="24"/>
          <w:szCs w:val="24"/>
          <w:color w:val="auto"/>
        </w:rPr>
      </w:pPr>
    </w:p>
    <w:p>
      <w:pPr>
        <w:spacing w:after="0" w:line="27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639445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August 19, 2020, New Fortress Energy Inc. (the “Company”) announced the pricing of its previously announced private offering of $1,000 million (upsized from $800 million) aggregate principal amount of senior secured notes due 2025 (the “Notes”). The Company intends to use the net proceeds from the offering, together with cash on hand, to repay in full the amounts outstanding under its credit agreement and to redeem in full the senior secured bonds and senior unsecured bonds issued by its subsidiary, NFE South Power Holdings Limited, terminating the credit agreement and the documentation governing such bonds, in each case including related premiums, costs and expenses. A copy of the press release is attached hereto as exhibit 99.1, and is incorporated into this Item 8.01 by reference. The Notes and the guarantees thereof will not be registered under the Securities Act of 1933, as amended, or any state securities laws, and may not be offered or sold in the United States absent registration or an applicable exemption from registration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Number. Description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10400" w:type="dxa"/>
            <w:vAlign w:val="bottom"/>
          </w:tcPr>
          <w:p>
            <w:pPr>
              <w:ind w:left="520"/>
              <w:spacing w:after="0"/>
              <w:rPr>
                <w:sz w:val="20"/>
                <w:szCs w:val="20"/>
                <w:color w:val="auto"/>
              </w:rPr>
            </w:pPr>
            <w:r>
              <w:rPr>
                <w:rFonts w:ascii="Arial" w:cs="Arial" w:eastAsia="Arial" w:hAnsi="Arial"/>
                <w:sz w:val="18"/>
                <w:szCs w:val="18"/>
                <w:color w:val="auto"/>
              </w:rPr>
              <w:t>Press release, dated August 19, 2020</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400" w:type="dxa"/>
            <w:vAlign w:val="bottom"/>
          </w:tcPr>
          <w:p>
            <w:pPr>
              <w:ind w:left="5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68"/>
        </w:trPr>
        <w:tc>
          <w:tcPr>
            <w:tcW w:w="8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NEW FORTRESS ENERGY INC.</w:t>
            </w:r>
          </w:p>
        </w:tc>
      </w:tr>
      <w:tr>
        <w:trPr>
          <w:trHeight w:val="439"/>
        </w:trPr>
        <w:tc>
          <w:tcPr>
            <w:tcW w:w="3600" w:type="dxa"/>
            <w:vAlign w:val="bottom"/>
          </w:tcPr>
          <w:p>
            <w:pPr>
              <w:spacing w:after="0"/>
              <w:rPr>
                <w:sz w:val="20"/>
                <w:szCs w:val="20"/>
                <w:color w:val="auto"/>
              </w:rPr>
            </w:pPr>
            <w:r>
              <w:rPr>
                <w:rFonts w:ascii="Arial" w:cs="Arial" w:eastAsia="Arial" w:hAnsi="Arial"/>
                <w:sz w:val="18"/>
                <w:szCs w:val="18"/>
                <w:color w:val="auto"/>
              </w:rPr>
              <w:t>Date: August 19, 2020</w:t>
            </w:r>
          </w:p>
        </w:tc>
        <w:tc>
          <w:tcPr>
            <w:tcW w:w="2680" w:type="dxa"/>
            <w:vAlign w:val="bottom"/>
          </w:tcPr>
          <w:p>
            <w:pPr>
              <w:ind w:left="19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600" w:type="dxa"/>
            <w:vAlign w:val="bottom"/>
          </w:tcPr>
          <w:p>
            <w:pPr>
              <w:spacing w:after="0"/>
              <w:rPr>
                <w:sz w:val="17"/>
                <w:szCs w:val="17"/>
                <w:color w:val="auto"/>
              </w:rPr>
            </w:pPr>
          </w:p>
        </w:tc>
        <w:tc>
          <w:tcPr>
            <w:tcW w:w="2680" w:type="dxa"/>
            <w:vAlign w:val="bottom"/>
          </w:tcPr>
          <w:p>
            <w:pPr>
              <w:ind w:left="1940"/>
              <w:spacing w:after="0" w:line="201"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600" w:type="dxa"/>
            <w:vAlign w:val="bottom"/>
          </w:tcPr>
          <w:p>
            <w:pPr>
              <w:spacing w:after="0"/>
              <w:rPr>
                <w:sz w:val="20"/>
                <w:szCs w:val="20"/>
                <w:color w:val="auto"/>
              </w:rPr>
            </w:pPr>
          </w:p>
        </w:tc>
        <w:tc>
          <w:tcPr>
            <w:tcW w:w="2680" w:type="dxa"/>
            <w:vAlign w:val="bottom"/>
          </w:tcPr>
          <w:p>
            <w:pPr>
              <w:ind w:left="194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01"/>
        </w:trPr>
        <w:tc>
          <w:tcPr>
            <w:tcW w:w="36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FORTRESS ENERGY ANNOUNCES PRICING OF $1,000 MILLION OF SENIOR SECURED NOTES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NEW YORK--(BUSINESS WIRE)--August 19, 2020--New Fortress Energy Inc. (NASDAQ: NFE) (the “Company”) announced today the pricing of its previously announced private offering of $1,000 million (upsized from $800 million) aggregate principal amount of senior secured notes due 2025 (the “Notes”). The Notes will bear interest at 6.750% per annum and will be issued at an issue price equal to 100% of principal, plus accrued interest, if any, from September 2, 2020. The Company intends to use the net proceeds from the offering, together with cash on hand, to repay in full the amounts outstanding under its credit agreement and to redeem in full the senior secured bonds and senior unsecured bonds issued by its subsidiary, NFE South Power Holdings Limited, terminating the credit agreement and the documentation governing such bonds, in each case including related premiums, costs and expenses. The closing of the offering is subject to certain limited conditions.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Notes and the guarantees thereof were offered in the United States to qualified institutional buyers under Rule 144A under the Securities Act of 1933, as amended (the “Securities Act”), and to persons outside of the United States under Regulation S under the Securities Act. The Notes and the guarantees thereof will not be registered under the Securities Act or any state securities laws, and, unless so registered, may not be offered or sold in the United States absent registration or an applicable exemption from registration requirements.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does not constitute an offer to sell or a solicitation of an offer to buy the securities described herein, nor shall there be any sale of these securities in any state or other jurisdiction in which such an offer, solicitation or sale would be unlawful prior to registration or qualification under the securities laws of any such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New Fortress Energy Inc.</w:t>
      </w:r>
    </w:p>
    <w:p>
      <w:pPr>
        <w:spacing w:after="0" w:line="25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New Fortress Energy (NASDAQ: NFE)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25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This press release contains forward-looking statements, including but not limited to statements regarding the consummation of the offering or the Company’s anticipated use of the net proceeds from the offering. All statements contained in this press release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w:t>
      </w:r>
    </w:p>
    <w:p>
      <w:pPr>
        <w:spacing w:after="0" w:line="19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All forward-looking statements speak only as of the date on which it is made. When considering forward-looking statements, you should keep in mind the risk factors and other cautionary statements included in our annual, quarterly and other reports we file with the SEC. We undertake no duty to update these forward-looking statements, even though our situation may change in the future. Furthermore, we cannot guarantee future results, events, levels of activity, performance, projections or achievements.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Alan Andreini</w:t>
      </w:r>
    </w:p>
    <w:p>
      <w:pPr>
        <w:spacing w:after="0" w:line="9" w:lineRule="exact"/>
        <w:rPr>
          <w:sz w:val="20"/>
          <w:szCs w:val="20"/>
          <w:color w:val="auto"/>
        </w:rPr>
      </w:pPr>
    </w:p>
    <w:p>
      <w:pPr>
        <w:ind w:right="950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798-6128 aandreini@fortress.com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Joshua Kane</w:t>
      </w:r>
    </w:p>
    <w:p>
      <w:pPr>
        <w:spacing w:after="0" w:line="23" w:lineRule="exact"/>
        <w:rPr>
          <w:sz w:val="20"/>
          <w:szCs w:val="20"/>
          <w:color w:val="auto"/>
        </w:rPr>
      </w:pPr>
    </w:p>
    <w:p>
      <w:pPr>
        <w:ind w:right="900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268-7455 jkane@newfortressenergy.com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9" w:lineRule="exact"/>
        <w:rPr>
          <w:sz w:val="20"/>
          <w:szCs w:val="20"/>
          <w:color w:val="auto"/>
        </w:rPr>
      </w:pPr>
    </w:p>
    <w:p>
      <w:pPr>
        <w:ind w:right="8800" w:firstLine="8"/>
        <w:spacing w:after="0" w:line="302"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268-7403 press@newfortressenergy.com Source: 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12"/>
    </w:lvl>
  </w:abstractNum>
  <w:abstractNum w:abstractNumId="2">
    <w:nsid w:val="2AE8944A"/>
    <w:multiLevelType w:val="hybridMultilevel"/>
    <w:lvl w:ilvl="0">
      <w:lvlJc w:val="left"/>
      <w:lvlText w:val="(%1)"/>
      <w:numFmt w:val="decimal"/>
      <w:start w:val="516"/>
    </w:lvl>
  </w:abstractNum>
  <w:abstractNum w:abstractNumId="3">
    <w:nsid w:val="625558EC"/>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2020-08-19T16:21:41Z</dcterms:created>
  <dcterms:modified xsi:type="dcterms:W3CDTF">2020-08-19T16:21:41Z</dcterms:modified>
</cp:coreProperties>
</file>