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151130</wp:posOffset>
            </wp:positionH>
            <wp:positionV relativeFrom="page">
              <wp:posOffset>151130</wp:posOffset>
            </wp:positionV>
            <wp:extent cx="725995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259080</wp:posOffset>
            </wp:positionV>
            <wp:extent cx="72599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955" cy="7620"/>
                    </a:xfrm>
                    <a:prstGeom prst="rect">
                      <a:avLst/>
                    </a:prstGeom>
                    <a:noFill/>
                  </pic:spPr>
                </pic:pic>
              </a:graphicData>
            </a:graphic>
          </wp:anchor>
        </w:drawing>
        <w:t>UNITED STATES</w:t>
      </w:r>
    </w:p>
    <w:p>
      <w:pPr>
        <w:spacing w:after="0" w:line="26" w:lineRule="exact"/>
        <w:rPr>
          <w:sz w:val="24"/>
          <w:szCs w:val="24"/>
          <w:color w:val="auto"/>
        </w:rPr>
      </w:pPr>
    </w:p>
    <w:p>
      <w:pPr>
        <w:jc w:val="center"/>
        <w:ind w:right="-1"/>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
        <w:spacing w:after="0"/>
        <w:rPr>
          <w:sz w:val="20"/>
          <w:szCs w:val="20"/>
          <w:color w:val="auto"/>
        </w:rPr>
      </w:pPr>
      <w:r>
        <w:rPr>
          <w:rFonts w:ascii="Arial" w:cs="Arial" w:eastAsia="Arial" w:hAnsi="Arial"/>
          <w:sz w:val="20"/>
          <w:szCs w:val="20"/>
          <w:b w:val="1"/>
          <w:bCs w:val="1"/>
          <w:color w:val="auto"/>
        </w:rPr>
        <w:t>WASHINGTON, DC 20549</w:t>
      </w:r>
    </w:p>
    <w:p>
      <w:pPr>
        <w:spacing w:after="0" w:line="173"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10-Q</w:t>
      </w:r>
    </w:p>
    <w:p>
      <w:pPr>
        <w:spacing w:after="0" w:line="241" w:lineRule="exact"/>
        <w:rPr>
          <w:sz w:val="24"/>
          <w:szCs w:val="24"/>
          <w:color w:val="auto"/>
        </w:rPr>
      </w:pPr>
    </w:p>
    <w:p>
      <w:pPr>
        <w:ind w:left="302" w:hanging="302"/>
        <w:spacing w:after="0"/>
        <w:tabs>
          <w:tab w:leader="none" w:pos="30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18"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For the quarterly period ended September 30, 2019</w:t>
      </w:r>
    </w:p>
    <w:p>
      <w:pPr>
        <w:spacing w:after="0" w:line="209"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OR</w:t>
      </w:r>
    </w:p>
    <w:p>
      <w:pPr>
        <w:spacing w:after="0" w:line="221"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8" w:lineRule="exact"/>
        <w:rPr>
          <w:sz w:val="24"/>
          <w:szCs w:val="24"/>
          <w:color w:val="auto"/>
        </w:rPr>
      </w:pPr>
    </w:p>
    <w:p>
      <w:pPr>
        <w:ind w:left="3342"/>
        <w:spacing w:after="0"/>
        <w:rPr>
          <w:sz w:val="20"/>
          <w:szCs w:val="20"/>
          <w:color w:val="auto"/>
        </w:rPr>
      </w:pPr>
      <w:r>
        <w:rPr>
          <w:rFonts w:ascii="Arial" w:cs="Arial" w:eastAsia="Arial" w:hAnsi="Arial"/>
          <w:sz w:val="20"/>
          <w:szCs w:val="20"/>
          <w:b w:val="1"/>
          <w:bCs w:val="1"/>
          <w:color w:val="auto"/>
        </w:rPr>
        <w:t>For the transition period from __________ to__________</w:t>
      </w:r>
    </w:p>
    <w:p>
      <w:pPr>
        <w:spacing w:after="0" w:line="209"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Commission File Number: 001-38790</w:t>
      </w:r>
    </w:p>
    <w:p>
      <w:pPr>
        <w:spacing w:after="0" w:line="196" w:lineRule="exact"/>
        <w:rPr>
          <w:sz w:val="24"/>
          <w:szCs w:val="24"/>
          <w:color w:val="auto"/>
        </w:rPr>
      </w:pPr>
    </w:p>
    <w:p>
      <w:pPr>
        <w:jc w:val="center"/>
        <w:ind w:right="-1"/>
        <w:spacing w:after="0"/>
        <w:rPr>
          <w:sz w:val="20"/>
          <w:szCs w:val="20"/>
          <w:color w:val="auto"/>
        </w:rPr>
      </w:pPr>
      <w:r>
        <w:rPr>
          <w:rFonts w:ascii="Arial" w:cs="Arial" w:eastAsia="Arial" w:hAnsi="Arial"/>
          <w:sz w:val="39"/>
          <w:szCs w:val="39"/>
          <w:b w:val="1"/>
          <w:bCs w:val="1"/>
          <w:color w:val="auto"/>
        </w:rPr>
        <w:t>New Fortress Energy LLC</w:t>
      </w:r>
    </w:p>
    <w:p>
      <w:pPr>
        <w:spacing w:after="0" w:line="42"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(Exact Name of Registrant as Specified in its Charter)</w:t>
      </w:r>
    </w:p>
    <w:p>
      <w:pPr>
        <w:spacing w:after="0" w:line="212" w:lineRule="exact"/>
        <w:rPr>
          <w:sz w:val="24"/>
          <w:szCs w:val="24"/>
          <w:color w:val="auto"/>
        </w:rPr>
      </w:pPr>
    </w:p>
    <w:tbl>
      <w:tblPr>
        <w:tblLayout w:type="fixed"/>
        <w:tblInd w:w="862" w:type="dxa"/>
        <w:tblCellMar>
          <w:top w:w="0" w:type="dxa"/>
          <w:left w:w="0" w:type="dxa"/>
          <w:bottom w:w="0" w:type="dxa"/>
          <w:right w:w="0" w:type="dxa"/>
        </w:tblCellMar>
      </w:tblPr>
      <w:tr>
        <w:trPr>
          <w:trHeight w:val="199"/>
        </w:trPr>
        <w:tc>
          <w:tcPr>
            <w:tcW w:w="5240" w:type="dxa"/>
            <w:vAlign w:val="bottom"/>
          </w:tcPr>
          <w:p>
            <w:pPr>
              <w:jc w:val="center"/>
              <w:ind w:right="1279"/>
              <w:spacing w:after="0"/>
              <w:rPr>
                <w:sz w:val="20"/>
                <w:szCs w:val="20"/>
                <w:color w:val="auto"/>
              </w:rPr>
            </w:pPr>
            <w:r>
              <w:rPr>
                <w:rFonts w:ascii="Arial" w:cs="Arial" w:eastAsia="Arial" w:hAnsi="Arial"/>
                <w:sz w:val="16"/>
                <w:szCs w:val="16"/>
                <w:b w:val="1"/>
                <w:bCs w:val="1"/>
                <w:color w:val="auto"/>
                <w:w w:val="91"/>
              </w:rPr>
              <w:t>Delaware</w:t>
            </w:r>
          </w:p>
        </w:tc>
        <w:tc>
          <w:tcPr>
            <w:tcW w:w="3720" w:type="dxa"/>
            <w:vAlign w:val="bottom"/>
          </w:tcPr>
          <w:p>
            <w:pPr>
              <w:jc w:val="right"/>
              <w:ind w:right="719"/>
              <w:spacing w:after="0"/>
              <w:rPr>
                <w:sz w:val="20"/>
                <w:szCs w:val="20"/>
                <w:color w:val="auto"/>
              </w:rPr>
            </w:pPr>
            <w:r>
              <w:rPr>
                <w:rFonts w:ascii="Arial" w:cs="Arial" w:eastAsia="Arial" w:hAnsi="Arial"/>
                <w:sz w:val="16"/>
                <w:szCs w:val="16"/>
                <w:b w:val="1"/>
                <w:bCs w:val="1"/>
                <w:color w:val="auto"/>
              </w:rPr>
              <w:t>81-1482060</w:t>
            </w:r>
          </w:p>
        </w:tc>
      </w:tr>
      <w:tr>
        <w:trPr>
          <w:trHeight w:val="207"/>
        </w:trPr>
        <w:tc>
          <w:tcPr>
            <w:tcW w:w="5240" w:type="dxa"/>
            <w:vAlign w:val="bottom"/>
          </w:tcPr>
          <w:p>
            <w:pPr>
              <w:jc w:val="center"/>
              <w:ind w:right="12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720" w:type="dxa"/>
            <w:vAlign w:val="bottom"/>
          </w:tcPr>
          <w:p>
            <w:pPr>
              <w:jc w:val="center"/>
              <w:ind w:left="1279"/>
              <w:spacing w:after="0"/>
              <w:rPr>
                <w:sz w:val="20"/>
                <w:szCs w:val="20"/>
                <w:color w:val="auto"/>
              </w:rPr>
            </w:pPr>
            <w:r>
              <w:rPr>
                <w:rFonts w:ascii="Arial" w:cs="Arial" w:eastAsia="Arial" w:hAnsi="Arial"/>
                <w:sz w:val="16"/>
                <w:szCs w:val="16"/>
                <w:color w:val="auto"/>
                <w:w w:val="95"/>
              </w:rPr>
              <w:t>(I.R.S. Employer Identification No.)</w:t>
            </w:r>
          </w:p>
        </w:tc>
      </w:tr>
      <w:tr>
        <w:trPr>
          <w:trHeight w:val="374"/>
        </w:trPr>
        <w:tc>
          <w:tcPr>
            <w:tcW w:w="5240" w:type="dxa"/>
            <w:vAlign w:val="bottom"/>
          </w:tcPr>
          <w:p>
            <w:pPr>
              <w:jc w:val="center"/>
              <w:ind w:right="1259"/>
              <w:spacing w:after="0"/>
              <w:rPr>
                <w:sz w:val="20"/>
                <w:szCs w:val="20"/>
                <w:color w:val="auto"/>
              </w:rPr>
            </w:pPr>
            <w:r>
              <w:rPr>
                <w:rFonts w:ascii="Arial" w:cs="Arial" w:eastAsia="Arial" w:hAnsi="Arial"/>
                <w:sz w:val="16"/>
                <w:szCs w:val="16"/>
                <w:b w:val="1"/>
                <w:bCs w:val="1"/>
                <w:color w:val="auto"/>
                <w:w w:val="91"/>
              </w:rPr>
              <w:t>111 W. 19th Street, 8th Floor</w:t>
            </w:r>
          </w:p>
        </w:tc>
        <w:tc>
          <w:tcPr>
            <w:tcW w:w="3720" w:type="dxa"/>
            <w:vAlign w:val="bottom"/>
          </w:tcPr>
          <w:p>
            <w:pPr>
              <w:spacing w:after="0"/>
              <w:rPr>
                <w:sz w:val="24"/>
                <w:szCs w:val="24"/>
                <w:color w:val="auto"/>
              </w:rPr>
            </w:pPr>
          </w:p>
        </w:tc>
      </w:tr>
      <w:tr>
        <w:trPr>
          <w:trHeight w:val="199"/>
        </w:trPr>
        <w:tc>
          <w:tcPr>
            <w:tcW w:w="5240" w:type="dxa"/>
            <w:vAlign w:val="bottom"/>
          </w:tcPr>
          <w:p>
            <w:pPr>
              <w:jc w:val="center"/>
              <w:ind w:right="1279"/>
              <w:spacing w:after="0"/>
              <w:rPr>
                <w:sz w:val="20"/>
                <w:szCs w:val="20"/>
                <w:color w:val="auto"/>
              </w:rPr>
            </w:pPr>
            <w:r>
              <w:rPr>
                <w:rFonts w:ascii="Arial" w:cs="Arial" w:eastAsia="Arial" w:hAnsi="Arial"/>
                <w:sz w:val="16"/>
                <w:szCs w:val="16"/>
                <w:b w:val="1"/>
                <w:bCs w:val="1"/>
                <w:color w:val="auto"/>
                <w:w w:val="96"/>
              </w:rPr>
              <w:t>New York, NY</w:t>
            </w:r>
          </w:p>
        </w:tc>
        <w:tc>
          <w:tcPr>
            <w:tcW w:w="3720" w:type="dxa"/>
            <w:vAlign w:val="bottom"/>
          </w:tcPr>
          <w:p>
            <w:pPr>
              <w:jc w:val="right"/>
              <w:ind w:right="899"/>
              <w:spacing w:after="0"/>
              <w:rPr>
                <w:sz w:val="20"/>
                <w:szCs w:val="20"/>
                <w:color w:val="auto"/>
              </w:rPr>
            </w:pPr>
            <w:r>
              <w:rPr>
                <w:rFonts w:ascii="Arial" w:cs="Arial" w:eastAsia="Arial" w:hAnsi="Arial"/>
                <w:sz w:val="16"/>
                <w:szCs w:val="16"/>
                <w:b w:val="1"/>
                <w:bCs w:val="1"/>
                <w:color w:val="auto"/>
              </w:rPr>
              <w:t>10011</w:t>
            </w:r>
          </w:p>
        </w:tc>
      </w:tr>
      <w:tr>
        <w:trPr>
          <w:trHeight w:val="207"/>
        </w:trPr>
        <w:tc>
          <w:tcPr>
            <w:tcW w:w="5240" w:type="dxa"/>
            <w:vAlign w:val="bottom"/>
          </w:tcPr>
          <w:p>
            <w:pPr>
              <w:jc w:val="center"/>
              <w:ind w:right="1279"/>
              <w:spacing w:after="0"/>
              <w:rPr>
                <w:sz w:val="20"/>
                <w:szCs w:val="20"/>
                <w:color w:val="auto"/>
              </w:rPr>
            </w:pPr>
            <w:r>
              <w:rPr>
                <w:rFonts w:ascii="Arial" w:cs="Arial" w:eastAsia="Arial" w:hAnsi="Arial"/>
                <w:sz w:val="16"/>
                <w:szCs w:val="16"/>
                <w:color w:val="auto"/>
                <w:w w:val="93"/>
              </w:rPr>
              <w:t>(Address of principal executive offices)</w:t>
            </w:r>
          </w:p>
        </w:tc>
        <w:tc>
          <w:tcPr>
            <w:tcW w:w="3720" w:type="dxa"/>
            <w:vAlign w:val="bottom"/>
          </w:tcPr>
          <w:p>
            <w:pPr>
              <w:jc w:val="center"/>
              <w:ind w:left="1279"/>
              <w:spacing w:after="0"/>
              <w:rPr>
                <w:sz w:val="20"/>
                <w:szCs w:val="20"/>
                <w:color w:val="auto"/>
              </w:rPr>
            </w:pPr>
            <w:r>
              <w:rPr>
                <w:rFonts w:ascii="Arial" w:cs="Arial" w:eastAsia="Arial" w:hAnsi="Arial"/>
                <w:sz w:val="16"/>
                <w:szCs w:val="16"/>
                <w:color w:val="auto"/>
                <w:w w:val="94"/>
              </w:rPr>
              <w:t>(Zip code)</w:t>
            </w:r>
          </w:p>
        </w:tc>
      </w:tr>
    </w:tbl>
    <w:p>
      <w:pPr>
        <w:spacing w:after="0" w:line="195"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Registrant’s telephone number, including area code: (516) 268-7400</w:t>
      </w:r>
    </w:p>
    <w:p>
      <w:pPr>
        <w:spacing w:after="0" w:line="209"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230" w:lineRule="exact"/>
        <w:rPr>
          <w:sz w:val="24"/>
          <w:szCs w:val="24"/>
          <w:color w:val="auto"/>
        </w:rPr>
      </w:pPr>
    </w:p>
    <w:tbl>
      <w:tblPr>
        <w:tblLayout w:type="fixed"/>
        <w:tblInd w:w="2" w:type="dxa"/>
        <w:tblCellMar>
          <w:top w:w="0" w:type="dxa"/>
          <w:left w:w="0" w:type="dxa"/>
          <w:bottom w:w="0" w:type="dxa"/>
          <w:right w:w="0" w:type="dxa"/>
        </w:tblCellMar>
      </w:tblPr>
      <w:tr>
        <w:trPr>
          <w:trHeight w:val="216"/>
        </w:trPr>
        <w:tc>
          <w:tcPr>
            <w:tcW w:w="5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Class A shares, representing limited liability company interests</w:t>
            </w:r>
          </w:p>
        </w:tc>
        <w:tc>
          <w:tcPr>
            <w:tcW w:w="120" w:type="dxa"/>
            <w:vAlign w:val="bottom"/>
          </w:tcPr>
          <w:p>
            <w:pPr>
              <w:spacing w:after="0"/>
              <w:rPr>
                <w:sz w:val="17"/>
                <w:szCs w:val="17"/>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“NFE”</w:t>
            </w:r>
          </w:p>
        </w:tc>
        <w:tc>
          <w:tcPr>
            <w:tcW w:w="100" w:type="dxa"/>
            <w:vAlign w:val="bottom"/>
          </w:tcPr>
          <w:p>
            <w:pPr>
              <w:spacing w:after="0"/>
              <w:rPr>
                <w:sz w:val="17"/>
                <w:szCs w:val="17"/>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189" w:lineRule="exact"/>
        <w:rPr>
          <w:sz w:val="24"/>
          <w:szCs w:val="24"/>
          <w:color w:val="auto"/>
        </w:rPr>
      </w:pPr>
    </w:p>
    <w:p>
      <w:pPr>
        <w:ind w:left="2" w:right="280" w:firstLine="292"/>
        <w:spacing w:after="0" w:line="240" w:lineRule="exact"/>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171" w:lineRule="exact"/>
        <w:rPr>
          <w:sz w:val="24"/>
          <w:szCs w:val="24"/>
          <w:color w:val="auto"/>
        </w:rPr>
      </w:pPr>
    </w:p>
    <w:p>
      <w:pPr>
        <w:ind w:left="2" w:right="60" w:firstLine="292"/>
        <w:spacing w:after="0" w:line="240" w:lineRule="exact"/>
        <w:rPr>
          <w:sz w:val="20"/>
          <w:szCs w:val="20"/>
          <w:color w:val="auto"/>
        </w:rPr>
      </w:pPr>
      <w:r>
        <w:rPr>
          <w:rFonts w:ascii="Arial" w:cs="Arial" w:eastAsia="Arial" w:hAnsi="Arial"/>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171" w:lineRule="exact"/>
        <w:rPr>
          <w:sz w:val="24"/>
          <w:szCs w:val="24"/>
          <w:color w:val="auto"/>
        </w:rPr>
      </w:pPr>
    </w:p>
    <w:p>
      <w:pPr>
        <w:ind w:left="2" w:right="240" w:firstLine="292"/>
        <w:spacing w:after="0" w:line="238"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2"/>
          </w:cols>
          <w:pgMar w:left="238" w:top="496" w:right="219" w:bottom="1440" w:gutter="0" w:footer="0" w:header="0"/>
        </w:sectPr>
      </w:pPr>
    </w:p>
    <w:p>
      <w:pPr>
        <w:spacing w:after="0" w:line="170" w:lineRule="exact"/>
        <w:rPr>
          <w:sz w:val="24"/>
          <w:szCs w:val="24"/>
          <w:color w:val="auto"/>
        </w:rPr>
      </w:pPr>
    </w:p>
    <w:p>
      <w:pPr>
        <w:ind w:left="302"/>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78" w:lineRule="exact"/>
        <w:rPr>
          <w:sz w:val="24"/>
          <w:szCs w:val="24"/>
          <w:color w:val="auto"/>
        </w:rPr>
      </w:pPr>
    </w:p>
    <w:p>
      <w:pPr>
        <w:ind w:left="302"/>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7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7622" w:space="720"/>
            <w:col w:w="3100"/>
          </w:cols>
          <w:pgMar w:left="238" w:top="496" w:right="219" w:bottom="1440" w:gutter="0" w:footer="0" w:header="0"/>
          <w:type w:val="continuous"/>
        </w:sectPr>
      </w:pPr>
    </w:p>
    <w:p>
      <w:pPr>
        <w:spacing w:after="0" w:line="33" w:lineRule="exact"/>
        <w:rPr>
          <w:sz w:val="24"/>
          <w:szCs w:val="24"/>
          <w:color w:val="auto"/>
        </w:rPr>
      </w:pPr>
    </w:p>
    <w:p>
      <w:pPr>
        <w:ind w:left="2" w:right="260" w:firstLine="292"/>
        <w:spacing w:after="0" w:line="25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5" w:lineRule="exact"/>
        <w:rPr>
          <w:sz w:val="24"/>
          <w:szCs w:val="24"/>
          <w:color w:val="auto"/>
        </w:rPr>
      </w:pPr>
    </w:p>
    <w:p>
      <w:pPr>
        <w:ind w:left="302"/>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9" w:lineRule="exact"/>
        <w:rPr>
          <w:sz w:val="24"/>
          <w:szCs w:val="24"/>
          <w:color w:val="auto"/>
        </w:rPr>
      </w:pPr>
    </w:p>
    <w:p>
      <w:pPr>
        <w:ind w:left="302"/>
        <w:spacing w:after="0"/>
        <w:rPr>
          <w:sz w:val="20"/>
          <w:szCs w:val="20"/>
          <w:color w:val="auto"/>
        </w:rPr>
      </w:pPr>
      <w:r>
        <w:rPr>
          <w:rFonts w:ascii="Arial" w:cs="Arial" w:eastAsia="Arial" w:hAnsi="Arial"/>
          <w:sz w:val="20"/>
          <w:szCs w:val="20"/>
          <w:color w:val="auto"/>
        </w:rPr>
        <w:t>As of November 8, 2019, the registrant had 22,892,293 Class A shares and 145,057,375 Class B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2599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7259955"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99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496"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140" w:type="dxa"/>
            <w:vAlign w:val="bottom"/>
            <w:gridSpan w:val="15"/>
            <w:shd w:val="clear" w:color="auto" w:fill="CCEEFF"/>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GLOSSARY OF TERMS</w:t>
              </w:r>
            </w:hyperlink>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Borders>
              <w:top w:val="single" w:sz="8" w:color="0000EE"/>
            </w:tcBorders>
            <w:gridSpan w:val="2"/>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140" w:type="dxa"/>
            <w:vAlign w:val="bottom"/>
            <w:gridSpan w:val="15"/>
            <w:shd w:val="clear" w:color="auto" w:fill="CCEEFF"/>
          </w:tcPr>
          <w:p>
            <w:pPr>
              <w:spacing w:after="0" w:line="158" w:lineRule="exact"/>
              <w:rPr>
                <w:rFonts w:ascii="Arial" w:cs="Arial" w:eastAsia="Arial" w:hAnsi="Arial"/>
                <w:sz w:val="16"/>
                <w:szCs w:val="16"/>
                <w:color w:val="0000EE"/>
              </w:rPr>
            </w:pPr>
            <w:hyperlink w:anchor="page4">
              <w:r>
                <w:rPr>
                  <w:rFonts w:ascii="Arial" w:cs="Arial" w:eastAsia="Arial" w:hAnsi="Arial"/>
                  <w:sz w:val="16"/>
                  <w:szCs w:val="16"/>
                  <w:color w:val="0000EE"/>
                </w:rPr>
                <w:t>CAUTIONARY STATEMENT ON FORWARD-LOOKING STATEMENTS</w:t>
              </w:r>
            </w:hyperlink>
          </w:p>
        </w:tc>
        <w:tc>
          <w:tcPr>
            <w:tcW w:w="2300" w:type="dxa"/>
            <w:vAlign w:val="bottom"/>
            <w:shd w:val="clear" w:color="auto" w:fill="CCEEFF"/>
          </w:tcPr>
          <w:p>
            <w:pPr>
              <w:jc w:val="right"/>
              <w:spacing w:after="0" w:line="158" w:lineRule="exact"/>
              <w:rPr>
                <w:sz w:val="20"/>
                <w:szCs w:val="20"/>
                <w:color w:val="auto"/>
              </w:rPr>
            </w:pPr>
            <w:r>
              <w:rPr>
                <w:rFonts w:ascii="Arial" w:cs="Arial" w:eastAsia="Arial" w:hAnsi="Arial"/>
                <w:sz w:val="16"/>
                <w:szCs w:val="16"/>
                <w:color w:val="auto"/>
              </w:rPr>
              <w:t>iii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40" w:type="dxa"/>
            <w:vAlign w:val="bottom"/>
            <w:tcBorders>
              <w:top w:val="single" w:sz="8" w:color="0000EE"/>
            </w:tcBorders>
            <w:gridSpan w:val="2"/>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140" w:type="dxa"/>
            <w:vAlign w:val="bottom"/>
            <w:gridSpan w:val="15"/>
            <w:shd w:val="clear" w:color="auto" w:fill="CCEEFF"/>
          </w:tcPr>
          <w:p>
            <w:pPr>
              <w:spacing w:after="0" w:line="158" w:lineRule="exact"/>
              <w:rPr>
                <w:rFonts w:ascii="Arial" w:cs="Arial" w:eastAsia="Arial" w:hAnsi="Arial"/>
                <w:sz w:val="16"/>
                <w:szCs w:val="16"/>
                <w:color w:val="0000EE"/>
              </w:rPr>
            </w:pPr>
            <w:hyperlink w:anchor="page6">
              <w:r>
                <w:rPr>
                  <w:rFonts w:ascii="Arial" w:cs="Arial" w:eastAsia="Arial" w:hAnsi="Arial"/>
                  <w:sz w:val="16"/>
                  <w:szCs w:val="16"/>
                  <w:color w:val="0000EE"/>
                </w:rPr>
                <w:t>PART I FINANCIAL INFORMATION</w:t>
              </w:r>
            </w:hyperlink>
          </w:p>
        </w:tc>
        <w:tc>
          <w:tcPr>
            <w:tcW w:w="2300" w:type="dxa"/>
            <w:vAlign w:val="bottom"/>
            <w:shd w:val="clear" w:color="auto" w:fill="CCEEFF"/>
          </w:tcPr>
          <w:p>
            <w:pPr>
              <w:jc w:val="right"/>
              <w:spacing w:after="0" w:line="158" w:lineRule="exact"/>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0" w:type="dxa"/>
            <w:vAlign w:val="bottom"/>
            <w:shd w:val="clear" w:color="auto" w:fill="CCEEFF"/>
          </w:tcPr>
          <w:p>
            <w:pPr>
              <w:ind w:left="300"/>
              <w:spacing w:after="0" w:line="158" w:lineRule="exact"/>
              <w:rPr>
                <w:sz w:val="20"/>
                <w:szCs w:val="20"/>
                <w:color w:val="auto"/>
              </w:rPr>
            </w:pPr>
            <w:r>
              <w:rPr>
                <w:rFonts w:ascii="Arial" w:cs="Arial" w:eastAsia="Arial" w:hAnsi="Arial"/>
                <w:sz w:val="16"/>
                <w:szCs w:val="16"/>
                <w:color w:val="auto"/>
              </w:rPr>
              <w:t>Item 1.</w:t>
            </w:r>
          </w:p>
        </w:tc>
        <w:tc>
          <w:tcPr>
            <w:tcW w:w="140" w:type="dxa"/>
            <w:vAlign w:val="bottom"/>
            <w:shd w:val="clear" w:color="auto" w:fill="CCEEFF"/>
          </w:tcPr>
          <w:p>
            <w:pPr>
              <w:spacing w:after="0"/>
              <w:rPr>
                <w:sz w:val="13"/>
                <w:szCs w:val="13"/>
                <w:color w:val="auto"/>
              </w:rPr>
            </w:pPr>
          </w:p>
        </w:tc>
        <w:tc>
          <w:tcPr>
            <w:tcW w:w="8000" w:type="dxa"/>
            <w:vAlign w:val="bottom"/>
            <w:gridSpan w:val="13"/>
            <w:shd w:val="clear" w:color="auto" w:fill="CCEEFF"/>
          </w:tcPr>
          <w:p>
            <w:pPr>
              <w:spacing w:after="0" w:line="158" w:lineRule="exact"/>
              <w:rPr>
                <w:rFonts w:ascii="Arial" w:cs="Arial" w:eastAsia="Arial" w:hAnsi="Arial"/>
                <w:sz w:val="16"/>
                <w:szCs w:val="16"/>
                <w:color w:val="0000EE"/>
              </w:rPr>
            </w:pPr>
            <w:hyperlink w:anchor="page6">
              <w:r>
                <w:rPr>
                  <w:rFonts w:ascii="Arial" w:cs="Arial" w:eastAsia="Arial" w:hAnsi="Arial"/>
                  <w:sz w:val="16"/>
                  <w:szCs w:val="16"/>
                  <w:color w:val="0000EE"/>
                </w:rPr>
                <w:t>Financial Statements.</w:t>
              </w:r>
            </w:hyperlink>
          </w:p>
        </w:tc>
        <w:tc>
          <w:tcPr>
            <w:tcW w:w="2300" w:type="dxa"/>
            <w:vAlign w:val="bottom"/>
            <w:shd w:val="clear" w:color="auto" w:fill="CCEEFF"/>
          </w:tcPr>
          <w:p>
            <w:pPr>
              <w:jc w:val="right"/>
              <w:spacing w:after="0" w:line="158" w:lineRule="exact"/>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000" w:type="dxa"/>
            <w:vAlign w:val="bottom"/>
          </w:tcPr>
          <w:p>
            <w:pPr>
              <w:ind w:left="300"/>
              <w:spacing w:after="0" w:line="158" w:lineRule="exact"/>
              <w:rPr>
                <w:sz w:val="20"/>
                <w:szCs w:val="20"/>
                <w:color w:val="auto"/>
              </w:rPr>
            </w:pPr>
            <w:r>
              <w:rPr>
                <w:rFonts w:ascii="Arial" w:cs="Arial" w:eastAsia="Arial" w:hAnsi="Arial"/>
                <w:sz w:val="16"/>
                <w:szCs w:val="16"/>
                <w:color w:val="auto"/>
              </w:rPr>
              <w:t>Item 2.</w:t>
            </w:r>
          </w:p>
        </w:tc>
        <w:tc>
          <w:tcPr>
            <w:tcW w:w="140" w:type="dxa"/>
            <w:vAlign w:val="bottom"/>
          </w:tcPr>
          <w:p>
            <w:pPr>
              <w:spacing w:after="0"/>
              <w:rPr>
                <w:sz w:val="14"/>
                <w:szCs w:val="14"/>
                <w:color w:val="auto"/>
              </w:rPr>
            </w:pPr>
          </w:p>
        </w:tc>
        <w:tc>
          <w:tcPr>
            <w:tcW w:w="5880" w:type="dxa"/>
            <w:vAlign w:val="bottom"/>
            <w:tcBorders>
              <w:bottom w:val="single" w:sz="8" w:color="0000EE"/>
            </w:tcBorders>
            <w:gridSpan w:val="12"/>
          </w:tcPr>
          <w:p>
            <w:pPr>
              <w:spacing w:after="0" w:line="158" w:lineRule="exact"/>
              <w:rPr>
                <w:rFonts w:ascii="Arial" w:cs="Arial" w:eastAsia="Arial" w:hAnsi="Arial"/>
                <w:sz w:val="16"/>
                <w:szCs w:val="16"/>
                <w:color w:val="0000EE"/>
                <w:w w:val="92"/>
              </w:rPr>
            </w:pPr>
            <w:hyperlink w:anchor="page29">
              <w:r>
                <w:rPr>
                  <w:rFonts w:ascii="Arial" w:cs="Arial" w:eastAsia="Arial" w:hAnsi="Arial"/>
                  <w:sz w:val="16"/>
                  <w:szCs w:val="16"/>
                  <w:color w:val="0000EE"/>
                  <w:w w:val="92"/>
                </w:rPr>
                <w:t>Management’s Discussion and Analysis of Financial Condition and Results of Operations.</w:t>
              </w:r>
            </w:hyperlink>
          </w:p>
        </w:tc>
        <w:tc>
          <w:tcPr>
            <w:tcW w:w="2120" w:type="dxa"/>
            <w:vAlign w:val="bottom"/>
          </w:tcPr>
          <w:p>
            <w:pPr>
              <w:spacing w:after="0"/>
              <w:rPr>
                <w:sz w:val="14"/>
                <w:szCs w:val="14"/>
                <w:color w:val="auto"/>
              </w:rPr>
            </w:pPr>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shd w:val="clear" w:color="auto" w:fill="CCEEFF"/>
          </w:tcPr>
          <w:p>
            <w:pPr>
              <w:ind w:left="300"/>
              <w:spacing w:after="0" w:line="167" w:lineRule="exact"/>
              <w:rPr>
                <w:sz w:val="20"/>
                <w:szCs w:val="20"/>
                <w:color w:val="auto"/>
              </w:rPr>
            </w:pPr>
            <w:r>
              <w:rPr>
                <w:rFonts w:ascii="Arial" w:cs="Arial" w:eastAsia="Arial" w:hAnsi="Arial"/>
                <w:sz w:val="16"/>
                <w:szCs w:val="16"/>
                <w:color w:val="auto"/>
              </w:rPr>
              <w:t>Item 3.</w:t>
            </w:r>
          </w:p>
        </w:tc>
        <w:tc>
          <w:tcPr>
            <w:tcW w:w="140" w:type="dxa"/>
            <w:vAlign w:val="bottom"/>
            <w:shd w:val="clear" w:color="auto" w:fill="CCEEFF"/>
          </w:tcPr>
          <w:p>
            <w:pPr>
              <w:spacing w:after="0"/>
              <w:rPr>
                <w:sz w:val="15"/>
                <w:szCs w:val="15"/>
                <w:color w:val="auto"/>
              </w:rPr>
            </w:pPr>
          </w:p>
        </w:tc>
        <w:tc>
          <w:tcPr>
            <w:tcW w:w="8000" w:type="dxa"/>
            <w:vAlign w:val="bottom"/>
            <w:gridSpan w:val="13"/>
            <w:shd w:val="clear" w:color="auto" w:fill="CCEEFF"/>
          </w:tcPr>
          <w:p>
            <w:pPr>
              <w:spacing w:after="0" w:line="167" w:lineRule="exact"/>
              <w:rPr>
                <w:rFonts w:ascii="Arial" w:cs="Arial" w:eastAsia="Arial" w:hAnsi="Arial"/>
                <w:sz w:val="16"/>
                <w:szCs w:val="16"/>
                <w:color w:val="0000EE"/>
              </w:rPr>
            </w:pPr>
            <w:hyperlink w:anchor="page40">
              <w:r>
                <w:rPr>
                  <w:rFonts w:ascii="Arial" w:cs="Arial" w:eastAsia="Arial" w:hAnsi="Arial"/>
                  <w:sz w:val="16"/>
                  <w:szCs w:val="16"/>
                  <w:color w:val="0000EE"/>
                </w:rPr>
                <w:t>Quantitative and Qualitative Disclosures About Market Risks.</w:t>
              </w:r>
            </w:hyperlink>
          </w:p>
        </w:tc>
        <w:tc>
          <w:tcPr>
            <w:tcW w:w="23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00" w:type="dxa"/>
            <w:vAlign w:val="bottom"/>
            <w:tcBorders>
              <w:top w:val="single" w:sz="8" w:color="CCEEFF"/>
            </w:tcBorders>
          </w:tcPr>
          <w:p>
            <w:pPr>
              <w:ind w:left="300"/>
              <w:spacing w:after="0" w:line="158" w:lineRule="exact"/>
              <w:rPr>
                <w:sz w:val="20"/>
                <w:szCs w:val="20"/>
                <w:color w:val="auto"/>
              </w:rPr>
            </w:pPr>
            <w:r>
              <w:rPr>
                <w:rFonts w:ascii="Arial" w:cs="Arial" w:eastAsia="Arial" w:hAnsi="Arial"/>
                <w:sz w:val="16"/>
                <w:szCs w:val="16"/>
                <w:color w:val="auto"/>
              </w:rPr>
              <w:t>Item 4.</w:t>
            </w:r>
          </w:p>
        </w:tc>
        <w:tc>
          <w:tcPr>
            <w:tcW w:w="140" w:type="dxa"/>
            <w:vAlign w:val="bottom"/>
            <w:tcBorders>
              <w:top w:val="single" w:sz="8" w:color="CCEEFF"/>
            </w:tcBorders>
          </w:tcPr>
          <w:p>
            <w:pPr>
              <w:spacing w:after="0"/>
              <w:rPr>
                <w:sz w:val="14"/>
                <w:szCs w:val="14"/>
                <w:color w:val="auto"/>
              </w:rPr>
            </w:pPr>
          </w:p>
        </w:tc>
        <w:tc>
          <w:tcPr>
            <w:tcW w:w="4040" w:type="dxa"/>
            <w:vAlign w:val="bottom"/>
            <w:tcBorders>
              <w:top w:val="single" w:sz="8" w:color="0000EE"/>
            </w:tcBorders>
            <w:gridSpan w:val="11"/>
          </w:tcPr>
          <w:p>
            <w:pPr>
              <w:spacing w:after="0" w:line="158" w:lineRule="exact"/>
              <w:rPr>
                <w:rFonts w:ascii="Arial" w:cs="Arial" w:eastAsia="Arial" w:hAnsi="Arial"/>
                <w:sz w:val="16"/>
                <w:szCs w:val="16"/>
                <w:color w:val="0000EE"/>
              </w:rPr>
            </w:pPr>
            <w:hyperlink w:anchor="page41">
              <w:r>
                <w:rPr>
                  <w:rFonts w:ascii="Arial" w:cs="Arial" w:eastAsia="Arial" w:hAnsi="Arial"/>
                  <w:sz w:val="16"/>
                  <w:szCs w:val="16"/>
                  <w:color w:val="0000EE"/>
                </w:rPr>
                <w:t>Controls and Procedures.</w:t>
              </w:r>
            </w:hyperlink>
          </w:p>
        </w:tc>
        <w:tc>
          <w:tcPr>
            <w:tcW w:w="3960" w:type="dxa"/>
            <w:vAlign w:val="bottom"/>
            <w:tcBorders>
              <w:top w:val="single" w:sz="8" w:color="CCEEFF"/>
            </w:tcBorders>
            <w:gridSpan w:val="2"/>
          </w:tcPr>
          <w:p>
            <w:pPr>
              <w:spacing w:after="0"/>
              <w:rPr>
                <w:sz w:val="14"/>
                <w:szCs w:val="14"/>
                <w:color w:val="auto"/>
              </w:rPr>
            </w:pPr>
          </w:p>
        </w:tc>
        <w:tc>
          <w:tcPr>
            <w:tcW w:w="2300" w:type="dxa"/>
            <w:vAlign w:val="bottom"/>
            <w:tcBorders>
              <w:top w:val="single" w:sz="8" w:color="CCEEFF"/>
            </w:tcBorders>
          </w:tcPr>
          <w:p>
            <w:pPr>
              <w:jc w:val="right"/>
              <w:spacing w:after="0" w:line="158" w:lineRule="exact"/>
              <w:rPr>
                <w:sz w:val="20"/>
                <w:szCs w:val="20"/>
                <w:color w:val="auto"/>
              </w:rPr>
            </w:pPr>
            <w:r>
              <w:rPr>
                <w:rFonts w:ascii="Arial" w:cs="Arial" w:eastAsia="Arial" w:hAnsi="Arial"/>
                <w:sz w:val="16"/>
                <w:szCs w:val="16"/>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gridSpan w:val="2"/>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140" w:type="dxa"/>
            <w:vAlign w:val="bottom"/>
            <w:gridSpan w:val="15"/>
          </w:tcPr>
          <w:p>
            <w:pPr>
              <w:spacing w:after="0" w:line="158" w:lineRule="exact"/>
              <w:rPr>
                <w:rFonts w:ascii="Arial" w:cs="Arial" w:eastAsia="Arial" w:hAnsi="Arial"/>
                <w:sz w:val="16"/>
                <w:szCs w:val="16"/>
                <w:color w:val="0000EE"/>
              </w:rPr>
            </w:pPr>
            <w:hyperlink w:anchor="page42">
              <w:r>
                <w:rPr>
                  <w:rFonts w:ascii="Arial" w:cs="Arial" w:eastAsia="Arial" w:hAnsi="Arial"/>
                  <w:sz w:val="16"/>
                  <w:szCs w:val="16"/>
                  <w:color w:val="0000EE"/>
                </w:rPr>
                <w:t>PART II OTHER INFORMATION</w:t>
              </w:r>
            </w:hyperlink>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00" w:type="dxa"/>
            <w:vAlign w:val="bottom"/>
          </w:tcPr>
          <w:p>
            <w:pPr>
              <w:ind w:left="300"/>
              <w:spacing w:after="0" w:line="158" w:lineRule="exact"/>
              <w:rPr>
                <w:sz w:val="20"/>
                <w:szCs w:val="20"/>
                <w:color w:val="auto"/>
              </w:rPr>
            </w:pPr>
            <w:r>
              <w:rPr>
                <w:rFonts w:ascii="Arial" w:cs="Arial" w:eastAsia="Arial" w:hAnsi="Arial"/>
                <w:sz w:val="16"/>
                <w:szCs w:val="16"/>
                <w:color w:val="auto"/>
              </w:rPr>
              <w:t>Item 1.</w:t>
            </w:r>
          </w:p>
        </w:tc>
        <w:tc>
          <w:tcPr>
            <w:tcW w:w="140" w:type="dxa"/>
            <w:vAlign w:val="bottom"/>
          </w:tcPr>
          <w:p>
            <w:pPr>
              <w:spacing w:after="0"/>
              <w:rPr>
                <w:sz w:val="14"/>
                <w:szCs w:val="14"/>
                <w:color w:val="auto"/>
              </w:rPr>
            </w:pPr>
          </w:p>
        </w:tc>
        <w:tc>
          <w:tcPr>
            <w:tcW w:w="8000" w:type="dxa"/>
            <w:vAlign w:val="bottom"/>
            <w:gridSpan w:val="13"/>
          </w:tcPr>
          <w:p>
            <w:pPr>
              <w:spacing w:after="0" w:line="158" w:lineRule="exact"/>
              <w:rPr>
                <w:rFonts w:ascii="Arial" w:cs="Arial" w:eastAsia="Arial" w:hAnsi="Arial"/>
                <w:sz w:val="16"/>
                <w:szCs w:val="16"/>
                <w:color w:val="0000EE"/>
              </w:rPr>
            </w:pPr>
            <w:hyperlink w:anchor="page42">
              <w:r>
                <w:rPr>
                  <w:rFonts w:ascii="Arial" w:cs="Arial" w:eastAsia="Arial" w:hAnsi="Arial"/>
                  <w:sz w:val="16"/>
                  <w:szCs w:val="16"/>
                  <w:color w:val="0000EE"/>
                </w:rPr>
                <w:t>Legal Proceedings.</w:t>
              </w:r>
            </w:hyperlink>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300"/>
              <w:spacing w:after="0" w:line="167" w:lineRule="exact"/>
              <w:rPr>
                <w:sz w:val="20"/>
                <w:szCs w:val="20"/>
                <w:color w:val="auto"/>
              </w:rPr>
            </w:pPr>
            <w:r>
              <w:rPr>
                <w:rFonts w:ascii="Arial" w:cs="Arial" w:eastAsia="Arial" w:hAnsi="Arial"/>
                <w:sz w:val="16"/>
                <w:szCs w:val="16"/>
                <w:color w:val="auto"/>
              </w:rPr>
              <w:t>Item 1A.</w:t>
            </w:r>
          </w:p>
        </w:tc>
        <w:tc>
          <w:tcPr>
            <w:tcW w:w="140" w:type="dxa"/>
            <w:vAlign w:val="bottom"/>
            <w:shd w:val="clear" w:color="auto" w:fill="CCEEFF"/>
          </w:tcPr>
          <w:p>
            <w:pPr>
              <w:spacing w:after="0"/>
              <w:rPr>
                <w:sz w:val="14"/>
                <w:szCs w:val="14"/>
                <w:color w:val="auto"/>
              </w:rPr>
            </w:pPr>
          </w:p>
        </w:tc>
        <w:tc>
          <w:tcPr>
            <w:tcW w:w="1240" w:type="dxa"/>
            <w:vAlign w:val="bottom"/>
            <w:tcBorders>
              <w:top w:val="single" w:sz="8" w:color="0000EE"/>
            </w:tcBorders>
            <w:gridSpan w:val="5"/>
            <w:shd w:val="clear" w:color="auto" w:fill="CCEEFF"/>
          </w:tcPr>
          <w:p>
            <w:pPr>
              <w:spacing w:after="0" w:line="167" w:lineRule="exact"/>
              <w:rPr>
                <w:rFonts w:ascii="Arial" w:cs="Arial" w:eastAsia="Arial" w:hAnsi="Arial"/>
                <w:sz w:val="16"/>
                <w:szCs w:val="16"/>
                <w:color w:val="0000EE"/>
              </w:rPr>
            </w:pPr>
            <w:hyperlink w:anchor="page42">
              <w:r>
                <w:rPr>
                  <w:rFonts w:ascii="Arial" w:cs="Arial" w:eastAsia="Arial" w:hAnsi="Arial"/>
                  <w:sz w:val="16"/>
                  <w:szCs w:val="16"/>
                  <w:color w:val="0000EE"/>
                </w:rPr>
                <w:t>Risk Factors.</w:t>
              </w:r>
            </w:hyperlink>
          </w:p>
        </w:tc>
        <w:tc>
          <w:tcPr>
            <w:tcW w:w="6760" w:type="dxa"/>
            <w:vAlign w:val="bottom"/>
            <w:gridSpan w:val="8"/>
            <w:shd w:val="clear" w:color="auto" w:fill="CCEEFF"/>
          </w:tcPr>
          <w:p>
            <w:pPr>
              <w:spacing w:after="0"/>
              <w:rPr>
                <w:sz w:val="14"/>
                <w:szCs w:val="14"/>
                <w:color w:val="auto"/>
              </w:rPr>
            </w:pPr>
          </w:p>
        </w:tc>
        <w:tc>
          <w:tcPr>
            <w:tcW w:w="23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000" w:type="dxa"/>
            <w:vAlign w:val="bottom"/>
          </w:tcPr>
          <w:p>
            <w:pPr>
              <w:ind w:left="300"/>
              <w:spacing w:after="0" w:line="158" w:lineRule="exact"/>
              <w:rPr>
                <w:sz w:val="20"/>
                <w:szCs w:val="20"/>
                <w:color w:val="auto"/>
              </w:rPr>
            </w:pPr>
            <w:r>
              <w:rPr>
                <w:rFonts w:ascii="Arial" w:cs="Arial" w:eastAsia="Arial" w:hAnsi="Arial"/>
                <w:sz w:val="16"/>
                <w:szCs w:val="16"/>
                <w:color w:val="auto"/>
              </w:rPr>
              <w:t>Item 2.</w:t>
            </w:r>
          </w:p>
        </w:tc>
        <w:tc>
          <w:tcPr>
            <w:tcW w:w="140" w:type="dxa"/>
            <w:vAlign w:val="bottom"/>
          </w:tcPr>
          <w:p>
            <w:pPr>
              <w:spacing w:after="0"/>
              <w:rPr>
                <w:sz w:val="14"/>
                <w:szCs w:val="14"/>
                <w:color w:val="auto"/>
              </w:rPr>
            </w:pPr>
          </w:p>
        </w:tc>
        <w:tc>
          <w:tcPr>
            <w:tcW w:w="8000" w:type="dxa"/>
            <w:vAlign w:val="bottom"/>
            <w:gridSpan w:val="13"/>
          </w:tcPr>
          <w:p>
            <w:pPr>
              <w:spacing w:after="0" w:line="158" w:lineRule="exact"/>
              <w:rPr>
                <w:rFonts w:ascii="Arial" w:cs="Arial" w:eastAsia="Arial" w:hAnsi="Arial"/>
                <w:sz w:val="16"/>
                <w:szCs w:val="16"/>
                <w:color w:val="0000EE"/>
              </w:rPr>
            </w:pPr>
            <w:hyperlink w:anchor="page76">
              <w:r>
                <w:rPr>
                  <w:rFonts w:ascii="Arial" w:cs="Arial" w:eastAsia="Arial" w:hAnsi="Arial"/>
                  <w:sz w:val="16"/>
                  <w:szCs w:val="16"/>
                  <w:color w:val="0000EE"/>
                </w:rPr>
                <w:t>Unregistered Sales of Equity Securities and Use of Proceeds.</w:t>
              </w:r>
            </w:hyperlink>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shd w:val="clear" w:color="auto" w:fill="CCEEFF"/>
          </w:tcPr>
          <w:p>
            <w:pPr>
              <w:ind w:left="300"/>
              <w:spacing w:after="0" w:line="167" w:lineRule="exact"/>
              <w:rPr>
                <w:sz w:val="20"/>
                <w:szCs w:val="20"/>
                <w:color w:val="auto"/>
              </w:rPr>
            </w:pPr>
            <w:r>
              <w:rPr>
                <w:rFonts w:ascii="Arial" w:cs="Arial" w:eastAsia="Arial" w:hAnsi="Arial"/>
                <w:sz w:val="16"/>
                <w:szCs w:val="16"/>
                <w:color w:val="auto"/>
              </w:rPr>
              <w:t>Item 3.</w:t>
            </w:r>
          </w:p>
        </w:tc>
        <w:tc>
          <w:tcPr>
            <w:tcW w:w="140" w:type="dxa"/>
            <w:vAlign w:val="bottom"/>
            <w:shd w:val="clear" w:color="auto" w:fill="CCEEFF"/>
          </w:tcPr>
          <w:p>
            <w:pPr>
              <w:spacing w:after="0"/>
              <w:rPr>
                <w:sz w:val="15"/>
                <w:szCs w:val="15"/>
                <w:color w:val="auto"/>
              </w:rPr>
            </w:pPr>
          </w:p>
        </w:tc>
        <w:tc>
          <w:tcPr>
            <w:tcW w:w="3960" w:type="dxa"/>
            <w:vAlign w:val="bottom"/>
            <w:tcBorders>
              <w:top w:val="single" w:sz="8" w:color="0000EE"/>
            </w:tcBorders>
            <w:gridSpan w:val="10"/>
            <w:shd w:val="clear" w:color="auto" w:fill="CCEEFF"/>
          </w:tcPr>
          <w:p>
            <w:pPr>
              <w:spacing w:after="0" w:line="167" w:lineRule="exact"/>
              <w:rPr>
                <w:rFonts w:ascii="Arial" w:cs="Arial" w:eastAsia="Arial" w:hAnsi="Arial"/>
                <w:sz w:val="16"/>
                <w:szCs w:val="16"/>
                <w:color w:val="0000EE"/>
              </w:rPr>
            </w:pPr>
            <w:hyperlink w:anchor="page76">
              <w:r>
                <w:rPr>
                  <w:rFonts w:ascii="Arial" w:cs="Arial" w:eastAsia="Arial" w:hAnsi="Arial"/>
                  <w:sz w:val="16"/>
                  <w:szCs w:val="16"/>
                  <w:color w:val="0000EE"/>
                </w:rPr>
                <w:t>Defaults upon Senior Securities.</w:t>
              </w:r>
            </w:hyperlink>
          </w:p>
        </w:tc>
        <w:tc>
          <w:tcPr>
            <w:tcW w:w="4040" w:type="dxa"/>
            <w:vAlign w:val="bottom"/>
            <w:gridSpan w:val="3"/>
            <w:shd w:val="clear" w:color="auto" w:fill="CCEEFF"/>
          </w:tcPr>
          <w:p>
            <w:pPr>
              <w:spacing w:after="0"/>
              <w:rPr>
                <w:sz w:val="15"/>
                <w:szCs w:val="15"/>
                <w:color w:val="auto"/>
              </w:rPr>
            </w:pPr>
          </w:p>
        </w:tc>
        <w:tc>
          <w:tcPr>
            <w:tcW w:w="23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00" w:type="dxa"/>
            <w:vAlign w:val="bottom"/>
            <w:tcBorders>
              <w:top w:val="single" w:sz="8" w:color="CCEEFF"/>
            </w:tcBorders>
          </w:tcPr>
          <w:p>
            <w:pPr>
              <w:ind w:left="300"/>
              <w:spacing w:after="0" w:line="158" w:lineRule="exact"/>
              <w:rPr>
                <w:sz w:val="20"/>
                <w:szCs w:val="20"/>
                <w:color w:val="auto"/>
              </w:rPr>
            </w:pPr>
            <w:r>
              <w:rPr>
                <w:rFonts w:ascii="Arial" w:cs="Arial" w:eastAsia="Arial" w:hAnsi="Arial"/>
                <w:sz w:val="16"/>
                <w:szCs w:val="16"/>
                <w:color w:val="auto"/>
              </w:rPr>
              <w:t>Item 4.</w:t>
            </w:r>
          </w:p>
        </w:tc>
        <w:tc>
          <w:tcPr>
            <w:tcW w:w="140" w:type="dxa"/>
            <w:vAlign w:val="bottom"/>
            <w:tcBorders>
              <w:top w:val="single" w:sz="8" w:color="CCEEFF"/>
            </w:tcBorders>
          </w:tcPr>
          <w:p>
            <w:pPr>
              <w:spacing w:after="0"/>
              <w:rPr>
                <w:sz w:val="14"/>
                <w:szCs w:val="14"/>
                <w:color w:val="auto"/>
              </w:rPr>
            </w:pPr>
          </w:p>
        </w:tc>
        <w:tc>
          <w:tcPr>
            <w:tcW w:w="2100" w:type="dxa"/>
            <w:vAlign w:val="bottom"/>
            <w:tcBorders>
              <w:top w:val="single" w:sz="8" w:color="0000EE"/>
            </w:tcBorders>
            <w:gridSpan w:val="8"/>
          </w:tcPr>
          <w:p>
            <w:pPr>
              <w:spacing w:after="0" w:line="158" w:lineRule="exact"/>
              <w:rPr>
                <w:rFonts w:ascii="Arial" w:cs="Arial" w:eastAsia="Arial" w:hAnsi="Arial"/>
                <w:sz w:val="16"/>
                <w:szCs w:val="16"/>
                <w:color w:val="0000EE"/>
              </w:rPr>
            </w:pPr>
            <w:hyperlink w:anchor="page76">
              <w:r>
                <w:rPr>
                  <w:rFonts w:ascii="Arial" w:cs="Arial" w:eastAsia="Arial" w:hAnsi="Arial"/>
                  <w:sz w:val="16"/>
                  <w:szCs w:val="16"/>
                  <w:color w:val="0000EE"/>
                </w:rPr>
                <w:t>Mine Safety Disclosures.</w:t>
              </w:r>
            </w:hyperlink>
          </w:p>
        </w:tc>
        <w:tc>
          <w:tcPr>
            <w:tcW w:w="5900" w:type="dxa"/>
            <w:vAlign w:val="bottom"/>
            <w:tcBorders>
              <w:top w:val="single" w:sz="8" w:color="CCEEFF"/>
            </w:tcBorders>
            <w:gridSpan w:val="5"/>
          </w:tcPr>
          <w:p>
            <w:pPr>
              <w:spacing w:after="0"/>
              <w:rPr>
                <w:sz w:val="14"/>
                <w:szCs w:val="14"/>
                <w:color w:val="auto"/>
              </w:rPr>
            </w:pPr>
          </w:p>
        </w:tc>
        <w:tc>
          <w:tcPr>
            <w:tcW w:w="2300" w:type="dxa"/>
            <w:vAlign w:val="bottom"/>
            <w:tcBorders>
              <w:top w:val="single" w:sz="8" w:color="CCEEFF"/>
            </w:tcBorders>
          </w:tcPr>
          <w:p>
            <w:pPr>
              <w:jc w:val="right"/>
              <w:spacing w:after="0" w:line="158"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CCEEFF"/>
            </w:tcBorders>
            <w:shd w:val="clear" w:color="auto" w:fill="CCEEFF"/>
          </w:tcPr>
          <w:p>
            <w:pPr>
              <w:ind w:left="300"/>
              <w:spacing w:after="0" w:line="167" w:lineRule="exact"/>
              <w:rPr>
                <w:sz w:val="20"/>
                <w:szCs w:val="20"/>
                <w:color w:val="auto"/>
              </w:rPr>
            </w:pPr>
            <w:r>
              <w:rPr>
                <w:rFonts w:ascii="Arial" w:cs="Arial" w:eastAsia="Arial" w:hAnsi="Arial"/>
                <w:sz w:val="16"/>
                <w:szCs w:val="16"/>
                <w:color w:val="auto"/>
              </w:rPr>
              <w:t>Item 5.</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top w:val="single" w:sz="8" w:color="0000EE"/>
              <w:bottom w:val="single" w:sz="8" w:color="0000EE"/>
            </w:tcBorders>
            <w:gridSpan w:val="5"/>
            <w:shd w:val="clear" w:color="auto" w:fill="CCEEFF"/>
          </w:tcPr>
          <w:p>
            <w:pPr>
              <w:spacing w:after="0" w:line="167" w:lineRule="exact"/>
              <w:rPr>
                <w:rFonts w:ascii="Arial" w:cs="Arial" w:eastAsia="Arial" w:hAnsi="Arial"/>
                <w:sz w:val="16"/>
                <w:szCs w:val="16"/>
                <w:color w:val="0000EE"/>
                <w:w w:val="94"/>
              </w:rPr>
            </w:pPr>
            <w:hyperlink w:anchor="page76">
              <w:r>
                <w:rPr>
                  <w:rFonts w:ascii="Arial" w:cs="Arial" w:eastAsia="Arial" w:hAnsi="Arial"/>
                  <w:sz w:val="16"/>
                  <w:szCs w:val="16"/>
                  <w:color w:val="0000EE"/>
                  <w:w w:val="94"/>
                </w:rPr>
                <w:t>Other Information.</w:t>
              </w:r>
            </w:hyperlink>
          </w:p>
        </w:tc>
        <w:tc>
          <w:tcPr>
            <w:tcW w:w="40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6360" w:type="dxa"/>
            <w:vAlign w:val="bottom"/>
            <w:tcBorders>
              <w:bottom w:val="single" w:sz="8" w:color="CCEEFF"/>
            </w:tcBorders>
            <w:gridSpan w:val="6"/>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00" w:type="dxa"/>
            <w:vAlign w:val="bottom"/>
          </w:tcPr>
          <w:p>
            <w:pPr>
              <w:ind w:left="300"/>
              <w:spacing w:after="0" w:line="158" w:lineRule="exact"/>
              <w:rPr>
                <w:sz w:val="20"/>
                <w:szCs w:val="20"/>
                <w:color w:val="auto"/>
              </w:rPr>
            </w:pPr>
            <w:r>
              <w:rPr>
                <w:rFonts w:ascii="Arial" w:cs="Arial" w:eastAsia="Arial" w:hAnsi="Arial"/>
                <w:sz w:val="16"/>
                <w:szCs w:val="16"/>
                <w:color w:val="auto"/>
              </w:rPr>
              <w:t>Item 6.</w:t>
            </w:r>
          </w:p>
        </w:tc>
        <w:tc>
          <w:tcPr>
            <w:tcW w:w="8140" w:type="dxa"/>
            <w:vAlign w:val="bottom"/>
            <w:gridSpan w:val="14"/>
          </w:tcPr>
          <w:p>
            <w:pPr>
              <w:ind w:left="140"/>
              <w:spacing w:after="0" w:line="158" w:lineRule="exact"/>
              <w:rPr>
                <w:rFonts w:ascii="Arial" w:cs="Arial" w:eastAsia="Arial" w:hAnsi="Arial"/>
                <w:sz w:val="16"/>
                <w:szCs w:val="16"/>
                <w:color w:val="0000EE"/>
              </w:rPr>
            </w:pPr>
            <w:hyperlink w:anchor="page76">
              <w:r>
                <w:rPr>
                  <w:rFonts w:ascii="Arial" w:cs="Arial" w:eastAsia="Arial" w:hAnsi="Arial"/>
                  <w:sz w:val="16"/>
                  <w:szCs w:val="16"/>
                  <w:color w:val="0000EE"/>
                </w:rPr>
                <w:t>Exhibits.</w:t>
              </w:r>
            </w:hyperlink>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00" w:type="dxa"/>
            <w:vAlign w:val="bottom"/>
            <w:tcBorders>
              <w:bottom w:val="single" w:sz="8" w:color="0000EE"/>
            </w:tcBorders>
          </w:tcPr>
          <w:p>
            <w:pPr>
              <w:spacing w:after="0" w:line="158" w:lineRule="exact"/>
              <w:rPr>
                <w:rFonts w:ascii="Arial" w:cs="Arial" w:eastAsia="Arial" w:hAnsi="Arial"/>
                <w:sz w:val="16"/>
                <w:szCs w:val="16"/>
                <w:color w:val="0000EE"/>
                <w:w w:val="94"/>
              </w:rPr>
            </w:pPr>
            <w:hyperlink w:anchor="page78">
              <w:r>
                <w:rPr>
                  <w:rFonts w:ascii="Arial" w:cs="Arial" w:eastAsia="Arial" w:hAnsi="Arial"/>
                  <w:sz w:val="16"/>
                  <w:szCs w:val="16"/>
                  <w:color w:val="0000EE"/>
                  <w:w w:val="94"/>
                </w:rPr>
                <w:t>SIGNATURES</w:t>
              </w:r>
            </w:hyperlink>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300" w:type="dxa"/>
            <w:vAlign w:val="bottom"/>
          </w:tcPr>
          <w:p>
            <w:pPr>
              <w:jc w:val="right"/>
              <w:spacing w:after="0" w:line="158" w:lineRule="exact"/>
              <w:rPr>
                <w:sz w:val="20"/>
                <w:szCs w:val="20"/>
                <w:color w:val="auto"/>
              </w:rPr>
            </w:pPr>
            <w:r>
              <w:rPr>
                <w:rFonts w:ascii="Arial" w:cs="Arial" w:eastAsia="Arial" w:hAnsi="Arial"/>
                <w:sz w:val="16"/>
                <w:szCs w:val="16"/>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GLOSSARY OF TERMS</w:t>
      </w:r>
    </w:p>
    <w:p>
      <w:pPr>
        <w:spacing w:after="0" w:line="215" w:lineRule="exact"/>
        <w:rPr>
          <w:sz w:val="20"/>
          <w:szCs w:val="20"/>
          <w:color w:val="auto"/>
        </w:rPr>
      </w:pPr>
    </w:p>
    <w:p>
      <w:pPr>
        <w:ind w:right="900" w:firstLine="292"/>
        <w:spacing w:after="0" w:line="247" w:lineRule="auto"/>
        <w:rPr>
          <w:sz w:val="20"/>
          <w:szCs w:val="20"/>
          <w:color w:val="auto"/>
        </w:rPr>
      </w:pPr>
      <w:r>
        <w:rPr>
          <w:rFonts w:ascii="Arial" w:cs="Arial" w:eastAsia="Arial" w:hAnsi="Arial"/>
          <w:sz w:val="20"/>
          <w:szCs w:val="20"/>
          <w:color w:val="auto"/>
        </w:rPr>
        <w:t>As commonly used in the liquefied natural gas industry, to the extent applicable and as used in this Quarterly Report on Form 10-Q (“Quarterly Report”), the terms listed below have the following meanings: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Btu</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w w:val="91"/>
              </w:rPr>
              <w:t>the amount of heat required to raise the temperature of one avoirdupois pound of pure water from 59 degrees Fahrenheit to</w:t>
            </w:r>
          </w:p>
        </w:tc>
      </w:tr>
      <w:tr>
        <w:trPr>
          <w:trHeight w:val="208"/>
        </w:trPr>
        <w:tc>
          <w:tcPr>
            <w:tcW w:w="2340" w:type="dxa"/>
            <w:vAlign w:val="bottom"/>
            <w:shd w:val="clear" w:color="auto" w:fill="CCEEFF"/>
          </w:tcPr>
          <w:p>
            <w:pPr>
              <w:spacing w:after="0"/>
              <w:rPr>
                <w:sz w:val="18"/>
                <w:szCs w:val="18"/>
                <w:color w:val="auto"/>
              </w:rPr>
            </w:pP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60 degrees Fahrenheit at an absolute pressure of 14.696 pounds per square inch gage</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CAA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Clean Air Act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CERCLA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Comprehensive Environmental Response, Compensation and Liability Act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CWA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Clean Water Act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DOE</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U.S. Department of Energy</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generally accepted accounting principles in the United States</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GHG</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greenhouse gases</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GSA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natural gas sales agreement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83"/>
        </w:trPr>
        <w:tc>
          <w:tcPr>
            <w:tcW w:w="2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Henry Hub</w:t>
            </w:r>
          </w:p>
        </w:tc>
        <w:tc>
          <w:tcPr>
            <w:tcW w:w="9100" w:type="dxa"/>
            <w:vAlign w:val="bottom"/>
            <w:shd w:val="clear" w:color="auto" w:fill="CCEEFF"/>
          </w:tcPr>
          <w:p>
            <w:pPr>
              <w:ind w:left="1100"/>
              <w:spacing w:after="0" w:line="183" w:lineRule="exact"/>
              <w:rPr>
                <w:sz w:val="20"/>
                <w:szCs w:val="20"/>
                <w:color w:val="auto"/>
              </w:rPr>
            </w:pPr>
            <w:r>
              <w:rPr>
                <w:rFonts w:ascii="Arial" w:cs="Arial" w:eastAsia="Arial" w:hAnsi="Arial"/>
                <w:sz w:val="16"/>
                <w:szCs w:val="16"/>
                <w:color w:val="auto"/>
                <w:w w:val="94"/>
              </w:rPr>
              <w:t>a natural gas pipeline hub located in Erath, Louisiana that serves as the official delivery location for futures contracts on</w:t>
            </w:r>
          </w:p>
        </w:tc>
      </w:tr>
      <w:tr>
        <w:trPr>
          <w:trHeight w:val="208"/>
        </w:trPr>
        <w:tc>
          <w:tcPr>
            <w:tcW w:w="2340" w:type="dxa"/>
            <w:vAlign w:val="bottom"/>
            <w:shd w:val="clear" w:color="auto" w:fill="CCEEFF"/>
          </w:tcPr>
          <w:p>
            <w:pPr>
              <w:spacing w:after="0"/>
              <w:rPr>
                <w:sz w:val="18"/>
                <w:szCs w:val="18"/>
                <w:color w:val="auto"/>
              </w:rPr>
            </w:pP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the New York Mercantile Exchange</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ISO container</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International Organization of Standardization, an intermodal container</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LNG</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natural gas in its liquid state at or below its boiling point at or near atmospheric pressure</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MMBtu</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one million Btus, which corresponds to approximately 12.1 LNG gallons</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MW</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megawatt. We estimate 2,500 LNG gallons would be required to produce one megawatt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NGA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Natural Gas Act of 1938, as amended</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83"/>
        </w:trPr>
        <w:tc>
          <w:tcPr>
            <w:tcW w:w="2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non-FTA countries</w:t>
            </w:r>
          </w:p>
        </w:tc>
        <w:tc>
          <w:tcPr>
            <w:tcW w:w="9100" w:type="dxa"/>
            <w:vAlign w:val="bottom"/>
            <w:shd w:val="clear" w:color="auto" w:fill="CCEEFF"/>
          </w:tcPr>
          <w:p>
            <w:pPr>
              <w:ind w:left="1100"/>
              <w:spacing w:after="0" w:line="183" w:lineRule="exact"/>
              <w:rPr>
                <w:sz w:val="20"/>
                <w:szCs w:val="20"/>
                <w:color w:val="auto"/>
              </w:rPr>
            </w:pPr>
            <w:r>
              <w:rPr>
                <w:rFonts w:ascii="Arial" w:cs="Arial" w:eastAsia="Arial" w:hAnsi="Arial"/>
                <w:sz w:val="16"/>
                <w:szCs w:val="16"/>
                <w:color w:val="auto"/>
                <w:w w:val="95"/>
              </w:rPr>
              <w:t>countries without a free trade agreement with the United States providing for national treatment for trade in natural gas</w:t>
            </w:r>
          </w:p>
        </w:tc>
      </w:tr>
      <w:tr>
        <w:trPr>
          <w:trHeight w:val="208"/>
        </w:trPr>
        <w:tc>
          <w:tcPr>
            <w:tcW w:w="2340" w:type="dxa"/>
            <w:vAlign w:val="bottom"/>
            <w:shd w:val="clear" w:color="auto" w:fill="CCEEFF"/>
          </w:tcPr>
          <w:p>
            <w:pPr>
              <w:spacing w:after="0"/>
              <w:rPr>
                <w:sz w:val="18"/>
                <w:szCs w:val="18"/>
                <w:color w:val="auto"/>
              </w:rPr>
            </w:pP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and with which trade is permitted</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OPA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Oil Pollution Act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OUR</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Office of Utilities Regulation (Jamaica)</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PHMSA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Pipeline and Hazardous Materials Safety Administration</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PPA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power purchase agreement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SSA</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steam supply agreement</w:t>
            </w:r>
          </w:p>
        </w:tc>
      </w:tr>
      <w:tr>
        <w:trPr>
          <w:trHeight w:val="195"/>
        </w:trPr>
        <w:tc>
          <w:tcPr>
            <w:tcW w:w="2340" w:type="dxa"/>
            <w:vAlign w:val="bottom"/>
          </w:tcPr>
          <w:p>
            <w:pPr>
              <w:spacing w:after="0"/>
              <w:rPr>
                <w:sz w:val="16"/>
                <w:szCs w:val="16"/>
                <w:color w:val="auto"/>
              </w:rPr>
            </w:pPr>
          </w:p>
        </w:tc>
        <w:tc>
          <w:tcPr>
            <w:tcW w:w="9100" w:type="dxa"/>
            <w:vAlign w:val="bottom"/>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TBtu</w:t>
            </w:r>
          </w:p>
        </w:tc>
        <w:tc>
          <w:tcPr>
            <w:tcW w:w="91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one trillion Btus, which corresponds to approximately 12,100,000 LNG gallons</w:t>
            </w:r>
          </w:p>
        </w:tc>
      </w:tr>
      <w:tr>
        <w:trPr>
          <w:trHeight w:val="538"/>
        </w:trPr>
        <w:tc>
          <w:tcPr>
            <w:tcW w:w="2340" w:type="dxa"/>
            <w:vAlign w:val="bottom"/>
          </w:tcPr>
          <w:p>
            <w:pPr>
              <w:spacing w:after="0"/>
              <w:rPr>
                <w:sz w:val="24"/>
                <w:szCs w:val="24"/>
                <w:color w:val="auto"/>
              </w:rPr>
            </w:pPr>
          </w:p>
        </w:tc>
        <w:tc>
          <w:tcPr>
            <w:tcW w:w="9100" w:type="dxa"/>
            <w:vAlign w:val="bottom"/>
          </w:tcPr>
          <w:p>
            <w:pPr>
              <w:ind w:left="3340"/>
              <w:spacing w:after="0"/>
              <w:rPr>
                <w:sz w:val="20"/>
                <w:szCs w:val="20"/>
                <w:color w:val="auto"/>
              </w:rPr>
            </w:pPr>
            <w:r>
              <w:rPr>
                <w:rFonts w:ascii="Arial" w:cs="Arial" w:eastAsia="Arial" w:hAnsi="Arial"/>
                <w:sz w:val="13"/>
                <w:szCs w:val="13"/>
                <w:color w:val="auto"/>
              </w:rPr>
              <w:t>ii</w:t>
            </w:r>
          </w:p>
        </w:tc>
      </w:tr>
      <w:tr>
        <w:trPr>
          <w:trHeight w:val="40"/>
        </w:trPr>
        <w:tc>
          <w:tcPr>
            <w:tcW w:w="234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CAUTIONARY STATEMENT ON FORWARD-LOOKING STATEMENTS</w:t>
      </w:r>
    </w:p>
    <w:p>
      <w:pPr>
        <w:spacing w:after="0" w:line="215" w:lineRule="exact"/>
        <w:rPr>
          <w:sz w:val="20"/>
          <w:szCs w:val="20"/>
          <w:color w:val="auto"/>
        </w:rPr>
      </w:pPr>
    </w:p>
    <w:p>
      <w:pPr>
        <w:ind w:firstLine="292"/>
        <w:spacing w:after="0" w:line="261" w:lineRule="auto"/>
        <w:rPr>
          <w:sz w:val="20"/>
          <w:szCs w:val="20"/>
          <w:color w:val="auto"/>
        </w:rPr>
      </w:pPr>
      <w:r>
        <w:rPr>
          <w:rFonts w:ascii="Arial" w:cs="Arial" w:eastAsia="Arial" w:hAnsi="Arial"/>
          <w:sz w:val="18"/>
          <w:szCs w:val="18"/>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80" w:lineRule="exact"/>
        <w:rPr>
          <w:sz w:val="20"/>
          <w:szCs w:val="20"/>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one or more of our customers;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230" w:lineRule="exact"/>
        <w:rPr>
          <w:rFonts w:ascii="Arial" w:cs="Arial" w:eastAsia="Arial" w:hAnsi="Arial"/>
          <w:sz w:val="16"/>
          <w:szCs w:val="16"/>
          <w:color w:val="auto"/>
        </w:rPr>
      </w:pPr>
    </w:p>
    <w:p>
      <w:pPr>
        <w:ind w:left="580" w:right="140" w:hanging="290"/>
        <w:spacing w:after="0" w:line="284"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of construction on our LNG terminals, power plants or Liquefaction Facilities (as defined herein) and the terms of our construction contracts for the completion of these assets;</w:t>
      </w:r>
    </w:p>
    <w:p>
      <w:pPr>
        <w:spacing w:after="0" w:line="174" w:lineRule="exact"/>
        <w:rPr>
          <w:rFonts w:ascii="Arial" w:cs="Arial" w:eastAsia="Arial" w:hAnsi="Arial"/>
          <w:sz w:val="16"/>
          <w:szCs w:val="16"/>
          <w:color w:val="auto"/>
        </w:rPr>
      </w:pPr>
    </w:p>
    <w:p>
      <w:pPr>
        <w:ind w:left="580" w:hanging="290"/>
        <w:spacing w:after="0" w:line="284"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 overruns and delays in the completion of one or more of our LNG terminals, power plants or Liquefaction Facilities, as well as difficulties in obtaining sufficient financing to pay for such costs and delays;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additional financing to effect our strategy;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hurricanes or other natural or manmade disasters;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obtain and maintain approvals and permits from governmental and regulatory agencies;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regulatory, environmental, political, legal and economic risks pertaining to the construction and operation of our facilities;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contract with suppliers and tankers to facilitate the delivery of LNG on their chartered LNG tankers;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cyclical or other changes in the demand for and price of LNG and natural gas;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natural gas to be a competitive source of energy in the markets in which we operate, and seek to operate;</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from third parties in our business;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re-finance our outstanding indebtedness or implement our financing plans;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environmental and similar laws and governmental regulations that are adverse to our operations;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enter into favorable agreements and obtain necessary regulatory approvals;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tax treatment of us or of an investment in our Class A shares;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sectPr>
      </w:pPr>
    </w:p>
    <w:bookmarkStart w:id="4" w:name="page5"/>
    <w:bookmarkEnd w:id="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major health and safety incident relating to our business;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230" w:lineRule="exact"/>
        <w:rPr>
          <w:rFonts w:ascii="Arial" w:cs="Arial" w:eastAsia="Arial" w:hAnsi="Arial"/>
          <w:sz w:val="16"/>
          <w:szCs w:val="16"/>
          <w:color w:val="auto"/>
        </w:rPr>
      </w:pPr>
    </w:p>
    <w:p>
      <w:pPr>
        <w:ind w:left="580" w:right="120" w:hanging="290"/>
        <w:spacing w:after="0" w:line="28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including particularly the United States. and states such as Pennsylvania and Florida, as well as Puerto Rico, Mexico, Angola, Jamaica, Ireland, the Dominican Republic and other jurisdictions in the Caribbean.</w:t>
      </w:r>
    </w:p>
    <w:p>
      <w:pPr>
        <w:spacing w:after="0" w:line="167"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2018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19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28" w:lineRule="auto"/>
        <w:rPr>
          <w:sz w:val="20"/>
          <w:szCs w:val="20"/>
          <w:color w:val="auto"/>
        </w:rPr>
      </w:pPr>
      <w:r>
        <w:rPr>
          <w:rFonts w:ascii="Arial" w:cs="Arial" w:eastAsia="Arial" w:hAnsi="Arial"/>
          <w:sz w:val="20"/>
          <w:szCs w:val="20"/>
          <w:b w:val="1"/>
          <w:bCs w:val="1"/>
          <w:color w:val="auto"/>
        </w:rPr>
        <w:t>As of September 30, 2019 and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in thousands of U.S. dollars, except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6"/>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79"/>
        </w:trPr>
        <w:tc>
          <w:tcPr>
            <w:tcW w:w="8800" w:type="dxa"/>
            <w:vAlign w:val="bottom"/>
          </w:tcPr>
          <w:p>
            <w:pPr>
              <w:spacing w:after="0" w:line="178" w:lineRule="exact"/>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8800" w:type="dxa"/>
            <w:vAlign w:val="bottom"/>
          </w:tcPr>
          <w:p>
            <w:pPr>
              <w:ind w:left="14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178,187</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78,301</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 of allowances of $0 and $257, respectively</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28,530</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Finance leases, net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15,959</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30,017</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current assets</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153,780</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equity securities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3,656</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22,522</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in progress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254,700</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193,577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 net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Deferred tax asset, net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Intangibles, net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43,057</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Other non-current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65,295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35,255</w:t>
            </w:r>
          </w:p>
        </w:tc>
      </w:tr>
      <w:tr>
        <w:trPr>
          <w:trHeight w:val="235"/>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1,147,783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699,402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492,762</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272,192</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43,177</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67,512</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Due to affiliates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4,481</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17,393</w:t>
            </w:r>
          </w:p>
        </w:tc>
      </w:tr>
      <w:tr>
        <w:trPr>
          <w:trHeight w:val="24"/>
        </w:trPr>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b w:val="1"/>
                <w:bCs w:val="1"/>
                <w:color w:val="auto"/>
              </w:rPr>
              <w:t>Total current liabilities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599,015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404,755</w:t>
            </w:r>
          </w:p>
        </w:tc>
      </w:tr>
      <w:tr>
        <w:trPr>
          <w:trHeight w:val="195"/>
        </w:trPr>
        <w:tc>
          <w:tcPr>
            <w:tcW w:w="8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liability, net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12,000</w:t>
            </w:r>
          </w:p>
        </w:tc>
      </w:tr>
      <w:tr>
        <w:trPr>
          <w:trHeight w:val="199"/>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727,385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416,755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contingences (Note 17)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w w:val="91"/>
              </w:rPr>
              <w:t>Members’ capital, no par value, 500,000,000 shares authorized, 67,983,095 shares issued and outstanding as of December 31, 2018</w:t>
            </w: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426,741</w:t>
            </w:r>
          </w:p>
        </w:tc>
      </w:tr>
      <w:tr>
        <w:trPr>
          <w:trHeight w:val="183"/>
        </w:trPr>
        <w:tc>
          <w:tcPr>
            <w:tcW w:w="88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w w:val="97"/>
              </w:rPr>
              <w:t>Class A shares, 22,892,293 shares, issued and outstanding as of September 30, 2019; 0 shares issued and outstanding as of</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8"/>
        </w:trPr>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December 31, 2018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8800" w:type="dxa"/>
            <w:vAlign w:val="bottom"/>
          </w:tcPr>
          <w:p>
            <w:pPr>
              <w:ind w:left="140"/>
              <w:spacing w:after="0" w:line="183" w:lineRule="exact"/>
              <w:rPr>
                <w:sz w:val="20"/>
                <w:szCs w:val="20"/>
                <w:color w:val="auto"/>
              </w:rPr>
            </w:pPr>
            <w:r>
              <w:rPr>
                <w:rFonts w:ascii="Arial" w:cs="Arial" w:eastAsia="Arial" w:hAnsi="Arial"/>
                <w:sz w:val="16"/>
                <w:szCs w:val="16"/>
                <w:color w:val="auto"/>
                <w:w w:val="96"/>
              </w:rPr>
              <w:t>Class B shares, 145,057,375 shares, issued and outstanding as of September 30, 2019; 0 shares issued and outstanding as of</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7"/>
        </w:trPr>
        <w:tc>
          <w:tcPr>
            <w:tcW w:w="8800" w:type="dxa"/>
            <w:vAlign w:val="bottom"/>
          </w:tcPr>
          <w:p>
            <w:pPr>
              <w:ind w:left="260"/>
              <w:spacing w:after="0"/>
              <w:rPr>
                <w:sz w:val="20"/>
                <w:szCs w:val="20"/>
                <w:color w:val="auto"/>
              </w:rPr>
            </w:pPr>
            <w:r>
              <w:rPr>
                <w:rFonts w:ascii="Arial" w:cs="Arial" w:eastAsia="Arial" w:hAnsi="Arial"/>
                <w:sz w:val="16"/>
                <w:szCs w:val="16"/>
                <w:color w:val="auto"/>
              </w:rPr>
              <w:t>December 31, 2018</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(38,480)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(158,423)</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Accumulated other comprehensive gain (loss)</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stockholders’ equity attributable to NFE</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268,307</w:t>
            </w:r>
          </w:p>
        </w:tc>
        <w:tc>
          <w:tcPr>
            <w:tcW w:w="120" w:type="dxa"/>
            <w:vAlign w:val="bottom"/>
            <w:shd w:val="clear" w:color="auto" w:fill="CCEEFF"/>
          </w:tcPr>
          <w:p>
            <w:pPr>
              <w:spacing w:after="0"/>
              <w:rPr>
                <w:sz w:val="16"/>
                <w:szCs w:val="16"/>
                <w:color w:val="auto"/>
              </w:rPr>
            </w:pP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335,137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14,340</w:t>
            </w:r>
          </w:p>
        </w:tc>
      </w:tr>
      <w:tr>
        <w:trPr>
          <w:trHeight w:val="199"/>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420,398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282,647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5"/>
        </w:trPr>
        <w:tc>
          <w:tcPr>
            <w:tcW w:w="8800" w:type="dxa"/>
            <w:vAlign w:val="bottom"/>
          </w:tcPr>
          <w:p>
            <w:pPr>
              <w:ind w:left="30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1,147,783</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699,402</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condensed consolidated financial statements.</w:t>
      </w:r>
    </w:p>
    <w:p>
      <w:pPr>
        <w:sectPr>
          <w:pgSz w:w="11900" w:h="16838" w:orient="portrait"/>
          <w:cols w:equalWidth="0" w:num="1">
            <w:col w:w="11440"/>
          </w:cols>
          <w:pgMar w:left="240" w:top="124" w:right="219" w:bottom="144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25995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6" w:name="page7"/>
    <w:bookmarkEnd w:id="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Fortress Energy LLC</w:t>
      </w:r>
    </w:p>
    <w:p>
      <w:pPr>
        <w:spacing w:after="0" w:line="11" w:lineRule="exact"/>
        <w:rPr>
          <w:sz w:val="20"/>
          <w:szCs w:val="20"/>
          <w:color w:val="auto"/>
        </w:rPr>
      </w:pPr>
    </w:p>
    <w:p>
      <w:pPr>
        <w:ind w:right="4960"/>
        <w:spacing w:after="0" w:line="291"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and nine months ended September 30, 2019 and 2018 (Unaudited, in thousands of U.S. dollars,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60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199"/>
        </w:trPr>
        <w:tc>
          <w:tcPr>
            <w:tcW w:w="60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35,345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24,629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93,221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69,545</w:t>
            </w:r>
          </w:p>
        </w:tc>
      </w:tr>
      <w:tr>
        <w:trPr>
          <w:trHeight w:val="199"/>
        </w:trPr>
        <w:tc>
          <w:tcPr>
            <w:tcW w:w="606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14,311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3,795</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26,152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11,387</w:t>
            </w:r>
          </w:p>
        </w:tc>
      </w:tr>
      <w:tr>
        <w:trPr>
          <w:trHeight w:val="19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49,656</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28,424</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80,932</w:t>
            </w:r>
          </w:p>
        </w:tc>
        <w:tc>
          <w:tcPr>
            <w:tcW w:w="120" w:type="dxa"/>
            <w:vAlign w:val="bottom"/>
            <w:shd w:val="clear" w:color="auto" w:fill="CCEEFF"/>
          </w:tcPr>
          <w:p>
            <w:pPr>
              <w:spacing w:after="0"/>
              <w:rPr>
                <w:sz w:val="17"/>
                <w:szCs w:val="17"/>
                <w:color w:val="auto"/>
              </w:rPr>
            </w:pPr>
          </w:p>
        </w:tc>
      </w:tr>
      <w:tr>
        <w:trPr>
          <w:trHeight w:val="195"/>
        </w:trPr>
        <w:tc>
          <w:tcPr>
            <w:tcW w:w="60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6060" w:type="dxa"/>
            <w:vAlign w:val="bottom"/>
          </w:tcPr>
          <w:p>
            <w:pPr>
              <w:ind w:left="14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45,832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22,094</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123,224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68,625</w:t>
            </w:r>
          </w:p>
        </w:tc>
      </w:tr>
      <w:tr>
        <w:trPr>
          <w:trHeight w:val="195"/>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1,999</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18,609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5,750</w:t>
            </w:r>
          </w:p>
        </w:tc>
      </w:tr>
      <w:tr>
        <w:trPr>
          <w:trHeight w:val="195"/>
        </w:trPr>
        <w:tc>
          <w:tcPr>
            <w:tcW w:w="60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40,913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13,423</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122,831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40,827</w:t>
            </w:r>
          </w:p>
        </w:tc>
      </w:tr>
      <w:tr>
        <w:trPr>
          <w:trHeight w:val="195"/>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5,731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2,258</w:t>
            </w:r>
          </w:p>
        </w:tc>
      </w:tr>
      <w:tr>
        <w:trPr>
          <w:trHeight w:val="24"/>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9"/>
        </w:trPr>
        <w:tc>
          <w:tcPr>
            <w:tcW w:w="6060" w:type="dxa"/>
            <w:vAlign w:val="bottom"/>
          </w:tcPr>
          <w:p>
            <w:pPr>
              <w:ind w:left="14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97,382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38,346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270,395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117,460</w:t>
            </w:r>
          </w:p>
        </w:tc>
      </w:tr>
      <w:tr>
        <w:trPr>
          <w:trHeight w:val="195"/>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(47,726)</w:t>
            </w: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(9,922)</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20" w:type="dxa"/>
            <w:vAlign w:val="bottom"/>
            <w:shd w:val="clear" w:color="auto" w:fill="CCEEFF"/>
          </w:tcPr>
          <w:p>
            <w:pPr>
              <w:spacing w:after="0"/>
              <w:rPr>
                <w:sz w:val="16"/>
                <w:szCs w:val="16"/>
                <w:color w:val="auto"/>
              </w:rPr>
            </w:pPr>
          </w:p>
        </w:tc>
      </w:t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3,183</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6,389</w:t>
            </w:r>
          </w:p>
        </w:tc>
      </w:tr>
      <w:tr>
        <w:trPr>
          <w:trHeight w:val="199"/>
        </w:trPr>
        <w:tc>
          <w:tcPr>
            <w:tcW w:w="6060" w:type="dxa"/>
            <w:vAlign w:val="bottom"/>
          </w:tcPr>
          <w:p>
            <w:pPr>
              <w:spacing w:after="0"/>
              <w:rPr>
                <w:sz w:val="20"/>
                <w:szCs w:val="20"/>
                <w:color w:val="auto"/>
              </w:rPr>
            </w:pPr>
            <w:r>
              <w:rPr>
                <w:rFonts w:ascii="Arial" w:cs="Arial" w:eastAsia="Arial" w:hAnsi="Arial"/>
                <w:sz w:val="16"/>
                <w:szCs w:val="16"/>
                <w:color w:val="auto"/>
              </w:rPr>
              <w:t>Other expense, net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103</w:t>
            </w:r>
          </w:p>
        </w:tc>
      </w:tr>
      <w:tr>
        <w:trPr>
          <w:trHeight w:val="195"/>
        </w:trPr>
        <w:tc>
          <w:tcPr>
            <w:tcW w:w="60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6060" w:type="dxa"/>
            <w:vAlign w:val="bottom"/>
          </w:tcPr>
          <w:p>
            <w:pPr>
              <w:ind w:left="140"/>
              <w:spacing w:after="0"/>
              <w:rPr>
                <w:sz w:val="20"/>
                <w:szCs w:val="20"/>
                <w:color w:val="auto"/>
              </w:rPr>
            </w:pPr>
            <w:r>
              <w:rPr>
                <w:rFonts w:ascii="Arial" w:cs="Arial" w:eastAsia="Arial" w:hAnsi="Arial"/>
                <w:sz w:val="16"/>
                <w:szCs w:val="16"/>
                <w:b w:val="1"/>
                <w:bCs w:val="1"/>
                <w:color w:val="auto"/>
              </w:rPr>
              <w:t>Loss before taxes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(54,488)</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(13,375)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(165,612)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(43,020)</w:t>
            </w: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Tax (benefit) expense</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399</w:t>
            </w:r>
          </w:p>
        </w:tc>
      </w:tr>
      <w:tr>
        <w:trPr>
          <w:trHeight w:val="24"/>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60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(54,424)</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(13,681)</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(165,949)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(43,419)</w:t>
            </w: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47,701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139,483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r>
      <w:tr>
        <w:trPr>
          <w:trHeight w:val="24"/>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6060" w:type="dxa"/>
            <w:vAlign w:val="bottom"/>
          </w:tcPr>
          <w:p>
            <w:pPr>
              <w:ind w:left="140"/>
              <w:spacing w:after="0"/>
              <w:rPr>
                <w:sz w:val="20"/>
                <w:szCs w:val="20"/>
                <w:color w:val="auto"/>
              </w:rPr>
            </w:pPr>
            <w:r>
              <w:rPr>
                <w:rFonts w:ascii="Arial" w:cs="Arial" w:eastAsia="Arial" w:hAnsi="Arial"/>
                <w:sz w:val="16"/>
                <w:szCs w:val="16"/>
                <w:b w:val="1"/>
                <w:bCs w:val="1"/>
                <w:color w:val="auto"/>
              </w:rPr>
              <w:t>Net loss attributable to stockholders</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(6,723)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(13,609)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(26,466)</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(43,347)</w:t>
            </w: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color w:val="auto"/>
              </w:rPr>
              <w:t>Net loss per share – basic and diluted</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(0.30)</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22,692,104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19,689,568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(54,424)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(13,681)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(165,949)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(43,419)</w:t>
            </w:r>
          </w:p>
        </w:tc>
      </w:tr>
      <w:tr>
        <w:trPr>
          <w:trHeight w:val="195"/>
        </w:trPr>
        <w:tc>
          <w:tcPr>
            <w:tcW w:w="6060" w:type="dxa"/>
            <w:vAlign w:val="bottom"/>
          </w:tcPr>
          <w:p>
            <w:pPr>
              <w:spacing w:after="0"/>
              <w:rPr>
                <w:sz w:val="20"/>
                <w:szCs w:val="20"/>
                <w:color w:val="auto"/>
              </w:rPr>
            </w:pPr>
            <w:r>
              <w:rPr>
                <w:rFonts w:ascii="Arial" w:cs="Arial" w:eastAsia="Arial" w:hAnsi="Arial"/>
                <w:sz w:val="16"/>
                <w:szCs w:val="16"/>
                <w:color w:val="auto"/>
              </w:rPr>
              <w:t>Unrealized loss on currency translation adjustment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(gain) on available-for-sale investment</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(443)</w:t>
            </w:r>
          </w:p>
        </w:tc>
      </w:tr>
      <w:tr>
        <w:trPr>
          <w:trHeight w:val="24"/>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color w:val="auto"/>
              </w:rPr>
              <w:t>Comprehensive loss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(54,567)</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(13,971)</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(166,092)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(42,976)</w:t>
            </w:r>
          </w:p>
        </w:tc>
      </w:tr>
      <w:tr>
        <w:trPr>
          <w:trHeight w:val="19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 attributable to non-controlling interest</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47,825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139,607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r>
      <w:tr>
        <w:trPr>
          <w:trHeight w:val="24"/>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 stockholders</w:t>
            </w:r>
          </w:p>
        </w:tc>
        <w:tc>
          <w:tcPr>
            <w:tcW w:w="260" w:type="dxa"/>
            <w:vAlign w:val="bottom"/>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(6,742)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(13,899)</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(26,485)</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(42,904)</w:t>
            </w: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Fortress Energy LLC</w:t>
      </w:r>
    </w:p>
    <w:p>
      <w:pPr>
        <w:spacing w:after="0" w:line="11" w:lineRule="exact"/>
        <w:rPr>
          <w:sz w:val="20"/>
          <w:szCs w:val="20"/>
          <w:color w:val="auto"/>
        </w:rPr>
      </w:pPr>
    </w:p>
    <w:p>
      <w:pPr>
        <w:ind w:right="5500"/>
        <w:spacing w:after="0" w:line="268"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and nine months ended September 30, 2019 and 2018 (Unaudited, in thousands of U.S. dollars, except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740" w:type="dxa"/>
            <w:vAlign w:val="bottom"/>
            <w:gridSpan w:val="6"/>
            <w:vMerge w:val="restart"/>
          </w:tcPr>
          <w:p>
            <w:pPr>
              <w:jc w:val="right"/>
              <w:ind w:right="300"/>
              <w:spacing w:after="0"/>
              <w:rPr>
                <w:sz w:val="20"/>
                <w:szCs w:val="20"/>
                <w:color w:val="auto"/>
              </w:rPr>
            </w:pPr>
            <w:r>
              <w:rPr>
                <w:rFonts w:ascii="Arial" w:cs="Arial" w:eastAsia="Arial" w:hAnsi="Arial"/>
                <w:sz w:val="16"/>
                <w:szCs w:val="16"/>
                <w:b w:val="1"/>
                <w:bCs w:val="1"/>
                <w:color w:val="auto"/>
              </w:rPr>
              <w:t>Members’ Capital</w:t>
            </w:r>
          </w:p>
        </w:tc>
        <w:tc>
          <w:tcPr>
            <w:tcW w:w="1580" w:type="dxa"/>
            <w:vAlign w:val="bottom"/>
            <w:gridSpan w:val="6"/>
            <w:vMerge w:val="restart"/>
          </w:tcPr>
          <w:p>
            <w:pPr>
              <w:ind w:left="240"/>
              <w:spacing w:after="0"/>
              <w:rPr>
                <w:sz w:val="20"/>
                <w:szCs w:val="20"/>
                <w:color w:val="auto"/>
              </w:rPr>
            </w:pPr>
            <w:r>
              <w:rPr>
                <w:rFonts w:ascii="Arial" w:cs="Arial" w:eastAsia="Arial" w:hAnsi="Arial"/>
                <w:sz w:val="16"/>
                <w:szCs w:val="16"/>
                <w:b w:val="1"/>
                <w:bCs w:val="1"/>
                <w:color w:val="auto"/>
              </w:rPr>
              <w:t>Class A shares</w:t>
            </w:r>
          </w:p>
        </w:tc>
        <w:tc>
          <w:tcPr>
            <w:tcW w:w="1320" w:type="dxa"/>
            <w:vAlign w:val="bottom"/>
            <w:gridSpan w:val="3"/>
            <w:vMerge w:val="restart"/>
          </w:tcPr>
          <w:p>
            <w:pPr>
              <w:ind w:left="280"/>
              <w:spacing w:after="0"/>
              <w:rPr>
                <w:sz w:val="20"/>
                <w:szCs w:val="20"/>
                <w:color w:val="auto"/>
              </w:rPr>
            </w:pPr>
            <w:r>
              <w:rPr>
                <w:rFonts w:ascii="Arial" w:cs="Arial" w:eastAsia="Arial" w:hAnsi="Arial"/>
                <w:sz w:val="16"/>
                <w:szCs w:val="16"/>
                <w:b w:val="1"/>
                <w:bCs w:val="1"/>
                <w:color w:val="auto"/>
                <w:w w:val="88"/>
              </w:rPr>
              <w:t>Class B shares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1740" w:type="dxa"/>
            <w:vAlign w:val="bottom"/>
            <w:gridSpan w:val="6"/>
            <w:vMerge w:val="continue"/>
          </w:tcPr>
          <w:p>
            <w:pPr>
              <w:spacing w:after="0"/>
              <w:rPr>
                <w:sz w:val="17"/>
                <w:szCs w:val="17"/>
                <w:color w:val="auto"/>
              </w:rPr>
            </w:pPr>
          </w:p>
        </w:tc>
        <w:tc>
          <w:tcPr>
            <w:tcW w:w="1580" w:type="dxa"/>
            <w:vAlign w:val="bottom"/>
            <w:gridSpan w:val="6"/>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ind w:left="40"/>
              <w:spacing w:after="0" w:line="166" w:lineRule="exact"/>
              <w:rPr>
                <w:sz w:val="20"/>
                <w:szCs w:val="20"/>
                <w:color w:val="auto"/>
              </w:rPr>
            </w:pPr>
            <w:r>
              <w:rPr>
                <w:rFonts w:ascii="Arial" w:cs="Arial" w:eastAsia="Arial" w:hAnsi="Arial"/>
                <w:sz w:val="16"/>
                <w:szCs w:val="16"/>
                <w:b w:val="1"/>
                <w:bCs w:val="1"/>
                <w:color w:val="auto"/>
              </w:rPr>
              <w:t>subscription</w:t>
            </w:r>
          </w:p>
        </w:tc>
        <w:tc>
          <w:tcPr>
            <w:tcW w:w="1100" w:type="dxa"/>
            <w:vAlign w:val="bottom"/>
            <w:gridSpan w:val="3"/>
          </w:tcPr>
          <w:p>
            <w:pPr>
              <w:spacing w:after="0" w:line="166"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spacing w:after="0" w:line="166" w:lineRule="exact"/>
              <w:rPr>
                <w:sz w:val="20"/>
                <w:szCs w:val="20"/>
                <w:color w:val="auto"/>
              </w:rPr>
            </w:pPr>
            <w:r>
              <w:rPr>
                <w:rFonts w:ascii="Arial" w:cs="Arial" w:eastAsia="Arial" w:hAnsi="Arial"/>
                <w:sz w:val="16"/>
                <w:szCs w:val="16"/>
                <w:b w:val="1"/>
                <w:bCs w:val="1"/>
                <w:color w:val="auto"/>
                <w:w w:val="95"/>
              </w:rPr>
              <w:t>comprehensive</w:t>
            </w:r>
          </w:p>
        </w:tc>
        <w:tc>
          <w:tcPr>
            <w:tcW w:w="60" w:type="dxa"/>
            <w:vAlign w:val="bottom"/>
          </w:tcPr>
          <w:p>
            <w:pPr>
              <w:spacing w:after="0"/>
              <w:rPr>
                <w:sz w:val="14"/>
                <w:szCs w:val="14"/>
                <w:color w:val="auto"/>
              </w:rPr>
            </w:pPr>
          </w:p>
        </w:tc>
        <w:tc>
          <w:tcPr>
            <w:tcW w:w="960" w:type="dxa"/>
            <w:vAlign w:val="bottom"/>
            <w:gridSpan w:val="3"/>
          </w:tcPr>
          <w:p>
            <w:pPr>
              <w:ind w:left="20"/>
              <w:spacing w:after="0" w:line="166" w:lineRule="exact"/>
              <w:rPr>
                <w:sz w:val="20"/>
                <w:szCs w:val="20"/>
                <w:color w:val="auto"/>
              </w:rPr>
            </w:pPr>
            <w:r>
              <w:rPr>
                <w:rFonts w:ascii="Arial" w:cs="Arial" w:eastAsia="Arial" w:hAnsi="Arial"/>
                <w:sz w:val="16"/>
                <w:szCs w:val="16"/>
                <w:b w:val="1"/>
                <w:bCs w:val="1"/>
                <w:color w:val="auto"/>
              </w:rPr>
              <w:t>controlling</w:t>
            </w:r>
          </w:p>
        </w:tc>
        <w:tc>
          <w:tcPr>
            <w:tcW w:w="980" w:type="dxa"/>
            <w:vAlign w:val="bottom"/>
            <w:gridSpan w:val="3"/>
          </w:tcPr>
          <w:p>
            <w:pPr>
              <w:spacing w:after="0" w:line="166"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Units</w:t>
            </w:r>
          </w:p>
        </w:tc>
        <w:tc>
          <w:tcPr>
            <w:tcW w:w="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Amounts</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7"/>
              </w:rPr>
              <w:t>receivable</w:t>
            </w: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(loss)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79"/>
        </w:trPr>
        <w:tc>
          <w:tcPr>
            <w:tcW w:w="13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67,983,095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426,741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(158,423)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14,340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282,647</w:t>
            </w:r>
          </w:p>
        </w:tc>
        <w:tc>
          <w:tcPr>
            <w:tcW w:w="0" w:type="dxa"/>
            <w:vAlign w:val="bottom"/>
          </w:tcPr>
          <w:p>
            <w:pPr>
              <w:spacing w:after="0"/>
              <w:rPr>
                <w:sz w:val="1"/>
                <w:szCs w:val="1"/>
                <w:color w:val="auto"/>
              </w:rPr>
            </w:pPr>
          </w:p>
        </w:tc>
      </w:tr>
      <w:tr>
        <w:trPr>
          <w:trHeight w:val="183"/>
        </w:trPr>
        <w:tc>
          <w:tcPr>
            <w:tcW w:w="1300" w:type="dxa"/>
            <w:vAlign w:val="bottom"/>
          </w:tcPr>
          <w:p>
            <w:pPr>
              <w:spacing w:after="0" w:line="183" w:lineRule="exact"/>
              <w:rPr>
                <w:sz w:val="20"/>
                <w:szCs w:val="20"/>
                <w:color w:val="auto"/>
              </w:rPr>
            </w:pPr>
            <w:r>
              <w:rPr>
                <w:rFonts w:ascii="Arial" w:cs="Arial" w:eastAsia="Arial" w:hAnsi="Arial"/>
                <w:sz w:val="16"/>
                <w:szCs w:val="16"/>
                <w:i w:val="1"/>
                <w:iCs w:val="1"/>
                <w:color w:val="auto"/>
              </w:rPr>
              <w:t>Activity prior to</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the IPO and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related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(7,923)</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183"/>
        </w:trPr>
        <w:tc>
          <w:tcPr>
            <w:tcW w:w="1300" w:type="dxa"/>
            <w:vAlign w:val="bottom"/>
          </w:tcPr>
          <w:p>
            <w:pPr>
              <w:spacing w:after="0" w:line="183" w:lineRule="exact"/>
              <w:rPr>
                <w:sz w:val="20"/>
                <w:szCs w:val="20"/>
                <w:color w:val="auto"/>
              </w:rPr>
            </w:pPr>
            <w:r>
              <w:rPr>
                <w:rFonts w:ascii="Arial" w:cs="Arial" w:eastAsia="Arial" w:hAnsi="Arial"/>
                <w:sz w:val="16"/>
                <w:szCs w:val="16"/>
                <w:i w:val="1"/>
                <w:iCs w:val="1"/>
                <w:color w:val="auto"/>
              </w:rPr>
              <w:t>Effects of the IPO</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and related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Issuance of</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4"/>
              </w:rPr>
              <w:t>Class A shares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9"/>
              </w:rPr>
              <w:t>in the IPO, net</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underwriting</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discount and</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offering costs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20,837,272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32,136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235,874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268,010</w:t>
            </w:r>
          </w:p>
        </w:tc>
        <w:tc>
          <w:tcPr>
            <w:tcW w:w="0" w:type="dxa"/>
            <w:vAlign w:val="bottom"/>
          </w:tcPr>
          <w:p>
            <w:pPr>
              <w:spacing w:after="0"/>
              <w:rPr>
                <w:sz w:val="1"/>
                <w:szCs w:val="1"/>
                <w:color w:val="auto"/>
              </w:rPr>
            </w:pPr>
          </w:p>
        </w:tc>
      </w:tr>
      <w:tr>
        <w:trPr>
          <w:trHeight w:val="183"/>
        </w:trPr>
        <w:tc>
          <w:tcPr>
            <w:tcW w:w="1300" w:type="dxa"/>
            <w:vAlign w:val="bottom"/>
          </w:tcPr>
          <w:p>
            <w:pPr>
              <w:ind w:left="140"/>
              <w:spacing w:after="0" w:line="183" w:lineRule="exact"/>
              <w:rPr>
                <w:sz w:val="20"/>
                <w:szCs w:val="20"/>
                <w:color w:val="auto"/>
              </w:rPr>
            </w:pPr>
            <w:r>
              <w:rPr>
                <w:rFonts w:ascii="Arial" w:cs="Arial" w:eastAsia="Arial" w:hAnsi="Arial"/>
                <w:sz w:val="16"/>
                <w:szCs w:val="16"/>
                <w:color w:val="auto"/>
              </w:rPr>
              <w:t>Effects of the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260"/>
              <w:spacing w:after="0"/>
              <w:rPr>
                <w:sz w:val="20"/>
                <w:szCs w:val="20"/>
                <w:color w:val="auto"/>
              </w:rPr>
            </w:pPr>
            <w:r>
              <w:rPr>
                <w:rFonts w:ascii="Arial" w:cs="Arial" w:eastAsia="Arial" w:hAnsi="Arial"/>
                <w:sz w:val="16"/>
                <w:szCs w:val="16"/>
                <w:color w:val="auto"/>
              </w:rPr>
              <w:t>reorganization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(67,983,095)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(426,741)</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51,092</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147,058,824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146,420</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229,229</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spacing w:after="0" w:line="183" w:lineRule="exact"/>
              <w:rPr>
                <w:sz w:val="20"/>
                <w:szCs w:val="20"/>
                <w:color w:val="auto"/>
              </w:rPr>
            </w:pPr>
            <w:r>
              <w:rPr>
                <w:rFonts w:ascii="Arial" w:cs="Arial" w:eastAsia="Arial" w:hAnsi="Arial"/>
                <w:sz w:val="16"/>
                <w:szCs w:val="16"/>
                <w:i w:val="1"/>
                <w:iCs w:val="1"/>
                <w:color w:val="auto"/>
              </w:rPr>
              <w:t>Activity</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w w:val="91"/>
              </w:rPr>
              <w:t>subsequent to the</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IPO and related</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(5,645)</w:t>
            </w: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(46,644)</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(52,289)</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Share-based</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expense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19,037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19,037</w:t>
            </w:r>
          </w:p>
        </w:tc>
        <w:tc>
          <w:tcPr>
            <w:tcW w:w="0" w:type="dxa"/>
            <w:vAlign w:val="bottom"/>
          </w:tcPr>
          <w:p>
            <w:pPr>
              <w:spacing w:after="0"/>
              <w:rPr>
                <w:sz w:val="1"/>
                <w:szCs w:val="1"/>
                <w:color w:val="auto"/>
              </w:rPr>
            </w:pPr>
          </w:p>
        </w:tc>
      </w:tr>
      <w:tr>
        <w:trPr>
          <w:trHeight w:val="179"/>
        </w:trPr>
        <w:tc>
          <w:tcPr>
            <w:tcW w:w="1300" w:type="dxa"/>
            <w:vAlign w:val="bottom"/>
            <w:tcBorders>
              <w:top w:val="single" w:sz="8" w:color="CCEEFF"/>
            </w:tcBorders>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March 31, 2019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20,837,272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102,265</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147,058,824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(25,571)</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432,708</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509,402</w:t>
            </w: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(6,186)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(45,047)</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(51,233)</w:t>
            </w:r>
          </w:p>
        </w:tc>
        <w:tc>
          <w:tcPr>
            <w:tcW w:w="0" w:type="dxa"/>
            <w:vAlign w:val="bottom"/>
          </w:tcPr>
          <w:p>
            <w:pPr>
              <w:spacing w:after="0"/>
              <w:rPr>
                <w:sz w:val="1"/>
                <w:szCs w:val="1"/>
                <w:color w:val="auto"/>
              </w:rPr>
            </w:pPr>
          </w:p>
        </w:tc>
      </w:tr>
      <w:tr>
        <w:trPr>
          <w:trHeight w:val="183"/>
        </w:trPr>
        <w:tc>
          <w:tcPr>
            <w:tcW w:w="1300" w:type="dxa"/>
            <w:vAlign w:val="bottom"/>
          </w:tcPr>
          <w:p>
            <w:pPr>
              <w:ind w:left="140"/>
              <w:spacing w:after="0" w:line="183" w:lineRule="exact"/>
              <w:rPr>
                <w:sz w:val="20"/>
                <w:szCs w:val="20"/>
                <w:color w:val="auto"/>
              </w:rPr>
            </w:pPr>
            <w:r>
              <w:rPr>
                <w:rFonts w:ascii="Arial" w:cs="Arial" w:eastAsia="Arial" w:hAnsi="Arial"/>
                <w:sz w:val="16"/>
                <w:szCs w:val="16"/>
                <w:color w:val="auto"/>
              </w:rPr>
              <w:t>Share-based</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60"/>
              <w:spacing w:after="0"/>
              <w:rPr>
                <w:sz w:val="20"/>
                <w:szCs w:val="20"/>
                <w:color w:val="auto"/>
              </w:rPr>
            </w:pPr>
            <w:r>
              <w:rPr>
                <w:rFonts w:ascii="Arial" w:cs="Arial" w:eastAsia="Arial" w:hAnsi="Arial"/>
                <w:sz w:val="16"/>
                <w:szCs w:val="16"/>
                <w:color w:val="auto"/>
              </w:rPr>
              <w:t>expense</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8,971</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8,971</w:t>
            </w:r>
          </w:p>
        </w:tc>
        <w:tc>
          <w:tcPr>
            <w:tcW w:w="0" w:type="dxa"/>
            <w:vAlign w:val="bottom"/>
          </w:tcPr>
          <w:p>
            <w:pPr>
              <w:spacing w:after="0"/>
              <w:rPr>
                <w:sz w:val="1"/>
                <w:szCs w:val="1"/>
                <w:color w:val="auto"/>
              </w:rPr>
            </w:pPr>
          </w:p>
        </w:tc>
      </w:tr>
      <w:tr>
        <w:trPr>
          <w:trHeight w:val="179"/>
        </w:trPr>
        <w:tc>
          <w:tcPr>
            <w:tcW w:w="13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June 30, 2019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20,837,272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111,236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147,058,824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(31,757)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387,661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467,140</w:t>
            </w:r>
          </w:p>
        </w:tc>
        <w:tc>
          <w:tcPr>
            <w:tcW w:w="0" w:type="dxa"/>
            <w:vAlign w:val="bottom"/>
          </w:tcPr>
          <w:p>
            <w:pPr>
              <w:spacing w:after="0"/>
              <w:rPr>
                <w:sz w:val="1"/>
                <w:szCs w:val="1"/>
                <w:color w:val="auto"/>
              </w:rPr>
            </w:pPr>
          </w:p>
        </w:tc>
      </w:tr>
      <w:tr>
        <w:trPr>
          <w:trHeight w:val="195"/>
        </w:trPr>
        <w:tc>
          <w:tcPr>
            <w:tcW w:w="1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(6,723)</w:t>
            </w: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(47,701)</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(54,424)</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Other</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comprehensive</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3"/>
        </w:trPr>
        <w:tc>
          <w:tcPr>
            <w:tcW w:w="1300" w:type="dxa"/>
            <w:vAlign w:val="bottom"/>
          </w:tcPr>
          <w:p>
            <w:pPr>
              <w:ind w:left="140"/>
              <w:spacing w:after="0" w:line="183" w:lineRule="exact"/>
              <w:rPr>
                <w:sz w:val="20"/>
                <w:szCs w:val="20"/>
                <w:color w:val="auto"/>
              </w:rPr>
            </w:pPr>
            <w:r>
              <w:rPr>
                <w:rFonts w:ascii="Arial" w:cs="Arial" w:eastAsia="Arial" w:hAnsi="Arial"/>
                <w:sz w:val="16"/>
                <w:szCs w:val="16"/>
                <w:color w:val="auto"/>
              </w:rPr>
              <w:t>Share-based</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260"/>
              <w:spacing w:after="0"/>
              <w:rPr>
                <w:sz w:val="20"/>
                <w:szCs w:val="20"/>
                <w:color w:val="auto"/>
              </w:rPr>
            </w:pPr>
            <w:r>
              <w:rPr>
                <w:rFonts w:ascii="Arial" w:cs="Arial" w:eastAsia="Arial" w:hAnsi="Arial"/>
                <w:sz w:val="16"/>
                <w:szCs w:val="16"/>
                <w:color w:val="auto"/>
              </w:rPr>
              <w:t>expense</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7,825</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7,825</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Exchange of</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NFI Units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2,001,449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(2,001,449)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00" w:type="dxa"/>
            <w:vAlign w:val="bottom"/>
          </w:tcPr>
          <w:p>
            <w:pPr>
              <w:ind w:left="140"/>
              <w:spacing w:after="0" w:line="183" w:lineRule="exact"/>
              <w:rPr>
                <w:sz w:val="20"/>
                <w:szCs w:val="20"/>
                <w:color w:val="auto"/>
              </w:rPr>
            </w:pPr>
            <w:r>
              <w:rPr>
                <w:rFonts w:ascii="Arial" w:cs="Arial" w:eastAsia="Arial" w:hAnsi="Arial"/>
                <w:sz w:val="16"/>
                <w:szCs w:val="16"/>
                <w:color w:val="auto"/>
              </w:rPr>
              <w:t>Issuance of</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tcPr>
          <w:p>
            <w:pPr>
              <w:ind w:left="260"/>
              <w:spacing w:after="0"/>
              <w:rPr>
                <w:sz w:val="20"/>
                <w:szCs w:val="20"/>
                <w:color w:val="auto"/>
              </w:rPr>
            </w:pPr>
            <w:r>
              <w:rPr>
                <w:rFonts w:ascii="Arial" w:cs="Arial" w:eastAsia="Arial" w:hAnsi="Arial"/>
                <w:sz w:val="16"/>
                <w:szCs w:val="16"/>
                <w:color w:val="auto"/>
              </w:rPr>
              <w:t>shares for</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260"/>
              <w:spacing w:after="0"/>
              <w:rPr>
                <w:sz w:val="20"/>
                <w:szCs w:val="20"/>
                <w:color w:val="auto"/>
              </w:rPr>
            </w:pPr>
            <w:r>
              <w:rPr>
                <w:rFonts w:ascii="Arial" w:cs="Arial" w:eastAsia="Arial" w:hAnsi="Arial"/>
                <w:sz w:val="16"/>
                <w:szCs w:val="16"/>
                <w:color w:val="auto"/>
              </w:rPr>
              <w:t>vested RSUs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53,572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13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22,892,293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123,760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145,057,375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(38,480)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335,137</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420,398</w:t>
            </w:r>
          </w:p>
        </w:tc>
        <w:tc>
          <w:tcPr>
            <w:tcW w:w="0" w:type="dxa"/>
            <w:vAlign w:val="bottom"/>
          </w:tcPr>
          <w:p>
            <w:pPr>
              <w:spacing w:after="0"/>
              <w:rPr>
                <w:sz w:val="1"/>
                <w:szCs w:val="1"/>
                <w:color w:val="auto"/>
              </w:rPr>
            </w:pPr>
          </w:p>
        </w:tc>
      </w:tr>
      <w:tr>
        <w:trPr>
          <w:trHeight w:val="184"/>
        </w:trPr>
        <w:tc>
          <w:tcPr>
            <w:tcW w:w="130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65,665,037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406,591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(80,347)</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278,910</w:t>
            </w:r>
          </w:p>
        </w:tc>
        <w:tc>
          <w:tcPr>
            <w:tcW w:w="0" w:type="dxa"/>
            <w:vAlign w:val="bottom"/>
          </w:tcPr>
          <w:p>
            <w:pPr>
              <w:spacing w:after="0"/>
              <w:rPr>
                <w:sz w:val="1"/>
                <w:szCs w:val="1"/>
                <w:color w:val="auto"/>
              </w:rPr>
            </w:pPr>
          </w:p>
        </w:tc>
      </w:tr>
      <w:tr>
        <w:trPr>
          <w:trHeight w:val="195"/>
        </w:trPr>
        <w:tc>
          <w:tcPr>
            <w:tcW w:w="1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(10,913)</w:t>
            </w: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Other</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comprehensive</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83"/>
        </w:trPr>
        <w:tc>
          <w:tcPr>
            <w:tcW w:w="1300" w:type="dxa"/>
            <w:vAlign w:val="bottom"/>
          </w:tcPr>
          <w:p>
            <w:pPr>
              <w:ind w:left="140"/>
              <w:spacing w:after="0" w:line="183" w:lineRule="exact"/>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2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665,843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20,150</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20,150</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Stock</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subscription</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receivable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1,652,215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79"/>
        </w:trPr>
        <w:tc>
          <w:tcPr>
            <w:tcW w:w="1300" w:type="dxa"/>
            <w:vAlign w:val="bottom"/>
            <w:tcBorders>
              <w:top w:val="single" w:sz="8" w:color="CCEEFF"/>
            </w:tcBorders>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March 31, 2018</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67,983,095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426,741</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(91,260)</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3,595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339,076</w:t>
            </w: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(18,825)</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(18,825)</w:t>
            </w:r>
          </w:p>
        </w:tc>
        <w:tc>
          <w:tcPr>
            <w:tcW w:w="0" w:type="dxa"/>
            <w:vAlign w:val="bottom"/>
          </w:tcPr>
          <w:p>
            <w:pPr>
              <w:spacing w:after="0"/>
              <w:rPr>
                <w:sz w:val="1"/>
                <w:szCs w:val="1"/>
                <w:color w:val="auto"/>
              </w:rPr>
            </w:pPr>
          </w:p>
        </w:tc>
      </w:tr>
      <w:tr>
        <w:trPr>
          <w:trHeight w:val="207"/>
        </w:trPr>
        <w:tc>
          <w:tcPr>
            <w:tcW w:w="1300" w:type="dxa"/>
            <w:vAlign w:val="bottom"/>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bl>
    <w:p>
      <w:pPr>
        <w:sectPr>
          <w:pgSz w:w="11900" w:h="16838" w:orient="portrait"/>
          <w:cols w:equalWidth="0" w:num="1">
            <w:col w:w="11520"/>
          </w:cols>
          <w:pgMar w:left="240" w:top="124" w:right="1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ind w:left="260"/>
              <w:spacing w:after="0"/>
              <w:rPr>
                <w:sz w:val="20"/>
                <w:szCs w:val="20"/>
                <w:color w:val="auto"/>
              </w:rPr>
            </w:pPr>
            <w:r>
              <w:rPr>
                <w:rFonts w:ascii="Arial" w:cs="Arial" w:eastAsia="Arial" w:hAnsi="Arial"/>
                <w:sz w:val="16"/>
                <w:szCs w:val="16"/>
                <w:color w:val="auto"/>
                <w:w w:val="93"/>
              </w:rPr>
              <w:t>comprehensive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300" w:type="dxa"/>
            <w:vAlign w:val="bottom"/>
          </w:tcPr>
          <w:p>
            <w:pPr>
              <w:ind w:left="260"/>
              <w:spacing w:after="0"/>
              <w:rPr>
                <w:sz w:val="20"/>
                <w:szCs w:val="20"/>
                <w:color w:val="auto"/>
              </w:rPr>
            </w:pPr>
            <w:r>
              <w:rPr>
                <w:rFonts w:ascii="Arial" w:cs="Arial" w:eastAsia="Arial" w:hAnsi="Arial"/>
                <w:sz w:val="16"/>
                <w:szCs w:val="16"/>
                <w:color w:val="auto"/>
              </w:rPr>
              <w:t>loss</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9"/>
        </w:trPr>
        <w:tc>
          <w:tcPr>
            <w:tcW w:w="13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2"/>
        </w:trPr>
        <w:tc>
          <w:tcPr>
            <w:tcW w:w="1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June 30, 2018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67,983,095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426,741</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(110,085)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320,055</w:t>
            </w:r>
          </w:p>
        </w:tc>
      </w:tr>
      <w:tr>
        <w:trPr>
          <w:trHeight w:val="195"/>
        </w:trPr>
        <w:tc>
          <w:tcPr>
            <w:tcW w:w="1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3"/>
          </w:tcPr>
          <w:p>
            <w:pPr>
              <w:ind w:left="72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(13,609)</w:t>
            </w:r>
          </w:p>
        </w:tc>
        <w:tc>
          <w:tcPr>
            <w:tcW w:w="3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(13,681)</w:t>
            </w:r>
          </w:p>
        </w:tc>
      </w:tr>
      <w:tr>
        <w:trPr>
          <w:trHeight w:val="183"/>
        </w:trPr>
        <w:tc>
          <w:tcPr>
            <w:tcW w:w="130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Other</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comprehensive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179"/>
        </w:trPr>
        <w:tc>
          <w:tcPr>
            <w:tcW w:w="1300" w:type="dxa"/>
            <w:vAlign w:val="bottom"/>
            <w:tcBorders>
              <w:top w:val="single" w:sz="8" w:color="CCEEFF"/>
            </w:tcBorders>
          </w:tcPr>
          <w:p>
            <w:pPr>
              <w:spacing w:after="0" w:line="178"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r>
        <w:trPr>
          <w:trHeight w:val="195"/>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1"/>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2018</w:t>
            </w:r>
          </w:p>
        </w:tc>
        <w:tc>
          <w:tcPr>
            <w:tcW w:w="840" w:type="dxa"/>
            <w:vAlign w:val="bottom"/>
          </w:tcPr>
          <w:p>
            <w:pPr>
              <w:jc w:val="right"/>
              <w:spacing w:after="0"/>
              <w:rPr>
                <w:sz w:val="20"/>
                <w:szCs w:val="20"/>
                <w:color w:val="auto"/>
              </w:rPr>
            </w:pPr>
            <w:r>
              <w:rPr>
                <w:rFonts w:ascii="Arial" w:cs="Arial" w:eastAsia="Arial" w:hAnsi="Arial"/>
                <w:sz w:val="16"/>
                <w:szCs w:val="16"/>
                <w:color w:val="auto"/>
              </w:rPr>
              <w:t>67,983,095</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$ 426,741</w:t>
            </w:r>
          </w:p>
        </w:tc>
        <w:tc>
          <w:tcPr>
            <w:tcW w:w="1140" w:type="dxa"/>
            <w:vAlign w:val="bottom"/>
            <w:gridSpan w:val="3"/>
          </w:tcPr>
          <w:p>
            <w:pPr>
              <w:ind w:left="620"/>
              <w:spacing w:after="0"/>
              <w:rPr>
                <w:sz w:val="20"/>
                <w:szCs w:val="20"/>
                <w:color w:val="auto"/>
              </w:rPr>
            </w:pPr>
            <w:r>
              <w:rPr>
                <w:rFonts w:ascii="Arial" w:cs="Arial" w:eastAsia="Arial" w:hAnsi="Arial"/>
                <w:sz w:val="16"/>
                <w:szCs w:val="16"/>
                <w:color w:val="auto"/>
              </w:rPr>
              <w:t>― $</w:t>
            </w:r>
          </w:p>
        </w:tc>
        <w:tc>
          <w:tcPr>
            <w:tcW w:w="4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3"/>
          </w:tcPr>
          <w:p>
            <w:pPr>
              <w:ind w:left="720"/>
              <w:spacing w:after="0"/>
              <w:rPr>
                <w:sz w:val="20"/>
                <w:szCs w:val="20"/>
                <w:color w:val="auto"/>
              </w:rPr>
            </w:pPr>
            <w:r>
              <w:rPr>
                <w:rFonts w:ascii="Arial" w:cs="Arial" w:eastAsia="Arial" w:hAnsi="Arial"/>
                <w:sz w:val="16"/>
                <w:szCs w:val="16"/>
                <w:color w:val="auto"/>
              </w:rPr>
              <w:t>―  $</w:t>
            </w:r>
          </w:p>
        </w:tc>
        <w:tc>
          <w:tcPr>
            <w:tcW w:w="800" w:type="dxa"/>
            <w:vAlign w:val="bottom"/>
            <w:gridSpan w:val="3"/>
          </w:tcPr>
          <w:p>
            <w:pPr>
              <w:ind w:left="160"/>
              <w:spacing w:after="0"/>
              <w:rPr>
                <w:sz w:val="20"/>
                <w:szCs w:val="20"/>
                <w:color w:val="auto"/>
              </w:rPr>
            </w:pPr>
            <w:r>
              <w:rPr>
                <w:rFonts w:ascii="Arial" w:cs="Arial" w:eastAsia="Arial" w:hAnsi="Arial"/>
                <w:sz w:val="16"/>
                <w:szCs w:val="16"/>
                <w:color w:val="auto"/>
              </w:rPr>
              <w:t>― $</w:t>
            </w:r>
          </w:p>
        </w:tc>
        <w:tc>
          <w:tcPr>
            <w:tcW w:w="860" w:type="dxa"/>
            <w:vAlign w:val="bottom"/>
            <w:gridSpan w:val="3"/>
          </w:tcPr>
          <w:p>
            <w:pPr>
              <w:ind w:left="320"/>
              <w:spacing w:after="0"/>
              <w:rPr>
                <w:sz w:val="20"/>
                <w:szCs w:val="20"/>
                <w:color w:val="auto"/>
              </w:rPr>
            </w:pPr>
            <w:r>
              <w:rPr>
                <w:rFonts w:ascii="Arial" w:cs="Arial" w:eastAsia="Arial" w:hAnsi="Arial"/>
                <w:sz w:val="16"/>
                <w:szCs w:val="16"/>
                <w:color w:val="auto"/>
              </w:rPr>
              <w:t>―  $</w:t>
            </w: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(123,694)  $</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3,109</w:t>
            </w: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306,084</w:t>
            </w:r>
          </w:p>
        </w:tc>
      </w:tr>
      <w:tr>
        <w:trPr>
          <w:trHeight w:val="20"/>
        </w:trPr>
        <w:tc>
          <w:tcPr>
            <w:tcW w:w="1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The accompanying notes are an integral part of these condensed consolidated financial statements.</w:t>
      </w: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9" w:name="page10"/>
    <w:bookmarkEnd w:id="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28" w:lineRule="auto"/>
        <w:rPr>
          <w:sz w:val="20"/>
          <w:szCs w:val="20"/>
          <w:color w:val="auto"/>
        </w:rPr>
      </w:pPr>
      <w:r>
        <w:rPr>
          <w:rFonts w:ascii="Arial" w:cs="Arial" w:eastAsia="Arial" w:hAnsi="Arial"/>
          <w:sz w:val="20"/>
          <w:szCs w:val="20"/>
          <w:b w:val="1"/>
          <w:bCs w:val="1"/>
          <w:color w:val="auto"/>
        </w:rPr>
        <w:t>For the nine months ended September 30,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7"/>
                <w:szCs w:val="17"/>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(165,949)</w:t>
            </w:r>
          </w:p>
        </w:tc>
        <w:tc>
          <w:tcPr>
            <w:tcW w:w="4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(43,419)</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Adjustments for: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deferred financing costs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1,469</w:t>
            </w:r>
          </w:p>
        </w:tc>
      </w:tr>
      <w:tr>
        <w:trPr>
          <w:trHeight w:val="195"/>
        </w:trPr>
        <w:tc>
          <w:tcPr>
            <w:tcW w:w="88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2,776</w:t>
            </w:r>
          </w:p>
        </w:tc>
      </w:tr>
      <w:tr>
        <w:trPr>
          <w:trHeight w:val="195"/>
        </w:trPr>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w:t>
            </w:r>
          </w:p>
        </w:tc>
      </w:tr>
      <w:tr>
        <w:trPr>
          <w:trHeight w:val="195"/>
        </w:trPr>
        <w:tc>
          <w:tcPr>
            <w:tcW w:w="8800" w:type="dxa"/>
            <w:vAlign w:val="bottom"/>
          </w:tcPr>
          <w:p>
            <w:pPr>
              <w:ind w:left="300"/>
              <w:spacing w:after="0"/>
              <w:rPr>
                <w:sz w:val="20"/>
                <w:szCs w:val="20"/>
                <w:color w:val="auto"/>
              </w:rPr>
            </w:pPr>
            <w:r>
              <w:rPr>
                <w:rFonts w:ascii="Arial" w:cs="Arial" w:eastAsia="Arial" w:hAnsi="Arial"/>
                <w:sz w:val="16"/>
                <w:szCs w:val="16"/>
                <w:color w:val="auto"/>
              </w:rPr>
              <w:t>Change in value of Investment in equity securities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tcPr>
          <w:p>
            <w:pPr>
              <w:ind w:left="30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808</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Decrease in receivables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354</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(Increase) in inventories</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(12,666)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(8,002)</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other assets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(44,985)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(5,863)</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Increase (Decrease) in accounts payable/accrued liabilities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(1,156)</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(Decrease) in amounts due to affiliates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(1,330)</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Increase in other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898</w:t>
            </w:r>
          </w:p>
        </w:tc>
      </w:tr>
      <w:tr>
        <w:trPr>
          <w:trHeight w:val="199"/>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(154,761)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(53,156)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5"/>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(295,635)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(112,861)</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received on finance lease,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726</w:t>
            </w:r>
          </w:p>
        </w:tc>
      </w:tr>
      <w:tr>
        <w:trPr>
          <w:trHeight w:val="24"/>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9"/>
        </w:trPr>
        <w:tc>
          <w:tcPr>
            <w:tcW w:w="8800" w:type="dxa"/>
            <w:vAlign w:val="bottom"/>
          </w:tcPr>
          <w:p>
            <w:pPr>
              <w:ind w:left="44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(295,035)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(112,135)</w:t>
            </w:r>
          </w:p>
        </w:tc>
      </w:tr>
      <w:tr>
        <w:trPr>
          <w:trHeight w:val="195"/>
        </w:trPr>
        <w:tc>
          <w:tcPr>
            <w:tcW w:w="88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130,000</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Payment of deferred financing costs</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(8,259)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(9,438)</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(3,750)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(75,920)</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Proceeds from IPO</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274,948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offering costs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(6,938)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Proceeds from note due to affiliate</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372</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contributed from Members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20,150</w:t>
            </w:r>
          </w:p>
        </w:tc>
      </w:tr>
      <w:tr>
        <w:trPr>
          <w:trHeight w:val="199"/>
        </w:trPr>
        <w:tc>
          <w:tcPr>
            <w:tcW w:w="8800" w:type="dxa"/>
            <w:vAlign w:val="bottom"/>
          </w:tcPr>
          <w:p>
            <w:pPr>
              <w:ind w:left="140"/>
              <w:spacing w:after="0"/>
              <w:rPr>
                <w:sz w:val="20"/>
                <w:szCs w:val="20"/>
                <w:color w:val="auto"/>
              </w:rPr>
            </w:pPr>
            <w:r>
              <w:rPr>
                <w:rFonts w:ascii="Arial" w:cs="Arial" w:eastAsia="Arial" w:hAnsi="Arial"/>
                <w:sz w:val="16"/>
                <w:szCs w:val="16"/>
                <w:color w:val="auto"/>
              </w:rPr>
              <w:t>Collection of subscription receivable</w:t>
            </w: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r>
      <w:tr>
        <w:trPr>
          <w:trHeight w:val="199"/>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593,001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115,164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5"/>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(50,127)</w:t>
            </w:r>
          </w:p>
        </w:tc>
      </w:tr>
      <w:tr>
        <w:trPr>
          <w:trHeight w:val="199"/>
        </w:trPr>
        <w:tc>
          <w:tcPr>
            <w:tcW w:w="88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 beginning of period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100,853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118,331</w:t>
            </w:r>
          </w:p>
        </w:tc>
      </w:tr>
      <w:tr>
        <w:trPr>
          <w:trHeight w:val="235"/>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68,204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6"/>
                <w:szCs w:val="16"/>
                <w:color w:val="auto"/>
              </w:rPr>
              <w:t>Changes in accrued construction in progress costs and property, plant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(51,586)</w:t>
            </w:r>
          </w:p>
        </w:tc>
        <w:tc>
          <w:tcPr>
            <w:tcW w:w="48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30,879</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 w:name="page11"/>
    <w:bookmarkEnd w:id="10"/>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3" w:lineRule="exact"/>
        <w:rPr>
          <w:sz w:val="20"/>
          <w:szCs w:val="20"/>
          <w:color w:val="auto"/>
        </w:rPr>
      </w:pPr>
    </w:p>
    <w:p>
      <w:pPr>
        <w:ind w:left="302" w:hanging="302"/>
        <w:spacing w:after="0"/>
        <w:tabs>
          <w:tab w:leader="none" w:pos="30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228" w:lineRule="exact"/>
        <w:rPr>
          <w:sz w:val="20"/>
          <w:szCs w:val="20"/>
          <w:color w:val="auto"/>
        </w:rPr>
      </w:pPr>
    </w:p>
    <w:p>
      <w:pPr>
        <w:ind w:left="2" w:right="100" w:firstLine="292"/>
        <w:spacing w:after="0" w:line="234" w:lineRule="auto"/>
        <w:rPr>
          <w:sz w:val="20"/>
          <w:szCs w:val="20"/>
          <w:color w:val="auto"/>
        </w:rPr>
      </w:pPr>
      <w:r>
        <w:rPr>
          <w:rFonts w:ascii="Arial" w:cs="Arial" w:eastAsia="Arial" w:hAnsi="Arial"/>
          <w:sz w:val="20"/>
          <w:szCs w:val="20"/>
          <w:color w:val="auto"/>
        </w:rPr>
        <w:t>New Fortress Energy LLC (“NFE,” together with its subsidiaries, the “Company”) is a Delaware limited liability company formed by New Fortress Energy Holdings LLC (“New Fortress Energy Holdings”) on August 6, 2018. The Company is engaged in providing energy and logistical services to end-users worldwide seeking to convert their operating assets from diesel or heavy fuel oil to LNG. The Company currently sources LNG from a combination of its own liquefaction facility in Miami, Florida and purchases on the open market. The Company has liquefaction and regasification operations in the United States and Jamaica.</w:t>
      </w:r>
    </w:p>
    <w:p>
      <w:pPr>
        <w:spacing w:after="0" w:line="195" w:lineRule="exact"/>
        <w:rPr>
          <w:sz w:val="20"/>
          <w:szCs w:val="20"/>
          <w:color w:val="auto"/>
        </w:rPr>
      </w:pPr>
    </w:p>
    <w:p>
      <w:pPr>
        <w:ind w:left="2" w:right="60" w:firstLine="292"/>
        <w:spacing w:after="0" w:line="238" w:lineRule="auto"/>
        <w:rPr>
          <w:sz w:val="20"/>
          <w:szCs w:val="20"/>
          <w:color w:val="auto"/>
        </w:rPr>
      </w:pPr>
      <w:r>
        <w:rPr>
          <w:rFonts w:ascii="Arial" w:cs="Arial" w:eastAsia="Arial" w:hAnsi="Arial"/>
          <w:sz w:val="20"/>
          <w:szCs w:val="20"/>
          <w:color w:val="auto"/>
        </w:rPr>
        <w:t>The Company manages, analyzes and reports on its business and results of operations on the basis of one operating segment. The chief operating decision maker makes resource allocation decisions and assesses performance of the delivery of an integrated solution to our customers based on financial information presented on a consolidated basis.</w:t>
      </w:r>
    </w:p>
    <w:p>
      <w:pPr>
        <w:spacing w:after="0" w:line="196" w:lineRule="exact"/>
        <w:rPr>
          <w:sz w:val="20"/>
          <w:szCs w:val="20"/>
          <w:color w:val="auto"/>
        </w:rPr>
      </w:pPr>
    </w:p>
    <w:p>
      <w:pPr>
        <w:ind w:left="302" w:hanging="302"/>
        <w:spacing w:after="0"/>
        <w:tabs>
          <w:tab w:leader="none" w:pos="30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28" w:lineRule="exact"/>
        <w:rPr>
          <w:sz w:val="20"/>
          <w:szCs w:val="20"/>
          <w:color w:val="auto"/>
        </w:rPr>
      </w:pPr>
    </w:p>
    <w:p>
      <w:pPr>
        <w:ind w:left="302"/>
        <w:spacing w:after="0"/>
        <w:rPr>
          <w:sz w:val="20"/>
          <w:szCs w:val="20"/>
          <w:color w:val="auto"/>
        </w:rPr>
      </w:pPr>
      <w:r>
        <w:rPr>
          <w:rFonts w:ascii="Arial" w:cs="Arial" w:eastAsia="Arial" w:hAnsi="Arial"/>
          <w:sz w:val="20"/>
          <w:szCs w:val="20"/>
          <w:color w:val="auto"/>
        </w:rPr>
        <w:t>The principle accounting policies adopted are set out below.</w:t>
      </w:r>
    </w:p>
    <w:p>
      <w:pPr>
        <w:spacing w:after="0" w:line="215" w:lineRule="exact"/>
        <w:rPr>
          <w:sz w:val="20"/>
          <w:szCs w:val="20"/>
          <w:color w:val="auto"/>
        </w:rPr>
      </w:pPr>
    </w:p>
    <w:p>
      <w:pPr>
        <w:ind w:left="582" w:hanging="582"/>
        <w:spacing w:after="0"/>
        <w:tabs>
          <w:tab w:leader="none" w:pos="58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Basis of presentation and principles of consolidation</w:t>
      </w:r>
    </w:p>
    <w:p>
      <w:pPr>
        <w:spacing w:after="0" w:line="224" w:lineRule="exact"/>
        <w:rPr>
          <w:sz w:val="20"/>
          <w:szCs w:val="20"/>
          <w:color w:val="auto"/>
        </w:rPr>
      </w:pPr>
    </w:p>
    <w:p>
      <w:pPr>
        <w:ind w:left="582" w:right="100"/>
        <w:spacing w:after="0" w:line="263" w:lineRule="auto"/>
        <w:rPr>
          <w:sz w:val="20"/>
          <w:szCs w:val="20"/>
          <w:color w:val="auto"/>
        </w:rPr>
      </w:pPr>
      <w:r>
        <w:rPr>
          <w:rFonts w:ascii="Arial" w:cs="Arial" w:eastAsia="Arial" w:hAnsi="Arial"/>
          <w:sz w:val="18"/>
          <w:szCs w:val="18"/>
          <w:color w:val="auto"/>
        </w:rPr>
        <w:t>The condensed consolidated financial statements were prepared in accordance with GAAP. The accompanying unaudited interim condensed consolidated financial statements contained herein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w:t>
      </w:r>
    </w:p>
    <w:p>
      <w:pPr>
        <w:spacing w:after="0" w:line="175" w:lineRule="exact"/>
        <w:rPr>
          <w:sz w:val="20"/>
          <w:szCs w:val="20"/>
          <w:color w:val="auto"/>
        </w:rPr>
      </w:pPr>
    </w:p>
    <w:p>
      <w:pPr>
        <w:ind w:left="582" w:right="40"/>
        <w:spacing w:after="0" w:line="258" w:lineRule="auto"/>
        <w:rPr>
          <w:sz w:val="20"/>
          <w:szCs w:val="20"/>
          <w:color w:val="auto"/>
        </w:rPr>
      </w:pPr>
      <w:r>
        <w:rPr>
          <w:rFonts w:ascii="Arial" w:cs="Arial" w:eastAsia="Arial" w:hAnsi="Arial"/>
          <w:sz w:val="18"/>
          <w:szCs w:val="18"/>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Immediately following the IPO, New Fortress Energy Holdings held a significant interest in NFE through its ownership of 147,058,824 Class B shares, representing a 88.0% voting and non-economic interest. New Fortress Energy Holdings also had an 88.0% economic interest in NFI through its ownership of 147,058,824 of NFI LLC Units. New Fortress Energy Holdings has been determined to be NFE’s predecessor for accounting purposes.</w:t>
      </w:r>
    </w:p>
    <w:p>
      <w:pPr>
        <w:spacing w:after="0" w:line="182" w:lineRule="exact"/>
        <w:rPr>
          <w:sz w:val="20"/>
          <w:szCs w:val="20"/>
          <w:color w:val="auto"/>
        </w:rPr>
      </w:pPr>
    </w:p>
    <w:p>
      <w:pPr>
        <w:ind w:left="582"/>
        <w:spacing w:after="0" w:line="234" w:lineRule="auto"/>
        <w:rPr>
          <w:sz w:val="20"/>
          <w:szCs w:val="20"/>
          <w:color w:val="auto"/>
        </w:rPr>
      </w:pPr>
      <w:r>
        <w:rPr>
          <w:rFonts w:ascii="Arial" w:cs="Arial" w:eastAsia="Arial" w:hAnsi="Arial"/>
          <w:sz w:val="20"/>
          <w:szCs w:val="20"/>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are 20,837,272 outstanding Class A shares. In connection with the exercise of the underwriters’ option to purchase an additional 837,272 Class A shares, NFE contributed such additional net proceeds to NFI in exchange for 837,272 NFI LLC Units.</w:t>
      </w:r>
    </w:p>
    <w:p>
      <w:pPr>
        <w:spacing w:after="0" w:line="195" w:lineRule="exact"/>
        <w:rPr>
          <w:sz w:val="20"/>
          <w:szCs w:val="20"/>
          <w:color w:val="auto"/>
        </w:rPr>
      </w:pPr>
    </w:p>
    <w:p>
      <w:pPr>
        <w:ind w:left="582" w:right="160"/>
        <w:spacing w:after="0" w:line="238" w:lineRule="auto"/>
        <w:rPr>
          <w:sz w:val="20"/>
          <w:szCs w:val="20"/>
          <w:color w:val="auto"/>
        </w:rPr>
      </w:pPr>
      <w:r>
        <w:rPr>
          <w:rFonts w:ascii="Arial" w:cs="Arial" w:eastAsia="Arial" w:hAnsi="Arial"/>
          <w:sz w:val="20"/>
          <w:szCs w:val="20"/>
          <w:color w:val="auto"/>
        </w:rPr>
        <w:t>As of September 30, 2019, NFE has 22,892,293 Class A Shares outstanding, and New Fortress Energy Holdings has an 86.4% economic interest in NFI through ownership of 145,057,375 NFI LLC Units and New Fortress Energy Holdings holds an 86.4% voting interest in NFE.</w:t>
      </w:r>
    </w:p>
    <w:p>
      <w:pPr>
        <w:spacing w:after="0" w:line="36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11" w:name="page12"/>
    <w:bookmarkEnd w:id="11"/>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582"/>
        <w:spacing w:after="0" w:line="262" w:lineRule="auto"/>
        <w:rPr>
          <w:sz w:val="20"/>
          <w:szCs w:val="20"/>
          <w:color w:val="auto"/>
        </w:rPr>
      </w:pPr>
      <w:r>
        <w:rPr>
          <w:rFonts w:ascii="Arial" w:cs="Arial" w:eastAsia="Arial" w:hAnsi="Arial"/>
          <w:sz w:val="18"/>
          <w:szCs w:val="18"/>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balances sheets and statements of operations and comprehensive loss of New Fortress Energy Holdings for all periods prior to the IPO. The Company’s financial statements also include a non-controlling interest related to the portion of NFI LLC Units not owned by NFE. Prior to the IPO, NFE had no operations and had no assets or liabilities.</w:t>
      </w:r>
    </w:p>
    <w:p>
      <w:pPr>
        <w:spacing w:after="0" w:line="180" w:lineRule="exact"/>
        <w:rPr>
          <w:sz w:val="20"/>
          <w:szCs w:val="20"/>
          <w:color w:val="auto"/>
        </w:rPr>
      </w:pPr>
    </w:p>
    <w:p>
      <w:pPr>
        <w:ind w:left="582" w:hanging="582"/>
        <w:spacing w:after="0"/>
        <w:tabs>
          <w:tab w:leader="none" w:pos="582" w:val="left"/>
        </w:tabs>
        <w:numPr>
          <w:ilvl w:val="0"/>
          <w:numId w:val="8"/>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24" w:lineRule="exact"/>
        <w:rPr>
          <w:sz w:val="20"/>
          <w:szCs w:val="20"/>
          <w:color w:val="auto"/>
        </w:rPr>
      </w:pPr>
    </w:p>
    <w:p>
      <w:pPr>
        <w:ind w:left="582" w:right="4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80" w:lineRule="exact"/>
        <w:rPr>
          <w:sz w:val="20"/>
          <w:szCs w:val="20"/>
          <w:color w:val="auto"/>
        </w:rPr>
      </w:pPr>
    </w:p>
    <w:p>
      <w:pPr>
        <w:ind w:left="582" w:hanging="582"/>
        <w:spacing w:after="0"/>
        <w:tabs>
          <w:tab w:leader="none" w:pos="58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 in equity securities</w:t>
      </w:r>
    </w:p>
    <w:p>
      <w:pPr>
        <w:spacing w:after="0" w:line="224" w:lineRule="exact"/>
        <w:rPr>
          <w:sz w:val="20"/>
          <w:szCs w:val="20"/>
          <w:color w:val="auto"/>
        </w:rPr>
      </w:pPr>
    </w:p>
    <w:p>
      <w:pPr>
        <w:ind w:left="582" w:right="100"/>
        <w:spacing w:after="0" w:line="238" w:lineRule="auto"/>
        <w:rPr>
          <w:sz w:val="20"/>
          <w:szCs w:val="20"/>
          <w:color w:val="auto"/>
        </w:rPr>
      </w:pPr>
      <w:r>
        <w:rPr>
          <w:rFonts w:ascii="Arial" w:cs="Arial" w:eastAsia="Arial" w:hAnsi="Arial"/>
          <w:sz w:val="20"/>
          <w:szCs w:val="20"/>
          <w:color w:val="auto"/>
        </w:rPr>
        <w:t>The Company holds an investment in equity securities. The investment is carried at fair value with gains or losses recorded in earnings in Other expense, net in the condensed consolidated statements of operations and comprehensive loss. See “Note 8. Investment in equity securities” for more information.</w:t>
      </w:r>
    </w:p>
    <w:p>
      <w:pPr>
        <w:spacing w:after="0" w:line="200" w:lineRule="exact"/>
        <w:rPr>
          <w:sz w:val="20"/>
          <w:szCs w:val="20"/>
          <w:color w:val="auto"/>
        </w:rPr>
      </w:pPr>
    </w:p>
    <w:p>
      <w:pPr>
        <w:ind w:left="582" w:hanging="582"/>
        <w:spacing w:after="0"/>
        <w:tabs>
          <w:tab w:leader="none" w:pos="5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Legal and contingencies</w:t>
      </w:r>
    </w:p>
    <w:p>
      <w:pPr>
        <w:spacing w:after="0" w:line="224" w:lineRule="exact"/>
        <w:rPr>
          <w:sz w:val="20"/>
          <w:szCs w:val="20"/>
          <w:color w:val="auto"/>
        </w:rPr>
      </w:pPr>
    </w:p>
    <w:p>
      <w:pPr>
        <w:ind w:left="582" w:right="20"/>
        <w:spacing w:after="0" w:line="266" w:lineRule="auto"/>
        <w:rPr>
          <w:sz w:val="20"/>
          <w:szCs w:val="20"/>
          <w:color w:val="auto"/>
        </w:rPr>
      </w:pPr>
      <w:r>
        <w:rPr>
          <w:rFonts w:ascii="Arial" w:cs="Arial" w:eastAsia="Arial" w:hAnsi="Arial"/>
          <w:sz w:val="18"/>
          <w:szCs w:val="18"/>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6" w:lineRule="exact"/>
        <w:rPr>
          <w:sz w:val="20"/>
          <w:szCs w:val="20"/>
          <w:color w:val="auto"/>
        </w:rPr>
      </w:pPr>
    </w:p>
    <w:p>
      <w:pPr>
        <w:ind w:left="582" w:hanging="582"/>
        <w:spacing w:after="0"/>
        <w:tabs>
          <w:tab w:leader="none" w:pos="5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224" w:lineRule="exact"/>
        <w:rPr>
          <w:sz w:val="20"/>
          <w:szCs w:val="20"/>
          <w:color w:val="auto"/>
        </w:rPr>
      </w:pPr>
    </w:p>
    <w:p>
      <w:pPr>
        <w:ind w:left="582"/>
        <w:spacing w:after="0" w:line="261" w:lineRule="auto"/>
        <w:rPr>
          <w:sz w:val="20"/>
          <w:szCs w:val="20"/>
          <w:color w:val="auto"/>
        </w:rPr>
      </w:pPr>
      <w:r>
        <w:rPr>
          <w:rFonts w:ascii="Arial" w:cs="Arial" w:eastAsia="Arial" w:hAnsi="Arial"/>
          <w:sz w:val="18"/>
          <w:szCs w:val="18"/>
          <w:color w:val="auto"/>
        </w:rPr>
        <w:t>The Company’s primary revenue stream is the sale of LNG or natural gas to its customers, which is presented as Operating revenue in the condensed consolidated statements of operations and comprehensive loss. Natural gas or LNG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revenues and cash flows are substantially the same under both modes of delivery, the Company has presented Operating revenue on an aggregated basis.</w:t>
      </w:r>
    </w:p>
    <w:p>
      <w:pPr>
        <w:spacing w:after="0" w:line="174" w:lineRule="exact"/>
        <w:rPr>
          <w:sz w:val="20"/>
          <w:szCs w:val="20"/>
          <w:color w:val="auto"/>
        </w:rPr>
      </w:pPr>
    </w:p>
    <w:p>
      <w:pPr>
        <w:ind w:left="582" w:right="60"/>
        <w:spacing w:after="0" w:line="238" w:lineRule="auto"/>
        <w:rPr>
          <w:sz w:val="20"/>
          <w:szCs w:val="20"/>
          <w:color w:val="auto"/>
        </w:rPr>
      </w:pPr>
      <w:r>
        <w:rPr>
          <w:rFonts w:ascii="Arial" w:cs="Arial" w:eastAsia="Arial" w:hAnsi="Arial"/>
          <w:sz w:val="20"/>
          <w:szCs w:val="20"/>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367"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2"/>
          </w:cols>
          <w:pgMar w:left="238" w:top="124" w:right="259" w:bottom="1440" w:gutter="0" w:footer="0" w:header="0"/>
        </w:sectPr>
      </w:pPr>
    </w:p>
    <w:bookmarkStart w:id="12" w:name="page13"/>
    <w:bookmarkEnd w:id="12"/>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582" w:right="160"/>
        <w:spacing w:after="0" w:line="234" w:lineRule="auto"/>
        <w:rPr>
          <w:sz w:val="20"/>
          <w:szCs w:val="20"/>
          <w:color w:val="auto"/>
        </w:rPr>
      </w:pPr>
      <w:r>
        <w:rPr>
          <w:rFonts w:ascii="Arial" w:cs="Arial" w:eastAsia="Arial" w:hAnsi="Arial"/>
          <w:sz w:val="20"/>
          <w:szCs w:val="20"/>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Company estimates the fair value of the non-lease component by forecasting volumes and pricing of gas to be delivered to the customer over the lease term.</w:t>
      </w:r>
    </w:p>
    <w:p>
      <w:pPr>
        <w:spacing w:after="0" w:line="195" w:lineRule="exact"/>
        <w:rPr>
          <w:sz w:val="20"/>
          <w:szCs w:val="20"/>
          <w:color w:val="auto"/>
        </w:rPr>
      </w:pPr>
    </w:p>
    <w:p>
      <w:pPr>
        <w:ind w:left="582" w:right="100"/>
        <w:spacing w:after="0" w:line="262" w:lineRule="auto"/>
        <w:rPr>
          <w:sz w:val="20"/>
          <w:szCs w:val="20"/>
          <w:color w:val="auto"/>
        </w:rPr>
      </w:pPr>
      <w:r>
        <w:rPr>
          <w:rFonts w:ascii="Arial" w:cs="Arial" w:eastAsia="Arial" w:hAnsi="Arial"/>
          <w:sz w:val="18"/>
          <w:szCs w:val="18"/>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included in Other revenue in the condensed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173" w:lineRule="exact"/>
        <w:rPr>
          <w:sz w:val="20"/>
          <w:szCs w:val="20"/>
          <w:color w:val="auto"/>
        </w:rPr>
      </w:pPr>
    </w:p>
    <w:p>
      <w:pPr>
        <w:ind w:left="582" w:right="140"/>
        <w:spacing w:after="0" w:line="262" w:lineRule="auto"/>
        <w:rPr>
          <w:sz w:val="20"/>
          <w:szCs w:val="20"/>
          <w:color w:val="auto"/>
        </w:rPr>
      </w:pPr>
      <w:r>
        <w:rPr>
          <w:rFonts w:ascii="Arial" w:cs="Arial" w:eastAsia="Arial" w:hAnsi="Arial"/>
          <w:sz w:val="18"/>
          <w:szCs w:val="18"/>
          <w:color w:val="auto"/>
        </w:rPr>
        <w:t>In addition to the revenue recognized from the leasing components of agreements with customers, Other revenue includes revenue recognized from the construction and installation of equipment to transform customers’ facilities to operate utilizing natural gas or to allow customers to receive power or other outputs from our power generation facilities. Revenue for these construction services is recognized over time as the Company transfers control of the asset to the customer, unless the customer is not able to obtain control over the asset under construction until such services are completed, in which case,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73" w:lineRule="exact"/>
        <w:rPr>
          <w:sz w:val="20"/>
          <w:szCs w:val="20"/>
          <w:color w:val="auto"/>
        </w:rPr>
      </w:pPr>
    </w:p>
    <w:p>
      <w:pPr>
        <w:jc w:val="both"/>
        <w:ind w:left="582" w:right="180"/>
        <w:spacing w:after="0" w:line="301" w:lineRule="auto"/>
        <w:rPr>
          <w:sz w:val="20"/>
          <w:szCs w:val="20"/>
          <w:color w:val="auto"/>
        </w:rPr>
      </w:pPr>
      <w:r>
        <w:rPr>
          <w:rFonts w:ascii="Arial" w:cs="Arial" w:eastAsia="Arial" w:hAnsi="Arial"/>
          <w:sz w:val="17"/>
          <w:szCs w:val="17"/>
          <w:color w:val="auto"/>
        </w:rPr>
        <w:t>Shipping and handling costs are not considered to be separate performance obligations. These costs are expensed in the period in which they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142" w:lineRule="exact"/>
        <w:rPr>
          <w:sz w:val="20"/>
          <w:szCs w:val="20"/>
          <w:color w:val="auto"/>
        </w:rPr>
      </w:pPr>
    </w:p>
    <w:p>
      <w:pPr>
        <w:ind w:left="582" w:right="340"/>
        <w:spacing w:after="0" w:line="278" w:lineRule="auto"/>
        <w:rPr>
          <w:sz w:val="20"/>
          <w:szCs w:val="20"/>
          <w:color w:val="auto"/>
        </w:rPr>
      </w:pPr>
      <w:r>
        <w:rPr>
          <w:rFonts w:ascii="Arial" w:cs="Arial" w:eastAsia="Arial" w:hAnsi="Arial"/>
          <w:sz w:val="18"/>
          <w:szCs w:val="18"/>
          <w:color w:val="auto"/>
        </w:rPr>
        <w:t>The Company collects sales taxes from its customers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58" w:lineRule="exact"/>
        <w:rPr>
          <w:sz w:val="20"/>
          <w:szCs w:val="20"/>
          <w:color w:val="auto"/>
        </w:rPr>
      </w:pPr>
    </w:p>
    <w:p>
      <w:pPr>
        <w:ind w:left="582" w:right="240"/>
        <w:spacing w:after="0" w:line="238" w:lineRule="auto"/>
        <w:rPr>
          <w:sz w:val="20"/>
          <w:szCs w:val="20"/>
          <w:color w:val="auto"/>
        </w:rPr>
      </w:pPr>
      <w:r>
        <w:rPr>
          <w:rFonts w:ascii="Arial" w:cs="Arial" w:eastAsia="Arial" w:hAnsi="Arial"/>
          <w:sz w:val="20"/>
          <w:szCs w:val="20"/>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00" w:lineRule="exact"/>
        <w:rPr>
          <w:sz w:val="20"/>
          <w:szCs w:val="20"/>
          <w:color w:val="auto"/>
        </w:rPr>
      </w:pPr>
    </w:p>
    <w:p>
      <w:pPr>
        <w:ind w:left="582" w:hanging="582"/>
        <w:spacing w:after="0"/>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Share-based compensation</w:t>
      </w:r>
    </w:p>
    <w:p>
      <w:pPr>
        <w:spacing w:after="0" w:line="224" w:lineRule="exact"/>
        <w:rPr>
          <w:sz w:val="20"/>
          <w:szCs w:val="20"/>
          <w:color w:val="auto"/>
        </w:rPr>
      </w:pPr>
    </w:p>
    <w:p>
      <w:pPr>
        <w:ind w:left="582"/>
        <w:spacing w:after="0" w:line="259" w:lineRule="auto"/>
        <w:rPr>
          <w:sz w:val="20"/>
          <w:szCs w:val="20"/>
          <w:color w:val="auto"/>
        </w:rPr>
      </w:pPr>
      <w:r>
        <w:rPr>
          <w:rFonts w:ascii="Arial" w:cs="Arial" w:eastAsia="Arial" w:hAnsi="Arial"/>
          <w:sz w:val="18"/>
          <w:szCs w:val="18"/>
          <w:color w:val="auto"/>
        </w:rPr>
        <w:t xml:space="preserve">In connection with the IPO, the Company adopted the New Fortress Energy LLC 2019 Omnibus Incentive Plan (the “Incentive Plan”), effective as of February 4, 2019. Under the Incentive Plan, the Company may issue options, stock appreciation rights, restricted shares, restricted stock units (“RSUs”), share bonuses or other share-based awards to selected officers, employees, non-employee directors and select non-employees of NFE or its affiliates. The Company accounts for share-based compensation in accordance with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and ASC 505, </w:t>
      </w:r>
      <w:r>
        <w:rPr>
          <w:rFonts w:ascii="Arial" w:cs="Arial" w:eastAsia="Arial" w:hAnsi="Arial"/>
          <w:sz w:val="18"/>
          <w:szCs w:val="18"/>
          <w:i w:val="1"/>
          <w:iCs w:val="1"/>
          <w:color w:val="auto"/>
        </w:rPr>
        <w:t>Equity</w:t>
      </w:r>
      <w:r>
        <w:rPr>
          <w:rFonts w:ascii="Arial" w:cs="Arial" w:eastAsia="Arial" w:hAnsi="Arial"/>
          <w:sz w:val="18"/>
          <w:szCs w:val="18"/>
          <w:color w:val="auto"/>
        </w:rPr>
        <w:t>, which require all share-based payments to employees and members of the board of directors to be recognized as expense in the condensed consolidated financial statements based on their fair values. The Company has elected not to estimate forfeitures of its share-based compensation awards but will recognize the reversal in compensation expense in the period in which the forfeiture occurs. Upon creation of the Incentive Plan, the Company early adopted Accounting Standards Update (“ASU”) 2018-07 (as defined below). See “Note 3(b). Adoption of new and revised standards – New and amended standards adopted by the Company” for additional information related to ASU 2018-07 and “Note 19. Share-based compensation” for additional information related to share-based compensation.</w:t>
      </w:r>
    </w:p>
    <w:p>
      <w:pPr>
        <w:spacing w:after="0" w:line="349"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2"/>
          </w:cols>
          <w:pgMar w:left="238" w:top="124" w:right="259" w:bottom="1440" w:gutter="0" w:footer="0" w:header="0"/>
        </w:sectPr>
      </w:pPr>
    </w:p>
    <w:bookmarkStart w:id="13" w:name="page14"/>
    <w:bookmarkEnd w:id="13"/>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2" w:hanging="582"/>
        <w:spacing w:after="0"/>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24" w:lineRule="exact"/>
        <w:rPr>
          <w:sz w:val="20"/>
          <w:szCs w:val="20"/>
          <w:color w:val="auto"/>
        </w:rPr>
      </w:pPr>
    </w:p>
    <w:p>
      <w:pPr>
        <w:ind w:left="582"/>
        <w:spacing w:after="0" w:line="238" w:lineRule="auto"/>
        <w:rPr>
          <w:sz w:val="20"/>
          <w:szCs w:val="20"/>
          <w:color w:val="auto"/>
        </w:rPr>
      </w:pPr>
      <w:r>
        <w:rPr>
          <w:rFonts w:ascii="Arial" w:cs="Arial" w:eastAsia="Arial" w:hAnsi="Arial"/>
          <w:sz w:val="20"/>
          <w:szCs w:val="20"/>
          <w:color w:val="auto"/>
        </w:rPr>
        <w:t>In conjunction with the closing of the Company’s IPO, New Fortress Energy Holdings contributed all of its interests in consolidated subsidiaries that comprised substantially all of its historical operations to NFI in exchange for NFI LLC Units. NFE has elected to be taxed as a corporation and is subject to U.S. federal and state income taxes.</w:t>
      </w:r>
    </w:p>
    <w:p>
      <w:pPr>
        <w:spacing w:after="0" w:line="193" w:lineRule="exact"/>
        <w:rPr>
          <w:sz w:val="20"/>
          <w:szCs w:val="20"/>
          <w:color w:val="auto"/>
        </w:rPr>
      </w:pPr>
    </w:p>
    <w:p>
      <w:pPr>
        <w:ind w:left="582" w:right="20"/>
        <w:spacing w:after="0" w:line="263"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(“ASC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75" w:lineRule="exact"/>
        <w:rPr>
          <w:sz w:val="20"/>
          <w:szCs w:val="20"/>
          <w:color w:val="auto"/>
        </w:rPr>
      </w:pPr>
    </w:p>
    <w:p>
      <w:pPr>
        <w:ind w:left="582" w:right="100"/>
        <w:spacing w:after="0" w:line="262" w:lineRule="auto"/>
        <w:rPr>
          <w:sz w:val="20"/>
          <w:szCs w:val="20"/>
          <w:color w:val="auto"/>
        </w:rPr>
      </w:pPr>
      <w:r>
        <w:rPr>
          <w:rFonts w:ascii="Arial" w:cs="Arial" w:eastAsia="Arial" w:hAnsi="Arial"/>
          <w:sz w:val="18"/>
          <w:szCs w:val="18"/>
          <w:color w:val="auto"/>
        </w:rPr>
        <w:t>ASC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180" w:lineRule="exact"/>
        <w:rPr>
          <w:sz w:val="20"/>
          <w:szCs w:val="20"/>
          <w:color w:val="auto"/>
        </w:rPr>
      </w:pPr>
    </w:p>
    <w:p>
      <w:pPr>
        <w:ind w:left="582" w:hanging="582"/>
        <w:spacing w:after="0"/>
        <w:tabs>
          <w:tab w:leader="none" w:pos="5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loss per share</w:t>
      </w:r>
    </w:p>
    <w:p>
      <w:pPr>
        <w:spacing w:after="0" w:line="224" w:lineRule="exact"/>
        <w:rPr>
          <w:sz w:val="20"/>
          <w:szCs w:val="20"/>
          <w:color w:val="auto"/>
        </w:rPr>
      </w:pPr>
    </w:p>
    <w:p>
      <w:pPr>
        <w:ind w:left="582" w:right="40"/>
        <w:spacing w:after="0" w:line="238" w:lineRule="auto"/>
        <w:rPr>
          <w:sz w:val="20"/>
          <w:szCs w:val="20"/>
          <w:color w:val="auto"/>
        </w:rPr>
      </w:pPr>
      <w:r>
        <w:rPr>
          <w:rFonts w:ascii="Arial" w:cs="Arial" w:eastAsia="Arial" w:hAnsi="Arial"/>
          <w:sz w:val="20"/>
          <w:szCs w:val="20"/>
          <w:color w:val="auto"/>
        </w:rPr>
        <w:t>Basic EPS is computed by dividing net loss attributable to Class A shares by the weighted average number of Class A shares outstanding during the period following the reorganization. Class B shares represent non-economic interests in the Company and, as such, earnings are not allocated to Class B shares.</w:t>
      </w:r>
    </w:p>
    <w:p>
      <w:pPr>
        <w:spacing w:after="0" w:line="193" w:lineRule="exact"/>
        <w:rPr>
          <w:sz w:val="20"/>
          <w:szCs w:val="20"/>
          <w:color w:val="auto"/>
        </w:rPr>
      </w:pPr>
    </w:p>
    <w:p>
      <w:pPr>
        <w:ind w:left="582" w:right="20"/>
        <w:spacing w:after="0" w:line="266" w:lineRule="auto"/>
        <w:rPr>
          <w:sz w:val="20"/>
          <w:szCs w:val="20"/>
          <w:color w:val="auto"/>
        </w:rPr>
      </w:pPr>
      <w:r>
        <w:rPr>
          <w:rFonts w:ascii="Arial" w:cs="Arial" w:eastAsia="Arial" w:hAnsi="Arial"/>
          <w:sz w:val="18"/>
          <w:szCs w:val="18"/>
          <w:color w:val="auto"/>
        </w:rPr>
        <w:t>Diluted EPS reflects potential dilution and is computed by dividing net loss attributable to Class A shares by the weighted average number of Class A shares outstanding during the period following the reorganization increased by the number of additional Class A shares that would have been outstanding, including NFI LLC Units convertible into Class A shares and unvested RSUs. The dilutive effect of outstanding awards, if any, is reflected in diluted earnings per share by application of the treasury stock method or if-converted method, as applicable. Refer to “Note 18. Earnings per share” for additional information.</w:t>
      </w:r>
    </w:p>
    <w:p>
      <w:pPr>
        <w:spacing w:after="0" w:line="169" w:lineRule="exact"/>
        <w:rPr>
          <w:sz w:val="20"/>
          <w:szCs w:val="20"/>
          <w:color w:val="auto"/>
        </w:rPr>
      </w:pPr>
    </w:p>
    <w:p>
      <w:pPr>
        <w:ind w:left="582" w:right="160"/>
        <w:spacing w:after="0" w:line="247" w:lineRule="auto"/>
        <w:rPr>
          <w:sz w:val="20"/>
          <w:szCs w:val="20"/>
          <w:color w:val="auto"/>
        </w:rPr>
      </w:pPr>
      <w:r>
        <w:rPr>
          <w:rFonts w:ascii="Arial" w:cs="Arial" w:eastAsia="Arial" w:hAnsi="Arial"/>
          <w:sz w:val="20"/>
          <w:szCs w:val="20"/>
          <w:color w:val="auto"/>
        </w:rPr>
        <w:t>Please refer to “Note 2. Significant accounting policies,” to our consolidated financial statements from our Annual Report on Form 10-K for the discussion of our significant accounting policies.</w:t>
      </w:r>
    </w:p>
    <w:p>
      <w:pPr>
        <w:spacing w:after="0" w:line="187" w:lineRule="exact"/>
        <w:rPr>
          <w:sz w:val="20"/>
          <w:szCs w:val="20"/>
          <w:color w:val="auto"/>
        </w:rPr>
      </w:pPr>
    </w:p>
    <w:p>
      <w:pPr>
        <w:ind w:left="302" w:hanging="302"/>
        <w:spacing w:after="0"/>
        <w:tabs>
          <w:tab w:leader="none" w:pos="302"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Adoption of new and revised standards</w:t>
      </w:r>
    </w:p>
    <w:p>
      <w:pPr>
        <w:spacing w:after="0" w:line="228" w:lineRule="exact"/>
        <w:rPr>
          <w:sz w:val="20"/>
          <w:szCs w:val="20"/>
          <w:color w:val="auto"/>
        </w:rPr>
      </w:pPr>
    </w:p>
    <w:p>
      <w:pPr>
        <w:ind w:left="2" w:right="320"/>
        <w:spacing w:after="0" w:line="301" w:lineRule="auto"/>
        <w:rPr>
          <w:sz w:val="20"/>
          <w:szCs w:val="20"/>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color w:val="auto"/>
        </w:rPr>
        <w:t>(a)  New standards, amendments and interpretations issued but not effective for the financial year beginning January 1, 2019:</w:t>
      </w:r>
    </w:p>
    <w:p>
      <w:pPr>
        <w:spacing w:after="0" w:line="224" w:lineRule="exact"/>
        <w:rPr>
          <w:sz w:val="20"/>
          <w:szCs w:val="20"/>
          <w:color w:val="auto"/>
        </w:rPr>
      </w:pPr>
    </w:p>
    <w:p>
      <w:pPr>
        <w:ind w:left="302" w:right="60"/>
        <w:spacing w:after="0" w:line="26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amends the existing accounting standards for lease accounting, including requiring lessees to recognize most leases on their balance sheet and making targeted changes to lessor accounting. In October 2019, the FASB voted to approve a proposal to defer the effective date of ASC 2016-02 for certain entities, including emerging growth companies that take advantage of the extended transition period, to fiscal years beginning after December 15, 2020. This proposal would be applicable to the Company. The Company is currently evaluating the impact of adopting this new guidance on its consolidated financial statements and timing of adoption.</w:t>
      </w: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right="60"/>
        <w:spacing w:after="0" w:line="28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Disclosure Framework –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(“ASU 2016-13”), which requires financial assets measured at amortized cost basis, including trade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to be presented net of the amount expected to be collected. The measurement of all expected credit losses will be based on historical experience, current conditions, and reasonable and supportable forecasts. In October 2019, the FASB voted to approve a proposal to defer the effective date of ASC 2016-13 for certain entities, including emerging growth companies that take advantage of the extended transition period, to fiscal years beginning after December 15, 2022. This proposal would be applicable to the Company. The Company is currently evaluating the impact of adopting this new guidance on its consolidated financial statements and timing of adoption.</w:t>
      </w:r>
    </w:p>
    <w:p>
      <w:pPr>
        <w:spacing w:after="0" w:line="159" w:lineRule="exact"/>
        <w:rPr>
          <w:sz w:val="20"/>
          <w:szCs w:val="20"/>
          <w:color w:val="auto"/>
        </w:rPr>
      </w:pPr>
    </w:p>
    <w:p>
      <w:pPr>
        <w:ind w:left="300" w:right="200"/>
        <w:spacing w:after="0" w:line="270"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provides additional guidance to improve the effectiveness of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fair value measurement. The Company will adopt ASU 2018-13 for the year beginning January 1, 2020 and is currently evaluating the impact of adopting this new guidance on its consolidated financial statements.</w:t>
      </w:r>
    </w:p>
    <w:p>
      <w:pPr>
        <w:spacing w:after="0" w:line="166"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a customer in a</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 that is a service contract to follow the internal-use software guidance in ASC 350-40 to determine which implementation costs to capitalize as assets. A customer’s accounting for the costs of the hosting component of the arrangement is not affected by the new guidance. This ASU is effective for the Company on January 1, 2021, with early adoption permitted. The Company is currently evaluating the impact of adopting this new guidance on its consolidated financial statements and the timing of adoption.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 New and amended standards adopted by the Company:</w:t>
      </w:r>
    </w:p>
    <w:p>
      <w:pPr>
        <w:spacing w:after="0" w:line="224" w:lineRule="exact"/>
        <w:rPr>
          <w:sz w:val="20"/>
          <w:szCs w:val="20"/>
          <w:color w:val="auto"/>
        </w:rPr>
      </w:pPr>
    </w:p>
    <w:p>
      <w:pPr>
        <w:ind w:left="300" w:right="60"/>
        <w:spacing w:after="0" w:line="28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(“ASC 606”)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The Company adopted ASC 606 on January 1, 2019 using the modified retrospective method, which required the Company to apply the new revenue standard to (i) all new revenue contracts entered into after January 1, 2019 and (ii) all existing revenue contracts as of January 1, 2019 through a cumulative adjustment to the Company’s retained earnings balance. The adoption of ASC 606 did not have any impact on the Company’s historical retained earnings.</w:t>
      </w:r>
    </w:p>
    <w:p>
      <w:pPr>
        <w:spacing w:after="0" w:line="159" w:lineRule="exact"/>
        <w:rPr>
          <w:sz w:val="20"/>
          <w:szCs w:val="20"/>
          <w:color w:val="auto"/>
        </w:rPr>
      </w:pPr>
    </w:p>
    <w:p>
      <w:pPr>
        <w:ind w:left="300"/>
        <w:spacing w:after="0" w:line="261"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xml:space="preserve"> (Subtopic 825-10): </w:t>
      </w:r>
      <w:r>
        <w:rPr>
          <w:rFonts w:ascii="Arial" w:cs="Arial" w:eastAsia="Arial" w:hAnsi="Arial"/>
          <w:sz w:val="18"/>
          <w:szCs w:val="18"/>
          <w:i w:val="1"/>
          <w:iCs w:val="1"/>
          <w:color w:val="auto"/>
        </w:rPr>
        <w:t>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which makes targeted improvements to the accounting for, and presentation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The Company has adopted this guidance for the year beginning January 1, 2019 by recognizing an immaterial adjustment to beginning retained earnings for the net unrealized gains/losses on equity investments with readily determinable fair values.</w:t>
      </w:r>
    </w:p>
    <w:p>
      <w:pPr>
        <w:spacing w:after="0" w:line="174" w:lineRule="exact"/>
        <w:rPr>
          <w:sz w:val="20"/>
          <w:szCs w:val="20"/>
          <w:color w:val="auto"/>
        </w:rPr>
      </w:pPr>
    </w:p>
    <w:p>
      <w:pPr>
        <w:ind w:left="300" w:right="20"/>
        <w:spacing w:after="0" w:line="236" w:lineRule="auto"/>
        <w:rPr>
          <w:sz w:val="20"/>
          <w:szCs w:val="20"/>
          <w:color w:val="auto"/>
        </w:rPr>
      </w:pPr>
      <w:r>
        <w:rPr>
          <w:rFonts w:ascii="Arial" w:cs="Arial" w:eastAsia="Arial" w:hAnsi="Arial"/>
          <w:sz w:val="20"/>
          <w:szCs w:val="20"/>
          <w:color w:val="auto"/>
        </w:rPr>
        <w:t xml:space="preserve">In August 2016, the FASB issued ASU 2016-15, </w:t>
      </w:r>
      <w:r>
        <w:rPr>
          <w:rFonts w:ascii="Arial" w:cs="Arial" w:eastAsia="Arial" w:hAnsi="Arial"/>
          <w:sz w:val="20"/>
          <w:szCs w:val="20"/>
          <w:i w:val="1"/>
          <w:iCs w:val="1"/>
          <w:color w:val="auto"/>
        </w:rPr>
        <w:t>Statement of Cash Flows</w:t>
      </w:r>
      <w:r>
        <w:rPr>
          <w:rFonts w:ascii="Arial" w:cs="Arial" w:eastAsia="Arial" w:hAnsi="Arial"/>
          <w:sz w:val="20"/>
          <w:szCs w:val="20"/>
          <w:color w:val="auto"/>
        </w:rPr>
        <w:t xml:space="preserve"> (Topic 230): </w:t>
      </w:r>
      <w:r>
        <w:rPr>
          <w:rFonts w:ascii="Arial" w:cs="Arial" w:eastAsia="Arial" w:hAnsi="Arial"/>
          <w:sz w:val="20"/>
          <w:szCs w:val="20"/>
          <w:i w:val="1"/>
          <w:iCs w:val="1"/>
          <w:color w:val="auto"/>
        </w:rPr>
        <w:t>Classification of Certain Cash Receipts and Cash</w:t>
      </w:r>
      <w:r>
        <w:rPr>
          <w:rFonts w:ascii="Arial" w:cs="Arial" w:eastAsia="Arial" w:hAnsi="Arial"/>
          <w:sz w:val="20"/>
          <w:szCs w:val="20"/>
          <w:color w:val="auto"/>
        </w:rPr>
        <w:t xml:space="preserve"> </w:t>
      </w:r>
      <w:r>
        <w:rPr>
          <w:rFonts w:ascii="Arial" w:cs="Arial" w:eastAsia="Arial" w:hAnsi="Arial"/>
          <w:sz w:val="20"/>
          <w:szCs w:val="20"/>
          <w:i w:val="1"/>
          <w:iCs w:val="1"/>
          <w:color w:val="auto"/>
        </w:rPr>
        <w:t>Payments</w:t>
      </w:r>
      <w:r>
        <w:rPr>
          <w:rFonts w:ascii="Arial" w:cs="Arial" w:eastAsia="Arial" w:hAnsi="Arial"/>
          <w:sz w:val="20"/>
          <w:szCs w:val="20"/>
          <w:color w:val="auto"/>
        </w:rPr>
        <w:t>, which provides guidance on eight specific cash flow issues with an intention to reduce the existing diversity in practice.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has adopted this guidance for the year beginning January 1, 2019, and its adoption did not have a material impact on the Company’s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2" w:right="40"/>
        <w:spacing w:after="0" w:line="262"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that statements of cash flows explain the change during the period in the total of cash, cash equivalents, and amounts generally described as restricted cash and restricted cash equivalents. This change is intended to limit the diversity in practice in the treatment of restricted cash in the statement of cash flows. The adoption of this standard resulted in the Company no longer showing the changes in restricted cash balances as a component of cash flows from investing or financing activities but instead including the balances of both current and long-term restricted cash with cash and cash equivalents in total cash, cash equivalents and restricted cash for the beginning and end of the periods presented. The Company has adopted this guidance for the year beginning January 1, 2019.</w:t>
      </w:r>
    </w:p>
    <w:p>
      <w:pPr>
        <w:spacing w:after="0" w:line="173" w:lineRule="exact"/>
        <w:rPr>
          <w:sz w:val="20"/>
          <w:szCs w:val="20"/>
          <w:color w:val="auto"/>
        </w:rPr>
      </w:pPr>
    </w:p>
    <w:p>
      <w:pPr>
        <w:ind w:left="302"/>
        <w:spacing w:after="0" w:line="285"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w:t>
      </w:r>
      <w:r>
        <w:rPr>
          <w:rFonts w:ascii="Arial" w:cs="Arial" w:eastAsia="Arial" w:hAnsi="Arial"/>
          <w:sz w:val="17"/>
          <w:szCs w:val="17"/>
          <w:color w:val="auto"/>
        </w:rPr>
        <w:t xml:space="preserve"> (Topic 220) which allows a reclassification from accumulated other comprehensive income (loss) to retained earnings for tax effects resulting from the comprehensive tax legislation enacted by the U.S. government commonly referred to as the Tax Cuts and Jobs Act. The Company has adopted this guidance for the year beginning January 1, 2019. The Company had no tax impacts recorded in accumulated other comprehensive income (loss) prior to adoption of the standard, and therefore adoption of the standard had no impact on the Company’s condensed consolidated financial statements.</w:t>
      </w:r>
    </w:p>
    <w:p>
      <w:pPr>
        <w:spacing w:after="0" w:line="156" w:lineRule="exact"/>
        <w:rPr>
          <w:sz w:val="20"/>
          <w:szCs w:val="20"/>
          <w:color w:val="auto"/>
        </w:rPr>
      </w:pPr>
    </w:p>
    <w:p>
      <w:pPr>
        <w:ind w:left="302" w:right="200"/>
        <w:spacing w:after="0" w:line="266" w:lineRule="auto"/>
        <w:rPr>
          <w:sz w:val="20"/>
          <w:szCs w:val="20"/>
          <w:color w:val="auto"/>
        </w:rPr>
      </w:pPr>
      <w:r>
        <w:rPr>
          <w:rFonts w:ascii="Arial" w:cs="Arial" w:eastAsia="Arial" w:hAnsi="Arial"/>
          <w:sz w:val="18"/>
          <w:szCs w:val="18"/>
          <w:color w:val="auto"/>
        </w:rPr>
        <w:t xml:space="preserve">In September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2018-07”), which simplifies the accounting for share-based payments granted to non-employees for goods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Under ASU 2018-07, most of the guidance on such payments to non-employees will be aligned with the requirements for share-based payments granted to employees. The Company has early adopted ASU 2018-07 upon inception of the Incentive Plan, and its adoption did not have a material impact on the Company’s condensed consolidated financial statements.</w:t>
      </w:r>
    </w:p>
    <w:p>
      <w:pPr>
        <w:spacing w:after="0" w:line="172" w:lineRule="exact"/>
        <w:rPr>
          <w:sz w:val="20"/>
          <w:szCs w:val="20"/>
          <w:color w:val="auto"/>
        </w:rPr>
      </w:pPr>
    </w:p>
    <w:p>
      <w:pPr>
        <w:ind w:left="302" w:hanging="302"/>
        <w:spacing w:after="0"/>
        <w:tabs>
          <w:tab w:leader="none" w:pos="30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w:t>
      </w:r>
    </w:p>
    <w:p>
      <w:pPr>
        <w:spacing w:after="0" w:line="228" w:lineRule="exact"/>
        <w:rPr>
          <w:sz w:val="20"/>
          <w:szCs w:val="20"/>
          <w:color w:val="auto"/>
        </w:rPr>
      </w:pPr>
    </w:p>
    <w:p>
      <w:pPr>
        <w:ind w:left="2" w:right="40" w:firstLine="292"/>
        <w:spacing w:after="0" w:line="234" w:lineRule="auto"/>
        <w:rPr>
          <w:sz w:val="20"/>
          <w:szCs w:val="20"/>
          <w:color w:val="auto"/>
        </w:rPr>
      </w:pPr>
      <w:r>
        <w:rPr>
          <w:rFonts w:ascii="Arial" w:cs="Arial" w:eastAsia="Arial" w:hAnsi="Arial"/>
          <w:sz w:val="20"/>
          <w:szCs w:val="20"/>
          <w:color w:val="auto"/>
        </w:rPr>
        <w:t>Revenue recognized in the Company’s condensed consolidated statements of operations and comprehensive loss for the three and nine months ended September 30, 2019 and any associated balances on the condensed consolidated balance sheet as of September 30, 2019 prepared under ASC 606 did not differ materially from what would have been presented under the previous revenue standard. As such, no comparison for the results of operations for the three and nine months ended September 30, 2019 and the financial position as of September 30, 2019 under ASC 606 and ASC 605 has been presented.</w:t>
      </w:r>
    </w:p>
    <w:p>
      <w:pPr>
        <w:spacing w:after="0" w:line="195" w:lineRule="exact"/>
        <w:rPr>
          <w:sz w:val="20"/>
          <w:szCs w:val="20"/>
          <w:color w:val="auto"/>
        </w:rPr>
      </w:pPr>
    </w:p>
    <w:p>
      <w:pPr>
        <w:ind w:left="2" w:right="20" w:firstLine="292"/>
        <w:spacing w:after="0" w:line="234" w:lineRule="auto"/>
        <w:rPr>
          <w:sz w:val="20"/>
          <w:szCs w:val="20"/>
          <w:color w:val="auto"/>
        </w:rPr>
      </w:pPr>
      <w:r>
        <w:rPr>
          <w:rFonts w:ascii="Arial" w:cs="Arial" w:eastAsia="Arial" w:hAnsi="Arial"/>
          <w:sz w:val="20"/>
          <w:szCs w:val="20"/>
          <w:color w:val="auto"/>
        </w:rPr>
        <w:t>Under most customer contracts, invoicing occurs once the Company’s performance obligations have been satisfied, at which point payment is unconditional. Receivables related to revenue from contracts with customers totaled $23,724 as of September 30, 2019 and were included in “Receivables, net” on the condensed consolidated balance sheets, net of the allowance for doubtful accounts. Other items included in Receivables, net not related to revenue from contracts with customers represent receivables associated with leases which are accounted for outside the scope of ASC 606.</w:t>
      </w:r>
    </w:p>
    <w:p>
      <w:pPr>
        <w:spacing w:after="0" w:line="195" w:lineRule="exact"/>
        <w:rPr>
          <w:sz w:val="20"/>
          <w:szCs w:val="20"/>
          <w:color w:val="auto"/>
        </w:rPr>
      </w:pPr>
    </w:p>
    <w:p>
      <w:pPr>
        <w:ind w:left="2" w:firstLine="292"/>
        <w:spacing w:after="0" w:line="261" w:lineRule="auto"/>
        <w:rPr>
          <w:sz w:val="20"/>
          <w:szCs w:val="20"/>
          <w:color w:val="auto"/>
        </w:rPr>
      </w:pPr>
      <w:r>
        <w:rPr>
          <w:rFonts w:ascii="Arial" w:cs="Arial" w:eastAsia="Arial" w:hAnsi="Arial"/>
          <w:sz w:val="18"/>
          <w:szCs w:val="18"/>
          <w:color w:val="auto"/>
        </w:rPr>
        <w:t>During the nine month period ended September 30, 2019, the Company recognized a contract liability of $8,956. The contract liability balance is comprised of unconditional payments due under the contract with a customer prior to the Company’s satisfaction of the related performance obligations. The performance obligations are expected to be recognized during the next 12 months, and the contract liability is classified within Other current liabilities on the condensed consolidated balance sheets. During the nine month period ended September 30, 2019, the Company recognized a contract asset of $10,107. The contract asset is comprised of the transaction price allocated to completed performance obligations that will be billed to customers in subsequent periods, and $110 is presented within Other current assets and $9,997 is presented within Other non-current assets based on the timing of the expected billing to the customer. Contract assets or liabilities have not been previously recognized, and as such, there are no other changes to contract balances within the current period.</w:t>
      </w:r>
    </w:p>
    <w:p>
      <w:pPr>
        <w:spacing w:after="0" w:line="174" w:lineRule="exact"/>
        <w:rPr>
          <w:sz w:val="20"/>
          <w:szCs w:val="20"/>
          <w:color w:val="auto"/>
        </w:rPr>
      </w:pPr>
    </w:p>
    <w:p>
      <w:pPr>
        <w:ind w:left="2" w:right="200" w:firstLine="292"/>
        <w:spacing w:after="0" w:line="270" w:lineRule="auto"/>
        <w:rPr>
          <w:sz w:val="20"/>
          <w:szCs w:val="20"/>
          <w:color w:val="auto"/>
        </w:rPr>
      </w:pPr>
      <w:r>
        <w:rPr>
          <w:rFonts w:ascii="Arial" w:cs="Arial" w:eastAsia="Arial" w:hAnsi="Arial"/>
          <w:sz w:val="18"/>
          <w:szCs w:val="18"/>
          <w:color w:val="auto"/>
        </w:rPr>
        <w:t>The Company began to recognize revenue for construction services during the nine months ended September 30, 2019 within Other revenue in the condensed consolidated statements of operations and comprehensive loss. Construction revenue totaled $10,195 and $14,103 for the three and nine months ended September 30, 2019, respectively. Costs recognized within Cost of sales associated with construction services were $8,974 and $12,527 for the three and nine months ended September 30, 2019, respectively</w:t>
      </w:r>
    </w:p>
    <w:p>
      <w:pPr>
        <w:spacing w:after="0" w:line="33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124" w:right="219" w:bottom="1440" w:gutter="0" w:footer="0" w:header="0"/>
        </w:sectPr>
      </w:pPr>
    </w:p>
    <w:bookmarkStart w:id="16" w:name="page17"/>
    <w:bookmarkEnd w:id="16"/>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Transaction price allocated to remaining performance obligations</w:t>
      </w:r>
    </w:p>
    <w:p>
      <w:pPr>
        <w:spacing w:after="0" w:line="209" w:lineRule="exact"/>
        <w:rPr>
          <w:sz w:val="20"/>
          <w:szCs w:val="20"/>
          <w:color w:val="auto"/>
        </w:rPr>
      </w:pPr>
    </w:p>
    <w:p>
      <w:pPr>
        <w:ind w:left="2" w:right="740" w:firstLine="292"/>
        <w:spacing w:after="0" w:line="301"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disclose any transaction price allocated to unfulfilled performance obligations related to these contracts.</w:t>
      </w:r>
    </w:p>
    <w:p>
      <w:pPr>
        <w:spacing w:after="0" w:line="139" w:lineRule="exact"/>
        <w:rPr>
          <w:sz w:val="20"/>
          <w:szCs w:val="20"/>
          <w:color w:val="auto"/>
        </w:rPr>
      </w:pPr>
    </w:p>
    <w:p>
      <w:pPr>
        <w:ind w:left="2" w:right="20" w:firstLine="292"/>
        <w:spacing w:after="0" w:line="266" w:lineRule="auto"/>
        <w:rPr>
          <w:sz w:val="20"/>
          <w:szCs w:val="20"/>
          <w:color w:val="auto"/>
        </w:rPr>
      </w:pPr>
      <w:r>
        <w:rPr>
          <w:rFonts w:ascii="Arial" w:cs="Arial" w:eastAsia="Arial" w:hAnsi="Arial"/>
          <w:sz w:val="18"/>
          <w:szCs w:val="18"/>
          <w:color w:val="auto"/>
        </w:rPr>
        <w:t>The Company has arrangements in which LNG or natural gas is sold on a “take-or-pay” basis whereby the customer is obligated to pay for the minimum guaranteed volumes even if it does not take delivery of them. The price under these agreements is based on a market index plus a fixed margin. The fixed transaction price allocated to the remaining performance obligations under these arrangements is $3,141,216 as of September 30, 2019,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172" w:lineRule="exact"/>
        <w:rPr>
          <w:sz w:val="20"/>
          <w:szCs w:val="20"/>
          <w:color w:val="auto"/>
        </w:rPr>
      </w:pPr>
    </w:p>
    <w:tbl>
      <w:tblPr>
        <w:tblLayout w:type="fixed"/>
        <w:tblInd w:w="114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ind w:left="3640"/>
              <w:spacing w:after="0"/>
              <w:rPr>
                <w:sz w:val="20"/>
                <w:szCs w:val="20"/>
                <w:color w:val="auto"/>
              </w:rPr>
            </w:pPr>
            <w:r>
              <w:rPr>
                <w:rFonts w:ascii="Arial" w:cs="Arial" w:eastAsia="Arial" w:hAnsi="Arial"/>
                <w:sz w:val="16"/>
                <w:szCs w:val="16"/>
                <w:b w:val="1"/>
                <w:bCs w:val="1"/>
                <w:color w:val="auto"/>
              </w:rPr>
              <w:t>Period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r>
      <w:tr>
        <w:trPr>
          <w:trHeight w:val="195"/>
        </w:trPr>
        <w:tc>
          <w:tcPr>
            <w:tcW w:w="20" w:type="dxa"/>
            <w:vAlign w:val="bottom"/>
          </w:tcPr>
          <w:p>
            <w:pPr>
              <w:spacing w:after="0"/>
              <w:rPr>
                <w:sz w:val="16"/>
                <w:szCs w:val="16"/>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2019</w:t>
            </w: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46,977</w:t>
            </w:r>
          </w:p>
        </w:tc>
        <w:tc>
          <w:tcPr>
            <w:tcW w:w="10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178,027</w:t>
            </w: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169,877</w:t>
            </w:r>
          </w:p>
        </w:tc>
      </w:tr>
      <w:tr>
        <w:trPr>
          <w:trHeight w:val="195"/>
        </w:trPr>
        <w:tc>
          <w:tcPr>
            <w:tcW w:w="2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168,366</w:t>
            </w:r>
          </w:p>
        </w:tc>
      </w:tr>
      <w:tr>
        <w:trPr>
          <w:trHeight w:val="195"/>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167,635</w:t>
            </w:r>
          </w:p>
        </w:tc>
      </w:tr>
      <w:tr>
        <w:trPr>
          <w:trHeight w:val="199"/>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Thereafter</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2,410,334</w:t>
            </w:r>
          </w:p>
        </w:tc>
        <w:tc>
          <w:tcPr>
            <w:tcW w:w="10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3,141,216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ind w:left="2" w:firstLine="292"/>
        <w:spacing w:after="0" w:line="263"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or natural gas. As each unit of LNG or natural gas represents a separate performance obligation, future volumes are wholly unsatisfied.</w:t>
      </w:r>
    </w:p>
    <w:p>
      <w:pPr>
        <w:spacing w:after="0" w:line="175" w:lineRule="exact"/>
        <w:rPr>
          <w:sz w:val="20"/>
          <w:szCs w:val="20"/>
          <w:color w:val="auto"/>
        </w:rPr>
      </w:pPr>
    </w:p>
    <w:p>
      <w:pPr>
        <w:ind w:left="2" w:right="140" w:firstLine="292"/>
        <w:spacing w:after="0" w:line="234" w:lineRule="auto"/>
        <w:rPr>
          <w:sz w:val="20"/>
          <w:szCs w:val="20"/>
          <w:color w:val="auto"/>
        </w:rPr>
      </w:pPr>
      <w:r>
        <w:rPr>
          <w:rFonts w:ascii="Arial" w:cs="Arial" w:eastAsia="Arial" w:hAnsi="Arial"/>
          <w:sz w:val="20"/>
          <w:szCs w:val="20"/>
          <w:color w:val="auto"/>
        </w:rPr>
        <w:t>During the nine month period ended September 30, 2019, the Company began to incur costs to fulfill a contract with a significant customer. These costs primarily consist of expenses required to enhance resources to deliver under the agreement with the customer. Such costs are capitalized as incurred within Other non-current assets on the condensed consolidated balance sheets. As of September 30, 2019, the Company has capitalized $6,991, and these costs will be recognized over the expected customer life, beginning when the Company begins to deliver under the contract.</w:t>
      </w:r>
    </w:p>
    <w:p>
      <w:pPr>
        <w:spacing w:after="0" w:line="198" w:lineRule="exact"/>
        <w:rPr>
          <w:sz w:val="20"/>
          <w:szCs w:val="20"/>
          <w:color w:val="auto"/>
        </w:rPr>
      </w:pPr>
    </w:p>
    <w:p>
      <w:pPr>
        <w:ind w:left="302" w:hanging="302"/>
        <w:spacing w:after="0"/>
        <w:tabs>
          <w:tab w:leader="none" w:pos="30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w:t>
      </w:r>
    </w:p>
    <w:p>
      <w:pPr>
        <w:spacing w:after="0" w:line="228" w:lineRule="exact"/>
        <w:rPr>
          <w:sz w:val="20"/>
          <w:szCs w:val="20"/>
          <w:color w:val="auto"/>
        </w:rPr>
      </w:pPr>
    </w:p>
    <w:p>
      <w:pPr>
        <w:ind w:left="2" w:right="320" w:firstLine="292"/>
        <w:spacing w:after="0" w:line="247" w:lineRule="auto"/>
        <w:rPr>
          <w:sz w:val="20"/>
          <w:szCs w:val="20"/>
          <w:color w:val="auto"/>
        </w:rPr>
      </w:pPr>
      <w:r>
        <w:rPr>
          <w:rFonts w:ascii="Arial" w:cs="Arial" w:eastAsia="Arial" w:hAnsi="Arial"/>
          <w:sz w:val="20"/>
          <w:szCs w:val="20"/>
          <w:color w:val="auto"/>
        </w:rPr>
        <w:t>Fair value measurements and disclosures require the use of valuation techniques to measure fair value that maximize the use of observable inputs and minimize the use of unobservable inputs. These inputs are prioritized as follows:</w:t>
      </w:r>
    </w:p>
    <w:p>
      <w:pPr>
        <w:spacing w:after="0" w:line="191" w:lineRule="exact"/>
        <w:rPr>
          <w:sz w:val="20"/>
          <w:szCs w:val="20"/>
          <w:color w:val="auto"/>
        </w:rPr>
      </w:pPr>
    </w:p>
    <w:p>
      <w:pPr>
        <w:ind w:left="582" w:hanging="582"/>
        <w:spacing w:after="0"/>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1 – observable inputs such as quoted prices in active markets for identical assets or liabilities.</w:t>
      </w:r>
    </w:p>
    <w:p>
      <w:pPr>
        <w:spacing w:after="0" w:line="230" w:lineRule="exact"/>
        <w:rPr>
          <w:rFonts w:ascii="Arial" w:cs="Arial" w:eastAsia="Arial" w:hAnsi="Arial"/>
          <w:sz w:val="16"/>
          <w:szCs w:val="16"/>
          <w:color w:val="auto"/>
        </w:rPr>
      </w:pPr>
    </w:p>
    <w:p>
      <w:pPr>
        <w:ind w:left="582" w:right="80" w:hanging="582"/>
        <w:spacing w:after="0" w:line="284"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either directly or indirectly, such as quoted prices for similar assets or liabilities or market corroborated inputs.</w:t>
      </w:r>
    </w:p>
    <w:p>
      <w:pPr>
        <w:spacing w:after="0" w:line="174" w:lineRule="exact"/>
        <w:rPr>
          <w:rFonts w:ascii="Arial" w:cs="Arial" w:eastAsia="Arial" w:hAnsi="Arial"/>
          <w:sz w:val="16"/>
          <w:szCs w:val="16"/>
          <w:color w:val="auto"/>
        </w:rPr>
      </w:pPr>
    </w:p>
    <w:p>
      <w:pPr>
        <w:ind w:left="582" w:right="760" w:hanging="582"/>
        <w:spacing w:after="0" w:line="284"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3 – unobservable inputs for which there is little or no market data and which require the Company to develop its own assumptions about how market participants price the asset or liability.</w:t>
      </w:r>
    </w:p>
    <w:p>
      <w:pPr>
        <w:spacing w:after="0" w:line="167" w:lineRule="exact"/>
        <w:rPr>
          <w:sz w:val="20"/>
          <w:szCs w:val="20"/>
          <w:color w:val="auto"/>
        </w:rPr>
      </w:pPr>
    </w:p>
    <w:p>
      <w:pPr>
        <w:ind w:left="302"/>
        <w:spacing w:after="0"/>
        <w:rPr>
          <w:sz w:val="20"/>
          <w:szCs w:val="20"/>
          <w:color w:val="auto"/>
        </w:rPr>
      </w:pPr>
      <w:r>
        <w:rPr>
          <w:rFonts w:ascii="Arial" w:cs="Arial" w:eastAsia="Arial" w:hAnsi="Arial"/>
          <w:sz w:val="20"/>
          <w:szCs w:val="20"/>
          <w:color w:val="auto"/>
        </w:rPr>
        <w:t>The valuation techniques that may be used to measure fair value are as follows:</w:t>
      </w:r>
    </w:p>
    <w:p>
      <w:pPr>
        <w:spacing w:after="0" w:line="215" w:lineRule="exact"/>
        <w:rPr>
          <w:sz w:val="20"/>
          <w:szCs w:val="20"/>
          <w:color w:val="auto"/>
        </w:rPr>
      </w:pPr>
    </w:p>
    <w:p>
      <w:pPr>
        <w:ind w:left="582" w:hanging="582"/>
        <w:spacing w:after="0"/>
        <w:tabs>
          <w:tab w:leader="none" w:pos="5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39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17" w:name="page18"/>
    <w:bookmarkEnd w:id="17"/>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2" w:right="160" w:hanging="582"/>
        <w:spacing w:after="0" w:line="284" w:lineRule="auto"/>
        <w:tabs>
          <w:tab w:leader="none" w:pos="5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Income approach – uses valuation techniques, such as discounted cash flow technique, to convert future amounts to a single present amount based on current market expectations about those future amounts.</w:t>
      </w:r>
    </w:p>
    <w:p>
      <w:pPr>
        <w:spacing w:after="0" w:line="174" w:lineRule="exact"/>
        <w:rPr>
          <w:rFonts w:ascii="Arial" w:cs="Arial" w:eastAsia="Arial" w:hAnsi="Arial"/>
          <w:sz w:val="16"/>
          <w:szCs w:val="16"/>
          <w:color w:val="auto"/>
        </w:rPr>
      </w:pPr>
    </w:p>
    <w:p>
      <w:pPr>
        <w:ind w:left="582" w:hanging="582"/>
        <w:spacing w:after="0"/>
        <w:tabs>
          <w:tab w:leader="none" w:pos="5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pacing w:after="0" w:line="224" w:lineRule="exact"/>
        <w:rPr>
          <w:sz w:val="20"/>
          <w:szCs w:val="20"/>
          <w:color w:val="auto"/>
        </w:rPr>
      </w:pPr>
    </w:p>
    <w:p>
      <w:pPr>
        <w:ind w:left="302"/>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September 30, 2019:</w:t>
      </w:r>
    </w:p>
    <w:p>
      <w:pPr>
        <w:spacing w:after="0" w:line="24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980" w:type="dxa"/>
            <w:vAlign w:val="bottom"/>
            <w:tcBorders>
              <w:bottom w:val="single" w:sz="8" w:color="auto"/>
            </w:tcBorders>
          </w:tcPr>
          <w:p>
            <w:pPr>
              <w:spacing w:after="0"/>
              <w:rPr>
                <w:sz w:val="18"/>
                <w:szCs w:val="18"/>
                <w:color w:val="auto"/>
              </w:rPr>
            </w:pPr>
          </w:p>
        </w:tc>
      </w:tr>
      <w:tr>
        <w:trPr>
          <w:trHeight w:val="199"/>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2980" w:type="dxa"/>
            <w:vAlign w:val="bottom"/>
          </w:tcPr>
          <w:p>
            <w:pPr>
              <w:ind w:left="800"/>
              <w:spacing w:after="0"/>
              <w:rPr>
                <w:sz w:val="20"/>
                <w:szCs w:val="20"/>
                <w:color w:val="auto"/>
              </w:rPr>
            </w:pPr>
            <w:r>
              <w:rPr>
                <w:rFonts w:ascii="Arial" w:cs="Arial" w:eastAsia="Arial" w:hAnsi="Arial"/>
                <w:sz w:val="16"/>
                <w:szCs w:val="16"/>
                <w:b w:val="1"/>
                <w:bCs w:val="1"/>
                <w:color w:val="auto"/>
              </w:rPr>
              <w:t>Valuation technique</w:t>
            </w:r>
          </w:p>
        </w:tc>
      </w:tr>
      <w:tr>
        <w:trPr>
          <w:trHeight w:val="195"/>
        </w:trPr>
        <w:tc>
          <w:tcPr>
            <w:tcW w:w="3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178,187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178,187</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Market approach</w:t>
            </w:r>
          </w:p>
        </w:tc>
      </w:t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65,871</w:t>
            </w:r>
          </w:p>
        </w:tc>
        <w:tc>
          <w:tcPr>
            <w:tcW w:w="2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65,871</w:t>
            </w:r>
          </w:p>
        </w:tc>
        <w:tc>
          <w:tcPr>
            <w:tcW w:w="2980" w:type="dxa"/>
            <w:vAlign w:val="bottom"/>
          </w:tcPr>
          <w:p>
            <w:pPr>
              <w:spacing w:after="0"/>
              <w:rPr>
                <w:sz w:val="20"/>
                <w:szCs w:val="20"/>
                <w:color w:val="auto"/>
              </w:rPr>
            </w:pPr>
            <w:r>
              <w:rPr>
                <w:rFonts w:ascii="Arial" w:cs="Arial" w:eastAsia="Arial" w:hAnsi="Arial"/>
                <w:sz w:val="16"/>
                <w:szCs w:val="16"/>
                <w:color w:val="auto"/>
              </w:rPr>
              <w:t>Market approach</w:t>
            </w: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Market approach</w:t>
            </w:r>
          </w:p>
        </w:tc>
      </w:tr>
      <w:tr>
        <w:trPr>
          <w:trHeight w:val="24"/>
        </w:trPr>
        <w:tc>
          <w:tcPr>
            <w:tcW w:w="3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980" w:type="dxa"/>
            <w:vAlign w:val="bottom"/>
            <w:shd w:val="clear" w:color="auto" w:fill="CCEEFF"/>
          </w:tcPr>
          <w:p>
            <w:pPr>
              <w:spacing w:after="0"/>
              <w:rPr>
                <w:sz w:val="2"/>
                <w:szCs w:val="2"/>
                <w:color w:val="auto"/>
              </w:rPr>
            </w:pPr>
          </w:p>
        </w:tc>
      </w:tr>
      <w:tr>
        <w:trPr>
          <w:trHeight w:val="195"/>
        </w:trPr>
        <w:tc>
          <w:tcPr>
            <w:tcW w:w="31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245,587</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245,587</w:t>
            </w:r>
          </w:p>
        </w:tc>
        <w:tc>
          <w:tcPr>
            <w:tcW w:w="2980" w:type="dxa"/>
            <w:vAlign w:val="bottom"/>
          </w:tcPr>
          <w:p>
            <w:pPr>
              <w:spacing w:after="0"/>
              <w:rPr>
                <w:sz w:val="16"/>
                <w:szCs w:val="16"/>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Derivative liability(1)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9,729</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9,729</w:t>
            </w:r>
          </w:p>
        </w:tc>
        <w:tc>
          <w:tcPr>
            <w:tcW w:w="2980" w:type="dxa"/>
            <w:vAlign w:val="bottom"/>
          </w:tcPr>
          <w:p>
            <w:pPr>
              <w:spacing w:after="0"/>
              <w:rPr>
                <w:sz w:val="20"/>
                <w:szCs w:val="20"/>
                <w:color w:val="auto"/>
              </w:rPr>
            </w:pPr>
            <w:r>
              <w:rPr>
                <w:rFonts w:ascii="Arial" w:cs="Arial" w:eastAsia="Arial" w:hAnsi="Arial"/>
                <w:sz w:val="16"/>
                <w:szCs w:val="16"/>
                <w:color w:val="auto"/>
              </w:rPr>
              <w:t>Income approach</w:t>
            </w: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Equity agreement(2)</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16,904</w:t>
            </w:r>
          </w:p>
        </w:tc>
        <w:tc>
          <w:tcPr>
            <w:tcW w:w="24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16,904</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r>
      <w:tr>
        <w:trPr>
          <w:trHeight w:val="24"/>
        </w:trPr>
        <w:tc>
          <w:tcPr>
            <w:tcW w:w="3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980" w:type="dxa"/>
            <w:vAlign w:val="bottom"/>
            <w:shd w:val="clear" w:color="auto" w:fill="CCEEFF"/>
          </w:tcPr>
          <w:p>
            <w:pPr>
              <w:spacing w:after="0"/>
              <w:rPr>
                <w:sz w:val="2"/>
                <w:szCs w:val="2"/>
                <w:color w:val="auto"/>
              </w:rPr>
            </w:pPr>
          </w:p>
        </w:tc>
      </w:tr>
      <w:tr>
        <w:trPr>
          <w:trHeight w:val="195"/>
        </w:trPr>
        <w:tc>
          <w:tcPr>
            <w:tcW w:w="31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26,633</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26,633</w:t>
            </w:r>
          </w:p>
        </w:tc>
        <w:tc>
          <w:tcPr>
            <w:tcW w:w="2980" w:type="dxa"/>
            <w:vAlign w:val="bottom"/>
          </w:tcPr>
          <w:p>
            <w:pPr>
              <w:spacing w:after="0"/>
              <w:rPr>
                <w:sz w:val="16"/>
                <w:szCs w:val="16"/>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0915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1565" cy="15240"/>
                    </a:xfrm>
                    <a:prstGeom prst="rect">
                      <a:avLst/>
                    </a:prstGeom>
                    <a:noFill/>
                  </pic:spPr>
                </pic:pic>
              </a:graphicData>
            </a:graphic>
          </wp:anchor>
        </w:drawing>
      </w:r>
    </w:p>
    <w:p>
      <w:pPr>
        <w:spacing w:after="0" w:line="211" w:lineRule="exact"/>
        <w:rPr>
          <w:sz w:val="20"/>
          <w:szCs w:val="20"/>
          <w:color w:val="auto"/>
        </w:rPr>
      </w:pPr>
    </w:p>
    <w:p>
      <w:pPr>
        <w:ind w:left="302" w:hanging="302"/>
        <w:spacing w:after="0"/>
        <w:tabs>
          <w:tab w:leader="none" w:pos="3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Consideration due to the sellers of Shannon LNG (as defined in “Note 11. Intangible Assets” below) once first gas is supplied from the terminal to be built.</w:t>
      </w:r>
    </w:p>
    <w:p>
      <w:pPr>
        <w:spacing w:after="0" w:line="22" w:lineRule="exact"/>
        <w:rPr>
          <w:rFonts w:ascii="Arial" w:cs="Arial" w:eastAsia="Arial" w:hAnsi="Arial"/>
          <w:sz w:val="16"/>
          <w:szCs w:val="16"/>
          <w:color w:val="auto"/>
        </w:rPr>
      </w:pPr>
    </w:p>
    <w:p>
      <w:pPr>
        <w:ind w:left="302" w:hanging="302"/>
        <w:spacing w:after="0"/>
        <w:tabs>
          <w:tab w:leader="none" w:pos="30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To be paid in shares at the earlier of agreed-upon date in 2020 or the commencement of significant construction activities specified in the Shannon LNG Agreement.</w:t>
      </w:r>
    </w:p>
    <w:p>
      <w:pPr>
        <w:spacing w:after="0" w:line="224" w:lineRule="exact"/>
        <w:rPr>
          <w:sz w:val="20"/>
          <w:szCs w:val="20"/>
          <w:color w:val="auto"/>
        </w:rPr>
      </w:pPr>
    </w:p>
    <w:p>
      <w:pPr>
        <w:ind w:left="302"/>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December 31, 2018:</w:t>
      </w:r>
    </w:p>
    <w:p>
      <w:pPr>
        <w:spacing w:after="0" w:line="24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2980" w:type="dxa"/>
            <w:vAlign w:val="bottom"/>
            <w:tcBorders>
              <w:bottom w:val="single" w:sz="8" w:color="auto"/>
            </w:tcBorders>
          </w:tcPr>
          <w:p>
            <w:pPr>
              <w:spacing w:after="0"/>
              <w:rPr>
                <w:sz w:val="18"/>
                <w:szCs w:val="18"/>
                <w:color w:val="auto"/>
              </w:rPr>
            </w:pPr>
          </w:p>
        </w:tc>
      </w:tr>
      <w:tr>
        <w:trPr>
          <w:trHeight w:val="199"/>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2980" w:type="dxa"/>
            <w:vAlign w:val="bottom"/>
          </w:tcPr>
          <w:p>
            <w:pPr>
              <w:ind w:left="800"/>
              <w:spacing w:after="0"/>
              <w:rPr>
                <w:sz w:val="20"/>
                <w:szCs w:val="20"/>
                <w:color w:val="auto"/>
              </w:rPr>
            </w:pPr>
            <w:r>
              <w:rPr>
                <w:rFonts w:ascii="Arial" w:cs="Arial" w:eastAsia="Arial" w:hAnsi="Arial"/>
                <w:sz w:val="16"/>
                <w:szCs w:val="16"/>
                <w:b w:val="1"/>
                <w:bCs w:val="1"/>
                <w:color w:val="auto"/>
              </w:rPr>
              <w:t>Valuation technique</w:t>
            </w:r>
          </w:p>
        </w:tc>
      </w:tr>
      <w:tr>
        <w:trPr>
          <w:trHeight w:val="195"/>
        </w:trPr>
        <w:tc>
          <w:tcPr>
            <w:tcW w:w="3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78,301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78,301</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Market approach</w:t>
            </w:r>
          </w:p>
        </w:tc>
      </w:t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22,552</w:t>
            </w:r>
          </w:p>
        </w:tc>
        <w:tc>
          <w:tcPr>
            <w:tcW w:w="2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22,552</w:t>
            </w:r>
          </w:p>
        </w:tc>
        <w:tc>
          <w:tcPr>
            <w:tcW w:w="2980" w:type="dxa"/>
            <w:vAlign w:val="bottom"/>
          </w:tcPr>
          <w:p>
            <w:pPr>
              <w:spacing w:after="0"/>
              <w:rPr>
                <w:sz w:val="20"/>
                <w:szCs w:val="20"/>
                <w:color w:val="auto"/>
              </w:rPr>
            </w:pPr>
            <w:r>
              <w:rPr>
                <w:rFonts w:ascii="Arial" w:cs="Arial" w:eastAsia="Arial" w:hAnsi="Arial"/>
                <w:sz w:val="16"/>
                <w:szCs w:val="16"/>
                <w:color w:val="auto"/>
              </w:rPr>
              <w:t>Market approach</w:t>
            </w: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3,656</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Market approach</w:t>
            </w:r>
          </w:p>
        </w:tc>
      </w:tr>
      <w:tr>
        <w:trPr>
          <w:trHeight w:val="24"/>
        </w:trPr>
        <w:tc>
          <w:tcPr>
            <w:tcW w:w="3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980" w:type="dxa"/>
            <w:vAlign w:val="bottom"/>
            <w:shd w:val="clear" w:color="auto" w:fill="CCEEFF"/>
          </w:tcPr>
          <w:p>
            <w:pPr>
              <w:spacing w:after="0"/>
              <w:rPr>
                <w:sz w:val="2"/>
                <w:szCs w:val="2"/>
                <w:color w:val="auto"/>
              </w:rPr>
            </w:pPr>
          </w:p>
        </w:tc>
      </w:tr>
      <w:tr>
        <w:trPr>
          <w:trHeight w:val="195"/>
        </w:trPr>
        <w:tc>
          <w:tcPr>
            <w:tcW w:w="31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104,509</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104,509</w:t>
            </w:r>
          </w:p>
        </w:tc>
        <w:tc>
          <w:tcPr>
            <w:tcW w:w="2980" w:type="dxa"/>
            <w:vAlign w:val="bottom"/>
          </w:tcPr>
          <w:p>
            <w:pPr>
              <w:spacing w:after="0"/>
              <w:rPr>
                <w:sz w:val="16"/>
                <w:szCs w:val="16"/>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Derivative liability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9,835</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9,835</w:t>
            </w:r>
          </w:p>
        </w:tc>
        <w:tc>
          <w:tcPr>
            <w:tcW w:w="2980" w:type="dxa"/>
            <w:vAlign w:val="bottom"/>
          </w:tcPr>
          <w:p>
            <w:pPr>
              <w:spacing w:after="0"/>
              <w:rPr>
                <w:sz w:val="20"/>
                <w:szCs w:val="20"/>
                <w:color w:val="auto"/>
              </w:rPr>
            </w:pPr>
            <w:r>
              <w:rPr>
                <w:rFonts w:ascii="Arial" w:cs="Arial" w:eastAsia="Arial" w:hAnsi="Arial"/>
                <w:sz w:val="16"/>
                <w:szCs w:val="16"/>
                <w:color w:val="auto"/>
              </w:rPr>
              <w:t>Income approach</w:t>
            </w: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Equity agreement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16,924</w:t>
            </w:r>
          </w:p>
        </w:tc>
        <w:tc>
          <w:tcPr>
            <w:tcW w:w="24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16,924</w:t>
            </w: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r>
      <w:tr>
        <w:trPr>
          <w:trHeight w:val="24"/>
        </w:trPr>
        <w:tc>
          <w:tcPr>
            <w:tcW w:w="3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980" w:type="dxa"/>
            <w:vAlign w:val="bottom"/>
            <w:shd w:val="clear" w:color="auto" w:fill="CCEEFF"/>
          </w:tcPr>
          <w:p>
            <w:pPr>
              <w:spacing w:after="0"/>
              <w:rPr>
                <w:sz w:val="2"/>
                <w:szCs w:val="2"/>
                <w:color w:val="auto"/>
              </w:rPr>
            </w:pPr>
          </w:p>
        </w:tc>
      </w:tr>
      <w:tr>
        <w:trPr>
          <w:trHeight w:val="195"/>
        </w:trPr>
        <w:tc>
          <w:tcPr>
            <w:tcW w:w="31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26,759</w:t>
            </w:r>
          </w:p>
        </w:tc>
        <w:tc>
          <w:tcPr>
            <w:tcW w:w="24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26,759</w:t>
            </w:r>
          </w:p>
        </w:tc>
        <w:tc>
          <w:tcPr>
            <w:tcW w:w="2980" w:type="dxa"/>
            <w:vAlign w:val="bottom"/>
          </w:tcPr>
          <w:p>
            <w:pPr>
              <w:spacing w:after="0"/>
              <w:rPr>
                <w:sz w:val="16"/>
                <w:szCs w:val="16"/>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0" w:lineRule="exact"/>
        <w:rPr>
          <w:sz w:val="20"/>
          <w:szCs w:val="20"/>
          <w:color w:val="auto"/>
        </w:rPr>
      </w:pPr>
    </w:p>
    <w:p>
      <w:pPr>
        <w:ind w:left="302"/>
        <w:spacing w:after="0"/>
        <w:rPr>
          <w:sz w:val="20"/>
          <w:szCs w:val="20"/>
          <w:color w:val="auto"/>
        </w:rPr>
      </w:pPr>
      <w:r>
        <w:rPr>
          <w:rFonts w:ascii="Arial" w:cs="Arial" w:eastAsia="Arial" w:hAnsi="Arial"/>
          <w:sz w:val="18"/>
          <w:szCs w:val="18"/>
          <w:color w:val="auto"/>
        </w:rPr>
        <w:t>The Company estimates fair value of the derivative liability and equity agreement using a discounted cash flows method with discount rates</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based on the average yield curve for bonds with similar credit ratings and matching terms to the discount periods as well as a probability of the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8"/>
          <w:szCs w:val="18"/>
          <w:color w:val="auto"/>
        </w:rPr>
        <w:t>contingent event occurring. The Company recorded a total loss from fair value adjustment on the derivative liability and equity agreement of</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7"/>
          <w:szCs w:val="17"/>
          <w:color w:val="auto"/>
        </w:rPr>
        <w:t>$1,144 and $988 within Other expense, net in the condensed consolidated statements of operations and comprehensive loss for the three and nine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7"/>
          <w:szCs w:val="17"/>
          <w:color w:val="auto"/>
        </w:rPr>
        <w:t>months ended September 30, 2019, respectively. During the three and nine months ended September 30, 2019, the Company had no settlements of</w:t>
      </w:r>
    </w:p>
    <w:p>
      <w:pPr>
        <w:spacing w:after="0" w:line="2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equity agreement or derivative liability or any transfers in or out of Level 3 in the fair value hierarchy.</w:t>
      </w:r>
    </w:p>
    <w:p>
      <w:pPr>
        <w:spacing w:after="0" w:line="193" w:lineRule="exact"/>
        <w:rPr>
          <w:sz w:val="20"/>
          <w:szCs w:val="20"/>
          <w:color w:val="auto"/>
        </w:rPr>
      </w:pPr>
    </w:p>
    <w:p>
      <w:pPr>
        <w:ind w:left="2" w:right="60" w:firstLine="292"/>
        <w:spacing w:after="0" w:line="236" w:lineRule="auto"/>
        <w:rPr>
          <w:sz w:val="20"/>
          <w:szCs w:val="20"/>
          <w:color w:val="auto"/>
        </w:rPr>
      </w:pPr>
      <w:r>
        <w:rPr>
          <w:rFonts w:ascii="Arial" w:cs="Arial" w:eastAsia="Arial" w:hAnsi="Arial"/>
          <w:sz w:val="20"/>
          <w:szCs w:val="20"/>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each of the New Term Loan Facility, Senior Secured Bonds, and Senior Unsecured Bonds (all defined below in “Note 15. Debt”) approximate fair value. The fair value estimate is classified as Level 3 in the fair value hierarchy.</w:t>
      </w:r>
    </w:p>
    <w:p>
      <w:pPr>
        <w:spacing w:after="0" w:line="36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124" w:right="219" w:bottom="1440" w:gutter="0" w:footer="0" w:header="0"/>
        </w:sectPr>
      </w:pPr>
    </w:p>
    <w:bookmarkStart w:id="18" w:name="page19"/>
    <w:bookmarkEnd w:id="18"/>
    <w:tbl>
      <w:tblPr>
        <w:tblLayout w:type="fixed"/>
        <w:tblInd w:w="2" w:type="dxa"/>
        <w:tblCellMar>
          <w:top w:w="0" w:type="dxa"/>
          <w:left w:w="0" w:type="dxa"/>
          <w:bottom w:w="0" w:type="dxa"/>
          <w:right w:w="0" w:type="dxa"/>
        </w:tblCellMar>
      </w:tblPr>
      <w:tr>
        <w:trPr>
          <w:trHeight w:val="149"/>
        </w:trPr>
        <w:tc>
          <w:tcPr>
            <w:tcW w:w="880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6.</w:t>
            </w:r>
          </w:p>
        </w:tc>
        <w:tc>
          <w:tcPr>
            <w:tcW w:w="8660" w:type="dxa"/>
            <w:vAlign w:val="bottom"/>
            <w:gridSpan w:val="2"/>
          </w:tcPr>
          <w:p>
            <w:pPr>
              <w:ind w:left="160"/>
              <w:spacing w:after="0"/>
              <w:rPr>
                <w:sz w:val="20"/>
                <w:szCs w:val="20"/>
                <w:color w:val="auto"/>
              </w:rPr>
            </w:pPr>
            <w:r>
              <w:rPr>
                <w:rFonts w:ascii="Arial" w:cs="Arial" w:eastAsia="Arial" w:hAnsi="Arial"/>
                <w:sz w:val="16"/>
                <w:szCs w:val="16"/>
                <w:b w:val="1"/>
                <w:bCs w:val="1"/>
                <w:color w:val="auto"/>
              </w:rPr>
              <w:t>Restricted cash</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9"/>
        </w:trPr>
        <w:tc>
          <w:tcPr>
            <w:tcW w:w="140" w:type="dxa"/>
            <w:vAlign w:val="bottom"/>
          </w:tcPr>
          <w:p>
            <w:pPr>
              <w:spacing w:after="0"/>
              <w:rPr>
                <w:sz w:val="24"/>
                <w:szCs w:val="24"/>
                <w:color w:val="auto"/>
              </w:rPr>
            </w:pPr>
          </w:p>
        </w:tc>
        <w:tc>
          <w:tcPr>
            <w:tcW w:w="8660" w:type="dxa"/>
            <w:vAlign w:val="bottom"/>
            <w:gridSpan w:val="2"/>
          </w:tcPr>
          <w:p>
            <w:pPr>
              <w:ind w:left="160"/>
              <w:spacing w:after="0"/>
              <w:rPr>
                <w:sz w:val="20"/>
                <w:szCs w:val="20"/>
                <w:color w:val="auto"/>
              </w:rPr>
            </w:pPr>
            <w:r>
              <w:rPr>
                <w:rFonts w:ascii="Arial" w:cs="Arial" w:eastAsia="Arial" w:hAnsi="Arial"/>
                <w:sz w:val="20"/>
                <w:szCs w:val="20"/>
                <w:color w:val="auto"/>
              </w:rPr>
              <w:t>As of September 30, 2019 and December 31, 2018, restricted cash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9"/>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6"/>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5"/>
        </w:trPr>
        <w:tc>
          <w:tcPr>
            <w:tcW w:w="8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Collateral for performance under customer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15,095</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gridSpan w:val="3"/>
          </w:tcPr>
          <w:p>
            <w:pPr>
              <w:spacing w:after="0"/>
              <w:rPr>
                <w:sz w:val="20"/>
                <w:szCs w:val="20"/>
                <w:color w:val="auto"/>
              </w:rPr>
            </w:pPr>
            <w:r>
              <w:rPr>
                <w:rFonts w:ascii="Arial" w:cs="Arial" w:eastAsia="Arial" w:hAnsi="Arial"/>
                <w:sz w:val="16"/>
                <w:szCs w:val="16"/>
                <w:color w:val="auto"/>
              </w:rPr>
              <w:t>Collateral for LNG purchases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927</w:t>
            </w:r>
          </w:p>
        </w:tc>
      </w:tr>
      <w:tr>
        <w:trPr>
          <w:trHeight w:val="195"/>
        </w:trPr>
        <w:tc>
          <w:tcPr>
            <w:tcW w:w="8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Collateral for letters of credit and performance bonds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6,238</w:t>
            </w:r>
          </w:p>
        </w:tc>
      </w:tr>
      <w:tr>
        <w:trPr>
          <w:trHeight w:val="195"/>
        </w:trPr>
        <w:tc>
          <w:tcPr>
            <w:tcW w:w="8800" w:type="dxa"/>
            <w:vAlign w:val="bottom"/>
            <w:gridSpan w:val="3"/>
          </w:tcPr>
          <w:p>
            <w:pPr>
              <w:spacing w:after="0"/>
              <w:rPr>
                <w:sz w:val="20"/>
                <w:szCs w:val="20"/>
                <w:color w:val="auto"/>
              </w:rPr>
            </w:pPr>
            <w:r>
              <w:rPr>
                <w:rFonts w:ascii="Arial" w:cs="Arial" w:eastAsia="Arial" w:hAnsi="Arial"/>
                <w:sz w:val="16"/>
                <w:szCs w:val="16"/>
                <w:color w:val="auto"/>
              </w:rPr>
              <w:t>Debt service reserve account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8,299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restricted cash</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w:t>
            </w:r>
          </w:p>
        </w:tc>
      </w:tr>
      <w:tr>
        <w:trPr>
          <w:trHeight w:val="24"/>
        </w:trPr>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8800" w:type="dxa"/>
            <w:vAlign w:val="bottom"/>
            <w:gridSpan w:val="3"/>
          </w:tcPr>
          <w:p>
            <w:pPr>
              <w:spacing w:after="0"/>
              <w:rPr>
                <w:sz w:val="20"/>
                <w:szCs w:val="20"/>
                <w:color w:val="auto"/>
              </w:rPr>
            </w:pPr>
            <w:r>
              <w:rPr>
                <w:rFonts w:ascii="Arial" w:cs="Arial" w:eastAsia="Arial" w:hAnsi="Arial"/>
                <w:sz w:val="16"/>
                <w:szCs w:val="16"/>
                <w:color w:val="auto"/>
              </w:rPr>
              <w:t>Total restricted cash</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65,871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22,552</w:t>
            </w:r>
          </w:p>
        </w:tc>
      </w:tr>
      <w:tr>
        <w:trPr>
          <w:trHeight w:val="20"/>
        </w:trPr>
        <w:tc>
          <w:tcPr>
            <w:tcW w:w="900" w:type="dxa"/>
            <w:vAlign w:val="bottom"/>
            <w:gridSpan w:val="2"/>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8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5"/>
                <w:szCs w:val="15"/>
                <w:color w:val="auto"/>
              </w:rPr>
            </w:pPr>
          </w:p>
        </w:tc>
      </w:tr>
      <w:tr>
        <w:trPr>
          <w:trHeight w:val="207"/>
        </w:trPr>
        <w:tc>
          <w:tcPr>
            <w:tcW w:w="8800" w:type="dxa"/>
            <w:vAlign w:val="bottom"/>
            <w:gridSpan w:val="3"/>
          </w:tcPr>
          <w:p>
            <w:pPr>
              <w:spacing w:after="0"/>
              <w:rPr>
                <w:sz w:val="20"/>
                <w:szCs w:val="20"/>
                <w:color w:val="auto"/>
              </w:rPr>
            </w:pPr>
            <w:r>
              <w:rPr>
                <w:rFonts w:ascii="Arial" w:cs="Arial" w:eastAsia="Arial" w:hAnsi="Arial"/>
                <w:sz w:val="16"/>
                <w:szCs w:val="16"/>
                <w:color w:val="auto"/>
              </w:rPr>
              <w:t>Non-current restricted cash</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22,522</w:t>
            </w:r>
          </w:p>
        </w:tc>
      </w:tr>
      <w:tr>
        <w:trPr>
          <w:trHeight w:val="402"/>
        </w:trPr>
        <w:tc>
          <w:tcPr>
            <w:tcW w:w="140" w:type="dxa"/>
            <w:vAlign w:val="bottom"/>
          </w:tcPr>
          <w:p>
            <w:pPr>
              <w:spacing w:after="0"/>
              <w:rPr>
                <w:sz w:val="20"/>
                <w:szCs w:val="20"/>
                <w:color w:val="auto"/>
              </w:rPr>
            </w:pPr>
            <w:r>
              <w:rPr>
                <w:rFonts w:ascii="Arial" w:cs="Arial" w:eastAsia="Arial" w:hAnsi="Arial"/>
                <w:sz w:val="16"/>
                <w:szCs w:val="16"/>
                <w:b w:val="1"/>
                <w:bCs w:val="1"/>
                <w:color w:val="auto"/>
                <w:w w:val="89"/>
              </w:rPr>
              <w:t>7.</w:t>
            </w:r>
          </w:p>
        </w:tc>
        <w:tc>
          <w:tcPr>
            <w:tcW w:w="86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Inventory</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9"/>
        </w:trPr>
        <w:tc>
          <w:tcPr>
            <w:tcW w:w="140" w:type="dxa"/>
            <w:vAlign w:val="bottom"/>
          </w:tcPr>
          <w:p>
            <w:pPr>
              <w:spacing w:after="0"/>
              <w:rPr>
                <w:sz w:val="24"/>
                <w:szCs w:val="24"/>
                <w:color w:val="auto"/>
              </w:rPr>
            </w:pPr>
          </w:p>
        </w:tc>
        <w:tc>
          <w:tcPr>
            <w:tcW w:w="8660" w:type="dxa"/>
            <w:vAlign w:val="bottom"/>
            <w:gridSpan w:val="2"/>
          </w:tcPr>
          <w:p>
            <w:pPr>
              <w:ind w:left="160"/>
              <w:spacing w:after="0"/>
              <w:rPr>
                <w:sz w:val="20"/>
                <w:szCs w:val="20"/>
                <w:color w:val="auto"/>
              </w:rPr>
            </w:pPr>
            <w:r>
              <w:rPr>
                <w:rFonts w:ascii="Arial" w:cs="Arial" w:eastAsia="Arial" w:hAnsi="Arial"/>
                <w:sz w:val="20"/>
                <w:szCs w:val="20"/>
                <w:color w:val="auto"/>
              </w:rPr>
              <w:t>As of September 30, 2019 and December 31, 2018, inventory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9"/>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6"/>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5"/>
        </w:trPr>
        <w:tc>
          <w:tcPr>
            <w:tcW w:w="8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LNG and natural gas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27,879</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20" w:type="dxa"/>
            <w:vAlign w:val="bottom"/>
            <w:shd w:val="clear" w:color="auto" w:fill="CCEEFF"/>
          </w:tcPr>
          <w:p>
            <w:pPr>
              <w:spacing w:after="0"/>
              <w:rPr>
                <w:sz w:val="16"/>
                <w:szCs w:val="16"/>
                <w:color w:val="auto"/>
              </w:rPr>
            </w:pPr>
          </w:p>
        </w:tc>
      </w:tr>
      <w:tr>
        <w:trPr>
          <w:trHeight w:val="199"/>
        </w:trPr>
        <w:tc>
          <w:tcPr>
            <w:tcW w:w="8800" w:type="dxa"/>
            <w:vAlign w:val="bottom"/>
            <w:gridSpan w:val="3"/>
          </w:tcPr>
          <w:p>
            <w:pPr>
              <w:spacing w:after="0"/>
              <w:rPr>
                <w:sz w:val="20"/>
                <w:szCs w:val="20"/>
                <w:color w:val="auto"/>
              </w:rPr>
            </w:pPr>
            <w:r>
              <w:rPr>
                <w:rFonts w:ascii="Arial" w:cs="Arial" w:eastAsia="Arial" w:hAnsi="Arial"/>
                <w:sz w:val="16"/>
                <w:szCs w:val="16"/>
                <w:color w:val="auto"/>
              </w:rPr>
              <w:t>Materials, supplies and other</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r>
      <w:tr>
        <w:trPr>
          <w:trHeight w:val="235"/>
        </w:trPr>
        <w:tc>
          <w:tcPr>
            <w:tcW w:w="14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ind w:left="2" w:right="260" w:firstLine="292"/>
        <w:spacing w:after="0" w:line="236" w:lineRule="auto"/>
        <w:rPr>
          <w:sz w:val="20"/>
          <w:szCs w:val="20"/>
          <w:color w:val="auto"/>
        </w:rPr>
      </w:pPr>
      <w:r>
        <w:rPr>
          <w:rFonts w:ascii="Arial" w:cs="Arial" w:eastAsia="Arial" w:hAnsi="Arial"/>
          <w:sz w:val="20"/>
          <w:szCs w:val="20"/>
          <w:color w:val="auto"/>
        </w:rPr>
        <w:t>Inventory is adjusted to the lower of cost or net realizable value each quarter. Changes in the value of inventory are recorded within Cost of sales in the condensed consolidated statements of operations and comprehensive loss, and the Company recorded an adjustment to the value of inventory of $251 during both the three and nine months ended September 30, 2019. No adjustments were recorded during the three and nine months ended September 30, 2018.</w:t>
      </w:r>
    </w:p>
    <w:p>
      <w:pPr>
        <w:spacing w:after="0" w:line="195" w:lineRule="exact"/>
        <w:rPr>
          <w:sz w:val="20"/>
          <w:szCs w:val="20"/>
          <w:color w:val="auto"/>
        </w:rPr>
      </w:pPr>
    </w:p>
    <w:p>
      <w:pPr>
        <w:ind w:left="302" w:hanging="302"/>
        <w:spacing w:after="0"/>
        <w:tabs>
          <w:tab w:leader="none" w:pos="30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in equity securities</w:t>
      </w:r>
    </w:p>
    <w:p>
      <w:pPr>
        <w:spacing w:after="0" w:line="228" w:lineRule="exact"/>
        <w:rPr>
          <w:sz w:val="20"/>
          <w:szCs w:val="20"/>
          <w:color w:val="auto"/>
        </w:rPr>
      </w:pPr>
    </w:p>
    <w:p>
      <w:pPr>
        <w:ind w:left="2" w:right="220" w:firstLine="292"/>
        <w:spacing w:after="0" w:line="247" w:lineRule="auto"/>
        <w:rPr>
          <w:sz w:val="20"/>
          <w:szCs w:val="20"/>
          <w:color w:val="auto"/>
        </w:rPr>
      </w:pPr>
      <w:r>
        <w:rPr>
          <w:rFonts w:ascii="Arial" w:cs="Arial" w:eastAsia="Arial" w:hAnsi="Arial"/>
          <w:sz w:val="20"/>
          <w:szCs w:val="20"/>
          <w:color w:val="auto"/>
        </w:rPr>
        <w:t>The Company has invested in equity securities of an international oil and gas drilling contractor. The following tables present the number of shares, cost and fair value of the investment:</w:t>
      </w:r>
    </w:p>
    <w:p>
      <w:pPr>
        <w:spacing w:after="0" w:line="187"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2019</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9"/>
        </w:trPr>
        <w:tc>
          <w:tcPr>
            <w:tcW w:w="7440" w:type="dxa"/>
            <w:vAlign w:val="bottom"/>
          </w:tcPr>
          <w:p>
            <w:pPr>
              <w:spacing w:after="0"/>
              <w:rPr>
                <w:sz w:val="15"/>
                <w:szCs w:val="15"/>
                <w:color w:val="auto"/>
              </w:rPr>
            </w:pPr>
          </w:p>
        </w:tc>
        <w:tc>
          <w:tcPr>
            <w:tcW w:w="1220" w:type="dxa"/>
            <w:vAlign w:val="bottom"/>
            <w:gridSpan w:val="2"/>
          </w:tcPr>
          <w:p>
            <w:pPr>
              <w:jc w:val="center"/>
              <w:ind w:right="60"/>
              <w:spacing w:after="0" w:line="178" w:lineRule="exact"/>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74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195"/>
        </w:trPr>
        <w:tc>
          <w:tcPr>
            <w:tcW w:w="7440" w:type="dxa"/>
            <w:vAlign w:val="bottom"/>
          </w:tcPr>
          <w:p>
            <w:pPr>
              <w:spacing w:after="0"/>
              <w:rPr>
                <w:sz w:val="16"/>
                <w:szCs w:val="16"/>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6"/>
                <w:szCs w:val="16"/>
                <w:b w:val="1"/>
                <w:bCs w:val="1"/>
                <w:color w:val="auto"/>
                <w:w w:val="89"/>
              </w:rPr>
              <w:t>(in thousands of U.S. dollars except shares)</w:t>
            </w:r>
          </w:p>
        </w:tc>
      </w:tr>
      <w:tr>
        <w:trPr>
          <w:trHeight w:val="195"/>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295,256</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3,667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1,529</w:t>
            </w:r>
          </w:p>
        </w:tc>
      </w:tr>
      <w:tr>
        <w:trPr>
          <w:trHeight w:val="419"/>
        </w:trPr>
        <w:tc>
          <w:tcPr>
            <w:tcW w:w="7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31, 2018</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9"/>
        </w:trPr>
        <w:tc>
          <w:tcPr>
            <w:tcW w:w="7440" w:type="dxa"/>
            <w:vAlign w:val="bottom"/>
          </w:tcPr>
          <w:p>
            <w:pPr>
              <w:spacing w:after="0"/>
              <w:rPr>
                <w:sz w:val="15"/>
                <w:szCs w:val="15"/>
                <w:color w:val="auto"/>
              </w:rPr>
            </w:pPr>
          </w:p>
        </w:tc>
        <w:tc>
          <w:tcPr>
            <w:tcW w:w="1220" w:type="dxa"/>
            <w:vAlign w:val="bottom"/>
            <w:gridSpan w:val="2"/>
          </w:tcPr>
          <w:p>
            <w:pPr>
              <w:jc w:val="center"/>
              <w:ind w:right="60"/>
              <w:spacing w:after="0" w:line="178" w:lineRule="exact"/>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74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195"/>
        </w:trPr>
        <w:tc>
          <w:tcPr>
            <w:tcW w:w="7440" w:type="dxa"/>
            <w:vAlign w:val="bottom"/>
            <w:shd w:val="clear" w:color="auto" w:fill="CCEEFF"/>
          </w:tcPr>
          <w:p>
            <w:pPr>
              <w:spacing w:after="0"/>
              <w:rPr>
                <w:sz w:val="16"/>
                <w:szCs w:val="16"/>
                <w:color w:val="auto"/>
              </w:rPr>
            </w:pPr>
          </w:p>
        </w:tc>
        <w:tc>
          <w:tcPr>
            <w:tcW w:w="4000" w:type="dxa"/>
            <w:vAlign w:val="bottom"/>
            <w:gridSpan w:val="10"/>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9"/>
              </w:rPr>
              <w:t>(in thousands of U.S. dollars except shares)</w:t>
            </w:r>
          </w:p>
        </w:tc>
      </w:tr>
      <w:tr>
        <w:trPr>
          <w:trHeight w:val="207"/>
        </w:trPr>
        <w:tc>
          <w:tcPr>
            <w:tcW w:w="7440" w:type="dxa"/>
            <w:vAlign w:val="bottom"/>
          </w:tcPr>
          <w:p>
            <w:pPr>
              <w:spacing w:after="0"/>
              <w:rPr>
                <w:sz w:val="20"/>
                <w:szCs w:val="20"/>
                <w:color w:val="auto"/>
              </w:rPr>
            </w:pPr>
            <w:r>
              <w:rPr>
                <w:rFonts w:ascii="Arial" w:cs="Arial" w:eastAsia="Arial" w:hAnsi="Arial"/>
                <w:sz w:val="16"/>
                <w:szCs w:val="16"/>
                <w:color w:val="auto"/>
              </w:rPr>
              <w:t>Investment in equity securities</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1,476,280</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3,667</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10915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1565" cy="15240"/>
                    </a:xfrm>
                    <a:prstGeom prst="rect">
                      <a:avLst/>
                    </a:prstGeom>
                    <a:noFill/>
                  </pic:spPr>
                </pic:pic>
              </a:graphicData>
            </a:graphic>
          </wp:anchor>
        </w:drawing>
      </w:r>
    </w:p>
    <w:p>
      <w:pPr>
        <w:spacing w:after="0" w:line="200" w:lineRule="exact"/>
        <w:rPr>
          <w:sz w:val="20"/>
          <w:szCs w:val="20"/>
          <w:color w:val="auto"/>
        </w:rPr>
      </w:pPr>
    </w:p>
    <w:p>
      <w:pPr>
        <w:ind w:left="2"/>
        <w:spacing w:after="0"/>
        <w:rPr>
          <w:sz w:val="20"/>
          <w:szCs w:val="20"/>
          <w:color w:val="auto"/>
        </w:rPr>
      </w:pPr>
      <w:r>
        <w:rPr>
          <w:rFonts w:ascii="Arial" w:cs="Arial" w:eastAsia="Arial" w:hAnsi="Arial"/>
          <w:sz w:val="16"/>
          <w:szCs w:val="16"/>
          <w:color w:val="auto"/>
        </w:rPr>
        <w:t>(1) During the nine months ended September 30, 2019, the investee effected a 5-for-1 reverse stock split.</w:t>
      </w:r>
    </w:p>
    <w:p>
      <w:pPr>
        <w:spacing w:after="0" w:line="224"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movement of the equity investment during the nine months ended September 30, 2019 is summarized below:</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September 30,</w:t>
            </w:r>
          </w:p>
        </w:tc>
      </w:tr>
      <w:tr>
        <w:trPr>
          <w:trHeight w:val="216"/>
        </w:trPr>
        <w:tc>
          <w:tcPr>
            <w:tcW w:w="35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66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20" w:type="dxa"/>
            <w:vAlign w:val="bottom"/>
            <w:shd w:val="clear" w:color="auto" w:fill="CCEEFF"/>
          </w:tcPr>
          <w:p>
            <w:pPr>
              <w:spacing w:after="0"/>
              <w:rPr>
                <w:sz w:val="16"/>
                <w:szCs w:val="16"/>
                <w:color w:val="auto"/>
              </w:rPr>
            </w:pPr>
          </w:p>
        </w:tc>
      </w:tr>
      <w:tr>
        <w:trPr>
          <w:trHeight w:val="199"/>
        </w:trPr>
        <w:tc>
          <w:tcPr>
            <w:tcW w:w="3540" w:type="dxa"/>
            <w:vAlign w:val="bottom"/>
          </w:tcPr>
          <w:p>
            <w:pPr>
              <w:spacing w:after="0"/>
              <w:rPr>
                <w:sz w:val="20"/>
                <w:szCs w:val="20"/>
                <w:color w:val="auto"/>
              </w:rPr>
            </w:pPr>
            <w:r>
              <w:rPr>
                <w:rFonts w:ascii="Arial" w:cs="Arial" w:eastAsia="Arial" w:hAnsi="Arial"/>
                <w:sz w:val="16"/>
                <w:szCs w:val="16"/>
                <w:color w:val="auto"/>
              </w:rPr>
              <w:t>Unrealized gain/(loss)</w:t>
            </w:r>
          </w:p>
        </w:tc>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(2,127)</w:t>
            </w:r>
          </w:p>
        </w:tc>
      </w:tr>
      <w:tr>
        <w:trPr>
          <w:trHeight w:val="235"/>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 of period</w:t>
            </w:r>
          </w:p>
        </w:tc>
        <w:tc>
          <w:tcPr>
            <w:tcW w:w="6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526"/>
        </w:trPr>
        <w:tc>
          <w:tcPr>
            <w:tcW w:w="3540" w:type="dxa"/>
            <w:vAlign w:val="bottom"/>
          </w:tcPr>
          <w:p>
            <w:pPr>
              <w:spacing w:after="0"/>
              <w:rPr>
                <w:sz w:val="24"/>
                <w:szCs w:val="24"/>
                <w:color w:val="auto"/>
              </w:rPr>
            </w:pPr>
          </w:p>
        </w:tc>
        <w:tc>
          <w:tcPr>
            <w:tcW w:w="6640" w:type="dxa"/>
            <w:vAlign w:val="bottom"/>
          </w:tcPr>
          <w:p>
            <w:pPr>
              <w:jc w:val="right"/>
              <w:ind w:right="4335"/>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
        </w:trPr>
        <w:tc>
          <w:tcPr>
            <w:tcW w:w="3540" w:type="dxa"/>
            <w:vAlign w:val="bottom"/>
            <w:tcBorders>
              <w:bottom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442"/>
          </w:cols>
          <w:pgMar w:left="238" w:top="112" w:right="21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both"/>
        <w:ind w:right="480" w:firstLine="292"/>
        <w:spacing w:after="0" w:line="247" w:lineRule="auto"/>
        <w:rPr>
          <w:sz w:val="20"/>
          <w:szCs w:val="20"/>
          <w:color w:val="auto"/>
        </w:rPr>
      </w:pPr>
      <w:r>
        <w:rPr>
          <w:rFonts w:ascii="Arial" w:cs="Arial" w:eastAsia="Arial" w:hAnsi="Arial"/>
          <w:sz w:val="20"/>
          <w:szCs w:val="20"/>
          <w:color w:val="auto"/>
        </w:rPr>
        <w:t>The unrealized loss of $1,325 and $2,127 for the three and nine months ended September 30, 2019, respectively is included within Other expense, net in the condensed consolidated statements of operations and comprehensive loss.</w:t>
      </w:r>
    </w:p>
    <w:p>
      <w:pPr>
        <w:spacing w:after="0" w:line="18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9.</w:t>
        <w:tab/>
        <w:t>Construction in progress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Company’s construction in progress activity during the nine months ended September 30, 2019 is detailed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18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September 30,</w:t>
            </w:r>
          </w:p>
        </w:tc>
      </w:tr>
      <w:tr>
        <w:trPr>
          <w:trHeight w:val="216"/>
        </w:trPr>
        <w:tc>
          <w:tcPr>
            <w:tcW w:w="10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5"/>
        </w:trPr>
        <w:tc>
          <w:tcPr>
            <w:tcW w:w="1018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254,700</w:t>
            </w:r>
          </w:p>
        </w:tc>
        <w:tc>
          <w:tcPr>
            <w:tcW w:w="120" w:type="dxa"/>
            <w:vAlign w:val="bottom"/>
            <w:shd w:val="clear" w:color="auto" w:fill="CCEEFF"/>
          </w:tcPr>
          <w:p>
            <w:pPr>
              <w:spacing w:after="0"/>
              <w:rPr>
                <w:sz w:val="16"/>
                <w:szCs w:val="16"/>
                <w:color w:val="auto"/>
              </w:rPr>
            </w:pPr>
          </w:p>
        </w:tc>
      </w:tr>
      <w:tr>
        <w:trPr>
          <w:trHeight w:val="195"/>
        </w:trPr>
        <w:tc>
          <w:tcPr>
            <w:tcW w:w="10180" w:type="dxa"/>
            <w:vAlign w:val="bottom"/>
          </w:tcPr>
          <w:p>
            <w:pPr>
              <w:ind w:left="14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241,550</w:t>
            </w:r>
          </w:p>
        </w:tc>
        <w:tc>
          <w:tcPr>
            <w:tcW w:w="120" w:type="dxa"/>
            <w:vAlign w:val="bottom"/>
          </w:tcPr>
          <w:p>
            <w:pPr>
              <w:spacing w:after="0"/>
              <w:rPr>
                <w:sz w:val="16"/>
                <w:szCs w:val="16"/>
                <w:color w:val="auto"/>
              </w:rPr>
            </w:pPr>
          </w:p>
        </w:tc>
      </w:tr>
      <w:tr>
        <w:trPr>
          <w:trHeight w:val="199"/>
        </w:trPr>
        <w:tc>
          <w:tcPr>
            <w:tcW w:w="10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Transferred to property, plant and equipment, net (Note 10)</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(101,734)</w:t>
            </w:r>
          </w:p>
        </w:tc>
      </w:tr>
      <w:tr>
        <w:trPr>
          <w:trHeight w:val="195"/>
        </w:trPr>
        <w:tc>
          <w:tcPr>
            <w:tcW w:w="10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394,516</w:t>
            </w:r>
          </w:p>
        </w:tc>
        <w:tc>
          <w:tcPr>
            <w:tcW w:w="120" w:type="dxa"/>
            <w:vAlign w:val="bottom"/>
            <w:tcBorders>
              <w:top w:val="single" w:sz="8" w:color="CCEEFF"/>
            </w:tcBorders>
          </w:tcPr>
          <w:p>
            <w:pPr>
              <w:spacing w:after="0"/>
              <w:rPr>
                <w:sz w:val="16"/>
                <w:szCs w:val="16"/>
                <w:color w:val="auto"/>
              </w:rPr>
            </w:pPr>
          </w:p>
        </w:tc>
      </w:tr>
      <w:tr>
        <w:trPr>
          <w:trHeight w:val="20"/>
        </w:trPr>
        <w:tc>
          <w:tcPr>
            <w:tcW w:w="10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480" w:firstLine="292"/>
        <w:spacing w:after="0" w:line="278" w:lineRule="auto"/>
        <w:rPr>
          <w:sz w:val="20"/>
          <w:szCs w:val="20"/>
          <w:color w:val="auto"/>
        </w:rPr>
      </w:pPr>
      <w:r>
        <w:rPr>
          <w:rFonts w:ascii="Arial" w:cs="Arial" w:eastAsia="Arial" w:hAnsi="Arial"/>
          <w:sz w:val="18"/>
          <w:szCs w:val="18"/>
          <w:color w:val="auto"/>
        </w:rPr>
        <w:t>Interest expense of $7,269 and $236 was capitalized for the three months ended September 30, 2019 and 2018, respectively, inclusive of amortized debt issuance costs disclosed in “Note 15. Debt.” Interest expense of $16,380 and $236 was capitalized for the nine months ended September 30, 2019 and 2018, respectively, inclusive of amortized debt issuance costs disclosed in “Note 15. Debt.”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Property, plant and equipment, net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September 30, 2019 and December 31, 2018 the Company’s property, plant and equipment, net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6"/>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LNG liquefaction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67,532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65,631</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Gas terminals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52,132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Gas pipelines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ISO containers and other equipment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15,873</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12,779</w:t>
            </w: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7,229</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1,178</w:t>
            </w: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Computer equipment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741</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(9,391)</w:t>
            </w:r>
          </w:p>
        </w:tc>
      </w:tr>
      <w:tr>
        <w:trPr>
          <w:trHeight w:val="24"/>
        </w:trPr>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Total property, plant and equipment, net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193,577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firstLine="292"/>
        <w:spacing w:after="0" w:line="270" w:lineRule="auto"/>
        <w:rPr>
          <w:sz w:val="20"/>
          <w:szCs w:val="20"/>
          <w:color w:val="auto"/>
        </w:rPr>
      </w:pPr>
      <w:r>
        <w:rPr>
          <w:rFonts w:ascii="Arial" w:cs="Arial" w:eastAsia="Arial" w:hAnsi="Arial"/>
          <w:sz w:val="18"/>
          <w:szCs w:val="18"/>
          <w:color w:val="auto"/>
        </w:rPr>
        <w:t>Depreciation for the three months ended September 30, 2019 and 2018 totaled $1,837 and $1,009, respectively, of which $161 and $179 is respectively included within Cost of sales in the condensed consolidated statements of operations and comprehensive loss. Depreciation for the nine months ended September 30, 2019 and 2018 totaled $5,400 and $2,776, respectively, of which $466 and $518 is respectively included within Cost of sales in the condensed consolidated statements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Intangible assets</w:t>
      </w:r>
    </w:p>
    <w:p>
      <w:pPr>
        <w:spacing w:after="0" w:line="228" w:lineRule="exact"/>
        <w:rPr>
          <w:sz w:val="20"/>
          <w:szCs w:val="20"/>
          <w:color w:val="auto"/>
        </w:rPr>
      </w:pPr>
    </w:p>
    <w:p>
      <w:pPr>
        <w:ind w:right="280" w:firstLine="292"/>
        <w:spacing w:after="0" w:line="270" w:lineRule="auto"/>
        <w:rPr>
          <w:sz w:val="20"/>
          <w:szCs w:val="20"/>
          <w:color w:val="auto"/>
        </w:rPr>
      </w:pPr>
      <w:r>
        <w:rPr>
          <w:rFonts w:ascii="Arial" w:cs="Arial" w:eastAsia="Arial" w:hAnsi="Arial"/>
          <w:sz w:val="18"/>
          <w:szCs w:val="18"/>
          <w:color w:val="auto"/>
        </w:rPr>
        <w:t>On November 9, 2018, the Company entered into an agreement to acquire the entire issued share capital of Shannon LNG Limited and Shannon LNG Energy Limited (together, “Shannon LNG”). Shannon LNG was previously formed to construct and operate a terminal, pipeline and related infrastructure in order to deliver natural gas to downstream customers in Ireland. In connection with the acquisition, the Company recognized intangible assets related to favorable lease agreements and permits.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the composition of intangible assets as of September 30, 2019 and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89"/>
              </w:rPr>
              <w:t>September 30, 2019</w:t>
            </w:r>
          </w:p>
        </w:tc>
        <w:tc>
          <w:tcPr>
            <w:tcW w:w="2680" w:type="dxa"/>
            <w:vAlign w:val="bottom"/>
            <w:tcBorders>
              <w:bottom w:val="single" w:sz="8" w:color="auto"/>
            </w:tcBorders>
          </w:tcPr>
          <w:p>
            <w:pPr>
              <w:spacing w:after="0"/>
              <w:rPr>
                <w:sz w:val="18"/>
                <w:szCs w:val="18"/>
                <w:color w:val="auto"/>
              </w:rPr>
            </w:pPr>
          </w:p>
        </w:tc>
      </w:tr>
      <w:tr>
        <w:trPr>
          <w:trHeight w:val="179"/>
        </w:trPr>
        <w:tc>
          <w:tcPr>
            <w:tcW w:w="3780" w:type="dxa"/>
            <w:vAlign w:val="bottom"/>
          </w:tcPr>
          <w:p>
            <w:pPr>
              <w:spacing w:after="0"/>
              <w:rPr>
                <w:sz w:val="15"/>
                <w:szCs w:val="15"/>
                <w:color w:val="auto"/>
              </w:rPr>
            </w:pPr>
          </w:p>
        </w:tc>
        <w:tc>
          <w:tcPr>
            <w:tcW w:w="11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3"/>
          </w:tcPr>
          <w:p>
            <w:pPr>
              <w:jc w:val="center"/>
              <w:ind w:right="1180"/>
              <w:spacing w:after="0" w:line="178" w:lineRule="exact"/>
              <w:rPr>
                <w:sz w:val="20"/>
                <w:szCs w:val="20"/>
                <w:color w:val="auto"/>
              </w:rPr>
            </w:pPr>
            <w:r>
              <w:rPr>
                <w:rFonts w:ascii="Arial" w:cs="Arial" w:eastAsia="Arial" w:hAnsi="Arial"/>
                <w:sz w:val="16"/>
                <w:szCs w:val="16"/>
                <w:b w:val="1"/>
                <w:bCs w:val="1"/>
                <w:color w:val="auto"/>
                <w:w w:val="95"/>
              </w:rPr>
              <w:t>Net Carrying</w:t>
            </w:r>
          </w:p>
        </w:tc>
        <w:tc>
          <w:tcPr>
            <w:tcW w:w="2680" w:type="dxa"/>
            <w:vAlign w:val="bottom"/>
          </w:tcPr>
          <w:p>
            <w:pPr>
              <w:spacing w:after="0"/>
              <w:rPr>
                <w:sz w:val="15"/>
                <w:szCs w:val="15"/>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w w:val="92"/>
              </w:rPr>
              <w:t>Amount</w:t>
            </w:r>
          </w:p>
        </w:tc>
        <w:tc>
          <w:tcPr>
            <w:tcW w:w="2680" w:type="dxa"/>
            <w:vAlign w:val="bottom"/>
          </w:tcPr>
          <w:p>
            <w:pPr>
              <w:jc w:val="center"/>
              <w:ind w:right="919"/>
              <w:spacing w:after="0"/>
              <w:rPr>
                <w:sz w:val="20"/>
                <w:szCs w:val="20"/>
                <w:color w:val="auto"/>
              </w:rPr>
            </w:pPr>
            <w:r>
              <w:rPr>
                <w:rFonts w:ascii="Arial" w:cs="Arial" w:eastAsia="Arial" w:hAnsi="Arial"/>
                <w:sz w:val="16"/>
                <w:szCs w:val="16"/>
                <w:b w:val="1"/>
                <w:bCs w:val="1"/>
                <w:color w:val="auto"/>
                <w:w w:val="92"/>
              </w:rPr>
              <w:t>Useful Life</w:t>
            </w:r>
          </w:p>
        </w:tc>
      </w:tr>
      <w:tr>
        <w:trPr>
          <w:trHeight w:val="19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41,624</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40,693</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2680" w:type="dxa"/>
            <w:vAlign w:val="bottom"/>
            <w:tcBorders>
              <w:top w:val="single" w:sz="8" w:color="auto"/>
              <w:bottom w:val="single" w:sz="8" w:color="CCEEFF"/>
            </w:tcBorders>
            <w:shd w:val="clear" w:color="auto" w:fill="CCEEFF"/>
          </w:tcPr>
          <w:p>
            <w:pPr>
              <w:jc w:val="center"/>
              <w:ind w:right="919"/>
              <w:spacing w:after="0"/>
              <w:rPr>
                <w:sz w:val="20"/>
                <w:szCs w:val="20"/>
                <w:color w:val="auto"/>
              </w:rPr>
            </w:pPr>
            <w:r>
              <w:rPr>
                <w:rFonts w:ascii="Arial" w:cs="Arial" w:eastAsia="Arial" w:hAnsi="Arial"/>
                <w:sz w:val="16"/>
                <w:szCs w:val="16"/>
                <w:color w:val="auto"/>
                <w:w w:val="89"/>
              </w:rPr>
              <w:t>40 to 91</w:t>
            </w:r>
          </w:p>
        </w:tc>
      </w:tr>
      <w:tr>
        <w:trPr>
          <w:trHeight w:val="195"/>
        </w:trPr>
        <w:tc>
          <w:tcPr>
            <w:tcW w:w="37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41,624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40,693</w:t>
            </w: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08"/>
        </w:trPr>
        <w:tc>
          <w:tcPr>
            <w:tcW w:w="3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2018</w:t>
            </w:r>
          </w:p>
        </w:tc>
        <w:tc>
          <w:tcPr>
            <w:tcW w:w="2680" w:type="dxa"/>
            <w:vAlign w:val="bottom"/>
            <w:tcBorders>
              <w:bottom w:val="single" w:sz="8" w:color="auto"/>
            </w:tcBorders>
          </w:tcPr>
          <w:p>
            <w:pPr>
              <w:spacing w:after="0"/>
              <w:rPr>
                <w:sz w:val="24"/>
                <w:szCs w:val="24"/>
                <w:color w:val="auto"/>
              </w:rPr>
            </w:pPr>
          </w:p>
        </w:tc>
      </w:tr>
      <w:tr>
        <w:trPr>
          <w:trHeight w:val="179"/>
        </w:trPr>
        <w:tc>
          <w:tcPr>
            <w:tcW w:w="3780" w:type="dxa"/>
            <w:vAlign w:val="bottom"/>
          </w:tcPr>
          <w:p>
            <w:pPr>
              <w:spacing w:after="0"/>
              <w:rPr>
                <w:sz w:val="15"/>
                <w:szCs w:val="15"/>
                <w:color w:val="auto"/>
              </w:rPr>
            </w:pPr>
          </w:p>
        </w:tc>
        <w:tc>
          <w:tcPr>
            <w:tcW w:w="116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3"/>
          </w:tcPr>
          <w:p>
            <w:pPr>
              <w:jc w:val="center"/>
              <w:ind w:right="1180"/>
              <w:spacing w:after="0" w:line="178" w:lineRule="exact"/>
              <w:rPr>
                <w:sz w:val="20"/>
                <w:szCs w:val="20"/>
                <w:color w:val="auto"/>
              </w:rPr>
            </w:pPr>
            <w:r>
              <w:rPr>
                <w:rFonts w:ascii="Arial" w:cs="Arial" w:eastAsia="Arial" w:hAnsi="Arial"/>
                <w:sz w:val="16"/>
                <w:szCs w:val="16"/>
                <w:b w:val="1"/>
                <w:bCs w:val="1"/>
                <w:color w:val="auto"/>
                <w:w w:val="95"/>
              </w:rPr>
              <w:t>Net Carrying</w:t>
            </w:r>
          </w:p>
        </w:tc>
        <w:tc>
          <w:tcPr>
            <w:tcW w:w="2680" w:type="dxa"/>
            <w:vAlign w:val="bottom"/>
          </w:tcPr>
          <w:p>
            <w:pPr>
              <w:spacing w:after="0"/>
              <w:rPr>
                <w:sz w:val="15"/>
                <w:szCs w:val="15"/>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w w:val="92"/>
              </w:rPr>
              <w:t>Amount</w:t>
            </w:r>
          </w:p>
        </w:tc>
        <w:tc>
          <w:tcPr>
            <w:tcW w:w="2680" w:type="dxa"/>
            <w:vAlign w:val="bottom"/>
          </w:tcPr>
          <w:p>
            <w:pPr>
              <w:jc w:val="center"/>
              <w:ind w:right="919"/>
              <w:spacing w:after="0"/>
              <w:rPr>
                <w:sz w:val="20"/>
                <w:szCs w:val="20"/>
                <w:color w:val="auto"/>
              </w:rPr>
            </w:pPr>
            <w:r>
              <w:rPr>
                <w:rFonts w:ascii="Arial" w:cs="Arial" w:eastAsia="Arial" w:hAnsi="Arial"/>
                <w:sz w:val="16"/>
                <w:szCs w:val="16"/>
                <w:b w:val="1"/>
                <w:bCs w:val="1"/>
                <w:color w:val="auto"/>
                <w:w w:val="92"/>
              </w:rPr>
              <w:t>Useful Life</w:t>
            </w:r>
          </w:p>
        </w:tc>
      </w:tr>
      <w:tr>
        <w:trPr>
          <w:trHeight w:val="19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43,191</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43,057</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2680" w:type="dxa"/>
            <w:vAlign w:val="bottom"/>
            <w:tcBorders>
              <w:top w:val="single" w:sz="8" w:color="auto"/>
              <w:bottom w:val="single" w:sz="8" w:color="CCEEFF"/>
            </w:tcBorders>
            <w:shd w:val="clear" w:color="auto" w:fill="CCEEFF"/>
          </w:tcPr>
          <w:p>
            <w:pPr>
              <w:jc w:val="center"/>
              <w:ind w:right="919"/>
              <w:spacing w:after="0"/>
              <w:rPr>
                <w:sz w:val="20"/>
                <w:szCs w:val="20"/>
                <w:color w:val="auto"/>
              </w:rPr>
            </w:pPr>
            <w:r>
              <w:rPr>
                <w:rFonts w:ascii="Arial" w:cs="Arial" w:eastAsia="Arial" w:hAnsi="Arial"/>
                <w:sz w:val="16"/>
                <w:szCs w:val="16"/>
                <w:color w:val="auto"/>
                <w:w w:val="89"/>
              </w:rPr>
              <w:t>40 to 91</w:t>
            </w:r>
          </w:p>
        </w:tc>
      </w:tr>
      <w:tr>
        <w:trPr>
          <w:trHeight w:val="195"/>
        </w:trPr>
        <w:tc>
          <w:tcPr>
            <w:tcW w:w="37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43,191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43,057</w:t>
            </w: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292"/>
        <w:spacing w:after="0" w:line="247" w:lineRule="auto"/>
        <w:rPr>
          <w:sz w:val="20"/>
          <w:szCs w:val="20"/>
          <w:color w:val="auto"/>
        </w:rPr>
      </w:pPr>
      <w:r>
        <w:rPr>
          <w:rFonts w:ascii="Arial" w:cs="Arial" w:eastAsia="Arial" w:hAnsi="Arial"/>
          <w:sz w:val="20"/>
          <w:szCs w:val="20"/>
          <w:color w:val="auto"/>
        </w:rPr>
        <w:t>As of September 30, 2019, the weighted-average remaining amortization periods for the intangible assets is 39.38 years. Amortization for the three and nine months ended September 30, 2019 totaled $254 and $797,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Finance leases, net</w:t>
      </w:r>
    </w:p>
    <w:p>
      <w:pPr>
        <w:spacing w:after="0" w:line="228" w:lineRule="exact"/>
        <w:rPr>
          <w:sz w:val="20"/>
          <w:szCs w:val="20"/>
          <w:color w:val="auto"/>
        </w:rPr>
      </w:pPr>
    </w:p>
    <w:p>
      <w:pPr>
        <w:ind w:right="120" w:firstLine="292"/>
        <w:spacing w:after="0" w:line="236" w:lineRule="auto"/>
        <w:rPr>
          <w:sz w:val="20"/>
          <w:szCs w:val="20"/>
          <w:color w:val="auto"/>
        </w:rPr>
      </w:pPr>
      <w:r>
        <w:rPr>
          <w:rFonts w:ascii="Arial" w:cs="Arial" w:eastAsia="Arial" w:hAnsi="Arial"/>
          <w:sz w:val="20"/>
          <w:szCs w:val="20"/>
          <w:color w:val="auto"/>
        </w:rPr>
        <w:t>The Company placed its storage and regasification LNG terminal in Montego Bay, Jamaica into service on October 30, 2016, which has been accounted for as a direct finance lease. In addition, the Company has also entered into other arrangements to lease equipment to customers which are accounted for as direct finance leases. The components of the direct finance leases as of September 30, 2019 and December 31, 2018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6"/>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306,832</w:t>
            </w:r>
          </w:p>
        </w:tc>
        <w:tc>
          <w:tcPr>
            <w:tcW w:w="120" w:type="dxa"/>
            <w:vAlign w:val="bottom"/>
            <w:shd w:val="clear" w:color="auto" w:fill="CCEEFF"/>
          </w:tcPr>
          <w:p>
            <w:pPr>
              <w:spacing w:after="0"/>
              <w:rPr>
                <w:sz w:val="16"/>
                <w:szCs w:val="16"/>
                <w:color w:val="auto"/>
              </w:rPr>
            </w:pPr>
          </w:p>
        </w:tc>
      </w:tr>
      <w:tr>
        <w:trPr>
          <w:trHeight w:val="199"/>
        </w:trPr>
        <w:tc>
          <w:tcPr>
            <w:tcW w:w="8800" w:type="dxa"/>
            <w:vAlign w:val="bottom"/>
          </w:tcPr>
          <w:p>
            <w:pPr>
              <w:spacing w:after="0"/>
              <w:rPr>
                <w:sz w:val="20"/>
                <w:szCs w:val="20"/>
                <w:color w:val="auto"/>
              </w:rPr>
            </w:pPr>
            <w:r>
              <w:rPr>
                <w:rFonts w:ascii="Arial" w:cs="Arial" w:eastAsia="Arial" w:hAnsi="Arial"/>
                <w:sz w:val="16"/>
                <w:szCs w:val="16"/>
                <w:color w:val="auto"/>
              </w:rPr>
              <w:t>Unearned income</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(202,430)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(213,682)</w:t>
            </w:r>
          </w:p>
        </w:tc>
      </w:tr>
      <w:tr>
        <w:trPr>
          <w:trHeight w:val="235"/>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finance leases,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92,492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93,150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8800" w:type="dxa"/>
            <w:vAlign w:val="bottom"/>
          </w:tcPr>
          <w:p>
            <w:pPr>
              <w:ind w:left="140"/>
              <w:spacing w:after="0"/>
              <w:rPr>
                <w:sz w:val="20"/>
                <w:szCs w:val="20"/>
                <w:color w:val="auto"/>
              </w:rPr>
            </w:pPr>
            <w:r>
              <w:rPr>
                <w:rFonts w:ascii="Arial" w:cs="Arial" w:eastAsia="Arial" w:hAnsi="Arial"/>
                <w:sz w:val="16"/>
                <w:szCs w:val="16"/>
                <w:color w:val="auto"/>
              </w:rPr>
              <w:t>Current portion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1,045</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r>
      <w:tr>
        <w:trPr>
          <w:trHeight w:val="195"/>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r>
    </w:tbl>
    <w:p>
      <w:pPr>
        <w:spacing w:after="0" w:line="200" w:lineRule="exact"/>
        <w:rPr>
          <w:sz w:val="20"/>
          <w:szCs w:val="20"/>
          <w:color w:val="auto"/>
        </w:rPr>
      </w:pPr>
    </w:p>
    <w:p>
      <w:pPr>
        <w:jc w:val="both"/>
        <w:ind w:right="240" w:firstLine="292"/>
        <w:spacing w:after="0" w:line="333" w:lineRule="auto"/>
        <w:rPr>
          <w:sz w:val="20"/>
          <w:szCs w:val="20"/>
          <w:color w:val="auto"/>
        </w:rPr>
      </w:pPr>
      <w:r>
        <w:rPr>
          <w:rFonts w:ascii="Arial" w:cs="Arial" w:eastAsia="Arial" w:hAnsi="Arial"/>
          <w:sz w:val="17"/>
          <w:szCs w:val="17"/>
          <w:color w:val="auto"/>
        </w:rPr>
        <w:t>Receivables related to the Company’s direct finance leases are primarily with a public utility that generates consistent cash flow. Therefore, the Company does not expect a material impact to the results of operations or financial position due to nonperformance from such counterparty.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Other non-current assets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September 30, 2019 and December 31, 2018, other non-current assets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Port access rights</w:t>
            </w:r>
          </w:p>
        </w:tc>
        <w:tc>
          <w:tcPr>
            <w:tcW w:w="49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20"/>
                <w:szCs w:val="20"/>
                <w:color w:val="auto"/>
              </w:rPr>
            </w:pPr>
            <w:r>
              <w:rPr>
                <w:rFonts w:ascii="Arial" w:cs="Arial" w:eastAsia="Arial" w:hAnsi="Arial"/>
                <w:sz w:val="16"/>
                <w:szCs w:val="16"/>
                <w:color w:val="auto"/>
              </w:rPr>
              <w:t>Initial lease costs</w:t>
            </w: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9,753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Nonrefundable deposit</w:t>
            </w:r>
          </w:p>
        </w:tc>
        <w:tc>
          <w:tcPr>
            <w:tcW w:w="4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10,810</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20"/>
                <w:szCs w:val="20"/>
                <w:color w:val="auto"/>
              </w:rPr>
            </w:pPr>
            <w:r>
              <w:rPr>
                <w:rFonts w:ascii="Arial" w:cs="Arial" w:eastAsia="Arial" w:hAnsi="Arial"/>
                <w:sz w:val="16"/>
                <w:szCs w:val="16"/>
                <w:color w:val="auto"/>
              </w:rPr>
              <w:t>Upfront payments to customers</w:t>
            </w: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6,267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asset (Note 4)</w:t>
            </w:r>
          </w:p>
        </w:tc>
        <w:tc>
          <w:tcPr>
            <w:tcW w:w="4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20"/>
                <w:szCs w:val="20"/>
                <w:color w:val="auto"/>
              </w:rPr>
            </w:pPr>
            <w:r>
              <w:rPr>
                <w:rFonts w:ascii="Arial" w:cs="Arial" w:eastAsia="Arial" w:hAnsi="Arial"/>
                <w:sz w:val="16"/>
                <w:szCs w:val="16"/>
                <w:color w:val="auto"/>
              </w:rPr>
              <w:t>Cost to fulfill (Note 4)</w:t>
            </w: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6,991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4"/>
        </w:trPr>
        <w:tc>
          <w:tcPr>
            <w:tcW w:w="386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860" w:type="dxa"/>
            <w:vAlign w:val="bottom"/>
          </w:tcPr>
          <w:p>
            <w:pPr>
              <w:ind w:left="140"/>
              <w:spacing w:after="0"/>
              <w:rPr>
                <w:sz w:val="20"/>
                <w:szCs w:val="20"/>
                <w:color w:val="auto"/>
              </w:rPr>
            </w:pPr>
            <w:r>
              <w:rPr>
                <w:rFonts w:ascii="Arial" w:cs="Arial" w:eastAsia="Arial" w:hAnsi="Arial"/>
                <w:sz w:val="16"/>
                <w:szCs w:val="16"/>
                <w:color w:val="auto"/>
              </w:rPr>
              <w:t>Total other non-current assets</w:t>
            </w:r>
          </w:p>
        </w:tc>
        <w:tc>
          <w:tcPr>
            <w:tcW w:w="49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65,295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35,255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940" w:type="dxa"/>
            <w:vAlign w:val="bottom"/>
            <w:vMerge w:val="restart"/>
          </w:tcPr>
          <w:p>
            <w:pPr>
              <w:jc w:val="right"/>
              <w:ind w:right="2955"/>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8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86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00" w:firstLine="292"/>
        <w:spacing w:after="0" w:line="270" w:lineRule="auto"/>
        <w:rPr>
          <w:sz w:val="20"/>
          <w:szCs w:val="20"/>
          <w:color w:val="auto"/>
        </w:rPr>
      </w:pPr>
      <w:r>
        <w:rPr>
          <w:rFonts w:ascii="Arial" w:cs="Arial" w:eastAsia="Arial" w:hAnsi="Arial"/>
          <w:sz w:val="18"/>
          <w:szCs w:val="18"/>
          <w:color w:val="auto"/>
        </w:rPr>
        <w:t>Port access rights related to the Company’s port lease in Baja California Sur, Mexico, represent capitalized initial direct costs of entering the lease and are amortized straight-line over the lease term as additional rent expense. Initial lease costs represent capitalized payments made to previous lessees to secure the Company’s port lease in San Juan, Puerto Rico, and are also amortized straight-line over the lease term. Nonrefundable deposits are primarily related to deposits for planned land purchases in Pennsylvania and Ireland.</w:t>
      </w:r>
    </w:p>
    <w:p>
      <w:pPr>
        <w:spacing w:after="0" w:line="166" w:lineRule="exact"/>
        <w:rPr>
          <w:sz w:val="20"/>
          <w:szCs w:val="20"/>
          <w:color w:val="auto"/>
        </w:rPr>
      </w:pPr>
    </w:p>
    <w:p>
      <w:pPr>
        <w:jc w:val="both"/>
        <w:ind w:right="60" w:firstLine="292"/>
        <w:spacing w:after="0" w:line="238" w:lineRule="auto"/>
        <w:rPr>
          <w:sz w:val="20"/>
          <w:szCs w:val="20"/>
          <w:color w:val="auto"/>
        </w:rPr>
      </w:pPr>
      <w:r>
        <w:rPr>
          <w:rFonts w:ascii="Arial" w:cs="Arial" w:eastAsia="Arial" w:hAnsi="Arial"/>
          <w:sz w:val="20"/>
          <w:szCs w:val="20"/>
          <w:color w:val="auto"/>
        </w:rPr>
        <w:t>Upfront payments to customers consist of amounts the Company has paid in relation to two natural gas sales contracts with customers. Under these agreements, the Company has made payments of $5,000 and is obligated to make an additional payment of $1,350 to the customers in order to construct fuel-delivery infrastructure that the customers will own.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Accrued liabilities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September 30, 2019 and December 31, 2018 accrued liabilities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6"/>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Accrued construction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41,343</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Accrued IPO costs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5,296</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Accrued bonuses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12,582</w:t>
            </w:r>
          </w:p>
        </w:tc>
      </w:tr>
      <w:tr>
        <w:trPr>
          <w:trHeight w:val="199"/>
        </w:trPr>
        <w:tc>
          <w:tcPr>
            <w:tcW w:w="8800" w:type="dxa"/>
            <w:vAlign w:val="bottom"/>
          </w:tcPr>
          <w:p>
            <w:pPr>
              <w:spacing w:after="0"/>
              <w:rPr>
                <w:sz w:val="20"/>
                <w:szCs w:val="20"/>
                <w:color w:val="auto"/>
              </w:rPr>
            </w:pPr>
            <w:r>
              <w:rPr>
                <w:rFonts w:ascii="Arial" w:cs="Arial" w:eastAsia="Arial" w:hAnsi="Arial"/>
                <w:sz w:val="16"/>
                <w:szCs w:val="16"/>
                <w:color w:val="auto"/>
              </w:rPr>
              <w:t>Other accrued expenses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8,291</w:t>
            </w:r>
          </w:p>
        </w:tc>
      </w:tr>
      <w:tr>
        <w:trPr>
          <w:trHeight w:val="235"/>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50,796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67,512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402"/>
        </w:trPr>
        <w:tc>
          <w:tcPr>
            <w:tcW w:w="8800" w:type="dxa"/>
            <w:vAlign w:val="bottom"/>
          </w:tcPr>
          <w:p>
            <w:pPr>
              <w:spacing w:after="0"/>
              <w:rPr>
                <w:sz w:val="20"/>
                <w:szCs w:val="20"/>
                <w:color w:val="auto"/>
              </w:rPr>
            </w:pPr>
            <w:r>
              <w:rPr>
                <w:rFonts w:ascii="Arial" w:cs="Arial" w:eastAsia="Arial" w:hAnsi="Arial"/>
                <w:sz w:val="16"/>
                <w:szCs w:val="16"/>
                <w:b w:val="1"/>
                <w:bCs w:val="1"/>
                <w:color w:val="auto"/>
              </w:rPr>
              <w:t>15. Debt</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9"/>
        </w:trPr>
        <w:tc>
          <w:tcPr>
            <w:tcW w:w="8800" w:type="dxa"/>
            <w:vAlign w:val="bottom"/>
          </w:tcPr>
          <w:p>
            <w:pPr>
              <w:ind w:left="300"/>
              <w:spacing w:after="0"/>
              <w:rPr>
                <w:sz w:val="20"/>
                <w:szCs w:val="20"/>
                <w:color w:val="auto"/>
              </w:rPr>
            </w:pPr>
            <w:r>
              <w:rPr>
                <w:rFonts w:ascii="Arial" w:cs="Arial" w:eastAsia="Arial" w:hAnsi="Arial"/>
                <w:sz w:val="20"/>
                <w:szCs w:val="20"/>
                <w:color w:val="auto"/>
              </w:rPr>
              <w:t>As of September 30, 2019 and December 31, 2018, debt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9"/>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6"/>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New Term Loan Facility, due December 2019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272,192</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Senior Secured Bonds, due September 2034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70,914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Senior Unsecured Bonds, due September 2036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880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605,926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272,192</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debt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272,192</w:t>
            </w:r>
          </w:p>
        </w:tc>
        <w:tc>
          <w:tcPr>
            <w:tcW w:w="120" w:type="dxa"/>
            <w:vAlign w:val="bottom"/>
            <w:shd w:val="clear" w:color="auto" w:fill="CCEEFF"/>
          </w:tcPr>
          <w:p>
            <w:pPr>
              <w:spacing w:after="0"/>
              <w:rPr>
                <w:sz w:val="15"/>
                <w:szCs w:val="15"/>
                <w:color w:val="auto"/>
              </w:rPr>
            </w:pPr>
          </w:p>
        </w:tc>
      </w:tr>
      <w:tr>
        <w:trPr>
          <w:trHeight w:val="207"/>
        </w:trPr>
        <w:tc>
          <w:tcPr>
            <w:tcW w:w="8800" w:type="dxa"/>
            <w:vAlign w:val="bottom"/>
          </w:tcPr>
          <w:p>
            <w:pPr>
              <w:ind w:left="140"/>
              <w:spacing w:after="0"/>
              <w:rPr>
                <w:sz w:val="20"/>
                <w:szCs w:val="20"/>
                <w:color w:val="auto"/>
              </w:rPr>
            </w:pPr>
            <w:r>
              <w:rPr>
                <w:rFonts w:ascii="Arial" w:cs="Arial" w:eastAsia="Arial" w:hAnsi="Arial"/>
                <w:sz w:val="16"/>
                <w:szCs w:val="16"/>
                <w:color w:val="auto"/>
              </w:rPr>
              <w:t>Non-current portion of debt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89"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New Term Loan Facility</w:t>
      </w:r>
    </w:p>
    <w:p>
      <w:pPr>
        <w:spacing w:after="0" w:line="209" w:lineRule="exact"/>
        <w:rPr>
          <w:sz w:val="20"/>
          <w:szCs w:val="20"/>
          <w:color w:val="auto"/>
        </w:rPr>
      </w:pPr>
    </w:p>
    <w:p>
      <w:pPr>
        <w:ind w:right="160" w:firstLine="292"/>
        <w:spacing w:after="0" w:line="234" w:lineRule="auto"/>
        <w:rPr>
          <w:sz w:val="20"/>
          <w:szCs w:val="20"/>
          <w:color w:val="auto"/>
        </w:rPr>
      </w:pPr>
      <w:r>
        <w:rPr>
          <w:rFonts w:ascii="Arial" w:cs="Arial" w:eastAsia="Arial" w:hAnsi="Arial"/>
          <w:sz w:val="20"/>
          <w:szCs w:val="20"/>
          <w:color w:val="auto"/>
        </w:rPr>
        <w:t>On August 16, 2018, the Company entered into a Term Loan Facility (the “Term Loan Facility”). On December 31, 2018, the Company amended its previous Term Loan Facility to borrow up to an aggregate principal amount of $500,000 (the “New Term Loan Facility”) from a syndicate of two lenders. The Company initially borrowed $280,000 under the New Term Loan Facility. On March 21, 2019, the Company drew an additional $220,000 under the New Term Loan Facility, bringing the Company’s total outstanding borrowings to $500,000 under the New Term Loan Facility.</w:t>
      </w:r>
    </w:p>
    <w:p>
      <w:pPr>
        <w:spacing w:after="0" w:line="195" w:lineRule="exact"/>
        <w:rPr>
          <w:sz w:val="20"/>
          <w:szCs w:val="20"/>
          <w:color w:val="auto"/>
        </w:rPr>
      </w:pPr>
    </w:p>
    <w:p>
      <w:pPr>
        <w:ind w:right="40" w:firstLine="292"/>
        <w:spacing w:after="0" w:line="262" w:lineRule="auto"/>
        <w:rPr>
          <w:sz w:val="20"/>
          <w:szCs w:val="20"/>
          <w:color w:val="auto"/>
        </w:rPr>
      </w:pPr>
      <w:r>
        <w:rPr>
          <w:rFonts w:ascii="Arial" w:cs="Arial" w:eastAsia="Arial" w:hAnsi="Arial"/>
          <w:sz w:val="18"/>
          <w:szCs w:val="18"/>
          <w:color w:val="auto"/>
        </w:rPr>
        <w:t>All borrowings under the New Term Loan Facility bear interest at a rate selected by the Company of either (i) the LIBOR divided by one minus the applicable reserve requirement plus a spread of 4.0% or (ii) subject to a floor of 1.0%, a Base Rate equal to the higher of (a) the Prime Rate, (b) the Federal Funds Rate plus 1⁄2 of 1.0% or (c) the 1-month LIBOR rate plus 1.0% plus a spread of 3.0%. The New Term Loan Facility is set to mature on December 31, 2019 and is repayable in quarterly installments of $1,250, with a balloon payment due at maturity. The Company has the option to extend the maturity date for two additional six-month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38" w:lineRule="auto"/>
        <w:rPr>
          <w:sz w:val="20"/>
          <w:szCs w:val="20"/>
          <w:color w:val="auto"/>
        </w:rPr>
      </w:pPr>
      <w:r>
        <w:rPr>
          <w:rFonts w:ascii="Arial" w:cs="Arial" w:eastAsia="Arial" w:hAnsi="Arial"/>
          <w:sz w:val="20"/>
          <w:szCs w:val="20"/>
          <w:color w:val="auto"/>
        </w:rPr>
        <w:t>The New Term Loan Facility is secured by mortgages on certain properties owned by the Company’s subsidiaries, in addition to other collateral. The New Term Loan Facility was amended in the third quarter of 2019 to allow certain properties of a consolidated subsidiary to secure the South Power Senior Secured Bonds (defined below).</w:t>
      </w:r>
    </w:p>
    <w:p>
      <w:pPr>
        <w:spacing w:after="0" w:line="193" w:lineRule="exact"/>
        <w:rPr>
          <w:sz w:val="20"/>
          <w:szCs w:val="20"/>
          <w:color w:val="auto"/>
        </w:rPr>
      </w:pPr>
    </w:p>
    <w:p>
      <w:pPr>
        <w:ind w:firstLine="292"/>
        <w:spacing w:after="0" w:line="238" w:lineRule="auto"/>
        <w:rPr>
          <w:sz w:val="20"/>
          <w:szCs w:val="20"/>
          <w:color w:val="auto"/>
        </w:rPr>
      </w:pPr>
      <w:r>
        <w:rPr>
          <w:rFonts w:ascii="Arial" w:cs="Arial" w:eastAsia="Arial" w:hAnsi="Arial"/>
          <w:sz w:val="20"/>
          <w:szCs w:val="20"/>
          <w:color w:val="auto"/>
        </w:rPr>
        <w:t>The Company is required to comply with certain financial covenants and other restrictive covenants customary for facilities of this type, including restrictions on indebtedness, liens, acquisitions and investments, restricted payments and dispositions. The New Term Loan Facility also provides for customary events of default, prepayment and cure provisions.</w:t>
      </w:r>
    </w:p>
    <w:p>
      <w:pPr>
        <w:spacing w:after="0" w:line="193" w:lineRule="exact"/>
        <w:rPr>
          <w:sz w:val="20"/>
          <w:szCs w:val="20"/>
          <w:color w:val="auto"/>
        </w:rPr>
      </w:pPr>
    </w:p>
    <w:p>
      <w:pPr>
        <w:ind w:right="80" w:firstLine="292"/>
        <w:spacing w:after="0" w:line="238" w:lineRule="auto"/>
        <w:rPr>
          <w:sz w:val="20"/>
          <w:szCs w:val="20"/>
          <w:color w:val="auto"/>
        </w:rPr>
      </w:pPr>
      <w:r>
        <w:rPr>
          <w:rFonts w:ascii="Arial" w:cs="Arial" w:eastAsia="Arial" w:hAnsi="Arial"/>
          <w:sz w:val="20"/>
          <w:szCs w:val="20"/>
          <w:color w:val="auto"/>
        </w:rPr>
        <w:t>The Company paid $4,400 of additional fees in connection with the $220,000 draw on the New Term Loan Facility. These fees were capitalized as a reduction to the New Term Loan Facility on the condensed consolidated balance sheets. The total unamortized deferred financing costs as of September 30, 2019 was $3,488.</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South Power Bonds</w:t>
      </w:r>
    </w:p>
    <w:p>
      <w:pPr>
        <w:spacing w:after="0" w:line="209" w:lineRule="exact"/>
        <w:rPr>
          <w:sz w:val="20"/>
          <w:szCs w:val="20"/>
          <w:color w:val="auto"/>
        </w:rPr>
      </w:pPr>
    </w:p>
    <w:p>
      <w:pPr>
        <w:ind w:right="320" w:firstLine="292"/>
        <w:spacing w:after="0" w:line="262" w:lineRule="auto"/>
        <w:rPr>
          <w:sz w:val="20"/>
          <w:szCs w:val="20"/>
          <w:color w:val="auto"/>
        </w:rPr>
      </w:pPr>
      <w:r>
        <w:rPr>
          <w:rFonts w:ascii="Arial" w:cs="Arial" w:eastAsia="Arial" w:hAnsi="Arial"/>
          <w:sz w:val="18"/>
          <w:szCs w:val="18"/>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dual-fired combined heat and power facility in Clarendon, Jamaica (the “CHP Plant”) that is currently under construction and related receivables and assets, and the proceeds will be used to fund the completion of the CHP Plant and to reimburse shareholder advances. Upon completion of construction of the CHP Plant, which is currently expected in the fourth quarter of 2019, and the satisfaction of certain related conditions, South Power has the ability to issue an additional $63,000 in Senior Secured Bonds.</w:t>
      </w:r>
    </w:p>
    <w:p>
      <w:pPr>
        <w:spacing w:after="0" w:line="173" w:lineRule="exact"/>
        <w:rPr>
          <w:sz w:val="20"/>
          <w:szCs w:val="20"/>
          <w:color w:val="auto"/>
        </w:rPr>
      </w:pPr>
    </w:p>
    <w:p>
      <w:pPr>
        <w:ind w:right="180" w:firstLine="292"/>
        <w:spacing w:after="0" w:line="236" w:lineRule="auto"/>
        <w:rPr>
          <w:sz w:val="20"/>
          <w:szCs w:val="20"/>
          <w:color w:val="auto"/>
        </w:rPr>
      </w:pPr>
      <w:r>
        <w:rPr>
          <w:rFonts w:ascii="Arial" w:cs="Arial" w:eastAsia="Arial" w:hAnsi="Arial"/>
          <w:sz w:val="20"/>
          <w:szCs w:val="20"/>
          <w:color w:val="auto"/>
        </w:rPr>
        <w:t>The Senior Secured Bonds bear interest at an annual fixed rate of 8.25% and will mature 15 years from the closing date of each tranche.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92" w:lineRule="exact"/>
        <w:rPr>
          <w:sz w:val="20"/>
          <w:szCs w:val="20"/>
          <w:color w:val="auto"/>
        </w:rPr>
      </w:pPr>
    </w:p>
    <w:p>
      <w:pPr>
        <w:ind w:right="40" w:firstLine="292"/>
        <w:spacing w:after="0" w:line="238" w:lineRule="auto"/>
        <w:rPr>
          <w:sz w:val="20"/>
          <w:szCs w:val="20"/>
          <w:color w:val="auto"/>
        </w:rPr>
      </w:pPr>
      <w:r>
        <w:rPr>
          <w:rFonts w:ascii="Arial" w:cs="Arial" w:eastAsia="Arial" w:hAnsi="Arial"/>
          <w:sz w:val="20"/>
          <w:szCs w:val="20"/>
          <w:color w:val="auto"/>
        </w:rPr>
        <w:t>The Senior Unsecured Bonds will bear interest at an annual fixed rate of 11.00% and will mature 17 years from the closing date. No principal payments will be due until 2028. Beginning in 2028, principal payments will be due quarterly on an escalating schedule. Interest payments on outstanding principal balances will be due quarterly.</w:t>
      </w:r>
    </w:p>
    <w:p>
      <w:pPr>
        <w:spacing w:after="0" w:line="193" w:lineRule="exact"/>
        <w:rPr>
          <w:sz w:val="20"/>
          <w:szCs w:val="20"/>
          <w:color w:val="auto"/>
        </w:rPr>
      </w:pPr>
    </w:p>
    <w:p>
      <w:pPr>
        <w:ind w:right="200" w:firstLine="292"/>
        <w:spacing w:after="0" w:line="333"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16" w:lineRule="exact"/>
        <w:rPr>
          <w:sz w:val="20"/>
          <w:szCs w:val="20"/>
          <w:color w:val="auto"/>
        </w:rPr>
      </w:pPr>
    </w:p>
    <w:p>
      <w:pPr>
        <w:ind w:right="440" w:firstLine="292"/>
        <w:spacing w:after="0" w:line="278" w:lineRule="auto"/>
        <w:rPr>
          <w:sz w:val="20"/>
          <w:szCs w:val="20"/>
          <w:color w:val="auto"/>
        </w:rPr>
      </w:pPr>
      <w:r>
        <w:rPr>
          <w:rFonts w:ascii="Arial" w:cs="Arial" w:eastAsia="Arial" w:hAnsi="Arial"/>
          <w:sz w:val="18"/>
          <w:szCs w:val="18"/>
          <w:color w:val="auto"/>
        </w:rPr>
        <w:t>The Company paid approximately $3,859 of fees in connection with the issuance of Senior Secured Bonds and Senior Unsecured Bonds. These fees were capitalized on a pro-rata basis as a reduction of the Senior Secured Bonds and Senior Unsecured Bonds on the condensed consolidated balance sheets. The total unamortized deferred financing costs as of September 30, 2019 was $3,836.</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Interest expense</w:t>
      </w:r>
    </w:p>
    <w:p>
      <w:pPr>
        <w:spacing w:after="0" w:line="209" w:lineRule="exact"/>
        <w:rPr>
          <w:sz w:val="20"/>
          <w:szCs w:val="20"/>
          <w:color w:val="auto"/>
        </w:rPr>
      </w:pPr>
    </w:p>
    <w:p>
      <w:pPr>
        <w:jc w:val="both"/>
        <w:ind w:right="320" w:firstLine="292"/>
        <w:spacing w:after="0" w:line="238" w:lineRule="auto"/>
        <w:rPr>
          <w:sz w:val="20"/>
          <w:szCs w:val="20"/>
          <w:color w:val="auto"/>
        </w:rPr>
      </w:pPr>
      <w:r>
        <w:rPr>
          <w:rFonts w:ascii="Arial" w:cs="Arial" w:eastAsia="Arial" w:hAnsi="Arial"/>
          <w:sz w:val="20"/>
          <w:szCs w:val="20"/>
          <w:color w:val="auto"/>
        </w:rPr>
        <w:t>Interest and related amortization of debt issuance costs recognized during major development and construction projects are capitalized and included in the cost of the project. Interest expense, net of amounts capitalized, recognized for the three and nine months ended September 30, 2019 and 2018 consisted of the following: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0"/>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28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199"/>
        </w:trPr>
        <w:tc>
          <w:tcPr>
            <w:tcW w:w="9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r>
      <w:tr>
        <w:trPr>
          <w:trHeight w:val="195"/>
        </w:trPr>
        <w:tc>
          <w:tcPr>
            <w:tcW w:w="4720" w:type="dxa"/>
            <w:vAlign w:val="bottom"/>
            <w:gridSpan w:val="2"/>
          </w:tcPr>
          <w:p>
            <w:pPr>
              <w:spacing w:after="0"/>
              <w:rPr>
                <w:sz w:val="20"/>
                <w:szCs w:val="20"/>
                <w:color w:val="auto"/>
              </w:rPr>
            </w:pPr>
            <w:r>
              <w:rPr>
                <w:rFonts w:ascii="Arial" w:cs="Arial" w:eastAsia="Arial" w:hAnsi="Arial"/>
                <w:sz w:val="16"/>
                <w:szCs w:val="16"/>
                <w:color w:val="auto"/>
              </w:rPr>
              <w:t>Interest costs: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per contractual rates</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4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22,094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5,181</w:t>
            </w:r>
          </w:p>
        </w:tc>
      </w:tr>
      <w:tr>
        <w:trPr>
          <w:trHeight w:val="199"/>
        </w:trPr>
        <w:tc>
          <w:tcPr>
            <w:tcW w:w="4720" w:type="dxa"/>
            <w:vAlign w:val="bottom"/>
            <w:gridSpan w:val="2"/>
          </w:tcPr>
          <w:p>
            <w:pPr>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580"/>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8,743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1,444</w:t>
            </w:r>
          </w:p>
        </w:tc>
      </w:tr>
      <w:tr>
        <w:trPr>
          <w:trHeight w:val="195"/>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interest costs</w:t>
            </w: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84"/>
              </w:rPr>
              <w:t>3,419</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30,837</w:t>
            </w: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00" w:type="dxa"/>
            <w:vAlign w:val="bottom"/>
            <w:shd w:val="clear" w:color="auto" w:fill="CCEEFF"/>
          </w:tcPr>
          <w:p>
            <w:pPr>
              <w:spacing w:after="0"/>
              <w:rPr>
                <w:sz w:val="16"/>
                <w:szCs w:val="16"/>
                <w:color w:val="auto"/>
              </w:rPr>
            </w:pPr>
          </w:p>
        </w:tc>
      </w:tr>
      <w:tr>
        <w:trPr>
          <w:trHeight w:val="199"/>
        </w:trPr>
        <w:tc>
          <w:tcPr>
            <w:tcW w:w="4720" w:type="dxa"/>
            <w:vAlign w:val="bottom"/>
            <w:gridSpan w:val="2"/>
          </w:tcPr>
          <w:p>
            <w:pPr>
              <w:spacing w:after="0"/>
              <w:rPr>
                <w:sz w:val="20"/>
                <w:szCs w:val="20"/>
                <w:color w:val="auto"/>
              </w:rPr>
            </w:pPr>
            <w:r>
              <w:rPr>
                <w:rFonts w:ascii="Arial" w:cs="Arial" w:eastAsia="Arial" w:hAnsi="Arial"/>
                <w:sz w:val="16"/>
                <w:szCs w:val="16"/>
                <w:color w:val="auto"/>
              </w:rPr>
              <w:t>Capitalized interest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16,380</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236</w:t>
            </w:r>
          </w:p>
        </w:tc>
      </w:tr>
      <w:tr>
        <w:trPr>
          <w:trHeight w:val="235"/>
        </w:trPr>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84"/>
              </w:rPr>
              <w:t>3,183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14,457</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ind w:right="80" w:firstLine="292"/>
        <w:spacing w:after="0" w:line="333" w:lineRule="auto"/>
        <w:rPr>
          <w:sz w:val="20"/>
          <w:szCs w:val="20"/>
          <w:color w:val="auto"/>
        </w:rPr>
      </w:pPr>
      <w:r>
        <w:rPr>
          <w:rFonts w:ascii="Arial" w:cs="Arial" w:eastAsia="Arial" w:hAnsi="Arial"/>
          <w:sz w:val="17"/>
          <w:szCs w:val="17"/>
          <w:color w:val="auto"/>
        </w:rPr>
        <w:t>Under the terms of the facility, South Power is required to maintain a Debt Service Reserve Account (as defined in the facility) in the amount of $8,299. Such amount is included as a component of Restricted cash on the Company’s condensed consolidated balance sheets (see Note 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Income taxes</w:t>
      </w:r>
    </w:p>
    <w:p>
      <w:pPr>
        <w:spacing w:after="0" w:line="228"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173" w:lineRule="exact"/>
        <w:rPr>
          <w:sz w:val="20"/>
          <w:szCs w:val="20"/>
          <w:color w:val="auto"/>
        </w:rPr>
      </w:pPr>
    </w:p>
    <w:p>
      <w:pPr>
        <w:ind w:right="60" w:firstLine="292"/>
        <w:spacing w:after="0" w:line="247" w:lineRule="auto"/>
        <w:rPr>
          <w:sz w:val="20"/>
          <w:szCs w:val="20"/>
          <w:color w:val="auto"/>
        </w:rPr>
      </w:pPr>
      <w:r>
        <w:rPr>
          <w:rFonts w:ascii="Arial" w:cs="Arial" w:eastAsia="Arial" w:hAnsi="Arial"/>
          <w:sz w:val="20"/>
          <w:szCs w:val="20"/>
          <w:color w:val="auto"/>
        </w:rPr>
        <w:t>In connection with the IPO, NFE recorded a deferred tax asset related to the differential between its outside basis in its investment in NFI and NFE’s share of the basis of the assets of NFI, which was $44,473 at February 4, 2019.</w:t>
      </w:r>
    </w:p>
    <w:p>
      <w:pPr>
        <w:spacing w:after="0" w:line="185" w:lineRule="exact"/>
        <w:rPr>
          <w:sz w:val="20"/>
          <w:szCs w:val="20"/>
          <w:color w:val="auto"/>
        </w:rPr>
      </w:pPr>
    </w:p>
    <w:p>
      <w:pPr>
        <w:ind w:right="20" w:firstLine="292"/>
        <w:spacing w:after="0" w:line="236" w:lineRule="auto"/>
        <w:rPr>
          <w:sz w:val="20"/>
          <w:szCs w:val="20"/>
          <w:color w:val="auto"/>
        </w:rPr>
      </w:pPr>
      <w:r>
        <w:rPr>
          <w:rFonts w:ascii="Arial" w:cs="Arial" w:eastAsia="Arial" w:hAnsi="Arial"/>
          <w:sz w:val="20"/>
          <w:szCs w:val="20"/>
          <w:color w:val="auto"/>
        </w:rPr>
        <w:t>The Company records a valuation allowance against its deferred tax assets to reduce the net carrying value to an amount that it believes is more likely than not to be realized. As of September 30, 2019, the Company concluded, based on the weight of all available positive and negative evidence, those deferred tax assets recorded as part of the IPO are not more likely than not to be realized and accordingly, a full valuation allowance has been recorded on this deferred tax asset as of September 30, 2019.</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Jamaica</w:t>
      </w:r>
    </w:p>
    <w:p>
      <w:pPr>
        <w:spacing w:after="0" w:line="209" w:lineRule="exact"/>
        <w:rPr>
          <w:sz w:val="20"/>
          <w:szCs w:val="20"/>
          <w:color w:val="auto"/>
        </w:rPr>
      </w:pPr>
    </w:p>
    <w:p>
      <w:pPr>
        <w:ind w:right="340" w:firstLine="292"/>
        <w:spacing w:after="0" w:line="247" w:lineRule="auto"/>
        <w:rPr>
          <w:sz w:val="20"/>
          <w:szCs w:val="20"/>
          <w:color w:val="auto"/>
        </w:rPr>
      </w:pPr>
      <w:r>
        <w:rPr>
          <w:rFonts w:ascii="Arial" w:cs="Arial" w:eastAsia="Arial" w:hAnsi="Arial"/>
          <w:sz w:val="20"/>
          <w:szCs w:val="20"/>
          <w:color w:val="auto"/>
        </w:rPr>
        <w:t>NFI’s subsidiaries incorporated in Jamaica are subject to income tax which is computed at 25% of the relevant subsidiaries’ results for the year, adjusted for tax purposes.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Bermuda</w:t>
      </w:r>
    </w:p>
    <w:p>
      <w:pPr>
        <w:spacing w:after="0" w:line="209" w:lineRule="exact"/>
        <w:rPr>
          <w:sz w:val="20"/>
          <w:szCs w:val="20"/>
          <w:color w:val="auto"/>
        </w:rPr>
      </w:pPr>
    </w:p>
    <w:p>
      <w:pPr>
        <w:jc w:val="both"/>
        <w:ind w:right="260" w:firstLine="292"/>
        <w:spacing w:after="0" w:line="238" w:lineRule="auto"/>
        <w:rPr>
          <w:sz w:val="20"/>
          <w:szCs w:val="20"/>
          <w:color w:val="auto"/>
        </w:rPr>
      </w:pPr>
      <w:r>
        <w:rPr>
          <w:rFonts w:ascii="Arial" w:cs="Arial" w:eastAsia="Arial" w:hAnsi="Arial"/>
          <w:sz w:val="20"/>
          <w:szCs w:val="20"/>
          <w:color w:val="auto"/>
        </w:rPr>
        <w:t>NFI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Ireland</w:t>
      </w:r>
    </w:p>
    <w:p>
      <w:pPr>
        <w:spacing w:after="0" w:line="209" w:lineRule="exact"/>
        <w:rPr>
          <w:sz w:val="20"/>
          <w:szCs w:val="20"/>
          <w:color w:val="auto"/>
        </w:rPr>
      </w:pPr>
    </w:p>
    <w:p>
      <w:pPr>
        <w:ind w:right="380" w:firstLine="292"/>
        <w:spacing w:after="0" w:line="266" w:lineRule="auto"/>
        <w:rPr>
          <w:sz w:val="20"/>
          <w:szCs w:val="20"/>
          <w:color w:val="auto"/>
        </w:rPr>
      </w:pPr>
      <w:r>
        <w:rPr>
          <w:rFonts w:ascii="Arial" w:cs="Arial" w:eastAsia="Arial" w:hAnsi="Arial"/>
          <w:sz w:val="18"/>
          <w:szCs w:val="18"/>
          <w:color w:val="auto"/>
        </w:rPr>
        <w:t>NFI acquired Shannon LNG on November 9, 2018. The Shannon LNG entities are incorporated in Ireland and had net operating loss carryforwards of approximately $41,416 through December 31, 2018. These losses were evaluated to determine if any would be subject to a limitation resulting from the acquisition. The Company concluded, based on the weight of all available positive and negative evidence, those deferred tax assets relating to the net operating loss carryforwards are not more likely than not to be realized and accordingly, a full valuation allowance has been recorded on these deferred tax assets as of September 30, 2019.</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Puerto Rico</w:t>
      </w:r>
    </w:p>
    <w:p>
      <w:pPr>
        <w:spacing w:after="0" w:line="209" w:lineRule="exact"/>
        <w:rPr>
          <w:sz w:val="20"/>
          <w:szCs w:val="20"/>
          <w:color w:val="auto"/>
        </w:rPr>
      </w:pPr>
    </w:p>
    <w:p>
      <w:pPr>
        <w:ind w:right="240" w:firstLine="292"/>
        <w:spacing w:after="0" w:line="238" w:lineRule="auto"/>
        <w:rPr>
          <w:sz w:val="20"/>
          <w:szCs w:val="20"/>
          <w:color w:val="auto"/>
        </w:rPr>
      </w:pPr>
      <w:r>
        <w:rPr>
          <w:rFonts w:ascii="Arial" w:cs="Arial" w:eastAsia="Arial" w:hAnsi="Arial"/>
          <w:sz w:val="20"/>
          <w:szCs w:val="20"/>
          <w:color w:val="auto"/>
        </w:rPr>
        <w:t>NFI has subsidiaries incorporated in Puerto Rico that are treated as controlled foreign corporations for U.S. federal income tax purposes. These entities have been in a cumulative loss position since inception, and a full valuation allowance has been recorded against the deferred tax assets related to those losses as of September 30, 2019.</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Total Operations</w:t>
      </w:r>
    </w:p>
    <w:p>
      <w:pPr>
        <w:spacing w:after="0" w:line="209" w:lineRule="exact"/>
        <w:rPr>
          <w:sz w:val="20"/>
          <w:szCs w:val="20"/>
          <w:color w:val="auto"/>
        </w:rPr>
      </w:pPr>
    </w:p>
    <w:p>
      <w:pPr>
        <w:ind w:right="40" w:firstLine="292"/>
        <w:spacing w:after="0" w:line="301" w:lineRule="auto"/>
        <w:rPr>
          <w:sz w:val="20"/>
          <w:szCs w:val="20"/>
          <w:color w:val="auto"/>
        </w:rPr>
      </w:pPr>
      <w:r>
        <w:rPr>
          <w:rFonts w:ascii="Arial" w:cs="Arial" w:eastAsia="Arial" w:hAnsi="Arial"/>
          <w:sz w:val="17"/>
          <w:szCs w:val="17"/>
          <w:color w:val="auto"/>
        </w:rPr>
        <w:t>The effective tax rate for the three and nine months ended September 30, 2019 was 0.12% and (0.20)% respectively, compared to (2.29)% and (0.93)% for the three and nine months ended September 30, 2018, respectively. The total tax expense/(benefit) for the three and nine months ended September 30, 2019 was $(64) and $337, compared to $306 and $399 for the three and nine months ended September 30, 2018.</w:t>
      </w:r>
    </w:p>
    <w:p>
      <w:pPr>
        <w:spacing w:after="0" w:line="142" w:lineRule="exact"/>
        <w:rPr>
          <w:sz w:val="20"/>
          <w:szCs w:val="20"/>
          <w:color w:val="auto"/>
        </w:rPr>
      </w:pPr>
    </w:p>
    <w:p>
      <w:pPr>
        <w:ind w:right="420" w:firstLine="292"/>
        <w:spacing w:after="0" w:line="301" w:lineRule="auto"/>
        <w:rPr>
          <w:sz w:val="20"/>
          <w:szCs w:val="20"/>
          <w:color w:val="auto"/>
        </w:rPr>
      </w:pPr>
      <w:r>
        <w:rPr>
          <w:rFonts w:ascii="Arial" w:cs="Arial" w:eastAsia="Arial" w:hAnsi="Arial"/>
          <w:sz w:val="18"/>
          <w:szCs w:val="18"/>
          <w:color w:val="auto"/>
        </w:rPr>
        <w:t>The Company has not recorded a liability for uncertain tax positions as of September 30, 2019. The Company remains subject to periodic audits and reviews by the taxing authorities, and NFE’s returns since its formation remain open for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Commitments and contingencies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Contingencies</w:t>
      </w:r>
    </w:p>
    <w:p>
      <w:pPr>
        <w:spacing w:after="0" w:line="209" w:lineRule="exact"/>
        <w:rPr>
          <w:sz w:val="20"/>
          <w:szCs w:val="20"/>
          <w:color w:val="auto"/>
        </w:rPr>
      </w:pPr>
    </w:p>
    <w:p>
      <w:pPr>
        <w:ind w:right="20" w:firstLine="292"/>
        <w:spacing w:after="0" w:line="262" w:lineRule="auto"/>
        <w:rPr>
          <w:sz w:val="20"/>
          <w:szCs w:val="20"/>
          <w:color w:val="auto"/>
        </w:rPr>
      </w:pPr>
      <w:r>
        <w:rPr>
          <w:rFonts w:ascii="Arial" w:cs="Arial" w:eastAsia="Arial" w:hAnsi="Arial"/>
          <w:sz w:val="18"/>
          <w:szCs w:val="18"/>
          <w:color w:val="auto"/>
        </w:rPr>
        <w:t>During 2017, the Company paid $1,204 of tangible personal property tax levied in the State of Florida with respect to the Company’s LNG plant in Hialeah, Florida and subsequently initiated legal proceedings to challenge the tax amount for a full or partial rebate. The Company successfully challenged the tax amount and received a full rebate. The State of Florida has appealed the determination and the Company repaid the rebate amount in order to avoid penalties and charges while the appeal is under consideration. Additionally, in 2018, the Company paid $1,033 of tangible personal property taxes to the State of Florida with respect to the same LNG plant. The Company initiated legal proceedings to challenge the tax amount for a partial rebate and received a rebate of approximately $140. The State of Florida has appealed the determination, and the Company repaid the rebate amount to avoid penalties and charges while the appeal is under consideration.</w:t>
      </w:r>
    </w:p>
    <w:p>
      <w:pPr>
        <w:spacing w:after="0" w:line="173" w:lineRule="exact"/>
        <w:rPr>
          <w:sz w:val="20"/>
          <w:szCs w:val="20"/>
          <w:color w:val="auto"/>
        </w:rPr>
      </w:pPr>
    </w:p>
    <w:p>
      <w:pPr>
        <w:ind w:right="100" w:firstLine="292"/>
        <w:spacing w:after="0" w:line="333" w:lineRule="auto"/>
        <w:rPr>
          <w:sz w:val="20"/>
          <w:szCs w:val="20"/>
          <w:color w:val="auto"/>
        </w:rPr>
      </w:pPr>
      <w:r>
        <w:rPr>
          <w:rFonts w:ascii="Arial" w:cs="Arial" w:eastAsia="Arial" w:hAnsi="Arial"/>
          <w:sz w:val="17"/>
          <w:szCs w:val="17"/>
          <w:color w:val="auto"/>
        </w:rPr>
        <w:t>As of the date at which these condensed consolidated financial statements were issued, the appeals have not been concluded. Should the State of Florida lose the appeals the Company expects a refund which will be recognized as a gain contingency in earnings when the cash is received.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spacing w:after="0"/>
              <w:rPr>
                <w:sz w:val="20"/>
                <w:szCs w:val="20"/>
                <w:color w:val="auto"/>
              </w:rPr>
            </w:pPr>
            <w:r>
              <w:rPr>
                <w:rFonts w:ascii="Arial" w:cs="Arial" w:eastAsia="Arial" w:hAnsi="Arial"/>
                <w:sz w:val="16"/>
                <w:szCs w:val="16"/>
                <w:b w:val="1"/>
                <w:bCs w:val="1"/>
                <w:color w:val="auto"/>
              </w:rPr>
              <w:t>18. Earnings per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9"/>
        </w:trPr>
        <w:tc>
          <w:tcPr>
            <w:tcW w:w="82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w w:val="99"/>
              </w:rPr>
              <w:t>Three Months Ended</w:t>
            </w:r>
          </w:p>
        </w:tc>
        <w:tc>
          <w:tcPr>
            <w:tcW w:w="16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7"/>
              </w:rPr>
              <w:t>Nine Months Ended</w:t>
            </w:r>
          </w:p>
        </w:tc>
      </w:tr>
      <w:tr>
        <w:trPr>
          <w:trHeight w:val="216"/>
        </w:trPr>
        <w:tc>
          <w:tcPr>
            <w:tcW w:w="82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September 30, 2019</w:t>
            </w:r>
          </w:p>
        </w:tc>
      </w:tr>
      <w:tr>
        <w:trPr>
          <w:trHeight w:val="195"/>
        </w:trPr>
        <w:tc>
          <w:tcPr>
            <w:tcW w:w="8240" w:type="dxa"/>
            <w:vAlign w:val="bottom"/>
          </w:tcPr>
          <w:p>
            <w:pPr>
              <w:spacing w:after="0"/>
              <w:rPr>
                <w:sz w:val="20"/>
                <w:szCs w:val="20"/>
                <w:color w:val="auto"/>
              </w:rPr>
            </w:pPr>
            <w:r>
              <w:rPr>
                <w:rFonts w:ascii="Arial" w:cs="Arial" w:eastAsia="Arial" w:hAnsi="Arial"/>
                <w:sz w:val="16"/>
                <w:szCs w:val="16"/>
                <w:color w:val="auto"/>
              </w:rPr>
              <w:t>Numerator:</w:t>
            </w: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(54,424)</w:t>
            </w:r>
          </w:p>
        </w:tc>
        <w:tc>
          <w:tcPr>
            <w:tcW w:w="46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(165,949)</w:t>
            </w:r>
          </w:p>
        </w:tc>
      </w:tr>
      <w:tr>
        <w:trPr>
          <w:trHeight w:val="199"/>
        </w:trPr>
        <w:tc>
          <w:tcPr>
            <w:tcW w:w="8240" w:type="dxa"/>
            <w:vAlign w:val="bottom"/>
          </w:tcPr>
          <w:p>
            <w:pPr>
              <w:ind w:left="140"/>
              <w:spacing w:after="0"/>
              <w:rPr>
                <w:sz w:val="20"/>
                <w:szCs w:val="20"/>
                <w:color w:val="auto"/>
              </w:rPr>
            </w:pPr>
            <w:r>
              <w:rPr>
                <w:rFonts w:ascii="Arial" w:cs="Arial" w:eastAsia="Arial" w:hAnsi="Arial"/>
                <w:sz w:val="16"/>
                <w:szCs w:val="16"/>
                <w:color w:val="auto"/>
              </w:rPr>
              <w:t>Less: net loss attributable to non-controlling interests</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139,483</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 attributable to Class A shares</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(26,466)</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Denominator:</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shares – basic and diluted</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22,692,104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19,689,568</w:t>
            </w:r>
          </w:p>
        </w:tc>
      </w:tr>
      <w:tr>
        <w:trPr>
          <w:trHeight w:val="24"/>
        </w:trPr>
        <w:tc>
          <w:tcPr>
            <w:tcW w:w="8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8240" w:type="dxa"/>
            <w:vAlign w:val="bottom"/>
          </w:tcPr>
          <w:p>
            <w:pPr>
              <w:spacing w:after="0"/>
              <w:rPr>
                <w:sz w:val="20"/>
                <w:szCs w:val="20"/>
                <w:color w:val="auto"/>
              </w:rPr>
            </w:pPr>
            <w:r>
              <w:rPr>
                <w:rFonts w:ascii="Arial" w:cs="Arial" w:eastAsia="Arial" w:hAnsi="Arial"/>
                <w:sz w:val="16"/>
                <w:szCs w:val="16"/>
                <w:color w:val="auto"/>
              </w:rPr>
              <w:t>Net loss per share – basic and diluted</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(0.30)</w:t>
            </w:r>
          </w:p>
        </w:tc>
        <w:tc>
          <w:tcPr>
            <w:tcW w:w="46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r>
      <w:tr>
        <w:trPr>
          <w:trHeight w:val="20"/>
        </w:trPr>
        <w:tc>
          <w:tcPr>
            <w:tcW w:w="8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firstLine="292"/>
        <w:spacing w:after="0" w:line="234" w:lineRule="auto"/>
        <w:rPr>
          <w:sz w:val="20"/>
          <w:szCs w:val="20"/>
          <w:color w:val="auto"/>
        </w:rPr>
      </w:pPr>
      <w:r>
        <w:rPr>
          <w:rFonts w:ascii="Arial" w:cs="Arial" w:eastAsia="Arial" w:hAnsi="Arial"/>
          <w:sz w:val="20"/>
          <w:szCs w:val="20"/>
          <w:color w:val="auto"/>
        </w:rPr>
        <w:t>In connection with the IPO, New Fortress Energy Holdings, the Company’s predecessor, effected a one-for-2.16 stock split of its issued and outstanding common shares, resulting in 147,058,824 common shares. Upon the reorganization, New Fortress Energy Holdings obtained the same number of Class B shares in NFE. Class B shares do not share in the earnings or losses of the Company and are therefore not participating securities. As such, separate presentation of basic and diluted net loss per share for Class B shares under the two-class method has not been presented.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 w:name="page26"/>
    <w:bookmarkEnd w:id="25"/>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2" w:right="740" w:firstLine="292"/>
        <w:spacing w:after="0" w:line="247" w:lineRule="auto"/>
        <w:rPr>
          <w:sz w:val="20"/>
          <w:szCs w:val="20"/>
          <w:color w:val="auto"/>
        </w:rPr>
      </w:pPr>
      <w:r>
        <w:rPr>
          <w:rFonts w:ascii="Arial" w:cs="Arial" w:eastAsia="Arial" w:hAnsi="Arial"/>
          <w:sz w:val="20"/>
          <w:szCs w:val="20"/>
          <w:color w:val="auto"/>
        </w:rPr>
        <w:t>The following table presents potentially dilutive securities excluded from the computation of diluted net loss per share for the periods presented because its effects would have been anti-dilutive.</w:t>
      </w:r>
    </w:p>
    <w:p>
      <w:pPr>
        <w:sectPr>
          <w:pgSz w:w="11900" w:h="16838" w:orient="portrait"/>
          <w:cols w:equalWidth="0" w:num="1">
            <w:col w:w="11442"/>
          </w:cols>
          <w:pgMar w:left="238" w:top="12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color w:val="auto"/>
        </w:rPr>
        <w:t>Unvested RSUs(1)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955" cy="123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955" cy="123825"/>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6"/>
          <w:szCs w:val="16"/>
          <w:color w:val="auto"/>
        </w:rPr>
        <w:t>Class B shares(2)</w:t>
      </w:r>
    </w:p>
    <w:p>
      <w:pPr>
        <w:spacing w:after="0" w:line="11" w:lineRule="exact"/>
        <w:rPr>
          <w:sz w:val="20"/>
          <w:szCs w:val="20"/>
          <w:color w:val="auto"/>
        </w:rPr>
      </w:pPr>
    </w:p>
    <w:p>
      <w:pPr>
        <w:ind w:left="2"/>
        <w:spacing w:after="0"/>
        <w:rPr>
          <w:sz w:val="20"/>
          <w:szCs w:val="20"/>
          <w:color w:val="auto"/>
        </w:rPr>
      </w:pPr>
      <w:r>
        <w:rPr>
          <w:rFonts w:ascii="Arial" w:cs="Arial" w:eastAsia="Arial" w:hAnsi="Arial"/>
          <w:sz w:val="16"/>
          <w:szCs w:val="16"/>
          <w:color w:val="auto"/>
        </w:rPr>
        <w:t>Shannon Equity Agreement shares(3)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955"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13906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0915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1565" cy="15240"/>
                    </a:xfrm>
                    <a:prstGeom prst="rect">
                      <a:avLst/>
                    </a:prstGeom>
                    <a:noFill/>
                  </pic:spPr>
                </pic:pic>
              </a:graphicData>
            </a:graphic>
          </wp:anchor>
        </w:drawing>
      </w:r>
    </w:p>
    <w:p>
      <w:pPr>
        <w:spacing w:after="0" w:line="288" w:lineRule="exact"/>
        <w:rPr>
          <w:sz w:val="20"/>
          <w:szCs w:val="20"/>
          <w:color w:val="auto"/>
        </w:rPr>
      </w:pPr>
    </w:p>
    <w:p>
      <w:pPr>
        <w:ind w:left="302" w:hanging="302"/>
        <w:spacing w:after="0"/>
        <w:tabs>
          <w:tab w:leader="none" w:pos="302"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number of instruments outstanding at the end of the period.</w:t>
      </w:r>
    </w:p>
    <w:p>
      <w:pPr>
        <w:spacing w:after="0" w:line="22" w:lineRule="exact"/>
        <w:rPr>
          <w:rFonts w:ascii="Arial" w:cs="Arial" w:eastAsia="Arial" w:hAnsi="Arial"/>
          <w:sz w:val="16"/>
          <w:szCs w:val="16"/>
          <w:color w:val="auto"/>
        </w:rPr>
      </w:pPr>
    </w:p>
    <w:p>
      <w:pPr>
        <w:ind w:left="302" w:hanging="302"/>
        <w:spacing w:after="0"/>
        <w:tabs>
          <w:tab w:leader="none" w:pos="302" w:val="left"/>
        </w:tabs>
        <w:numPr>
          <w:ilvl w:val="0"/>
          <w:numId w:val="23"/>
        </w:numPr>
        <w:rPr>
          <w:rFonts w:ascii="Arial" w:cs="Arial" w:eastAsia="Arial" w:hAnsi="Arial"/>
          <w:sz w:val="14"/>
          <w:szCs w:val="14"/>
          <w:color w:val="auto"/>
        </w:rPr>
      </w:pPr>
      <w:r>
        <w:rPr>
          <w:rFonts w:ascii="Arial" w:cs="Arial" w:eastAsia="Arial" w:hAnsi="Arial"/>
          <w:sz w:val="14"/>
          <w:szCs w:val="14"/>
          <w:color w:val="auto"/>
        </w:rPr>
        <w:t>Class B shares at the end of the period are considered potentially dilutive Class A shares.</w:t>
      </w:r>
    </w:p>
    <w:p>
      <w:pPr>
        <w:spacing w:after="0" w:line="34" w:lineRule="exact"/>
        <w:rPr>
          <w:rFonts w:ascii="Arial" w:cs="Arial" w:eastAsia="Arial" w:hAnsi="Arial"/>
          <w:sz w:val="14"/>
          <w:szCs w:val="14"/>
          <w:color w:val="auto"/>
        </w:rPr>
      </w:pPr>
    </w:p>
    <w:p>
      <w:pPr>
        <w:ind w:left="302" w:hanging="302"/>
        <w:spacing w:after="0"/>
        <w:tabs>
          <w:tab w:leader="none" w:pos="302" w:val="left"/>
        </w:tabs>
        <w:numPr>
          <w:ilvl w:val="0"/>
          <w:numId w:val="23"/>
        </w:numPr>
        <w:rPr>
          <w:rFonts w:ascii="Arial" w:cs="Arial" w:eastAsia="Arial" w:hAnsi="Arial"/>
          <w:sz w:val="15"/>
          <w:szCs w:val="15"/>
          <w:color w:val="auto"/>
        </w:rPr>
      </w:pPr>
      <w:r>
        <w:rPr>
          <w:rFonts w:ascii="Arial" w:cs="Arial" w:eastAsia="Arial" w:hAnsi="Arial"/>
          <w:sz w:val="15"/>
          <w:szCs w:val="15"/>
          <w:color w:val="auto"/>
        </w:rPr>
        <w:t>Class A shares that would be issued in relation to the Shannon LNG Equity agreement.</w:t>
      </w:r>
    </w:p>
    <w:p>
      <w:pPr>
        <w:spacing w:after="0" w:line="2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19. Share-based compensation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September 30,</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7620</wp:posOffset>
            </wp:positionV>
            <wp:extent cx="7200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1524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3,875,081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145,057,375</w:t>
      </w:r>
    </w:p>
    <w:p>
      <w:pPr>
        <w:spacing w:after="0" w:line="1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932,914</w:t>
      </w:r>
    </w:p>
    <w:p>
      <w:pPr>
        <w:spacing w:after="0" w:line="2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149,865,370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15240</wp:posOffset>
            </wp:positionV>
            <wp:extent cx="7200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762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38100</wp:posOffset>
            </wp:positionV>
            <wp:extent cx="7200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1487" w:lineRule="exact"/>
        <w:rPr>
          <w:sz w:val="20"/>
          <w:szCs w:val="20"/>
          <w:color w:val="auto"/>
        </w:rPr>
      </w:pPr>
    </w:p>
    <w:p>
      <w:pPr>
        <w:sectPr>
          <w:pgSz w:w="11900" w:h="16838" w:orient="portrait"/>
          <w:cols w:equalWidth="0" w:num="2">
            <w:col w:w="9542" w:space="720"/>
            <w:col w:w="1180"/>
          </w:cols>
          <w:pgMar w:left="238" w:top="124" w:right="219" w:bottom="1440" w:gutter="0" w:footer="0" w:header="0"/>
          <w:type w:val="continuous"/>
        </w:sectPr>
      </w:pPr>
    </w:p>
    <w:p>
      <w:pPr>
        <w:spacing w:after="0" w:line="28" w:lineRule="exact"/>
        <w:rPr>
          <w:sz w:val="20"/>
          <w:szCs w:val="20"/>
          <w:color w:val="auto"/>
        </w:rPr>
      </w:pPr>
    </w:p>
    <w:p>
      <w:pPr>
        <w:ind w:left="2" w:right="160" w:firstLine="292"/>
        <w:spacing w:after="0" w:line="247" w:lineRule="auto"/>
        <w:rPr>
          <w:sz w:val="20"/>
          <w:szCs w:val="20"/>
          <w:color w:val="auto"/>
        </w:rPr>
      </w:pPr>
      <w:r>
        <w:rPr>
          <w:rFonts w:ascii="Arial" w:cs="Arial" w:eastAsia="Arial" w:hAnsi="Arial"/>
          <w:sz w:val="20"/>
          <w:szCs w:val="20"/>
          <w:color w:val="auto"/>
        </w:rPr>
        <w:t>During the nine months ended September 30, 2019, the Company granted RSUs to select officers, employees, non-employee members of the board of directors, and select non-employees under the Incentive Plan.</w:t>
      </w:r>
    </w:p>
    <w:p>
      <w:pPr>
        <w:spacing w:after="0" w:line="185" w:lineRule="exact"/>
        <w:rPr>
          <w:sz w:val="20"/>
          <w:szCs w:val="20"/>
          <w:color w:val="auto"/>
        </w:rPr>
      </w:pPr>
    </w:p>
    <w:p>
      <w:pPr>
        <w:jc w:val="both"/>
        <w:ind w:left="2" w:right="440" w:firstLine="292"/>
        <w:spacing w:after="0" w:line="238" w:lineRule="auto"/>
        <w:rPr>
          <w:sz w:val="20"/>
          <w:szCs w:val="20"/>
          <w:color w:val="auto"/>
        </w:rPr>
      </w:pPr>
      <w:r>
        <w:rPr>
          <w:rFonts w:ascii="Arial" w:cs="Arial" w:eastAsia="Arial" w:hAnsi="Arial"/>
          <w:sz w:val="20"/>
          <w:szCs w:val="20"/>
          <w:color w:val="auto"/>
        </w:rPr>
        <w:t>The Company estimates the fair value of RSUs on the grant date based on the closing price of the underlying shares on the grant date and other fair value adjustments to account for a post-vesting holding period. These fair value adjustments were estimated based on the Finnerty model.</w:t>
      </w:r>
    </w:p>
    <w:p>
      <w:pPr>
        <w:spacing w:after="0" w:line="193" w:lineRule="exact"/>
        <w:rPr>
          <w:sz w:val="20"/>
          <w:szCs w:val="20"/>
          <w:color w:val="auto"/>
        </w:rPr>
      </w:pPr>
    </w:p>
    <w:p>
      <w:pPr>
        <w:ind w:left="302"/>
        <w:spacing w:after="0"/>
        <w:rPr>
          <w:sz w:val="20"/>
          <w:szCs w:val="20"/>
          <w:color w:val="auto"/>
        </w:rPr>
      </w:pPr>
      <w:r>
        <w:rPr>
          <w:rFonts w:ascii="Arial" w:cs="Arial" w:eastAsia="Arial" w:hAnsi="Arial"/>
          <w:sz w:val="20"/>
          <w:szCs w:val="20"/>
          <w:color w:val="auto"/>
        </w:rPr>
        <w:t>The following table summarizes the RSU activity for the nine months ended September 30, 2019:</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Weighted-</w:t>
            </w:r>
          </w:p>
        </w:tc>
      </w:tr>
      <w:tr>
        <w:trPr>
          <w:trHeight w:val="195"/>
        </w:trPr>
        <w:tc>
          <w:tcPr>
            <w:tcW w:w="8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average grant</w:t>
            </w:r>
          </w:p>
        </w:tc>
      </w:tr>
      <w:tr>
        <w:trPr>
          <w:trHeight w:val="195"/>
        </w:trPr>
        <w:tc>
          <w:tcPr>
            <w:tcW w:w="880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Restricted</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date fair value</w:t>
            </w:r>
          </w:p>
        </w:tc>
      </w:tr>
      <w:tr>
        <w:trPr>
          <w:trHeight w:val="216"/>
        </w:trPr>
        <w:tc>
          <w:tcPr>
            <w:tcW w:w="88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 share</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Non-vested RSUs as of December 31,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5,404,823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13.48</w:t>
            </w:r>
          </w:p>
        </w:tc>
      </w:t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Vested and shares issued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(1,284,383)</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13.53</w:t>
            </w:r>
          </w:p>
        </w:tc>
      </w:tr>
      <w:tr>
        <w:trPr>
          <w:trHeight w:val="199"/>
        </w:trPr>
        <w:tc>
          <w:tcPr>
            <w:tcW w:w="880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(245,359)</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13.51</w:t>
            </w:r>
          </w:p>
        </w:tc>
      </w:tr>
      <w:tr>
        <w:trPr>
          <w:trHeight w:val="235"/>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RSUs as of September 30,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3,875,081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ind w:left="2" w:right="100" w:firstLine="292"/>
        <w:spacing w:after="0" w:line="266" w:lineRule="auto"/>
        <w:rPr>
          <w:sz w:val="20"/>
          <w:szCs w:val="20"/>
          <w:color w:val="auto"/>
        </w:rPr>
      </w:pPr>
      <w:r>
        <w:rPr>
          <w:rFonts w:ascii="Arial" w:cs="Arial" w:eastAsia="Arial" w:hAnsi="Arial"/>
          <w:sz w:val="18"/>
          <w:szCs w:val="18"/>
          <w:color w:val="auto"/>
        </w:rPr>
        <w:t>During the nine months ended September 30, 2019, the Company recognized a compensation expense of $36,075 of which $35,483 and $592 are recorded in Selling, general and administrative and Operations and maintenance, respectively. During the three months ended September 30, 2019, the Company recognized a compensation expense of $8,067, of which $7,804 and $263 are recorded in Selling, general and administrative and Operations and maintenance, respectively. The Company recognizes the income tax benefits resulting from vesting of RSUs in the period they vest, to the extent the compensation expense has been recognized.</w:t>
      </w:r>
    </w:p>
    <w:p>
      <w:pPr>
        <w:spacing w:after="0" w:line="169" w:lineRule="exact"/>
        <w:rPr>
          <w:sz w:val="20"/>
          <w:szCs w:val="20"/>
          <w:color w:val="auto"/>
        </w:rPr>
      </w:pPr>
    </w:p>
    <w:p>
      <w:pPr>
        <w:ind w:left="302"/>
        <w:spacing w:after="0"/>
        <w:rPr>
          <w:sz w:val="20"/>
          <w:szCs w:val="20"/>
          <w:color w:val="auto"/>
        </w:rPr>
      </w:pPr>
      <w:r>
        <w:rPr>
          <w:rFonts w:ascii="Arial" w:cs="Arial" w:eastAsia="Arial" w:hAnsi="Arial"/>
          <w:sz w:val="18"/>
          <w:szCs w:val="18"/>
          <w:color w:val="auto"/>
        </w:rPr>
        <w:t>For the nine months ended September 30, 2019, cumulative compensation expense recognized for forfeited awards of $249 was reversed.</w:t>
      </w:r>
    </w:p>
    <w:p>
      <w:pPr>
        <w:spacing w:after="0" w:line="232" w:lineRule="exact"/>
        <w:rPr>
          <w:sz w:val="20"/>
          <w:szCs w:val="20"/>
          <w:color w:val="auto"/>
        </w:rPr>
      </w:pPr>
    </w:p>
    <w:p>
      <w:pPr>
        <w:ind w:left="2" w:right="260" w:firstLine="292"/>
        <w:spacing w:after="0" w:line="278" w:lineRule="auto"/>
        <w:rPr>
          <w:sz w:val="20"/>
          <w:szCs w:val="20"/>
          <w:color w:val="auto"/>
        </w:rPr>
      </w:pPr>
      <w:r>
        <w:rPr>
          <w:rFonts w:ascii="Arial" w:cs="Arial" w:eastAsia="Arial" w:hAnsi="Arial"/>
          <w:sz w:val="18"/>
          <w:szCs w:val="18"/>
          <w:color w:val="auto"/>
        </w:rPr>
        <w:t>As of September 30, 2019, the Company had 3,875,081 non-vested RSUs subject to service conditions and therefore had unrecognized compensation costs of approximately $33,419. The non-vested RSUs will vest over a period from ten months to three years following the grant date. The weighted-average remaining vesting period of non-vested RSUs totaled 1.27 years as of September 30, 2019.</w:t>
      </w:r>
    </w:p>
    <w:p>
      <w:pPr>
        <w:spacing w:after="0" w:line="33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124" w:right="219" w:bottom="1440" w:gutter="0" w:footer="0" w:header="0"/>
          <w:type w:val="continuous"/>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Leases, as lessee</w:t>
      </w:r>
    </w:p>
    <w:p>
      <w:pPr>
        <w:spacing w:after="0" w:line="228" w:lineRule="exact"/>
        <w:rPr>
          <w:sz w:val="20"/>
          <w:szCs w:val="20"/>
          <w:color w:val="auto"/>
        </w:rPr>
      </w:pPr>
    </w:p>
    <w:p>
      <w:pPr>
        <w:ind w:right="80" w:firstLine="292"/>
        <w:spacing w:after="0" w:line="236" w:lineRule="auto"/>
        <w:rPr>
          <w:sz w:val="20"/>
          <w:szCs w:val="20"/>
          <w:color w:val="auto"/>
        </w:rPr>
      </w:pPr>
      <w:r>
        <w:rPr>
          <w:rFonts w:ascii="Arial" w:cs="Arial" w:eastAsia="Arial" w:hAnsi="Arial"/>
          <w:sz w:val="20"/>
          <w:szCs w:val="20"/>
          <w:color w:val="auto"/>
        </w:rPr>
        <w:t>During the three months ended September 30, 2019 and 2018, the Company recognized rental expense for all operating leases of $10,947 and $5,536, respectively. During the nine months ended September 30, 2019 and 2018, the Company recognized rental expense for all operating leases of $28,323 and $16,831, respectively. These operating leases were related primarily to LNG vessel time charters, office space, a land site lease and marine port berth leases as detailed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6"/>
                <w:szCs w:val="16"/>
                <w:b w:val="1"/>
                <w:bCs w:val="1"/>
                <w:color w:val="auto"/>
              </w:rPr>
              <w:t>Lease</w:t>
            </w:r>
          </w:p>
        </w:tc>
        <w:tc>
          <w:tcPr>
            <w:tcW w:w="120" w:type="dxa"/>
            <w:vAlign w:val="bottom"/>
          </w:tcPr>
          <w:p>
            <w:pPr>
              <w:spacing w:after="0"/>
              <w:rPr>
                <w:sz w:val="18"/>
                <w:szCs w:val="18"/>
                <w:color w:val="auto"/>
              </w:rPr>
            </w:pPr>
          </w:p>
        </w:tc>
        <w:tc>
          <w:tcPr>
            <w:tcW w:w="5700" w:type="dxa"/>
            <w:vAlign w:val="bottom"/>
            <w:gridSpan w:val="2"/>
          </w:tcPr>
          <w:p>
            <w:pPr>
              <w:ind w:left="2600"/>
              <w:spacing w:after="0"/>
              <w:rPr>
                <w:sz w:val="20"/>
                <w:szCs w:val="20"/>
                <w:color w:val="auto"/>
              </w:rPr>
            </w:pPr>
            <w:r>
              <w:rPr>
                <w:rFonts w:ascii="Arial" w:cs="Arial" w:eastAsia="Arial" w:hAnsi="Arial"/>
                <w:sz w:val="16"/>
                <w:szCs w:val="16"/>
                <w:b w:val="1"/>
                <w:bCs w:val="1"/>
                <w:color w:val="auto"/>
              </w:rPr>
              <w:t>Term</w:t>
            </w:r>
          </w:p>
        </w:tc>
        <w:tc>
          <w:tcPr>
            <w:tcW w:w="2860" w:type="dxa"/>
            <w:vAlign w:val="bottom"/>
          </w:tcPr>
          <w:p>
            <w:pPr>
              <w:ind w:left="880"/>
              <w:spacing w:after="0"/>
              <w:rPr>
                <w:sz w:val="20"/>
                <w:szCs w:val="20"/>
                <w:color w:val="auto"/>
              </w:rPr>
            </w:pPr>
            <w:r>
              <w:rPr>
                <w:rFonts w:ascii="Arial" w:cs="Arial" w:eastAsia="Arial" w:hAnsi="Arial"/>
                <w:sz w:val="16"/>
                <w:szCs w:val="16"/>
                <w:b w:val="1"/>
                <w:bCs w:val="1"/>
                <w:color w:val="auto"/>
              </w:rPr>
              <w:t>Rent Escalation</w:t>
            </w:r>
          </w:p>
        </w:tc>
      </w:tr>
      <w:tr>
        <w:trPr>
          <w:trHeight w:val="195"/>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Land site lease(1)</w:t>
            </w:r>
          </w:p>
        </w:tc>
        <w:tc>
          <w:tcPr>
            <w:tcW w:w="1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 year initial term; 5 year renewal option</w:t>
            </w:r>
          </w:p>
        </w:tc>
        <w:tc>
          <w:tcPr>
            <w:tcW w:w="1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2.5% per annum</w:t>
            </w:r>
          </w:p>
        </w:tc>
      </w:tr>
      <w:tr>
        <w:trPr>
          <w:trHeight w:val="195"/>
        </w:trPr>
        <w:tc>
          <w:tcPr>
            <w:tcW w:w="2760" w:type="dxa"/>
            <w:vAlign w:val="bottom"/>
          </w:tcPr>
          <w:p>
            <w:pPr>
              <w:spacing w:after="0"/>
              <w:rPr>
                <w:sz w:val="20"/>
                <w:szCs w:val="20"/>
                <w:color w:val="auto"/>
              </w:rPr>
            </w:pPr>
            <w:r>
              <w:rPr>
                <w:rFonts w:ascii="Arial" w:cs="Arial" w:eastAsia="Arial" w:hAnsi="Arial"/>
                <w:sz w:val="16"/>
                <w:szCs w:val="16"/>
                <w:color w:val="auto"/>
              </w:rPr>
              <w:t>Marine port berth lease</w:t>
            </w:r>
          </w:p>
        </w:tc>
        <w:tc>
          <w:tcPr>
            <w:tcW w:w="5820" w:type="dxa"/>
            <w:vAlign w:val="bottom"/>
            <w:gridSpan w:val="3"/>
          </w:tcPr>
          <w:p>
            <w:pPr>
              <w:ind w:left="120"/>
              <w:spacing w:after="0"/>
              <w:rPr>
                <w:sz w:val="20"/>
                <w:szCs w:val="20"/>
                <w:color w:val="auto"/>
              </w:rPr>
            </w:pPr>
            <w:r>
              <w:rPr>
                <w:rFonts w:ascii="Arial" w:cs="Arial" w:eastAsia="Arial" w:hAnsi="Arial"/>
                <w:sz w:val="16"/>
                <w:szCs w:val="16"/>
                <w:color w:val="auto"/>
              </w:rPr>
              <w:t>10 year initial term; annual renewal option for up to 10 years</w:t>
            </w:r>
          </w:p>
        </w:tc>
        <w:tc>
          <w:tcPr>
            <w:tcW w:w="2860" w:type="dxa"/>
            <w:vAlign w:val="bottom"/>
          </w:tcPr>
          <w:p>
            <w:pPr>
              <w:spacing w:after="0"/>
              <w:rPr>
                <w:sz w:val="20"/>
                <w:szCs w:val="20"/>
                <w:color w:val="auto"/>
              </w:rPr>
            </w:pPr>
            <w:r>
              <w:rPr>
                <w:rFonts w:ascii="Arial" w:cs="Arial" w:eastAsia="Arial" w:hAnsi="Arial"/>
                <w:sz w:val="16"/>
                <w:szCs w:val="16"/>
                <w:color w:val="auto"/>
              </w:rPr>
              <w:t>15% after year 5</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Marine port berth lease</w:t>
            </w: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20 year initial term; no renewal option</w:t>
            </w: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 escalation</w:t>
            </w:r>
          </w:p>
        </w:tc>
      </w:tr>
      <w:tr>
        <w:trPr>
          <w:trHeight w:val="195"/>
        </w:trPr>
        <w:tc>
          <w:tcPr>
            <w:tcW w:w="2760" w:type="dxa"/>
            <w:vAlign w:val="bottom"/>
          </w:tcPr>
          <w:p>
            <w:pPr>
              <w:spacing w:after="0"/>
              <w:rPr>
                <w:sz w:val="20"/>
                <w:szCs w:val="20"/>
                <w:color w:val="auto"/>
              </w:rPr>
            </w:pPr>
            <w:r>
              <w:rPr>
                <w:rFonts w:ascii="Arial" w:cs="Arial" w:eastAsia="Arial" w:hAnsi="Arial"/>
                <w:sz w:val="16"/>
                <w:szCs w:val="16"/>
                <w:color w:val="auto"/>
              </w:rPr>
              <w:t>Marine port berth lease</w:t>
            </w:r>
          </w:p>
        </w:tc>
        <w:tc>
          <w:tcPr>
            <w:tcW w:w="5820" w:type="dxa"/>
            <w:vAlign w:val="bottom"/>
            <w:gridSpan w:val="3"/>
          </w:tcPr>
          <w:p>
            <w:pPr>
              <w:ind w:left="120"/>
              <w:spacing w:after="0"/>
              <w:rPr>
                <w:sz w:val="20"/>
                <w:szCs w:val="20"/>
                <w:color w:val="auto"/>
              </w:rPr>
            </w:pPr>
            <w:r>
              <w:rPr>
                <w:rFonts w:ascii="Arial" w:cs="Arial" w:eastAsia="Arial" w:hAnsi="Arial"/>
                <w:sz w:val="16"/>
                <w:szCs w:val="16"/>
                <w:color w:val="auto"/>
              </w:rPr>
              <w:t>25 year initial term; 20 year renewal option</w:t>
            </w:r>
          </w:p>
        </w:tc>
        <w:tc>
          <w:tcPr>
            <w:tcW w:w="2860" w:type="dxa"/>
            <w:vAlign w:val="bottom"/>
          </w:tcPr>
          <w:p>
            <w:pPr>
              <w:spacing w:after="0"/>
              <w:rPr>
                <w:sz w:val="20"/>
                <w:szCs w:val="20"/>
                <w:color w:val="auto"/>
              </w:rPr>
            </w:pPr>
            <w:r>
              <w:rPr>
                <w:rFonts w:ascii="Arial" w:cs="Arial" w:eastAsia="Arial" w:hAnsi="Arial"/>
                <w:sz w:val="16"/>
                <w:szCs w:val="16"/>
                <w:color w:val="auto"/>
              </w:rPr>
              <w:t>No escalation</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LNG vessel time charter</w:t>
            </w: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24 month initial term; 3 month renewal option</w:t>
            </w: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 escalation</w:t>
            </w:r>
          </w:p>
        </w:tc>
      </w:tr>
      <w:tr>
        <w:trPr>
          <w:trHeight w:val="195"/>
        </w:trPr>
        <w:tc>
          <w:tcPr>
            <w:tcW w:w="2760" w:type="dxa"/>
            <w:vAlign w:val="bottom"/>
          </w:tcPr>
          <w:p>
            <w:pPr>
              <w:spacing w:after="0"/>
              <w:rPr>
                <w:sz w:val="20"/>
                <w:szCs w:val="20"/>
                <w:color w:val="auto"/>
              </w:rPr>
            </w:pPr>
            <w:r>
              <w:rPr>
                <w:rFonts w:ascii="Arial" w:cs="Arial" w:eastAsia="Arial" w:hAnsi="Arial"/>
                <w:sz w:val="16"/>
                <w:szCs w:val="16"/>
                <w:color w:val="auto"/>
              </w:rPr>
              <w:t>LNG vessel time charter</w:t>
            </w:r>
          </w:p>
        </w:tc>
        <w:tc>
          <w:tcPr>
            <w:tcW w:w="5820" w:type="dxa"/>
            <w:vAlign w:val="bottom"/>
            <w:gridSpan w:val="3"/>
          </w:tcPr>
          <w:p>
            <w:pPr>
              <w:ind w:left="120"/>
              <w:spacing w:after="0"/>
              <w:rPr>
                <w:sz w:val="20"/>
                <w:szCs w:val="20"/>
                <w:color w:val="auto"/>
              </w:rPr>
            </w:pPr>
            <w:r>
              <w:rPr>
                <w:rFonts w:ascii="Arial" w:cs="Arial" w:eastAsia="Arial" w:hAnsi="Arial"/>
                <w:sz w:val="16"/>
                <w:szCs w:val="16"/>
                <w:color w:val="auto"/>
              </w:rPr>
              <w:t>7 year initial term; no renewal option</w:t>
            </w:r>
          </w:p>
        </w:tc>
        <w:tc>
          <w:tcPr>
            <w:tcW w:w="2860" w:type="dxa"/>
            <w:vAlign w:val="bottom"/>
          </w:tcPr>
          <w:p>
            <w:pPr>
              <w:spacing w:after="0"/>
              <w:rPr>
                <w:sz w:val="20"/>
                <w:szCs w:val="20"/>
                <w:color w:val="auto"/>
              </w:rPr>
            </w:pPr>
            <w:r>
              <w:rPr>
                <w:rFonts w:ascii="Arial" w:cs="Arial" w:eastAsia="Arial" w:hAnsi="Arial"/>
                <w:sz w:val="16"/>
                <w:szCs w:val="16"/>
                <w:color w:val="auto"/>
              </w:rPr>
              <w:t>2% per annum after year 3</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LNG vessel time charter</w:t>
            </w: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15 year initial term; non-cancellable for the first 3 years; 5 year renewal option</w:t>
            </w: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 escalation</w:t>
            </w:r>
          </w:p>
        </w:tc>
      </w:tr>
      <w:tr>
        <w:trPr>
          <w:trHeight w:val="195"/>
        </w:trPr>
        <w:tc>
          <w:tcPr>
            <w:tcW w:w="2760" w:type="dxa"/>
            <w:vAlign w:val="bottom"/>
          </w:tcPr>
          <w:p>
            <w:pPr>
              <w:spacing w:after="0"/>
              <w:rPr>
                <w:sz w:val="20"/>
                <w:szCs w:val="20"/>
                <w:color w:val="auto"/>
              </w:rPr>
            </w:pPr>
            <w:r>
              <w:rPr>
                <w:rFonts w:ascii="Arial" w:cs="Arial" w:eastAsia="Arial" w:hAnsi="Arial"/>
                <w:sz w:val="16"/>
                <w:szCs w:val="16"/>
                <w:color w:val="auto"/>
              </w:rPr>
              <w:t>LNG vessel time charter</w:t>
            </w:r>
          </w:p>
        </w:tc>
        <w:tc>
          <w:tcPr>
            <w:tcW w:w="5820" w:type="dxa"/>
            <w:vAlign w:val="bottom"/>
            <w:gridSpan w:val="3"/>
          </w:tcPr>
          <w:p>
            <w:pPr>
              <w:ind w:left="120"/>
              <w:spacing w:after="0"/>
              <w:rPr>
                <w:sz w:val="20"/>
                <w:szCs w:val="20"/>
                <w:color w:val="auto"/>
              </w:rPr>
            </w:pPr>
            <w:r>
              <w:rPr>
                <w:rFonts w:ascii="Arial" w:cs="Arial" w:eastAsia="Arial" w:hAnsi="Arial"/>
                <w:sz w:val="16"/>
                <w:szCs w:val="16"/>
                <w:color w:val="auto"/>
              </w:rPr>
              <w:t>3 year initial term; no renewal option</w:t>
            </w:r>
          </w:p>
        </w:tc>
        <w:tc>
          <w:tcPr>
            <w:tcW w:w="2860" w:type="dxa"/>
            <w:vAlign w:val="bottom"/>
          </w:tcPr>
          <w:p>
            <w:pPr>
              <w:spacing w:after="0"/>
              <w:rPr>
                <w:sz w:val="20"/>
                <w:szCs w:val="20"/>
                <w:color w:val="auto"/>
              </w:rPr>
            </w:pPr>
            <w:r>
              <w:rPr>
                <w:rFonts w:ascii="Arial" w:cs="Arial" w:eastAsia="Arial" w:hAnsi="Arial"/>
                <w:sz w:val="16"/>
                <w:szCs w:val="16"/>
                <w:color w:val="auto"/>
              </w:rPr>
              <w:t>No escalation</w:t>
            </w: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Office space lease</w:t>
            </w: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7 year initial term; two 5-year renewal options</w:t>
            </w: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3% per annum</w:t>
            </w:r>
          </w:p>
        </w:tc>
      </w:tr>
      <w:tr>
        <w:trPr>
          <w:trHeight w:val="207"/>
        </w:trPr>
        <w:tc>
          <w:tcPr>
            <w:tcW w:w="2760" w:type="dxa"/>
            <w:vAlign w:val="bottom"/>
          </w:tcPr>
          <w:p>
            <w:pPr>
              <w:spacing w:after="0"/>
              <w:rPr>
                <w:sz w:val="20"/>
                <w:szCs w:val="20"/>
                <w:color w:val="auto"/>
              </w:rPr>
            </w:pPr>
            <w:r>
              <w:rPr>
                <w:rFonts w:ascii="Arial" w:cs="Arial" w:eastAsia="Arial" w:hAnsi="Arial"/>
                <w:sz w:val="16"/>
                <w:szCs w:val="16"/>
                <w:color w:val="auto"/>
              </w:rPr>
              <w:t>Office space lease</w:t>
            </w:r>
          </w:p>
        </w:tc>
        <w:tc>
          <w:tcPr>
            <w:tcW w:w="5820" w:type="dxa"/>
            <w:vAlign w:val="bottom"/>
            <w:gridSpan w:val="3"/>
          </w:tcPr>
          <w:p>
            <w:pPr>
              <w:ind w:left="120"/>
              <w:spacing w:after="0"/>
              <w:rPr>
                <w:sz w:val="20"/>
                <w:szCs w:val="20"/>
                <w:color w:val="auto"/>
              </w:rPr>
            </w:pPr>
            <w:r>
              <w:rPr>
                <w:rFonts w:ascii="Arial" w:cs="Arial" w:eastAsia="Arial" w:hAnsi="Arial"/>
                <w:sz w:val="16"/>
                <w:szCs w:val="16"/>
                <w:color w:val="auto"/>
              </w:rPr>
              <w:t>1 year renewal option</w:t>
            </w:r>
          </w:p>
        </w:tc>
        <w:tc>
          <w:tcPr>
            <w:tcW w:w="2860" w:type="dxa"/>
            <w:vAlign w:val="bottom"/>
          </w:tcPr>
          <w:p>
            <w:pPr>
              <w:spacing w:after="0"/>
              <w:rPr>
                <w:sz w:val="20"/>
                <w:szCs w:val="20"/>
                <w:color w:val="auto"/>
              </w:rPr>
            </w:pPr>
            <w:r>
              <w:rPr>
                <w:rFonts w:ascii="Arial" w:cs="Arial" w:eastAsia="Arial" w:hAnsi="Arial"/>
                <w:sz w:val="16"/>
                <w:szCs w:val="16"/>
                <w:color w:val="auto"/>
              </w:rPr>
              <w:t>5% per annum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10915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1565" cy="152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(1) Refer to “Note 21. Related party transactions” for additional detail.</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Related party transactions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Management and administrative services</w:t>
      </w:r>
    </w:p>
    <w:p>
      <w:pPr>
        <w:spacing w:after="0" w:line="209" w:lineRule="exact"/>
        <w:rPr>
          <w:sz w:val="20"/>
          <w:szCs w:val="20"/>
          <w:color w:val="auto"/>
        </w:rPr>
      </w:pPr>
    </w:p>
    <w:p>
      <w:pPr>
        <w:ind w:right="180" w:firstLine="292"/>
        <w:spacing w:after="0" w:line="261" w:lineRule="auto"/>
        <w:rPr>
          <w:sz w:val="20"/>
          <w:szCs w:val="20"/>
          <w:color w:val="auto"/>
        </w:rPr>
      </w:pPr>
      <w:r>
        <w:rPr>
          <w:rFonts w:ascii="Arial" w:cs="Arial" w:eastAsia="Arial" w:hAnsi="Arial"/>
          <w:sz w:val="18"/>
          <w:szCs w:val="18"/>
          <w:color w:val="auto"/>
        </w:rPr>
        <w:t>In the ordinary course of business, Fortress Investment Group LLC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$1,952 and $1,004 for the three months ended September 30, 2019 and 2018, respectively and $6,472 and $2,235 for the nine months ended September 30, 2019 and 2018, respectively. Costs associated with the Management Agreement and Administrative Agreement are included within Selling, general and administrative in the condensed consolidated statements of operations and comprehensive loss.</w:t>
      </w:r>
    </w:p>
    <w:p>
      <w:pPr>
        <w:spacing w:after="0" w:line="174" w:lineRule="exact"/>
        <w:rPr>
          <w:sz w:val="20"/>
          <w:szCs w:val="20"/>
          <w:color w:val="auto"/>
        </w:rPr>
      </w:pPr>
    </w:p>
    <w:p>
      <w:pPr>
        <w:ind w:right="260" w:firstLine="292"/>
        <w:spacing w:after="0" w:line="236" w:lineRule="auto"/>
        <w:rPr>
          <w:sz w:val="20"/>
          <w:szCs w:val="20"/>
          <w:color w:val="auto"/>
        </w:rPr>
      </w:pPr>
      <w:r>
        <w:rPr>
          <w:rFonts w:ascii="Arial" w:cs="Arial" w:eastAsia="Arial" w:hAnsi="Arial"/>
          <w:sz w:val="20"/>
          <w:szCs w:val="20"/>
          <w:color w:val="auto"/>
        </w:rPr>
        <w:t>In addition to management and administrative services, an affiliate of Fortress owns and leases an aircraft chartered by the Company for business purposes in the course of operations. The Company incurred, at aircraft operator market rates, charter costs of $1,306 and $314 for the three months ended September 30, 2019 and 2018, respectively and charter costs of $2,931 and $905 for the nine months ended September 30, 2019 and 2018, respectively.</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September 30, 2019 and December 31, 2018, $7,045 and $3,579 were due to Fortress, respectively.</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Land and office lease</w:t>
      </w:r>
    </w:p>
    <w:p>
      <w:pPr>
        <w:spacing w:after="0" w:line="209" w:lineRule="exact"/>
        <w:rPr>
          <w:sz w:val="20"/>
          <w:szCs w:val="20"/>
          <w:color w:val="auto"/>
        </w:rPr>
      </w:pPr>
    </w:p>
    <w:p>
      <w:pPr>
        <w:ind w:right="20" w:firstLine="292"/>
        <w:spacing w:after="0" w:line="261" w:lineRule="auto"/>
        <w:rPr>
          <w:sz w:val="20"/>
          <w:szCs w:val="20"/>
          <w:color w:val="auto"/>
        </w:rPr>
      </w:pPr>
      <w:r>
        <w:rPr>
          <w:rFonts w:ascii="Arial" w:cs="Arial" w:eastAsia="Arial" w:hAnsi="Arial"/>
          <w:sz w:val="18"/>
          <w:szCs w:val="18"/>
          <w:color w:val="auto"/>
        </w:rPr>
        <w:t>The Company has historically leased land and office space from Florida East Coast Industries, LLC (“FECI”), an affiliate of the Company. In April 2019, FECI sold the office building to a non-affiliate, and as such, the lease of the office space is now no longer held with a related party. The expense for the land during the three months ended September 30, 2019 and 2018 totaled $76 and $71, respectively, which is included in Operations and maintenance. The expense for the period that the land and building was owned by a related party during the nine months ended September 30, 2019 and 2018 totaled $834 and $188, respectively, of which $386 and $0 was capitalized to Construction in progress, $223 and $0 related to the office lease and ancillary services is included in Selling, general and administrative, and $225 and $71 related to the land lease is included within Operations and maintenance, respectively in the condensed consolidated statements of operations and comprehensive loss. As of September 30, 2019 and December 31, 2018, $0 and $597 were due to FECI,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DevTech Investment</w:t>
      </w:r>
    </w:p>
    <w:p>
      <w:pPr>
        <w:spacing w:after="0" w:line="209" w:lineRule="exact"/>
        <w:rPr>
          <w:sz w:val="20"/>
          <w:szCs w:val="20"/>
          <w:color w:val="auto"/>
        </w:rPr>
      </w:pPr>
    </w:p>
    <w:p>
      <w:pPr>
        <w:ind w:right="20" w:firstLine="292"/>
        <w:spacing w:after="0" w:line="261" w:lineRule="auto"/>
        <w:rPr>
          <w:sz w:val="20"/>
          <w:szCs w:val="20"/>
          <w:color w:val="auto"/>
        </w:rPr>
      </w:pPr>
      <w:r>
        <w:rPr>
          <w:rFonts w:ascii="Arial" w:cs="Arial" w:eastAsia="Arial" w:hAnsi="Arial"/>
          <w:sz w:val="18"/>
          <w:szCs w:val="18"/>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also purchased 10% of a note payable due to an affiliate of the Company. As of September 30, 2019 and December 31, 2018, $1,073 and $755 was owed to DevTech on the note payable, respectively. The outstanding note payable due to DevTech is included in Other long-term liabilities on the condensed consolidated balance sheet as of September 30, 2019. For the three and nine months ended September 30, 2019, interest expense on the note payable due to DevTech was $25 and $71, respectively. As of September 30, 2019 and December 31, 2018, $665 and $365 was due from DevTech, respectively.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Fortress affiliated entities</w:t>
      </w:r>
    </w:p>
    <w:p>
      <w:pPr>
        <w:spacing w:after="0" w:line="209" w:lineRule="exact"/>
        <w:rPr>
          <w:sz w:val="20"/>
          <w:szCs w:val="20"/>
          <w:color w:val="auto"/>
        </w:rPr>
      </w:pPr>
    </w:p>
    <w:p>
      <w:pPr>
        <w:ind w:right="40" w:firstLine="292"/>
        <w:spacing w:after="0" w:line="234" w:lineRule="auto"/>
        <w:rPr>
          <w:sz w:val="20"/>
          <w:szCs w:val="20"/>
          <w:color w:val="auto"/>
        </w:rPr>
      </w:pPr>
      <w:r>
        <w:rPr>
          <w:rFonts w:ascii="Arial" w:cs="Arial" w:eastAsia="Arial" w:hAnsi="Arial"/>
          <w:sz w:val="20"/>
          <w:szCs w:val="20"/>
          <w:color w:val="auto"/>
        </w:rPr>
        <w:t>Since 2017, the Company has provided certain administrative services to related parties including Fortress Energy Partners that is billed on a yearly basis. As of September 30, 2019 and December 31, 2018, $601 and $525 were due from affiliates, respectively. There are no costs incurred by the Company as it is fully reimbursed, and there is currently a receivable outstanding. Additionally, Fortress affiliated entities provide certain administrative services to the Company. As of September 30, 2019 and December 31, 2018, $811 and $305 were due to Fortress affiliates, respectively.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Due to/from Affiliates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tables below summarizes the balances outstanding with affiliates at September 30, 2019 and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6"/>
        </w:trPr>
        <w:tc>
          <w:tcPr>
            <w:tcW w:w="37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affiliates</w:t>
            </w:r>
          </w:p>
        </w:tc>
        <w:tc>
          <w:tcPr>
            <w:tcW w:w="50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4"/>
              </w:rPr>
              <w:t>7,856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20" w:type="dxa"/>
            <w:vAlign w:val="bottom"/>
            <w:shd w:val="clear" w:color="auto" w:fill="CCEEFF"/>
          </w:tcPr>
          <w:p>
            <w:pPr>
              <w:spacing w:after="0"/>
              <w:rPr>
                <w:sz w:val="16"/>
                <w:szCs w:val="16"/>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Amounts due from affiliates</w:t>
            </w: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700"/>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890</w:t>
            </w:r>
          </w:p>
        </w:tc>
      </w:tr>
      <w:tr>
        <w:trPr>
          <w:trHeight w:val="526"/>
        </w:trPr>
        <w:tc>
          <w:tcPr>
            <w:tcW w:w="3740" w:type="dxa"/>
            <w:vAlign w:val="bottom"/>
          </w:tcPr>
          <w:p>
            <w:pPr>
              <w:spacing w:after="0"/>
              <w:rPr>
                <w:sz w:val="24"/>
                <w:szCs w:val="24"/>
                <w:color w:val="auto"/>
              </w:rPr>
            </w:pPr>
          </w:p>
        </w:tc>
        <w:tc>
          <w:tcPr>
            <w:tcW w:w="5060" w:type="dxa"/>
            <w:vAlign w:val="bottom"/>
          </w:tcPr>
          <w:p>
            <w:pPr>
              <w:jc w:val="right"/>
              <w:ind w:right="2955"/>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
        </w:trPr>
        <w:tc>
          <w:tcPr>
            <w:tcW w:w="374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8" w:lineRule="exact"/>
        <w:rPr>
          <w:sz w:val="20"/>
          <w:szCs w:val="20"/>
          <w:color w:val="auto"/>
        </w:rPr>
      </w:pPr>
    </w:p>
    <w:p>
      <w:pPr>
        <w:ind w:right="20" w:firstLine="292"/>
        <w:spacing w:after="0" w:line="261"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due to a variety of factors. This discussion and analysis includes information that is intended to provide investors with an understanding of our past performance and our current financial condition and is not necessarily indicative of our future performance. Please refer to “—Factors Impacting Comparability of Our Financial Results” for further discussion. The results of operations for interim periods are not necessarily indicative of the results that may be expected for any other interim period or for a full year.</w:t>
      </w:r>
    </w:p>
    <w:p>
      <w:pPr>
        <w:spacing w:after="0" w:line="174" w:lineRule="exact"/>
        <w:rPr>
          <w:sz w:val="20"/>
          <w:szCs w:val="20"/>
          <w:color w:val="auto"/>
        </w:rPr>
      </w:pPr>
    </w:p>
    <w:p>
      <w:pPr>
        <w:ind w:right="220" w:firstLine="292"/>
        <w:spacing w:after="0" w:line="270" w:lineRule="auto"/>
        <w:rPr>
          <w:sz w:val="20"/>
          <w:szCs w:val="20"/>
          <w:color w:val="auto"/>
        </w:rPr>
      </w:pPr>
      <w:r>
        <w:rPr>
          <w:rFonts w:ascii="Arial" w:cs="Arial" w:eastAsia="Arial" w:hAnsi="Arial"/>
          <w:sz w:val="18"/>
          <w:szCs w:val="18"/>
          <w:i w:val="1"/>
          <w:iCs w:val="1"/>
          <w:color w:val="auto"/>
        </w:rPr>
        <w:t>You should read “Part II, Item 1A. Risk Factors” and “Cautionary Statement on Forward Looking Statements” elsewhere in this Quarterly Report on Form 10-Q (“Quarterly Report”) and “Part I, Item 1A. Risk Factors” in the Annual Report on Form 10-K for the year ended December 31, 2018 (our “Annual Report”) for a discussion of important factors that could cause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ind w:right="80" w:firstLine="292"/>
        <w:spacing w:after="0" w:line="285"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and nine months ended September 30, 2019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w:t>
      </w:r>
    </w:p>
    <w:p>
      <w:pPr>
        <w:spacing w:after="0" w:line="156" w:lineRule="exact"/>
        <w:rPr>
          <w:sz w:val="20"/>
          <w:szCs w:val="20"/>
          <w:color w:val="auto"/>
        </w:rPr>
      </w:pPr>
    </w:p>
    <w:p>
      <w:pPr>
        <w:jc w:val="both"/>
        <w:ind w:firstLine="292"/>
        <w:spacing w:after="0" w:line="270"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 Unless otherwise indicated, dollar amounts are presented in thousands.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15" w:lineRule="exact"/>
        <w:rPr>
          <w:sz w:val="20"/>
          <w:szCs w:val="20"/>
          <w:color w:val="auto"/>
        </w:rPr>
      </w:pPr>
    </w:p>
    <w:p>
      <w:pPr>
        <w:ind w:right="180" w:firstLine="292"/>
        <w:spacing w:after="0" w:line="260" w:lineRule="auto"/>
        <w:rPr>
          <w:sz w:val="20"/>
          <w:szCs w:val="20"/>
          <w:color w:val="auto"/>
        </w:rPr>
      </w:pPr>
      <w:r>
        <w:rPr>
          <w:rFonts w:ascii="Arial" w:cs="Arial" w:eastAsia="Arial" w:hAnsi="Arial"/>
          <w:sz w:val="18"/>
          <w:szCs w:val="18"/>
          <w:color w:val="auto"/>
        </w:rPr>
        <w:t>We are engaged in providing energy and logistical services to end-users worldwide seeking to convert their operating assets from diesel or heavy fuel oil to liquefied natural gas (“LNG”). The Company currently has liquefaction and regasification operations in the United States and Jamaica. We currently source LNG from a combination of our own liquefaction facility in Miami, Florida and purchases from third party suppliers. We are developing the infrastructure necessary to supply all of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Current Operations</w:t>
      </w:r>
    </w:p>
    <w:p>
      <w:pPr>
        <w:spacing w:after="0" w:line="215"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Limited (“GAJ”), a subsidiary of Noble Group, and Clarendon Alumina Production Limited, an entity minority-owned by the Government of Jamaica, with a focus on bauxite mining and alumina production in Jamaica (“Jamalco”), each of which is described in more detail below. Certain assets built to service JPS and JPC have, and the assets built to service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primarily at our own facilities, including our expanded delivery logistics chain in Northern Pennsylvania (the “Pennsylvania Facility” and, together with the Miami Facility, the “Liquefaction Facilities”).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Montego Bay Terminal</w:t>
      </w:r>
    </w:p>
    <w:p>
      <w:pPr>
        <w:spacing w:after="0" w:line="209" w:lineRule="exact"/>
        <w:rPr>
          <w:sz w:val="20"/>
          <w:szCs w:val="20"/>
          <w:color w:val="auto"/>
        </w:rPr>
      </w:pPr>
    </w:p>
    <w:p>
      <w:pPr>
        <w:ind w:right="40" w:firstLine="292"/>
        <w:spacing w:after="0" w:line="233" w:lineRule="auto"/>
        <w:rPr>
          <w:sz w:val="20"/>
          <w:szCs w:val="20"/>
          <w:color w:val="auto"/>
        </w:rPr>
      </w:pPr>
      <w:r>
        <w:rPr>
          <w:rFonts w:ascii="Arial" w:cs="Arial" w:eastAsia="Arial" w:hAnsi="Arial"/>
          <w:sz w:val="20"/>
          <w:szCs w:val="20"/>
          <w:color w:val="auto"/>
        </w:rPr>
        <w:t>Our storage and regasification terminal in Montego Bay, Jamaica (the “Montego Bay Terminal”) serves as our supply hub for the north side of Jamaica, providing gas to JPS to fuel the 145MW Bogue Power Plant in Montego Bay, Jamaica. The Montego Bay Terminal commenced commercial operations in October 2016 and can store approximately two million gallons of LNG in seven storage tanks. The Montego Bay Terminal also consists of an ISO loading facility that can transport LNG to all of our industrial and manufacturing (“small-scale”) customers across the island. The small-scale business provides their users with an alternative fuel to support their business operations and limit reliance on monopolistic utilities.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Miami Facility</w:t>
      </w:r>
    </w:p>
    <w:p>
      <w:pPr>
        <w:spacing w:after="0" w:line="209" w:lineRule="exact"/>
        <w:rPr>
          <w:sz w:val="20"/>
          <w:szCs w:val="20"/>
          <w:color w:val="auto"/>
        </w:rPr>
      </w:pPr>
    </w:p>
    <w:p>
      <w:pPr>
        <w:ind w:firstLine="292"/>
        <w:spacing w:after="0" w:line="234" w:lineRule="auto"/>
        <w:rPr>
          <w:sz w:val="20"/>
          <w:szCs w:val="20"/>
          <w:color w:val="auto"/>
        </w:rPr>
      </w:pPr>
      <w:r>
        <w:rPr>
          <w:rFonts w:ascii="Arial" w:cs="Arial" w:eastAsia="Arial" w:hAnsi="Arial"/>
          <w:sz w:val="20"/>
          <w:szCs w:val="20"/>
          <w:color w:val="auto"/>
        </w:rPr>
        <w:t>Our Miami Facility began operations in April 2016. This facility enables us to produce LNG for our customers and reduces our dependence on other suppliers for LNG. The Miami Facility is the first plant to successfully export domestically produced LNG from the lower 48 states to a non-FTA country and it employs one of the largest ISO container fleets in the world. The Miami Facility provides LNG to small-scale customers in southern Florida including Florida East Coast Railway via our train loading facility and other customers throughout the Caribbean using ISO containers.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Old Harbour Terminal</w:t>
      </w:r>
    </w:p>
    <w:p>
      <w:pPr>
        <w:spacing w:after="0" w:line="209" w:lineRule="exact"/>
        <w:rPr>
          <w:sz w:val="20"/>
          <w:szCs w:val="20"/>
          <w:color w:val="auto"/>
        </w:rPr>
      </w:pPr>
    </w:p>
    <w:p>
      <w:pPr>
        <w:ind w:right="80" w:firstLine="292"/>
        <w:spacing w:after="0" w:line="270" w:lineRule="auto"/>
        <w:rPr>
          <w:sz w:val="20"/>
          <w:szCs w:val="20"/>
          <w:color w:val="auto"/>
        </w:rPr>
      </w:pPr>
      <w:r>
        <w:rPr>
          <w:rFonts w:ascii="Arial" w:cs="Arial" w:eastAsia="Arial" w:hAnsi="Arial"/>
          <w:sz w:val="18"/>
          <w:szCs w:val="18"/>
          <w:color w:val="auto"/>
        </w:rPr>
        <w:t>Our marine LNG storage and regasification terminal in Old Harbour, Jamaica (the “Old Harbour Terminal”) commenced commercial operations during the second quarter of 2019 and is capable of processing approximately six million gallons of LNG (500,000 MMBtu) per day. The Old Harbour Terminal supplies gas to the new 190MW Old Harbour power plant (the “Old Harbour Power Plant”) operated by JPC. The Old Harbour Power Plant is substantially complete and is expected to be fully operational during the fourth quarter of 2019.</w:t>
      </w:r>
    </w:p>
    <w:p>
      <w:pPr>
        <w:spacing w:after="0" w:line="16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Results of Operations – Three and Nine Months Ended September 30, 2019 compared to Three and Nine Months Ended September 30,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10"/>
          </w:tcPr>
          <w:p>
            <w:pPr>
              <w:jc w:val="right"/>
              <w:ind w:right="9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720" w:type="dxa"/>
            <w:vAlign w:val="bottom"/>
            <w:gridSpan w:val="9"/>
          </w:tcPr>
          <w:p>
            <w:pPr>
              <w:jc w:val="right"/>
              <w:ind w:right="820"/>
              <w:spacing w:after="0"/>
              <w:rPr>
                <w:sz w:val="20"/>
                <w:szCs w:val="20"/>
                <w:color w:val="auto"/>
              </w:rPr>
            </w:pPr>
            <w:r>
              <w:rPr>
                <w:rFonts w:ascii="Arial" w:cs="Arial" w:eastAsia="Arial" w:hAnsi="Arial"/>
                <w:sz w:val="16"/>
                <w:szCs w:val="16"/>
                <w:b w:val="1"/>
                <w:bCs w:val="1"/>
                <w:color w:val="auto"/>
              </w:rPr>
              <w:t>Nine Months Ended September 30,</w:t>
            </w:r>
          </w:p>
        </w:tc>
      </w:tr>
      <w:tr>
        <w:trPr>
          <w:trHeight w:val="199"/>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72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35,345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24,629</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10,716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93,221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69,545</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23,676</w:t>
            </w:r>
          </w:p>
        </w:tc>
      </w:tr>
      <w:tr>
        <w:trPr>
          <w:trHeight w:val="199"/>
        </w:trPr>
        <w:tc>
          <w:tcPr>
            <w:tcW w:w="286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14,311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10,516</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26,152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14,765</w:t>
            </w:r>
          </w:p>
        </w:tc>
      </w:tr>
      <w:tr>
        <w:trPr>
          <w:trHeight w:val="199"/>
        </w:trPr>
        <w:tc>
          <w:tcPr>
            <w:tcW w:w="286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Total revenues</w:t>
            </w: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49,656</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21,232</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119,373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38,441</w:t>
            </w:r>
          </w:p>
        </w:tc>
        <w:tc>
          <w:tcPr>
            <w:tcW w:w="120" w:type="dxa"/>
            <w:vAlign w:val="bottom"/>
            <w:shd w:val="clear" w:color="auto" w:fill="CCEEFF"/>
          </w:tcPr>
          <w:p>
            <w:pPr>
              <w:spacing w:after="0"/>
              <w:rPr>
                <w:sz w:val="17"/>
                <w:szCs w:val="17"/>
                <w:color w:val="auto"/>
              </w:rPr>
            </w:pPr>
          </w:p>
        </w:tc>
      </w:tr>
      <w:tr>
        <w:trPr>
          <w:trHeight w:val="195"/>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Operating expenses</w:t>
            </w:r>
          </w:p>
        </w:tc>
        <w:tc>
          <w:tcPr>
            <w:tcW w:w="4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5"/>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45,832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22,094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23,738</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123,224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68,625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54,599</w:t>
            </w:r>
          </w:p>
        </w:tc>
      </w:tr>
      <w:tr>
        <w:trPr>
          <w:trHeight w:val="195"/>
        </w:trPr>
        <w:tc>
          <w:tcPr>
            <w:tcW w:w="2860" w:type="dxa"/>
            <w:vAlign w:val="bottom"/>
          </w:tcPr>
          <w:p>
            <w:pPr>
              <w:ind w:left="140"/>
              <w:spacing w:after="0"/>
              <w:rPr>
                <w:sz w:val="20"/>
                <w:szCs w:val="20"/>
                <w:color w:val="auto"/>
              </w:rPr>
            </w:pPr>
            <w:r>
              <w:rPr>
                <w:rFonts w:ascii="Arial" w:cs="Arial" w:eastAsia="Arial" w:hAnsi="Arial"/>
                <w:sz w:val="16"/>
                <w:szCs w:val="16"/>
                <w:color w:val="auto"/>
              </w:rPr>
              <w:t>Operations and maintenance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8,707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6,708</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18,609</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5,750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12,859</w:t>
            </w:r>
          </w:p>
        </w:tc>
      </w:tr>
      <w:tr>
        <w:trPr>
          <w:trHeight w:val="195"/>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40,913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27,490</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122,831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82,004</w:t>
            </w:r>
          </w:p>
        </w:tc>
      </w:tr>
      <w:tr>
        <w:trPr>
          <w:trHeight w:val="199"/>
        </w:trPr>
        <w:tc>
          <w:tcPr>
            <w:tcW w:w="28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1,100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5,731</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3,473</w:t>
            </w:r>
          </w:p>
        </w:tc>
      </w:tr>
      <w:tr>
        <w:trPr>
          <w:trHeight w:val="199"/>
        </w:trPr>
        <w:tc>
          <w:tcPr>
            <w:tcW w:w="2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Total operating expenses</w:t>
            </w: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97,382</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59,036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270,395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117,460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152,935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(47,726)</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(9,922)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(37,804)</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(151,022)</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(36,528)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(114,494)</w:t>
            </w:r>
          </w:p>
        </w:tc>
      </w:tr>
      <w:tr>
        <w:trPr>
          <w:trHeight w:val="195"/>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4,974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14,457</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8,068</w:t>
            </w:r>
          </w:p>
        </w:tc>
      </w:tr>
      <w:tr>
        <w:trPr>
          <w:trHeight w:val="199"/>
        </w:trPr>
        <w:tc>
          <w:tcPr>
            <w:tcW w:w="2860" w:type="dxa"/>
            <w:vAlign w:val="bottom"/>
          </w:tcPr>
          <w:p>
            <w:pPr>
              <w:spacing w:after="0"/>
              <w:rPr>
                <w:sz w:val="20"/>
                <w:szCs w:val="20"/>
                <w:color w:val="auto"/>
              </w:rPr>
            </w:pPr>
            <w:r>
              <w:rPr>
                <w:rFonts w:ascii="Arial" w:cs="Arial" w:eastAsia="Arial" w:hAnsi="Arial"/>
                <w:sz w:val="16"/>
                <w:szCs w:val="16"/>
                <w:color w:val="auto"/>
              </w:rPr>
              <w:t>Other expense, net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1,788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1,518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r>
      <w:tr>
        <w:trPr>
          <w:trHeight w:val="195"/>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taxes</w:t>
            </w:r>
          </w:p>
        </w:tc>
        <w:tc>
          <w:tcPr>
            <w:tcW w:w="4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(54,488)</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(41,113)</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(165,612)</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(43,020)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(122,592)</w:t>
            </w:r>
          </w:p>
        </w:tc>
        <w:tc>
          <w:tcPr>
            <w:tcW w:w="120" w:type="dxa"/>
            <w:vAlign w:val="bottom"/>
            <w:shd w:val="clear" w:color="auto" w:fill="CCEEFF"/>
          </w:tcPr>
          <w:p>
            <w:pPr>
              <w:spacing w:after="0"/>
              <w:rPr>
                <w:sz w:val="16"/>
                <w:szCs w:val="16"/>
                <w:color w:val="auto"/>
              </w:rPr>
            </w:pPr>
          </w:p>
        </w:tc>
      </w:tr>
      <w:tr>
        <w:trPr>
          <w:trHeight w:val="199"/>
        </w:trPr>
        <w:tc>
          <w:tcPr>
            <w:tcW w:w="2860" w:type="dxa"/>
            <w:vAlign w:val="bottom"/>
          </w:tcPr>
          <w:p>
            <w:pPr>
              <w:spacing w:after="0"/>
              <w:rPr>
                <w:sz w:val="20"/>
                <w:szCs w:val="20"/>
                <w:color w:val="auto"/>
              </w:rPr>
            </w:pPr>
            <w:r>
              <w:rPr>
                <w:rFonts w:ascii="Arial" w:cs="Arial" w:eastAsia="Arial" w:hAnsi="Arial"/>
                <w:sz w:val="16"/>
                <w:szCs w:val="16"/>
                <w:color w:val="auto"/>
              </w:rPr>
              <w:t>Tax expense (benefit)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(370)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r>
      <w:tr>
        <w:trPr>
          <w:trHeight w:val="235"/>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(54,424)</w:t>
            </w: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( 13,681)</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(165,949)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(122,530)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526"/>
        </w:trPr>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
        </w:trPr>
        <w:tc>
          <w:tcPr>
            <w:tcW w:w="2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Revenues</w:t>
      </w:r>
    </w:p>
    <w:p>
      <w:pPr>
        <w:spacing w:after="0" w:line="209" w:lineRule="exact"/>
        <w:rPr>
          <w:sz w:val="20"/>
          <w:szCs w:val="20"/>
          <w:color w:val="auto"/>
        </w:rPr>
      </w:pPr>
    </w:p>
    <w:p>
      <w:pPr>
        <w:ind w:right="120" w:firstLine="292"/>
        <w:spacing w:after="0" w:line="266" w:lineRule="auto"/>
        <w:rPr>
          <w:sz w:val="20"/>
          <w:szCs w:val="20"/>
          <w:color w:val="auto"/>
        </w:rPr>
      </w:pPr>
      <w:r>
        <w:rPr>
          <w:rFonts w:ascii="Arial" w:cs="Arial" w:eastAsia="Arial" w:hAnsi="Arial"/>
          <w:sz w:val="18"/>
          <w:szCs w:val="18"/>
          <w:color w:val="auto"/>
        </w:rPr>
        <w:t>Operating revenue from LNG and natural gas sales increased by $10,716 and $23,676 for the three and nine months ended September 30, 2019, respectively. The increases in both the three and nine month periods were primarily driven by the commissioning of the Old Harbour Terminal and increases in volumes sold to small-scale customers. During the second quarter of 2019, the Old Harbour Terminal commenced commercial operations, and we began to recognize revenue from our contract with JPC, adding $11,386 and $15,440 in operating revenue for the three and nine months ended September 30, 2019, respectively.</w:t>
      </w:r>
    </w:p>
    <w:p>
      <w:pPr>
        <w:spacing w:after="0" w:line="169" w:lineRule="exact"/>
        <w:rPr>
          <w:sz w:val="20"/>
          <w:szCs w:val="20"/>
          <w:color w:val="auto"/>
        </w:rPr>
      </w:pPr>
    </w:p>
    <w:p>
      <w:pPr>
        <w:ind w:right="360" w:firstLine="292"/>
        <w:spacing w:after="0" w:line="333" w:lineRule="auto"/>
        <w:rPr>
          <w:sz w:val="20"/>
          <w:szCs w:val="20"/>
          <w:color w:val="auto"/>
        </w:rPr>
      </w:pPr>
      <w:r>
        <w:rPr>
          <w:rFonts w:ascii="Arial" w:cs="Arial" w:eastAsia="Arial" w:hAnsi="Arial"/>
          <w:sz w:val="17"/>
          <w:szCs w:val="17"/>
          <w:color w:val="auto"/>
        </w:rPr>
        <w:t>The delivered volume at the Montego Bay Terminal for the three months ended September 30, 2019 compared to the three months ended September 30, 2018 decreased slightly due to outages at the Bogue Power Plant, that was offset by increases in sales to small scale customers.</w:t>
      </w:r>
    </w:p>
    <w:p>
      <w:pPr>
        <w:spacing w:after="0" w:line="116" w:lineRule="exact"/>
        <w:rPr>
          <w:sz w:val="20"/>
          <w:szCs w:val="20"/>
          <w:color w:val="auto"/>
        </w:rPr>
      </w:pPr>
    </w:p>
    <w:p>
      <w:pPr>
        <w:ind w:right="100" w:firstLine="292"/>
        <w:spacing w:after="0" w:line="282" w:lineRule="auto"/>
        <w:rPr>
          <w:sz w:val="20"/>
          <w:szCs w:val="20"/>
          <w:color w:val="auto"/>
        </w:rPr>
      </w:pPr>
      <w:r>
        <w:rPr>
          <w:rFonts w:ascii="Arial" w:cs="Arial" w:eastAsia="Arial" w:hAnsi="Arial"/>
          <w:sz w:val="17"/>
          <w:szCs w:val="17"/>
          <w:color w:val="auto"/>
        </w:rPr>
        <w:t>The delivered volume at the Montego Bay Terminal increased by 10.0 million gallons (0.8 TBtu) from 71.9 million gallons (5.9 TBtu) for the nine months ended September 30, 2018 to 81.9 million gallons (6.7 TBtu) for the nine months ended September 30, 2019. The increase in volumes delivered at the Montego Bay Terminal for the nine month period was attributable to additional new small-scale customers as well as an increase in consumption at an existing customer due to the customer’s installation of a new gas turbine that consumes approximately 60,500 gallons (5,000 MMBtu) per day. Of the volumes delivered at the Montego Bay Terminal, 6.3 million gallons (529,392 MMBtu) and 2.1 million gallons (165,943 MMBtu) were delivered to small-scale networks in the nine months ended September 30, 2019 and 2018, respectively.</w:t>
      </w:r>
    </w:p>
    <w:p>
      <w:pPr>
        <w:spacing w:after="0" w:line="158" w:lineRule="exact"/>
        <w:rPr>
          <w:sz w:val="20"/>
          <w:szCs w:val="20"/>
          <w:color w:val="auto"/>
        </w:rPr>
      </w:pPr>
    </w:p>
    <w:p>
      <w:pPr>
        <w:ind w:right="160" w:firstLine="292"/>
        <w:spacing w:after="0" w:line="233" w:lineRule="auto"/>
        <w:rPr>
          <w:sz w:val="20"/>
          <w:szCs w:val="20"/>
          <w:color w:val="auto"/>
        </w:rPr>
      </w:pPr>
      <w:r>
        <w:rPr>
          <w:rFonts w:ascii="Arial" w:cs="Arial" w:eastAsia="Arial" w:hAnsi="Arial"/>
          <w:sz w:val="20"/>
          <w:szCs w:val="20"/>
          <w:color w:val="auto"/>
        </w:rPr>
        <w:t>Other revenue increased by $10,516 and $14,765 for the three and nine months ended September 30, 2019, respectively. The increase was primarily due to the recognition of construction revenue of $10,195 and $14,103 for the three and nine months ended September 30, 2019, respectively. We did not have any such projects during the comparable periods ended September 30, 2018. The Company also leases certain facilities and equipment to its customers which are accounted for either as direct financing leases or operating leases, and the interest recognized from direct financing leases or leasing revenue from operating leases is recognized within Other revenue. The remaining increase in Other revenue for both the three and nine months ended September 30, 2019 was primarily driven by additional operating leases with small-scale customers.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Cost of sales</w:t>
      </w:r>
    </w:p>
    <w:p>
      <w:pPr>
        <w:spacing w:after="0" w:line="209" w:lineRule="exact"/>
        <w:rPr>
          <w:sz w:val="20"/>
          <w:szCs w:val="20"/>
          <w:color w:val="auto"/>
        </w:rPr>
      </w:pPr>
    </w:p>
    <w:p>
      <w:pPr>
        <w:ind w:right="60" w:firstLine="292"/>
        <w:spacing w:after="0" w:line="236" w:lineRule="auto"/>
        <w:rPr>
          <w:sz w:val="20"/>
          <w:szCs w:val="20"/>
          <w:color w:val="auto"/>
        </w:rPr>
      </w:pPr>
      <w:r>
        <w:rPr>
          <w:rFonts w:ascii="Arial" w:cs="Arial" w:eastAsia="Arial" w:hAnsi="Arial"/>
          <w:sz w:val="20"/>
          <w:szCs w:val="20"/>
          <w:color w:val="auto"/>
        </w:rPr>
        <w:t>Cost of sales includes the procurement of feedgas or LNG as applicable, shipping and logistics costs to deliver LNG to our facilities and regasification to supply natural gas to our customers. Our LNG and natural gas supply are purchased from third parties or converted in our Miami Facility. Costs to convert natural gas to LNG, including labor and other direct costs to operate our Miami Facility are also included in Cost of sales.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Cost of sales increased by $23,738 and $54,599 for the three and nine months ended September 30, 2019, respectively. The increase in Cost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sales was attributable to increased costs to purchase LNG from third parties. The weighted-average cost of gas increased from $0.57 per gallon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($6.92 per MMBtu) for the three months ended September 30, 2018 to $0.66 per gallon ($8.02 per MMBtu) for the three months ended September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30, 2019, which is inclusive of boil-off gas. The weighted-average cost of LNG increased from $0.62 per gallon ($7.46 per MMBtu) for the nine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2018 to $0.77 per gallon ($9.32 per MMBtu) for the nine months ended September 30, 2019, which is inclusive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boil-off gas. The weighted-average cost of our inventory balance as of September 30, 2019 was $0.65 per gallon ($7.84 per MMBtu).</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volumes delivered increased by 7% and 17% for the three and nine months ended September 30, 2019 compared to the three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nine months ended September 30, 2018, respectively.</w:t>
      </w:r>
    </w:p>
    <w:p>
      <w:pPr>
        <w:spacing w:after="0" w:line="193" w:lineRule="exact"/>
        <w:rPr>
          <w:sz w:val="20"/>
          <w:szCs w:val="20"/>
          <w:color w:val="auto"/>
        </w:rPr>
      </w:pPr>
    </w:p>
    <w:p>
      <w:pPr>
        <w:ind w:right="100" w:firstLine="292"/>
        <w:spacing w:after="0" w:line="234" w:lineRule="auto"/>
        <w:rPr>
          <w:sz w:val="20"/>
          <w:szCs w:val="20"/>
          <w:color w:val="auto"/>
        </w:rPr>
      </w:pPr>
      <w:r>
        <w:rPr>
          <w:rFonts w:ascii="Arial" w:cs="Arial" w:eastAsia="Arial" w:hAnsi="Arial"/>
          <w:sz w:val="20"/>
          <w:szCs w:val="20"/>
          <w:color w:val="auto"/>
        </w:rPr>
        <w:t>The Company also incurred an increase in charter costs due to additional ships on charter. These additional ships on charter increased cost of sales by $5,682 and $13,912 for the three and nine months ended September 30, 2019, respectively, as compared with the same periods in the prior year. During the three and nine months ended September 30, 2019, we also recognized costs associated with construction services provided to customers of $8,974 and $12,527, respectively. We did not have any such projects for customers ongoing during the comparable periods ended September 30, 2018.</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Operations and maintenance</w:t>
      </w:r>
    </w:p>
    <w:p>
      <w:pPr>
        <w:spacing w:after="0" w:line="209" w:lineRule="exact"/>
        <w:rPr>
          <w:sz w:val="20"/>
          <w:szCs w:val="20"/>
          <w:color w:val="auto"/>
        </w:rPr>
      </w:pPr>
    </w:p>
    <w:p>
      <w:pPr>
        <w:ind w:right="40" w:firstLine="292"/>
        <w:spacing w:after="0" w:line="285" w:lineRule="auto"/>
        <w:rPr>
          <w:sz w:val="20"/>
          <w:szCs w:val="20"/>
          <w:color w:val="auto"/>
        </w:rPr>
      </w:pPr>
      <w:r>
        <w:rPr>
          <w:rFonts w:ascii="Arial" w:cs="Arial" w:eastAsia="Arial" w:hAnsi="Arial"/>
          <w:sz w:val="17"/>
          <w:szCs w:val="17"/>
          <w:color w:val="auto"/>
        </w:rPr>
        <w:t>Operations and maintenance relates to costs of operating our Miami Facility, Montego Bay Terminal and Old Harbour Terminal, exclusive of costs to convert that are reflected in Cost of sales. Operations and maintenance increased by $6,708 and $12,859 for the three and nine months ended September 30, 2019, respectively. The increases were primarily a result of higher costs associated with the operations of charter vessels, including a storage vessel for Puerto Rico, of $3,379 and $6,000 in the three and nine month periods ended September 30, 2019 respectively. The remaining increase is due to demurrage, as well as, increased operating costs as we continue to expand our operations.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Selling, general and administrative</w:t>
      </w:r>
    </w:p>
    <w:p>
      <w:pPr>
        <w:spacing w:after="0" w:line="209" w:lineRule="exact"/>
        <w:rPr>
          <w:sz w:val="20"/>
          <w:szCs w:val="20"/>
          <w:color w:val="auto"/>
        </w:rPr>
      </w:pPr>
    </w:p>
    <w:p>
      <w:pPr>
        <w:jc w:val="both"/>
        <w:ind w:firstLine="292"/>
        <w:spacing w:after="0" w:line="238" w:lineRule="auto"/>
        <w:rPr>
          <w:sz w:val="20"/>
          <w:szCs w:val="20"/>
          <w:color w:val="auto"/>
        </w:rPr>
      </w:pPr>
      <w:r>
        <w:rPr>
          <w:rFonts w:ascii="Arial" w:cs="Arial" w:eastAsia="Arial" w:hAnsi="Arial"/>
          <w:sz w:val="20"/>
          <w:szCs w:val="20"/>
          <w:color w:val="auto"/>
        </w:rPr>
        <w:t>Selling, general and administrative includes employee travel costs, insurance and costs associated with activities for projects that are in initial stages and development is not yet probable. Selling, general and administrative also includes compensation expenses for our corporate employees as well as professional fees for our advisors.</w:t>
      </w:r>
    </w:p>
    <w:p>
      <w:pPr>
        <w:spacing w:after="0" w:line="193" w:lineRule="exact"/>
        <w:rPr>
          <w:sz w:val="20"/>
          <w:szCs w:val="20"/>
          <w:color w:val="auto"/>
        </w:rPr>
      </w:pPr>
    </w:p>
    <w:p>
      <w:pPr>
        <w:ind w:right="20" w:firstLine="292"/>
        <w:spacing w:after="0" w:line="233" w:lineRule="auto"/>
        <w:rPr>
          <w:sz w:val="20"/>
          <w:szCs w:val="20"/>
          <w:color w:val="auto"/>
        </w:rPr>
      </w:pPr>
      <w:r>
        <w:rPr>
          <w:rFonts w:ascii="Arial" w:cs="Arial" w:eastAsia="Arial" w:hAnsi="Arial"/>
          <w:sz w:val="20"/>
          <w:szCs w:val="20"/>
          <w:color w:val="auto"/>
        </w:rPr>
        <w:t>Selling, general and administrative increased by $27,490 and $82,004 for the three and nine months ended September 30, 2019, respectively. The increase in the three months ended September 30, 2019 as compared to the three months ended September 30, 2018 was primarily attributable to stock-based compensation expense of $7,804, as well as increased headcount as compared to the same period in the prior year. The increase is also due to development costs incurred at the Pennsylvania Facility as well as other development projects that currently do not qualify for capitalization. Costs incurred in future periods for such projects may be capitalizable once a final investment decision is made for these projects.</w:t>
      </w:r>
    </w:p>
    <w:p>
      <w:pPr>
        <w:spacing w:after="0" w:line="196" w:lineRule="exact"/>
        <w:rPr>
          <w:sz w:val="20"/>
          <w:szCs w:val="20"/>
          <w:color w:val="auto"/>
        </w:rPr>
      </w:pPr>
    </w:p>
    <w:p>
      <w:pPr>
        <w:ind w:right="260" w:firstLine="292"/>
        <w:spacing w:after="0" w:line="285" w:lineRule="auto"/>
        <w:rPr>
          <w:sz w:val="20"/>
          <w:szCs w:val="20"/>
          <w:color w:val="auto"/>
        </w:rPr>
      </w:pPr>
      <w:r>
        <w:rPr>
          <w:rFonts w:ascii="Arial" w:cs="Arial" w:eastAsia="Arial" w:hAnsi="Arial"/>
          <w:sz w:val="17"/>
          <w:szCs w:val="17"/>
          <w:color w:val="auto"/>
        </w:rPr>
        <w:t>The increase of $82,004 in the nine month period ended September 30, 2019 as compared with the same period ended September 30, 2018 was driven mainly by recognition of $18,968 in the first quarter of 2019 due to vested restricted stock units (“RSUs”) issued to employees and non-employees after our IPO. We also incurred $16,515 in the second and third quarters of 2019 for continuing recognition of compensation expense related to RSUs granted in the first quarter of 2019. Additionally, there was an increase of $4,760 in transaction costs associated with financing activities. The remaining change is due to increases in professional fees and costs for development projects.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Depreciation and amortization</w:t>
      </w:r>
    </w:p>
    <w:p>
      <w:pPr>
        <w:spacing w:after="0" w:line="209" w:lineRule="exact"/>
        <w:rPr>
          <w:sz w:val="20"/>
          <w:szCs w:val="20"/>
          <w:color w:val="auto"/>
        </w:rPr>
      </w:pPr>
    </w:p>
    <w:p>
      <w:pPr>
        <w:jc w:val="both"/>
        <w:ind w:right="300" w:firstLine="292"/>
        <w:spacing w:after="0" w:line="238" w:lineRule="auto"/>
        <w:rPr>
          <w:sz w:val="20"/>
          <w:szCs w:val="20"/>
          <w:color w:val="auto"/>
        </w:rPr>
      </w:pPr>
      <w:r>
        <w:rPr>
          <w:rFonts w:ascii="Arial" w:cs="Arial" w:eastAsia="Arial" w:hAnsi="Arial"/>
          <w:sz w:val="20"/>
          <w:szCs w:val="20"/>
          <w:color w:val="auto"/>
        </w:rPr>
        <w:t>Depreciation and amortization increased by $1,100 and $3,473 for the three and nine months ended September 30, 2019, respectively. The increase is primarily a result of additional equipment purchases placed in service for small-scale customers, as well as depreciation of the Old Harbour Terminal that was placed in service in the second quarter of 2019.</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Interest expense</w:t>
      </w:r>
    </w:p>
    <w:p>
      <w:pPr>
        <w:spacing w:after="0" w:line="209" w:lineRule="exact"/>
        <w:rPr>
          <w:sz w:val="20"/>
          <w:szCs w:val="20"/>
          <w:color w:val="auto"/>
        </w:rPr>
      </w:pPr>
    </w:p>
    <w:p>
      <w:pPr>
        <w:ind w:right="100" w:firstLine="292"/>
        <w:spacing w:after="0" w:line="234" w:lineRule="auto"/>
        <w:rPr>
          <w:sz w:val="20"/>
          <w:szCs w:val="20"/>
          <w:color w:val="auto"/>
        </w:rPr>
      </w:pPr>
      <w:r>
        <w:rPr>
          <w:rFonts w:ascii="Arial" w:cs="Arial" w:eastAsia="Arial" w:hAnsi="Arial"/>
          <w:sz w:val="20"/>
          <w:szCs w:val="20"/>
          <w:color w:val="auto"/>
        </w:rPr>
        <w:t>Interest expense increased by $1,791 and $8,068 for the three and nine months ended September 30, 2019, respectively, primarily as a result of additional principal balance outstanding since March 2019 under the New Term Loan Facility (as defined below). We also incurred additional interest expense in September 2019 due to the issuance of the Senior Secured Bonds and the Senior Unsecured Bonds (both defined below). The increase in interest expense was offset by an increase in capitalized interest in the amount of $7,033 and $16,144 for the three and nine months ended September 30, 2019, respectively.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Other expense, net</w:t>
      </w:r>
    </w:p>
    <w:p>
      <w:pPr>
        <w:spacing w:after="0" w:line="209" w:lineRule="exact"/>
        <w:rPr>
          <w:sz w:val="20"/>
          <w:szCs w:val="20"/>
          <w:color w:val="auto"/>
        </w:rPr>
      </w:pPr>
    </w:p>
    <w:p>
      <w:pPr>
        <w:ind w:right="80" w:firstLine="292"/>
        <w:spacing w:after="0" w:line="282" w:lineRule="auto"/>
        <w:rPr>
          <w:sz w:val="20"/>
          <w:szCs w:val="20"/>
          <w:color w:val="auto"/>
        </w:rPr>
      </w:pPr>
      <w:r>
        <w:rPr>
          <w:rFonts w:ascii="Arial" w:cs="Arial" w:eastAsia="Arial" w:hAnsi="Arial"/>
          <w:sz w:val="17"/>
          <w:szCs w:val="17"/>
          <w:color w:val="auto"/>
        </w:rPr>
        <w:t>Other expense, net increased by $1,518 and $30 for the three and nine months ended September 30, 2019, respectively. The increase in expense for the three months ended September 30, 2019 was driven by changes in fair value of the derivative liability and equity agreement associated with our acquisition of Shannon LNG in November 2018 and the change in value of an available-for-sale investment, which prior to the adoption of ASU 2016-01</w:t>
      </w:r>
      <w:r>
        <w:rPr>
          <w:rFonts w:ascii="Arial" w:cs="Arial" w:eastAsia="Arial" w:hAnsi="Arial"/>
          <w:sz w:val="17"/>
          <w:szCs w:val="17"/>
          <w:i w:val="1"/>
          <w:iCs w:val="1"/>
          <w:color w:val="auto"/>
        </w:rPr>
        <w:t>, 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was recorded in Other comprehensive income. For the nine months ended September 30, 2019, the changes in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derivative liability, equity agreement, and available-for-sale investment were almost completely offset by interest income of $3,382.</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32" w:name="page33"/>
    <w:bookmarkEnd w:id="32"/>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Tax expense (benefit)</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20"/>
          <w:szCs w:val="20"/>
          <w:color w:val="auto"/>
        </w:rPr>
        <w:t>Tax expense decreased by $62 for the nine months ended September 30, 2019 due to lower income in Jamaican entities.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Factors Impacting Comparability of Our Financial Results</w:t>
      </w:r>
    </w:p>
    <w:p>
      <w:pPr>
        <w:spacing w:after="0" w:line="215" w:lineRule="exact"/>
        <w:rPr>
          <w:sz w:val="20"/>
          <w:szCs w:val="20"/>
          <w:color w:val="auto"/>
        </w:rPr>
      </w:pPr>
    </w:p>
    <w:p>
      <w:pPr>
        <w:ind w:left="2" w:right="520" w:firstLine="292"/>
        <w:spacing w:after="0" w:line="247" w:lineRule="auto"/>
        <w:rPr>
          <w:sz w:val="20"/>
          <w:szCs w:val="20"/>
          <w:color w:val="auto"/>
        </w:rPr>
      </w:pPr>
      <w:r>
        <w:rPr>
          <w:rFonts w:ascii="Arial" w:cs="Arial" w:eastAsia="Arial" w:hAnsi="Arial"/>
          <w:sz w:val="20"/>
          <w:szCs w:val="20"/>
          <w:color w:val="auto"/>
        </w:rPr>
        <w:t>Our historical results of operations and cash flows are not indicative of results of operations and cash flows to be expected in the future, principally for the following reasons:</w:t>
      </w:r>
    </w:p>
    <w:p>
      <w:pPr>
        <w:spacing w:after="0" w:line="191" w:lineRule="exact"/>
        <w:rPr>
          <w:sz w:val="20"/>
          <w:szCs w:val="20"/>
          <w:color w:val="auto"/>
        </w:rPr>
      </w:pPr>
    </w:p>
    <w:p>
      <w:pPr>
        <w:ind w:left="582" w:right="40" w:hanging="582"/>
        <w:spacing w:after="0" w:line="299" w:lineRule="auto"/>
        <w:tabs>
          <w:tab w:leader="none" w:pos="582"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Our historical financial results only include our Miami Facility, our Montego Bay Terminal and certain small-scale customers</w:t>
      </w:r>
      <w:r>
        <w:rPr>
          <w:rFonts w:ascii="Arial" w:cs="Arial" w:eastAsia="Arial" w:hAnsi="Arial"/>
          <w:sz w:val="14"/>
          <w:szCs w:val="14"/>
          <w:color w:val="auto"/>
        </w:rPr>
        <w:t>. Our historical financial statements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only include our Miami Facility, our Montego Bay Terminal and certain small-scale customers and do not include the impact of projects that commenced commercial operations during 2019, such as the Old Harbour Terminal and the increase in sales to small-scale customers. None of the periods presented include future revenue that should result from long-term, take-or-pay contracts with downstream customers expected from projects under development, including the dual-fired combined heat and power facility in Clarendon, Jamaica (the “CHP Plant”), the multi-fuel handling facility located in the Port of San Juan, Puerto Rico (the “San Juan Facility”), the LNG regasification terminal in La Paz, Baja California Sur, Mexico (the “La Paz Terminal”), the LNG terminal on the Shannon Estuary near Ballylongford, Ireland (the “Ireland Terminal” and, together with the Old Harbour Terminal, the Montego Bay Terminal, the San Juan Facility and the La Paz Terminal, our “Terminals”) and the Pennsylvania Facility. The Old Harbour Terminal began commercial operations during the second quarter of 2019, and we expect the Old Harbour Power Plant, a significant buyer of gas from the Old Harbour Terminal, to be fully operational during the fourth quarter of 2019.</w:t>
      </w:r>
    </w:p>
    <w:p>
      <w:pPr>
        <w:spacing w:after="0" w:line="163" w:lineRule="exact"/>
        <w:rPr>
          <w:sz w:val="20"/>
          <w:szCs w:val="20"/>
          <w:color w:val="auto"/>
        </w:rPr>
      </w:pPr>
    </w:p>
    <w:p>
      <w:pPr>
        <w:ind w:left="582" w:right="40"/>
        <w:spacing w:after="0" w:line="290" w:lineRule="auto"/>
        <w:rPr>
          <w:sz w:val="20"/>
          <w:szCs w:val="20"/>
          <w:color w:val="auto"/>
        </w:rPr>
      </w:pPr>
      <w:r>
        <w:rPr>
          <w:rFonts w:ascii="Arial" w:cs="Arial" w:eastAsia="Arial" w:hAnsi="Arial"/>
          <w:sz w:val="17"/>
          <w:szCs w:val="17"/>
          <w:color w:val="auto"/>
        </w:rPr>
        <w:t>Our historical financial results also have not included construction revenue that the Company began to recognize during the nine months ended September 30, 2019. Services to manage the construction and installation of equipment to transform customers’ facilities to operate utilizing natural gas or to allow customers to receive power or other outputs from our power generation facilities are increasingly offered to our customers, and we may recognize significant revenue for such services that was not included in the historical financial results.</w:t>
      </w:r>
    </w:p>
    <w:p>
      <w:pPr>
        <w:spacing w:after="0" w:line="152" w:lineRule="exact"/>
        <w:rPr>
          <w:sz w:val="20"/>
          <w:szCs w:val="20"/>
          <w:color w:val="auto"/>
        </w:rPr>
      </w:pPr>
    </w:p>
    <w:p>
      <w:pPr>
        <w:ind w:left="582" w:right="20"/>
        <w:spacing w:after="0" w:line="233" w:lineRule="auto"/>
        <w:rPr>
          <w:sz w:val="20"/>
          <w:szCs w:val="20"/>
          <w:color w:val="auto"/>
        </w:rPr>
      </w:pPr>
      <w:r>
        <w:rPr>
          <w:rFonts w:ascii="Arial" w:cs="Arial" w:eastAsia="Arial" w:hAnsi="Arial"/>
          <w:sz w:val="20"/>
          <w:szCs w:val="20"/>
          <w:color w:val="auto"/>
        </w:rPr>
        <w:t>In addition, we currently purchase the majority of our supply of LNG from third parties. For the three months ended September 30, 2019 and 2018, we sourced 92% and 91%, respectively, of our LNG volumes from third parties. For the nine months ended September 30, 2019 and 2018, we sourced 93% and 90%, respectively, of our LNG volumes from third parties. We are in the process of developing in-basin liquefaction facilities that will vertically integrate our supply and substantially reduce the need to source LNG from third parties, which, when combined with lower cost production, should significantly impact our results of operations and cash flows from both contracted and expected downstream sales.</w:t>
      </w:r>
    </w:p>
    <w:p>
      <w:pPr>
        <w:spacing w:after="0" w:line="203" w:lineRule="exact"/>
        <w:rPr>
          <w:sz w:val="20"/>
          <w:szCs w:val="20"/>
          <w:color w:val="auto"/>
        </w:rPr>
      </w:pPr>
    </w:p>
    <w:p>
      <w:pPr>
        <w:ind w:left="582" w:hanging="582"/>
        <w:spacing w:after="0" w:line="260" w:lineRule="auto"/>
        <w:tabs>
          <w:tab w:leader="none" w:pos="582"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Our organizational structure has changed as a result of reorganization transactions completed at the time of our IPO</w:t>
      </w:r>
      <w:r>
        <w:rPr>
          <w:rFonts w:ascii="Arial" w:cs="Arial" w:eastAsia="Arial" w:hAnsi="Arial"/>
          <w:sz w:val="16"/>
          <w:szCs w:val="16"/>
          <w:color w:val="auto"/>
        </w:rPr>
        <w:t>. We completed our IPO on February 4,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net proceeds from the IPO were contributed to New Fortress Intermediate LLC (“NFI”), an entity formed in conjunction with the IPO, in exchange for limited liability company units in NFI (“NFI LLC Units”). In addition, New Fortress Energy Holdings contributed all of its interests in consolidated subsidiaries that comprised substantially all of its historical operations to NFI in exchange for NFI LLC Units. NFE is a holding company whose sole material asset is a controlling equity interest in NFI. As the sole managing member of NFI, NFE operates and controls all of the business and affairs of NFI, and through NFI and its subsidiaries, conducts the Company’s historical business.</w:t>
      </w:r>
    </w:p>
    <w:p>
      <w:pPr>
        <w:spacing w:after="0" w:line="187" w:lineRule="exact"/>
        <w:rPr>
          <w:sz w:val="20"/>
          <w:szCs w:val="20"/>
          <w:color w:val="auto"/>
        </w:rPr>
      </w:pPr>
    </w:p>
    <w:p>
      <w:pPr>
        <w:jc w:val="both"/>
        <w:ind w:left="582" w:right="100"/>
        <w:spacing w:after="0" w:line="238" w:lineRule="auto"/>
        <w:rPr>
          <w:sz w:val="20"/>
          <w:szCs w:val="20"/>
          <w:color w:val="auto"/>
        </w:rPr>
      </w:pPr>
      <w:r>
        <w:rPr>
          <w:rFonts w:ascii="Arial" w:cs="Arial" w:eastAsia="Arial" w:hAnsi="Arial"/>
          <w:sz w:val="20"/>
          <w:szCs w:val="20"/>
          <w:color w:val="auto"/>
        </w:rPr>
        <w:t>The contribution of the assets of New Fortress Energy Holdings and net proceeds from the IPO to NFI was treated as a reorganization of entities under common control. NFE has presented the condensed consolidated financial statements of New Fortress Energy Holdings for periods prior to the IPO.</w:t>
      </w:r>
    </w:p>
    <w:p>
      <w:pPr>
        <w:spacing w:after="0" w:line="193" w:lineRule="exact"/>
        <w:rPr>
          <w:sz w:val="20"/>
          <w:szCs w:val="20"/>
          <w:color w:val="auto"/>
        </w:rPr>
      </w:pPr>
    </w:p>
    <w:p>
      <w:pPr>
        <w:ind w:left="582" w:right="40"/>
        <w:spacing w:after="0" w:line="234" w:lineRule="auto"/>
        <w:rPr>
          <w:sz w:val="20"/>
          <w:szCs w:val="20"/>
          <w:color w:val="auto"/>
        </w:rPr>
      </w:pPr>
      <w:r>
        <w:rPr>
          <w:rFonts w:ascii="Arial" w:cs="Arial" w:eastAsia="Arial" w:hAnsi="Arial"/>
          <w:sz w:val="20"/>
          <w:szCs w:val="20"/>
          <w:color w:val="auto"/>
        </w:rPr>
        <w:t>The financial statements of NFE beginning in February 2019 subsequent to our IPO allocate a significant portion of the results of operations to New Fortress Energy Holdings, through its non-controlling interest in NFI. NFE has elected to be taxed as a corporation and is subject to U.S. federal and state income taxes, and as such, may recognize a tax expense (benefit), as well as associated deferred tax accounts. As of September 30, 2019, NFE has recorded a valuation allowance on all of its deferred taxes associated with U.S. federal and state income taxes.</w:t>
      </w:r>
    </w:p>
    <w:p>
      <w:pPr>
        <w:spacing w:after="0" w:line="369"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2"/>
          </w:cols>
          <w:pgMar w:left="238" w:top="124" w:right="259" w:bottom="1440" w:gutter="0" w:footer="0" w:header="0"/>
        </w:sectPr>
      </w:pPr>
    </w:p>
    <w:bookmarkStart w:id="33" w:name="page34"/>
    <w:bookmarkEnd w:id="33"/>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6" w:lineRule="exact"/>
        <w:rPr>
          <w:sz w:val="20"/>
          <w:szCs w:val="20"/>
          <w:color w:val="auto"/>
        </w:rPr>
      </w:pPr>
    </w:p>
    <w:p>
      <w:pPr>
        <w:ind w:left="582" w:right="60" w:hanging="582"/>
        <w:spacing w:after="0" w:line="279" w:lineRule="auto"/>
        <w:tabs>
          <w:tab w:leader="none" w:pos="582" w:val="left"/>
        </w:tabs>
        <w:numPr>
          <w:ilvl w:val="0"/>
          <w:numId w:val="26"/>
        </w:numPr>
        <w:rPr>
          <w:rFonts w:ascii="Arial" w:cs="Arial" w:eastAsia="Arial" w:hAnsi="Arial"/>
          <w:sz w:val="15"/>
          <w:szCs w:val="15"/>
          <w:color w:val="auto"/>
        </w:rPr>
      </w:pPr>
      <w:r>
        <w:rPr>
          <w:rFonts w:ascii="Arial" w:cs="Arial" w:eastAsia="Arial" w:hAnsi="Arial"/>
          <w:sz w:val="15"/>
          <w:szCs w:val="15"/>
          <w:b w:val="1"/>
          <w:bCs w:val="1"/>
          <w:i w:val="1"/>
          <w:iCs w:val="1"/>
          <w:color w:val="auto"/>
        </w:rPr>
        <w:t>We have incurred and will continue to incur incremental selling, general and administrative expenses related to our transition to a publicly traded company</w:t>
      </w:r>
      <w:r>
        <w:rPr>
          <w:rFonts w:ascii="Arial" w:cs="Arial" w:eastAsia="Arial" w:hAnsi="Arial"/>
          <w:sz w:val="15"/>
          <w:szCs w:val="15"/>
          <w:color w:val="auto"/>
        </w:rPr>
        <w: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completed our IPO on February 4, 2019, and we expect to incur direct, incremental general and administrative expenses as a result of being a publicly traded company, including costs associated with the employment of additional personnel, compliance under the Securities Exchange Act of 1934, as amended (the “Exchange Act”), annual and quarterly reports to our common shareholders, registrar and transfer agent fees, national stock exchange fees, the costs associated with the initial implementation of our Sarbanes-Oxley Act of 2002 (“Sarbanes-Oxley Act”) Section 404 internal controls and testing, audit fees, incremental director and officer liability insurance costs and director and officer compensation. These direct, incremental general and administrative expenses are not included in our historical results of operations for the three and nine months ended September 30, 2018.</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Liquidity and Capital Resources</w:t>
      </w:r>
    </w:p>
    <w:p>
      <w:pPr>
        <w:spacing w:after="0" w:line="215" w:lineRule="exact"/>
        <w:rPr>
          <w:sz w:val="20"/>
          <w:szCs w:val="20"/>
          <w:color w:val="auto"/>
        </w:rPr>
      </w:pPr>
    </w:p>
    <w:p>
      <w:pPr>
        <w:ind w:left="2" w:firstLine="292"/>
        <w:spacing w:after="0" w:line="260" w:lineRule="auto"/>
        <w:rPr>
          <w:sz w:val="20"/>
          <w:szCs w:val="20"/>
          <w:color w:val="auto"/>
        </w:rPr>
      </w:pPr>
      <w:r>
        <w:rPr>
          <w:rFonts w:ascii="Arial" w:cs="Arial" w:eastAsia="Arial" w:hAnsi="Arial"/>
          <w:sz w:val="18"/>
          <w:szCs w:val="18"/>
          <w:color w:val="auto"/>
        </w:rPr>
        <w:t>We believe we will have sufficient liquidity, cash flow from operations and access to additional capital sources, to fund our capital expenditures and working capital needs for the next 12 months. We expect to fund our current operations and continued development of additional facilities through a combination of cash on hand, borrowings from the New Term Loan Facility, and proceeds from the issuance of Senior Secured Bonds and Senior Unsecured Bonds (both defined below). Our IPO was completed on February 4, 2019, and we issued and sold 20,000,000 Class A shares at an IPO price of $14.00 per share, raising net proceeds of approximately $257,000. On March 1, 2019, the underwriters exercised their option to purchase an additional 837,272 Class A shares at the IPO price of $14.00 per share, less underwriting discounts, raising additional net proceeds of $11,048. On March 21, 2019, we drew the remaining availability on our New Term Loan Facility and have $496,250 of outstanding principal as of September 30, 2019. On September 5, 2019, we issued approximately $117,000 in Senior Secured Bonds and Senior Unsecured Bonds and the full amount issued is outstanding as of September 30, 2019.</w:t>
      </w:r>
    </w:p>
    <w:p>
      <w:pPr>
        <w:spacing w:after="0" w:line="176" w:lineRule="exact"/>
        <w:rPr>
          <w:sz w:val="20"/>
          <w:szCs w:val="20"/>
          <w:color w:val="auto"/>
        </w:rPr>
      </w:pPr>
    </w:p>
    <w:p>
      <w:pPr>
        <w:ind w:left="2" w:right="140" w:firstLine="292"/>
        <w:spacing w:after="0" w:line="261" w:lineRule="auto"/>
        <w:rPr>
          <w:sz w:val="20"/>
          <w:szCs w:val="20"/>
          <w:color w:val="auto"/>
        </w:rPr>
      </w:pPr>
      <w:r>
        <w:rPr>
          <w:rFonts w:ascii="Arial" w:cs="Arial" w:eastAsia="Arial" w:hAnsi="Arial"/>
          <w:sz w:val="18"/>
          <w:szCs w:val="18"/>
          <w:color w:val="auto"/>
        </w:rPr>
        <w:t>We have assumed total expenditures for all completed and existing projects to be approximately $823 million, with approximately $563 million having already been spent through September 30, 2019. This estimate represents the expenditures necessary to complete construction of the San Juan Facility, the La Paz Terminal, the CHP Plant as well as expected expenditures to serve new small-scale customers. Through September 30, 2019, we have spent approximately $161 million to develop the Pennsylvania Facility. As we have not made a final investment decision to complete the Pennsylvania Facility, $17 million of construction and development costs have been expensed. Cost for land, as well as, engineering and equipment that could be deployed to other facilities of approximately $144 million, has been capitalized. We are currently exploring opportunities to expand our business into new markets, including the Caribbean, Angola, and Mexico, and we will require significant additional capital to implement our strategy.</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Cash Flows</w:t>
      </w:r>
    </w:p>
    <w:p>
      <w:pPr>
        <w:spacing w:after="0" w:line="209" w:lineRule="exact"/>
        <w:rPr>
          <w:sz w:val="20"/>
          <w:szCs w:val="20"/>
          <w:color w:val="auto"/>
        </w:rPr>
      </w:pPr>
    </w:p>
    <w:p>
      <w:pPr>
        <w:ind w:left="2" w:right="60" w:firstLine="292"/>
        <w:spacing w:after="0" w:line="247" w:lineRule="auto"/>
        <w:rPr>
          <w:sz w:val="20"/>
          <w:szCs w:val="20"/>
          <w:color w:val="auto"/>
        </w:rPr>
      </w:pPr>
      <w:r>
        <w:rPr>
          <w:rFonts w:ascii="Arial" w:cs="Arial" w:eastAsia="Arial" w:hAnsi="Arial"/>
          <w:sz w:val="20"/>
          <w:szCs w:val="20"/>
          <w:color w:val="auto"/>
        </w:rPr>
        <w:t>The following table summarizes the changes to our cash flows for the nine months ended September 30, 2019 as compared to the nine months ended September 30, 2018:</w:t>
      </w:r>
    </w:p>
    <w:p>
      <w:pPr>
        <w:spacing w:after="0" w:line="187"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99"/>
        </w:trPr>
        <w:tc>
          <w:tcPr>
            <w:tcW w:w="5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40" w:type="dxa"/>
            <w:vAlign w:val="bottom"/>
            <w:vMerge w:val="restart"/>
          </w:tcPr>
          <w:p>
            <w:pPr>
              <w:spacing w:after="0"/>
              <w:rPr>
                <w:sz w:val="20"/>
                <w:szCs w:val="20"/>
                <w:color w:val="auto"/>
              </w:rPr>
            </w:pPr>
            <w:r>
              <w:rPr>
                <w:rFonts w:ascii="Arial" w:cs="Arial" w:eastAsia="Arial" w:hAnsi="Arial"/>
                <w:sz w:val="16"/>
                <w:szCs w:val="16"/>
                <w:color w:val="auto"/>
              </w:rPr>
              <w:t>Cash flows from:</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66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(154,761)</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(53,156)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(101,605)</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20"/>
                <w:szCs w:val="20"/>
                <w:color w:val="auto"/>
              </w:rPr>
            </w:pPr>
            <w:r>
              <w:rPr>
                <w:rFonts w:ascii="Arial" w:cs="Arial" w:eastAsia="Arial" w:hAnsi="Arial"/>
                <w:sz w:val="16"/>
                <w:szCs w:val="16"/>
                <w:color w:val="auto"/>
              </w:rPr>
              <w:t>Investing activities</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(295,035)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(112,135)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(182,900)</w:t>
            </w:r>
          </w:p>
        </w:tc>
        <w:tc>
          <w:tcPr>
            <w:tcW w:w="0" w:type="dxa"/>
            <w:vAlign w:val="bottom"/>
          </w:tcPr>
          <w:p>
            <w:pPr>
              <w:spacing w:after="0"/>
              <w:rPr>
                <w:sz w:val="1"/>
                <w:szCs w:val="1"/>
                <w:color w:val="auto"/>
              </w:rPr>
            </w:pPr>
          </w:p>
        </w:tc>
      </w:tr>
      <w:tr>
        <w:trPr>
          <w:trHeight w:val="195"/>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2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593,001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115,164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477,837</w:t>
            </w:r>
          </w:p>
        </w:tc>
        <w:tc>
          <w:tcPr>
            <w:tcW w:w="0" w:type="dxa"/>
            <w:vAlign w:val="bottom"/>
          </w:tcPr>
          <w:p>
            <w:pPr>
              <w:spacing w:after="0"/>
              <w:rPr>
                <w:sz w:val="1"/>
                <w:szCs w:val="1"/>
                <w:color w:val="auto"/>
              </w:rPr>
            </w:pPr>
          </w:p>
        </w:tc>
      </w:tr>
      <w:tr>
        <w:trPr>
          <w:trHeight w:val="24"/>
        </w:trPr>
        <w:tc>
          <w:tcPr>
            <w:tcW w:w="50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04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143,205</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(50,127)</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193,332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0" w:type="dxa"/>
            <w:vAlign w:val="bottom"/>
            <w:vMerge w:val="restart"/>
          </w:tcPr>
          <w:p>
            <w:pPr>
              <w:jc w:val="right"/>
              <w:ind w:right="1587"/>
              <w:spacing w:after="0"/>
              <w:rPr>
                <w:sz w:val="20"/>
                <w:szCs w:val="20"/>
                <w:color w:val="auto"/>
              </w:rPr>
            </w:pPr>
            <w:r>
              <w:rPr>
                <w:rFonts w:ascii="Arial" w:cs="Arial" w:eastAsia="Arial" w:hAnsi="Arial"/>
                <w:sz w:val="13"/>
                <w:szCs w:val="13"/>
                <w:color w:val="auto"/>
              </w:rPr>
              <w:t>32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0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0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2"/>
          </w:cols>
          <w:pgMar w:left="238" w:top="124" w:right="219" w:bottom="1440" w:gutter="0" w:footer="0" w:header="0"/>
        </w:sectPr>
      </w:pPr>
    </w:p>
    <w:bookmarkStart w:id="34" w:name="page35"/>
    <w:bookmarkEnd w:id="34"/>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Cash (used in) operating activities</w:t>
      </w:r>
    </w:p>
    <w:p>
      <w:pPr>
        <w:spacing w:after="0" w:line="209" w:lineRule="exact"/>
        <w:rPr>
          <w:sz w:val="20"/>
          <w:szCs w:val="20"/>
          <w:color w:val="auto"/>
        </w:rPr>
      </w:pPr>
    </w:p>
    <w:p>
      <w:pPr>
        <w:ind w:left="2" w:right="60" w:firstLine="292"/>
        <w:spacing w:after="0" w:line="282" w:lineRule="auto"/>
        <w:rPr>
          <w:sz w:val="20"/>
          <w:szCs w:val="20"/>
          <w:color w:val="auto"/>
        </w:rPr>
      </w:pPr>
      <w:r>
        <w:rPr>
          <w:rFonts w:ascii="Arial" w:cs="Arial" w:eastAsia="Arial" w:hAnsi="Arial"/>
          <w:sz w:val="17"/>
          <w:szCs w:val="17"/>
          <w:color w:val="auto"/>
        </w:rPr>
        <w:t>Our cash flow used in operating activities was $154,761 for the nine months ended September 30, 2019, which increased by $101,605 from $53,156 for the nine months ended September 30, 2018. For both the nine-month periods ended September 30, 2019 and 2018, we had losses that comprised a significant portion of cash used in operating activities due to the continued expansion of our business activities. The loss in the nine months ended September 30, 2019 reflects non-cash shared-based compensation expense, which was excluded from the cash used in operating activities. Cash flows used in operating activities for the nine months ended September 30, 2019 was also significantly impacted by increases in other assets, inventories, and receivables, offset by increases in accounts payable, accrued liabilities and other liabilities.</w:t>
      </w:r>
    </w:p>
    <w:p>
      <w:pPr>
        <w:spacing w:after="0" w:line="158"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Cash (used in) investing activities</w:t>
      </w:r>
    </w:p>
    <w:p>
      <w:pPr>
        <w:spacing w:after="0" w:line="209" w:lineRule="exact"/>
        <w:rPr>
          <w:sz w:val="20"/>
          <w:szCs w:val="20"/>
          <w:color w:val="auto"/>
        </w:rPr>
      </w:pPr>
    </w:p>
    <w:p>
      <w:pPr>
        <w:ind w:left="2" w:right="40" w:firstLine="292"/>
        <w:spacing w:after="0" w:line="301" w:lineRule="auto"/>
        <w:rPr>
          <w:sz w:val="20"/>
          <w:szCs w:val="20"/>
          <w:color w:val="auto"/>
        </w:rPr>
      </w:pPr>
      <w:r>
        <w:rPr>
          <w:rFonts w:ascii="Arial" w:cs="Arial" w:eastAsia="Arial" w:hAnsi="Arial"/>
          <w:sz w:val="17"/>
          <w:szCs w:val="17"/>
          <w:color w:val="auto"/>
        </w:rPr>
        <w:t>Our cash flow used in investing activities was $295,035 for the nine months ended September 30, 2019, which increased by $182,900 from $112,135 for the nine months ended September 30, 2018. The increase in cash flow used in investing activities is due to the increase in capital expenditures to complete the Old Harbour Terminal as well as construction of the CHP Plant, the San Juan Facility, and the Pennsylvania Facility.</w:t>
      </w:r>
    </w:p>
    <w:p>
      <w:pPr>
        <w:spacing w:after="0" w:line="142"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Cash provided by financing activities</w:t>
      </w:r>
    </w:p>
    <w:p>
      <w:pPr>
        <w:spacing w:after="0" w:line="209" w:lineRule="exact"/>
        <w:rPr>
          <w:sz w:val="20"/>
          <w:szCs w:val="20"/>
          <w:color w:val="auto"/>
        </w:rPr>
      </w:pPr>
    </w:p>
    <w:p>
      <w:pPr>
        <w:ind w:left="2" w:right="40" w:firstLine="292"/>
        <w:spacing w:after="0" w:line="270" w:lineRule="auto"/>
        <w:rPr>
          <w:sz w:val="20"/>
          <w:szCs w:val="20"/>
          <w:color w:val="auto"/>
        </w:rPr>
      </w:pPr>
      <w:r>
        <w:rPr>
          <w:rFonts w:ascii="Arial" w:cs="Arial" w:eastAsia="Arial" w:hAnsi="Arial"/>
          <w:sz w:val="18"/>
          <w:szCs w:val="18"/>
          <w:color w:val="auto"/>
        </w:rPr>
        <w:t>Our cash flow provided by financing activities was $593,001 for the nine months ended September 30, 2019, which increased by $477,837 from $115,164 for the nine months ended September 30, 2018. The increase in cash flow provided by financing activities is due to the issuance of Senior Secured Bonds and Senior Unsecured Bonds of $117,000 in September 2019, additional borrowings under the New Term Loan Facility of $220,000 in March 2019 and the net proceeds received from our IPO in February 2019.</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Debt</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New Term Loan Facility</w:t>
      </w:r>
    </w:p>
    <w:p>
      <w:pPr>
        <w:spacing w:after="0" w:line="209" w:lineRule="exact"/>
        <w:rPr>
          <w:sz w:val="20"/>
          <w:szCs w:val="20"/>
          <w:color w:val="auto"/>
        </w:rPr>
      </w:pPr>
    </w:p>
    <w:p>
      <w:pPr>
        <w:ind w:left="2" w:right="140" w:firstLine="292"/>
        <w:spacing w:after="0" w:line="274" w:lineRule="auto"/>
        <w:rPr>
          <w:sz w:val="20"/>
          <w:szCs w:val="20"/>
          <w:color w:val="auto"/>
        </w:rPr>
      </w:pPr>
      <w:r>
        <w:rPr>
          <w:rFonts w:ascii="Arial" w:cs="Arial" w:eastAsia="Arial" w:hAnsi="Arial"/>
          <w:sz w:val="17"/>
          <w:szCs w:val="17"/>
          <w:color w:val="auto"/>
        </w:rPr>
        <w:t>On August 16, 2018, the Company entered into a Term Loan Facility (the “Term Loan Facility”) to borrow term loans, available in three draws, up to an aggregate principal amount of $240,000. On December 31, 2018, the Company amended its Term Loan Facility (the “New Term Loan Facility”) to, among other things, (i) increase the amount available for borrowing thereunder from $240,000 to $500,000, (ii) extend the initial maturity date to December 31, 2019, (iii) modify certain provisions relating to restrictive covenants and existing financial covenants, and</w:t>
      </w:r>
    </w:p>
    <w:p>
      <w:pPr>
        <w:spacing w:after="0" w:line="1" w:lineRule="exact"/>
        <w:rPr>
          <w:sz w:val="20"/>
          <w:szCs w:val="20"/>
          <w:color w:val="auto"/>
        </w:rPr>
      </w:pPr>
    </w:p>
    <w:p>
      <w:pPr>
        <w:ind w:left="2" w:hanging="2"/>
        <w:spacing w:after="0" w:line="257" w:lineRule="auto"/>
        <w:tabs>
          <w:tab w:leader="none" w:pos="3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remove the mandatory prepayment required with the net proceeds received in connection with an initial public offering. Borrowings under the New Term Loan Facility bear interest at a rate selected by the Company of either (i) the LIBOR divided by one minus the applicable reserve requirement plus a spread of 4.0%, or (ii) subject to a floor of 1.0%, a Base Rate equal to the highest of (a) the Prime Rate, (b) the Federal Funds Rate plus 1 ⁄2 of 1.0% or (c) the 1-month LIBOR rate plus the difference between the applicable LIBOR margin and Base Rate margin, plus a spread of 3.0%. The Company initially borrowed $280,000 under the New Term Loan Facility. The New Term Loan Facility is set to mature on December 31, 2019 and is repayable in quarterly installments of $1,250, with a balloon payment due on the maturity date. The Company has the option to extend the maturity date for two additional six-month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183" w:lineRule="exact"/>
        <w:rPr>
          <w:sz w:val="20"/>
          <w:szCs w:val="20"/>
          <w:color w:val="auto"/>
        </w:rPr>
      </w:pPr>
    </w:p>
    <w:p>
      <w:pPr>
        <w:ind w:left="2" w:firstLine="292"/>
        <w:spacing w:after="0" w:line="238" w:lineRule="auto"/>
        <w:rPr>
          <w:sz w:val="20"/>
          <w:szCs w:val="20"/>
          <w:color w:val="auto"/>
        </w:rPr>
      </w:pPr>
      <w:r>
        <w:rPr>
          <w:rFonts w:ascii="Arial" w:cs="Arial" w:eastAsia="Arial" w:hAnsi="Arial"/>
          <w:sz w:val="20"/>
          <w:szCs w:val="20"/>
          <w:color w:val="auto"/>
        </w:rPr>
        <w:t>The New Term Loan Facility is secured by mortgages on certain properties owned by the Company’s subsidiaries, in addition to other collateral. The New Term Loan Facility was amended in the third quarter of 2019 to allow certain properties of a consolidated subsidiary to secure the South Power Senior Secured Bonds.</w:t>
      </w:r>
    </w:p>
    <w:p>
      <w:pPr>
        <w:spacing w:after="0" w:line="193" w:lineRule="exact"/>
        <w:rPr>
          <w:sz w:val="20"/>
          <w:szCs w:val="20"/>
          <w:color w:val="auto"/>
        </w:rPr>
      </w:pPr>
    </w:p>
    <w:p>
      <w:pPr>
        <w:ind w:left="2" w:right="140" w:firstLine="292"/>
        <w:spacing w:after="0" w:line="236" w:lineRule="auto"/>
        <w:rPr>
          <w:sz w:val="20"/>
          <w:szCs w:val="20"/>
          <w:color w:val="auto"/>
        </w:rPr>
      </w:pPr>
      <w:r>
        <w:rPr>
          <w:rFonts w:ascii="Arial" w:cs="Arial" w:eastAsia="Arial" w:hAnsi="Arial"/>
          <w:sz w:val="20"/>
          <w:szCs w:val="20"/>
          <w:color w:val="auto"/>
        </w:rPr>
        <w:t>The Company is required to comply with certain financial covenants and other restrictive covenants, including restrictions on indebtedness, liens, acquisitions and investments, restricted payments and dispositions. The New Term Loan Facility also provides for customary events of default, prepayment and cure provisions. As of September 30, 2019, the Company was in compliance with all required covenants under the New Term Loan Facility.</w:t>
      </w:r>
    </w:p>
    <w:p>
      <w:pPr>
        <w:spacing w:after="0" w:line="36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120" w:firstLine="292"/>
        <w:spacing w:after="0" w:line="261" w:lineRule="auto"/>
        <w:rPr>
          <w:sz w:val="20"/>
          <w:szCs w:val="20"/>
          <w:color w:val="auto"/>
        </w:rPr>
      </w:pPr>
      <w:r>
        <w:rPr>
          <w:rFonts w:ascii="Arial" w:cs="Arial" w:eastAsia="Arial" w:hAnsi="Arial"/>
          <w:sz w:val="18"/>
          <w:szCs w:val="18"/>
          <w:color w:val="auto"/>
        </w:rPr>
        <w:t>In March 2019, the Company drew the remaining $220,000 available capacity under the New Term Loan Facility, and as of September 30, 2019, the total principal amount outstanding under the New Term Loan Facility was $496,250. The Company plans to use the $220,000 drawn in the first quarter of 2019 to make capital expenditures to complete the CHP Plant and San Juan Facility, as well as for additional storage and regasification facilities for our small-scale customers. The Company paid $4,400 of additional fees in connection with the $220,000 draw on the New Term Loan Facility. These fees were capitalized as a reduction to the New Term Loan Facility on the condensed consolidated balance sheet. The total unamortized deferred financing costs as of September 30, 2019 was $3,488. In addition, the Company incurred $4,760 of costs for financing activities during the nine months ended September 30, 2019 that were recognized as an expense within the condensed consolidated statements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 Power Senior Secured Bonds and Senior Unsecured Bonds</w:t>
      </w:r>
    </w:p>
    <w:p>
      <w:pPr>
        <w:spacing w:after="0" w:line="209" w:lineRule="exact"/>
        <w:rPr>
          <w:sz w:val="20"/>
          <w:szCs w:val="20"/>
          <w:color w:val="auto"/>
        </w:rPr>
      </w:pPr>
    </w:p>
    <w:p>
      <w:pPr>
        <w:ind w:right="20" w:firstLine="292"/>
        <w:spacing w:after="0" w:line="233" w:lineRule="auto"/>
        <w:rPr>
          <w:sz w:val="20"/>
          <w:szCs w:val="20"/>
          <w:color w:val="auto"/>
        </w:rPr>
      </w:pPr>
      <w:r>
        <w:rPr>
          <w:rFonts w:ascii="Arial" w:cs="Arial" w:eastAsia="Arial" w:hAnsi="Arial"/>
          <w:sz w:val="20"/>
          <w:szCs w:val="20"/>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CHP Plant that is currently under construction and related receivables and assets, and the proceeds will be used to fund the completion of the CHP Plant and to reimburse shareholder advances. Upon completion of construction of the CHP Plant, which is currently expected in the fourth quarter of 2019, and the satisfaction of certain related conditions, South Power has the ability to issue an additional $63,000 in Senior Secured Bonds.</w:t>
      </w:r>
    </w:p>
    <w:p>
      <w:pPr>
        <w:spacing w:after="0" w:line="192" w:lineRule="exact"/>
        <w:rPr>
          <w:sz w:val="20"/>
          <w:szCs w:val="20"/>
          <w:color w:val="auto"/>
        </w:rPr>
      </w:pPr>
    </w:p>
    <w:p>
      <w:pPr>
        <w:ind w:right="200" w:firstLine="292"/>
        <w:spacing w:after="0" w:line="236" w:lineRule="auto"/>
        <w:rPr>
          <w:sz w:val="20"/>
          <w:szCs w:val="20"/>
          <w:color w:val="auto"/>
        </w:rPr>
      </w:pPr>
      <w:r>
        <w:rPr>
          <w:rFonts w:ascii="Arial" w:cs="Arial" w:eastAsia="Arial" w:hAnsi="Arial"/>
          <w:sz w:val="20"/>
          <w:szCs w:val="20"/>
          <w:color w:val="auto"/>
        </w:rPr>
        <w:t>The Senior Secured Bonds bear interest at an annual fixed rate of 8.25% and will mature 15 years from the closing date of each tranche.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92" w:lineRule="exact"/>
        <w:rPr>
          <w:sz w:val="20"/>
          <w:szCs w:val="20"/>
          <w:color w:val="auto"/>
        </w:rPr>
      </w:pPr>
    </w:p>
    <w:p>
      <w:pPr>
        <w:ind w:right="60" w:firstLine="292"/>
        <w:spacing w:after="0" w:line="238" w:lineRule="auto"/>
        <w:rPr>
          <w:sz w:val="20"/>
          <w:szCs w:val="20"/>
          <w:color w:val="auto"/>
        </w:rPr>
      </w:pPr>
      <w:r>
        <w:rPr>
          <w:rFonts w:ascii="Arial" w:cs="Arial" w:eastAsia="Arial" w:hAnsi="Arial"/>
          <w:sz w:val="20"/>
          <w:szCs w:val="20"/>
          <w:color w:val="auto"/>
        </w:rPr>
        <w:t>The Senior Unsecured Bonds will bear interest at an annual fixed rate of 11.00% and will mature 17 years from the closing date. No principal payments will be due until 2028. Beginning in 2028, principal payments will be due quarterly on an escalating schedule. Interest payments on outstanding principal balances will be due quarterly.</w:t>
      </w:r>
    </w:p>
    <w:p>
      <w:pPr>
        <w:spacing w:after="0" w:line="193" w:lineRule="exact"/>
        <w:rPr>
          <w:sz w:val="20"/>
          <w:szCs w:val="20"/>
          <w:color w:val="auto"/>
        </w:rPr>
      </w:pPr>
    </w:p>
    <w:p>
      <w:pPr>
        <w:ind w:right="220" w:firstLine="292"/>
        <w:spacing w:after="0" w:line="333"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16" w:lineRule="exact"/>
        <w:rPr>
          <w:sz w:val="20"/>
          <w:szCs w:val="20"/>
          <w:color w:val="auto"/>
        </w:rPr>
      </w:pPr>
    </w:p>
    <w:p>
      <w:pPr>
        <w:ind w:right="460" w:firstLine="292"/>
        <w:spacing w:after="0" w:line="278" w:lineRule="auto"/>
        <w:rPr>
          <w:sz w:val="20"/>
          <w:szCs w:val="20"/>
          <w:color w:val="auto"/>
        </w:rPr>
      </w:pPr>
      <w:r>
        <w:rPr>
          <w:rFonts w:ascii="Arial" w:cs="Arial" w:eastAsia="Arial" w:hAnsi="Arial"/>
          <w:sz w:val="18"/>
          <w:szCs w:val="18"/>
          <w:color w:val="auto"/>
        </w:rPr>
        <w:t>The Company paid approximately $3,859 of fees in connection with the issuance of Senior Secured Bonds and Senior Unsecured Bonds. These fees were capitalized on a pro-rata basis as a reduction of the Senior Secured Bonds and Senior Unsecured Bonds on the condensed consolidated balance sheets. The total unamortized deferred financing costs as of September 30, 2019 was $3,836.</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 Balance Sheet Arrangements</w:t>
      </w:r>
    </w:p>
    <w:p>
      <w:pPr>
        <w:spacing w:after="0" w:line="209" w:lineRule="exact"/>
        <w:rPr>
          <w:sz w:val="20"/>
          <w:szCs w:val="20"/>
          <w:color w:val="auto"/>
        </w:rPr>
      </w:pPr>
    </w:p>
    <w:p>
      <w:pPr>
        <w:ind w:right="360" w:firstLine="292"/>
        <w:spacing w:after="0" w:line="247" w:lineRule="auto"/>
        <w:rPr>
          <w:sz w:val="20"/>
          <w:szCs w:val="20"/>
          <w:color w:val="auto"/>
        </w:rPr>
      </w:pPr>
      <w:r>
        <w:rPr>
          <w:rFonts w:ascii="Arial" w:cs="Arial" w:eastAsia="Arial" w:hAnsi="Arial"/>
          <w:sz w:val="20"/>
          <w:szCs w:val="20"/>
          <w:color w:val="auto"/>
        </w:rPr>
        <w:t>As of September 30, 2019, we had no off-balance sheet arrangements that may have a current or future material effect on our consolidated financial position or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209" w:lineRule="exact"/>
        <w:rPr>
          <w:sz w:val="20"/>
          <w:szCs w:val="20"/>
          <w:color w:val="auto"/>
        </w:rPr>
      </w:pPr>
    </w:p>
    <w:p>
      <w:pPr>
        <w:ind w:right="900" w:firstLine="292"/>
        <w:spacing w:after="0" w:line="247" w:lineRule="auto"/>
        <w:rPr>
          <w:sz w:val="20"/>
          <w:szCs w:val="20"/>
          <w:color w:val="auto"/>
        </w:rPr>
      </w:pPr>
      <w:r>
        <w:rPr>
          <w:rFonts w:ascii="Arial" w:cs="Arial" w:eastAsia="Arial" w:hAnsi="Arial"/>
          <w:sz w:val="20"/>
          <w:szCs w:val="20"/>
          <w:color w:val="auto"/>
        </w:rPr>
        <w:t>We are committed to make cash payments in the future pursuant to certain of our contracts. The following table summarizes certain contractual obligations in place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Less than 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5"/>
              </w:rPr>
              <w:t>More than 5</w:t>
            </w:r>
          </w:p>
        </w:tc>
      </w:tr>
      <w:tr>
        <w:trPr>
          <w:trHeight w:val="216"/>
        </w:trPr>
        <w:tc>
          <w:tcPr>
            <w:tcW w:w="4580" w:type="dxa"/>
            <w:vAlign w:val="bottom"/>
          </w:tcPr>
          <w:p>
            <w:pPr>
              <w:ind w:left="180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2 to 3</w:t>
            </w: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Years 4 to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years</w:t>
            </w:r>
          </w:p>
        </w:tc>
      </w:tr>
      <w:tr>
        <w:trPr>
          <w:trHeight w:val="195"/>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5"/>
        </w:trPr>
        <w:tc>
          <w:tcPr>
            <w:tcW w:w="4580" w:type="dxa"/>
            <w:vAlign w:val="bottom"/>
          </w:tcPr>
          <w:p>
            <w:pPr>
              <w:spacing w:after="0"/>
              <w:rPr>
                <w:sz w:val="20"/>
                <w:szCs w:val="20"/>
                <w:color w:val="auto"/>
              </w:rPr>
            </w:pPr>
            <w:r>
              <w:rPr>
                <w:rFonts w:ascii="Arial" w:cs="Arial" w:eastAsia="Arial" w:hAnsi="Arial"/>
                <w:sz w:val="16"/>
                <w:szCs w:val="16"/>
                <w:color w:val="auto"/>
              </w:rPr>
              <w:t>Purchase obligations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631,599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175,496</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456,103</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13,361</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14,035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20,480</w:t>
            </w:r>
          </w:p>
        </w:tc>
      </w:tr>
      <w:tr>
        <w:trPr>
          <w:trHeight w:val="24"/>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458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990,663</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487,044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470,138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13,001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20,480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580" w:firstLine="292"/>
        <w:spacing w:after="0" w:line="247" w:lineRule="auto"/>
        <w:rPr>
          <w:sz w:val="20"/>
          <w:szCs w:val="20"/>
          <w:color w:val="auto"/>
        </w:rPr>
      </w:pPr>
      <w:r>
        <w:rPr>
          <w:rFonts w:ascii="Arial" w:cs="Arial" w:eastAsia="Arial" w:hAnsi="Arial"/>
          <w:sz w:val="20"/>
          <w:szCs w:val="20"/>
          <w:color w:val="auto"/>
        </w:rPr>
        <w:t>As of September 30, 2019, there have been no material changes to the commitments and contractual obligations table above outside the ordinary course of business, except as noted below.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Long-Term debt obligations</w:t>
      </w:r>
    </w:p>
    <w:p>
      <w:pPr>
        <w:spacing w:after="0" w:line="209" w:lineRule="exact"/>
        <w:rPr>
          <w:sz w:val="20"/>
          <w:szCs w:val="20"/>
          <w:color w:val="auto"/>
        </w:rPr>
      </w:pPr>
    </w:p>
    <w:p>
      <w:pPr>
        <w:ind w:right="140" w:firstLine="292"/>
        <w:spacing w:after="0" w:line="247" w:lineRule="auto"/>
        <w:rPr>
          <w:sz w:val="20"/>
          <w:szCs w:val="20"/>
          <w:color w:val="auto"/>
        </w:rPr>
      </w:pPr>
      <w:r>
        <w:rPr>
          <w:rFonts w:ascii="Arial" w:cs="Arial" w:eastAsia="Arial" w:hAnsi="Arial"/>
          <w:sz w:val="20"/>
          <w:szCs w:val="20"/>
          <w:color w:val="auto"/>
        </w:rPr>
        <w:t>For information on our debt obligations, see “—Liquidity and Capital Resources—Debt.” The amounts included in the table above are based on the total debt balance, scheduled maturities and interest rates in effect as of December 31, 2018.</w:t>
      </w:r>
    </w:p>
    <w:p>
      <w:pPr>
        <w:spacing w:after="0" w:line="185" w:lineRule="exact"/>
        <w:rPr>
          <w:sz w:val="20"/>
          <w:szCs w:val="20"/>
          <w:color w:val="auto"/>
        </w:rPr>
      </w:pPr>
    </w:p>
    <w:p>
      <w:pPr>
        <w:jc w:val="both"/>
        <w:ind w:firstLine="292"/>
        <w:spacing w:after="0" w:line="301" w:lineRule="auto"/>
        <w:rPr>
          <w:sz w:val="20"/>
          <w:szCs w:val="20"/>
          <w:color w:val="auto"/>
        </w:rPr>
      </w:pPr>
      <w:r>
        <w:rPr>
          <w:rFonts w:ascii="Arial" w:cs="Arial" w:eastAsia="Arial" w:hAnsi="Arial"/>
          <w:sz w:val="17"/>
          <w:szCs w:val="17"/>
          <w:color w:val="auto"/>
        </w:rPr>
        <w:t>In March 2019, the Company drew the remaining $220,000 available capacity on the New Term Loan Facility, and as of September 30, 2019, the total principal amount outstanding under the New Term Loan Facility was $496,250. The Company expects to pay $7,664 in interest payments during the remainder of 2019. If we exercise the option to extend the New Term Loan Facility, we will incur a fee of $4,963 in December 2019.</w:t>
      </w:r>
    </w:p>
    <w:p>
      <w:pPr>
        <w:spacing w:after="0" w:line="142" w:lineRule="exact"/>
        <w:rPr>
          <w:sz w:val="20"/>
          <w:szCs w:val="20"/>
          <w:color w:val="auto"/>
        </w:rPr>
      </w:pPr>
    </w:p>
    <w:p>
      <w:pPr>
        <w:ind w:right="220" w:firstLine="292"/>
        <w:spacing w:after="0" w:line="266" w:lineRule="auto"/>
        <w:rPr>
          <w:sz w:val="20"/>
          <w:szCs w:val="20"/>
          <w:color w:val="auto"/>
        </w:rPr>
      </w:pPr>
      <w:r>
        <w:rPr>
          <w:rFonts w:ascii="Arial" w:cs="Arial" w:eastAsia="Arial" w:hAnsi="Arial"/>
          <w:sz w:val="18"/>
          <w:szCs w:val="18"/>
          <w:color w:val="auto"/>
        </w:rPr>
        <w:t>In September 2019, the Company issued $73,317 and $43,683 of Senior Secured Bonds and Senior Unsecured Bonds, respectively. No principal payments will be due until seven years after the closing date for the Senior Secured Bonds and nine years after the closing date for the Senior Unsecured Bonds. The Company expects to pay $2,736 in interest payments during the remainder of 2019. Upon completion of construction of the CHP Plant and the satisfaction of certain related conditions, which is currently expected in the fourth quarter of 2019, South Power has the ability under the facility to issue an additional $63,000 in Senior Secured Bonds.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Purchase obligations</w:t>
      </w:r>
    </w:p>
    <w:p>
      <w:pPr>
        <w:spacing w:after="0" w:line="209" w:lineRule="exact"/>
        <w:rPr>
          <w:sz w:val="20"/>
          <w:szCs w:val="20"/>
          <w:color w:val="auto"/>
        </w:rPr>
      </w:pPr>
    </w:p>
    <w:p>
      <w:pPr>
        <w:ind w:firstLine="292"/>
        <w:spacing w:after="0" w:line="301" w:lineRule="auto"/>
        <w:rPr>
          <w:sz w:val="20"/>
          <w:szCs w:val="20"/>
          <w:color w:val="auto"/>
        </w:rPr>
      </w:pPr>
      <w:r>
        <w:rPr>
          <w:rFonts w:ascii="Arial" w:cs="Arial" w:eastAsia="Arial" w:hAnsi="Arial"/>
          <w:sz w:val="17"/>
          <w:szCs w:val="17"/>
          <w:color w:val="auto"/>
        </w:rPr>
        <w:t>The Company is party to contractual purchase commitments for LNG and natural gas, including additional contracts entered into subsequent to December 31, 2018. These contracts are principally take-or-pay contracts, which require the purchase of minimum quantities of LNG or natural gas, and these commitments are designed to assure sources of supply and are not expected to be in excess of normal requirements.</w:t>
      </w:r>
    </w:p>
    <w:p>
      <w:pPr>
        <w:spacing w:after="0" w:line="142" w:lineRule="exact"/>
        <w:rPr>
          <w:sz w:val="20"/>
          <w:szCs w:val="20"/>
          <w:color w:val="auto"/>
        </w:rPr>
      </w:pPr>
    </w:p>
    <w:p>
      <w:pPr>
        <w:ind w:right="260" w:firstLine="292"/>
        <w:spacing w:after="0" w:line="238" w:lineRule="auto"/>
        <w:rPr>
          <w:sz w:val="20"/>
          <w:szCs w:val="20"/>
          <w:color w:val="auto"/>
        </w:rPr>
      </w:pPr>
      <w:r>
        <w:rPr>
          <w:rFonts w:ascii="Arial" w:cs="Arial" w:eastAsia="Arial" w:hAnsi="Arial"/>
          <w:sz w:val="20"/>
          <w:szCs w:val="20"/>
          <w:color w:val="auto"/>
        </w:rPr>
        <w:t>In March 2019, the Company entered into a contract with Peninsula Energy Services Company Inc. for the purchase of 60,500 gallons of natural gas (5,000 MMBtu) per day for a total of 152.5 million gallons of natural gas (12.6 TBtu). The deliveries are scheduled between March 2019 and November 2025.</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Operating Lease obligations</w:t>
      </w:r>
    </w:p>
    <w:p>
      <w:pPr>
        <w:spacing w:after="0" w:line="209" w:lineRule="exact"/>
        <w:rPr>
          <w:sz w:val="20"/>
          <w:szCs w:val="20"/>
          <w:color w:val="auto"/>
        </w:rPr>
      </w:pPr>
    </w:p>
    <w:p>
      <w:pPr>
        <w:jc w:val="both"/>
        <w:ind w:right="640" w:firstLine="292"/>
        <w:spacing w:after="0" w:line="333" w:lineRule="auto"/>
        <w:rPr>
          <w:sz w:val="20"/>
          <w:szCs w:val="20"/>
          <w:color w:val="auto"/>
        </w:rPr>
      </w:pPr>
      <w:r>
        <w:rPr>
          <w:rFonts w:ascii="Arial" w:cs="Arial" w:eastAsia="Arial" w:hAnsi="Arial"/>
          <w:sz w:val="17"/>
          <w:szCs w:val="17"/>
          <w:color w:val="auto"/>
        </w:rPr>
        <w:t>Future minimum lease payments under non-cancellable operating leases are noted in the above table and further described below. The Company’s lease obligations are primarily related to LNG vessel time charters, office space, a land site lease and marine port berth leases.</w:t>
      </w:r>
    </w:p>
    <w:p>
      <w:pPr>
        <w:spacing w:after="0" w:line="116" w:lineRule="exact"/>
        <w:rPr>
          <w:sz w:val="20"/>
          <w:szCs w:val="20"/>
          <w:color w:val="auto"/>
        </w:rPr>
      </w:pPr>
    </w:p>
    <w:p>
      <w:pPr>
        <w:ind w:right="180" w:firstLine="292"/>
        <w:spacing w:after="0" w:line="266" w:lineRule="auto"/>
        <w:rPr>
          <w:sz w:val="20"/>
          <w:szCs w:val="20"/>
          <w:color w:val="auto"/>
        </w:rPr>
      </w:pPr>
      <w:r>
        <w:rPr>
          <w:rFonts w:ascii="Arial" w:cs="Arial" w:eastAsia="Arial" w:hAnsi="Arial"/>
          <w:sz w:val="18"/>
          <w:szCs w:val="18"/>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$21,871. Fixed lease payments under these leases are expected to be approximately $64 per month and $17,228 over the remaining lease terms. Some of these leases contain variable components based on LNG processed.</w:t>
      </w:r>
    </w:p>
    <w:p>
      <w:pPr>
        <w:spacing w:after="0" w:line="169" w:lineRule="exact"/>
        <w:rPr>
          <w:sz w:val="20"/>
          <w:szCs w:val="20"/>
          <w:color w:val="auto"/>
        </w:rPr>
      </w:pPr>
    </w:p>
    <w:p>
      <w:pPr>
        <w:ind w:right="20" w:firstLine="292"/>
        <w:spacing w:after="0" w:line="263" w:lineRule="auto"/>
        <w:rPr>
          <w:sz w:val="20"/>
          <w:szCs w:val="20"/>
          <w:color w:val="auto"/>
        </w:rPr>
      </w:pPr>
      <w:r>
        <w:rPr>
          <w:rFonts w:ascii="Arial" w:cs="Arial" w:eastAsia="Arial" w:hAnsi="Arial"/>
          <w:sz w:val="18"/>
          <w:szCs w:val="18"/>
          <w:color w:val="auto"/>
        </w:rPr>
        <w:t>The Company entered into an agreement to lease a floating storage regasification unit for an initial non-cancellable term of three years. The Company may continue to lease the vessel for up to 15 years with an option to renew for an additional five years. From January to March 2019, the Company was using the vessel for floating storage for the cost of $18 per day. Acceptance procedures were completed in the second quarter of 2019, and the vessel has been leased for $50 per day. Subsequent to December 31, 2018, the Company also entered into two additional LNG vessel time charters for contract terms ranging from three to five years. One of these vessels was delivered in the third quarter of 2019, and the Company is required to pay $1,300 per month over the term of the lease.</w:t>
      </w:r>
    </w:p>
    <w:p>
      <w:pPr>
        <w:spacing w:after="0" w:line="175" w:lineRule="exact"/>
        <w:rPr>
          <w:sz w:val="20"/>
          <w:szCs w:val="20"/>
          <w:color w:val="auto"/>
        </w:rPr>
      </w:pPr>
    </w:p>
    <w:p>
      <w:pPr>
        <w:ind w:right="120" w:firstLine="292"/>
        <w:spacing w:after="0" w:line="278" w:lineRule="auto"/>
        <w:rPr>
          <w:sz w:val="20"/>
          <w:szCs w:val="20"/>
          <w:color w:val="auto"/>
        </w:rPr>
      </w:pPr>
      <w:r>
        <w:rPr>
          <w:rFonts w:ascii="Arial" w:cs="Arial" w:eastAsia="Arial" w:hAnsi="Arial"/>
          <w:sz w:val="18"/>
          <w:szCs w:val="18"/>
          <w:color w:val="auto"/>
        </w:rPr>
        <w:t>Office space includes a newly fabricated space shared with affiliated companies in New York with a month-to-month lease, and an office space in downtown Miami, Florida, with a lease term of 84 months. The land site lease is held with an affiliate of the Company and has an initial term up to five years, and the marine port berth lease had an initial term up to 10 years. Both leases contain renewal options.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Critical Accounting Estimates</w:t>
      </w:r>
    </w:p>
    <w:p>
      <w:pPr>
        <w:spacing w:after="0" w:line="215" w:lineRule="exact"/>
        <w:rPr>
          <w:sz w:val="20"/>
          <w:szCs w:val="20"/>
          <w:color w:val="auto"/>
        </w:rPr>
      </w:pPr>
    </w:p>
    <w:p>
      <w:pPr>
        <w:ind w:firstLine="292"/>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Revenue recognition</w:t>
      </w:r>
    </w:p>
    <w:p>
      <w:pPr>
        <w:spacing w:after="0" w:line="209" w:lineRule="exact"/>
        <w:rPr>
          <w:sz w:val="20"/>
          <w:szCs w:val="20"/>
          <w:color w:val="auto"/>
        </w:rPr>
      </w:pPr>
    </w:p>
    <w:p>
      <w:pPr>
        <w:ind w:right="40" w:firstLine="292"/>
        <w:spacing w:after="0" w:line="282" w:lineRule="auto"/>
        <w:rPr>
          <w:sz w:val="20"/>
          <w:szCs w:val="20"/>
          <w:color w:val="auto"/>
        </w:rPr>
      </w:pPr>
      <w:r>
        <w:rPr>
          <w:rFonts w:ascii="Arial" w:cs="Arial" w:eastAsia="Arial" w:hAnsi="Arial"/>
          <w:sz w:val="17"/>
          <w:szCs w:val="17"/>
          <w:color w:val="auto"/>
        </w:rPr>
        <w:t>The Company’s primary revenue stream is the sale of LNG and natural gas to customers, which is presented as Operating revenue in the condensed consolidated statements of operations and comprehensive loss. LNG or natural gas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physical possession and the risks and rewards of ownership transfer to the customer, either when the containers are shipped or delivered to the customers’ storage facilities, depending on the terms of the contract.</w:t>
      </w:r>
    </w:p>
    <w:p>
      <w:pPr>
        <w:spacing w:after="0" w:line="158" w:lineRule="exact"/>
        <w:rPr>
          <w:sz w:val="20"/>
          <w:szCs w:val="20"/>
          <w:color w:val="auto"/>
        </w:rPr>
      </w:pPr>
    </w:p>
    <w:p>
      <w:pPr>
        <w:ind w:right="680" w:firstLine="292"/>
        <w:spacing w:after="0" w:line="238" w:lineRule="auto"/>
        <w:rPr>
          <w:sz w:val="20"/>
          <w:szCs w:val="20"/>
          <w:color w:val="auto"/>
        </w:rPr>
      </w:pPr>
      <w:r>
        <w:rPr>
          <w:rFonts w:ascii="Arial" w:cs="Arial" w:eastAsia="Arial" w:hAnsi="Arial"/>
          <w:sz w:val="20"/>
          <w:szCs w:val="20"/>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93" w:lineRule="exact"/>
        <w:rPr>
          <w:sz w:val="20"/>
          <w:szCs w:val="20"/>
          <w:color w:val="auto"/>
        </w:rPr>
      </w:pPr>
    </w:p>
    <w:p>
      <w:pPr>
        <w:ind w:right="60" w:firstLine="292"/>
        <w:spacing w:after="0" w:line="262" w:lineRule="auto"/>
        <w:rPr>
          <w:sz w:val="20"/>
          <w:szCs w:val="20"/>
          <w:color w:val="auto"/>
        </w:rPr>
      </w:pPr>
      <w:r>
        <w:rPr>
          <w:rFonts w:ascii="Arial" w:cs="Arial" w:eastAsia="Arial" w:hAnsi="Arial"/>
          <w:sz w:val="18"/>
          <w:szCs w:val="18"/>
          <w:color w:val="auto"/>
        </w:rPr>
        <w:t>The Company’s contracts with customers to supply LNG or natural gas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Company estimates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minimum lease payments and the amount to be accounted for under the revenue recognition guidance.</w:t>
      </w:r>
    </w:p>
    <w:p>
      <w:pPr>
        <w:spacing w:after="0" w:line="173" w:lineRule="exact"/>
        <w:rPr>
          <w:sz w:val="20"/>
          <w:szCs w:val="20"/>
          <w:color w:val="auto"/>
        </w:rPr>
      </w:pPr>
    </w:p>
    <w:p>
      <w:pPr>
        <w:ind w:right="220" w:firstLine="292"/>
        <w:spacing w:after="0" w:line="262" w:lineRule="auto"/>
        <w:rPr>
          <w:sz w:val="20"/>
          <w:szCs w:val="20"/>
          <w:color w:val="auto"/>
        </w:rPr>
      </w:pPr>
      <w:r>
        <w:rPr>
          <w:rFonts w:ascii="Arial" w:cs="Arial" w:eastAsia="Arial" w:hAnsi="Arial"/>
          <w:sz w:val="18"/>
          <w:szCs w:val="18"/>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condensed consolidated statements of operations and comprehensive loss is primarily comprised of such interest revenue.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173" w:lineRule="exact"/>
        <w:rPr>
          <w:sz w:val="20"/>
          <w:szCs w:val="20"/>
          <w:color w:val="auto"/>
        </w:rPr>
      </w:pPr>
    </w:p>
    <w:p>
      <w:pPr>
        <w:ind w:right="40" w:firstLine="292"/>
        <w:spacing w:after="0" w:line="262" w:lineRule="auto"/>
        <w:rPr>
          <w:sz w:val="20"/>
          <w:szCs w:val="20"/>
          <w:color w:val="auto"/>
        </w:rPr>
      </w:pPr>
      <w:r>
        <w:rPr>
          <w:rFonts w:ascii="Arial" w:cs="Arial" w:eastAsia="Arial" w:hAnsi="Arial"/>
          <w:sz w:val="18"/>
          <w:szCs w:val="18"/>
          <w:color w:val="auto"/>
        </w:rPr>
        <w:t>In addition to the revenue recognized from the leasing components of agreements with customers, Other revenue includes revenue recognized from the construction and installation of equipment to transform customers’ facilities to operate utilizing natural gas or to allow customers to receive power or other outputs from our power generation facilities. Revenue for these construction services is recognized over time as the Company transfers control of the asset to the customer, unless the customer is not able to obtain control over the asset under construction until such services are completed, in which case,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73" w:lineRule="exact"/>
        <w:rPr>
          <w:sz w:val="20"/>
          <w:szCs w:val="20"/>
          <w:color w:val="auto"/>
        </w:rPr>
      </w:pPr>
    </w:p>
    <w:p>
      <w:pPr>
        <w:ind w:right="20" w:firstLine="292"/>
        <w:spacing w:after="0" w:line="266" w:lineRule="auto"/>
        <w:rPr>
          <w:sz w:val="20"/>
          <w:szCs w:val="20"/>
          <w:color w:val="auto"/>
        </w:rPr>
      </w:pPr>
      <w:r>
        <w:rPr>
          <w:rFonts w:ascii="Arial" w:cs="Arial" w:eastAsia="Arial" w:hAnsi="Arial"/>
          <w:sz w:val="18"/>
          <w:szCs w:val="18"/>
          <w:color w:val="auto"/>
        </w:rPr>
        <w:t>Construction services may be included in arrangements that include other distinct performance obligations, and the Company allocates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Impairment</w:t>
      </w:r>
    </w:p>
    <w:p>
      <w:pPr>
        <w:spacing w:after="0" w:line="209" w:lineRule="exact"/>
        <w:rPr>
          <w:sz w:val="20"/>
          <w:szCs w:val="20"/>
          <w:color w:val="auto"/>
        </w:rPr>
      </w:pPr>
    </w:p>
    <w:p>
      <w:pPr>
        <w:ind w:left="2" w:firstLine="292"/>
        <w:spacing w:after="0" w:line="261" w:lineRule="auto"/>
        <w:rPr>
          <w:sz w:val="20"/>
          <w:szCs w:val="20"/>
          <w:color w:val="auto"/>
        </w:rPr>
      </w:pPr>
      <w:r>
        <w:rPr>
          <w:rFonts w:ascii="Arial" w:cs="Arial" w:eastAsia="Arial" w:hAnsi="Arial"/>
          <w:sz w:val="18"/>
          <w:szCs w:val="18"/>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and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74" w:lineRule="exact"/>
        <w:rPr>
          <w:sz w:val="20"/>
          <w:szCs w:val="20"/>
          <w:color w:val="auto"/>
        </w:rPr>
      </w:pPr>
    </w:p>
    <w:p>
      <w:pPr>
        <w:ind w:left="302"/>
        <w:spacing w:after="0"/>
        <w:rPr>
          <w:sz w:val="20"/>
          <w:szCs w:val="20"/>
          <w:color w:val="auto"/>
        </w:rPr>
      </w:pPr>
      <w:r>
        <w:rPr>
          <w:rFonts w:ascii="Arial" w:cs="Arial" w:eastAsia="Arial" w:hAnsi="Arial"/>
          <w:sz w:val="20"/>
          <w:szCs w:val="20"/>
          <w:i w:val="1"/>
          <w:iCs w:val="1"/>
          <w:color w:val="auto"/>
        </w:rPr>
        <w:t>Share-based compensation</w:t>
      </w:r>
    </w:p>
    <w:p>
      <w:pPr>
        <w:spacing w:after="0" w:line="209" w:lineRule="exact"/>
        <w:rPr>
          <w:sz w:val="20"/>
          <w:szCs w:val="20"/>
          <w:color w:val="auto"/>
        </w:rPr>
      </w:pPr>
    </w:p>
    <w:p>
      <w:pPr>
        <w:ind w:left="2" w:right="240" w:firstLine="292"/>
        <w:spacing w:after="0" w:line="238" w:lineRule="auto"/>
        <w:rPr>
          <w:sz w:val="20"/>
          <w:szCs w:val="20"/>
          <w:color w:val="auto"/>
        </w:rPr>
      </w:pPr>
      <w:r>
        <w:rPr>
          <w:rFonts w:ascii="Arial" w:cs="Arial" w:eastAsia="Arial" w:hAnsi="Arial"/>
          <w:sz w:val="20"/>
          <w:szCs w:val="20"/>
          <w:color w:val="auto"/>
        </w:rPr>
        <w:t>The Company estimates the fair value of RSUs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JOBS Act</w:t>
      </w:r>
    </w:p>
    <w:p>
      <w:pPr>
        <w:spacing w:after="0" w:line="215" w:lineRule="exact"/>
        <w:rPr>
          <w:sz w:val="20"/>
          <w:szCs w:val="20"/>
          <w:color w:val="auto"/>
        </w:rPr>
      </w:pPr>
    </w:p>
    <w:p>
      <w:pPr>
        <w:ind w:left="2" w:firstLine="292"/>
        <w:spacing w:after="0" w:line="266"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169" w:lineRule="exact"/>
        <w:rPr>
          <w:sz w:val="20"/>
          <w:szCs w:val="20"/>
          <w:color w:val="auto"/>
        </w:rPr>
      </w:pPr>
    </w:p>
    <w:p>
      <w:pPr>
        <w:ind w:left="2" w:firstLine="292"/>
        <w:spacing w:after="0" w:line="279" w:lineRule="auto"/>
        <w:rPr>
          <w:sz w:val="20"/>
          <w:szCs w:val="20"/>
          <w:color w:val="auto"/>
        </w:rPr>
      </w:pPr>
      <w:r>
        <w:rPr>
          <w:rFonts w:ascii="Arial" w:cs="Arial" w:eastAsia="Arial" w:hAnsi="Arial"/>
          <w:sz w:val="17"/>
          <w:szCs w:val="17"/>
          <w:color w:val="auto"/>
        </w:rPr>
        <w:t>Subject to certain conditions, as an EGC, we have elected to rely on certain of these exemptions, including without limitation, (1) providing an auditor’s attestation report on our system of internal controls over financial reporting pursuant to Section 404(b) of the Sarbanes-Oxley Act and</w:t>
      </w:r>
    </w:p>
    <w:p>
      <w:pPr>
        <w:ind w:left="2" w:right="60" w:hanging="2"/>
        <w:spacing w:after="0" w:line="278" w:lineRule="auto"/>
        <w:tabs>
          <w:tab w:leader="none" w:pos="2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Recent Accounting Standards</w:t>
      </w:r>
    </w:p>
    <w:p>
      <w:pPr>
        <w:spacing w:after="0" w:line="215" w:lineRule="exact"/>
        <w:rPr>
          <w:sz w:val="20"/>
          <w:szCs w:val="20"/>
          <w:color w:val="auto"/>
        </w:rPr>
      </w:pPr>
    </w:p>
    <w:p>
      <w:pPr>
        <w:ind w:left="2" w:right="480" w:firstLine="292"/>
        <w:spacing w:after="0" w:line="247" w:lineRule="auto"/>
        <w:rPr>
          <w:sz w:val="20"/>
          <w:szCs w:val="20"/>
          <w:color w:val="auto"/>
        </w:rPr>
      </w:pPr>
      <w:r>
        <w:rPr>
          <w:rFonts w:ascii="Arial" w:cs="Arial" w:eastAsia="Arial" w:hAnsi="Arial"/>
          <w:sz w:val="20"/>
          <w:szCs w:val="20"/>
          <w:color w:val="auto"/>
        </w:rPr>
        <w:t>For descriptions of recently issued accounting standards, see “Note 3. Adoption of new and revised standards” to our notes to condensed consolidated financial statements included elsewhere in this Quarterly Report.</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Risks.</w:t>
      </w:r>
    </w:p>
    <w:p>
      <w:pPr>
        <w:spacing w:after="0" w:line="228" w:lineRule="exact"/>
        <w:rPr>
          <w:sz w:val="20"/>
          <w:szCs w:val="20"/>
          <w:color w:val="auto"/>
        </w:rPr>
      </w:pPr>
    </w:p>
    <w:p>
      <w:pPr>
        <w:ind w:right="420" w:firstLine="292"/>
        <w:spacing w:after="0" w:line="247" w:lineRule="auto"/>
        <w:rPr>
          <w:sz w:val="20"/>
          <w:szCs w:val="20"/>
          <w:color w:val="auto"/>
        </w:rPr>
      </w:pPr>
      <w:r>
        <w:rPr>
          <w:rFonts w:ascii="Arial" w:cs="Arial" w:eastAsia="Arial" w:hAnsi="Arial"/>
          <w:sz w:val="20"/>
          <w:szCs w:val="20"/>
          <w:color w:val="auto"/>
        </w:rPr>
        <w:t>In the normal course of business, the Company encounters several significant types of market risks including commodity and interest rate risks.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209"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may be impacted by the fluctuations in natural gas prices, and our exposure to market risk associated with LNG price changes may adversely impact our business. However, we are generally able to limit our exposure given our pricing in contracts with customers is based on the Henry Hub index price plus a contractual spread. Also, we have a strategic sourcing and price strategy to mitigate risk from commodity price fluctuation. We will continue to evaluate the need for future price changes in light of trends, our competitive landscape and our financial results. Furthermore, we do not currently have any derivative arrangements to protect against fluctuations in commodity prices, but to mitigate the effect of fluctuations in LNG prices on our operations, we may enter into various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09" w:lineRule="exact"/>
        <w:rPr>
          <w:sz w:val="20"/>
          <w:szCs w:val="20"/>
          <w:color w:val="auto"/>
        </w:rPr>
      </w:pPr>
    </w:p>
    <w:p>
      <w:pPr>
        <w:ind w:right="60" w:firstLine="292"/>
        <w:spacing w:after="0" w:line="262" w:lineRule="auto"/>
        <w:rPr>
          <w:sz w:val="20"/>
          <w:szCs w:val="20"/>
          <w:color w:val="auto"/>
        </w:rPr>
      </w:pPr>
      <w:r>
        <w:rPr>
          <w:rFonts w:ascii="Arial" w:cs="Arial" w:eastAsia="Arial" w:hAnsi="Arial"/>
          <w:sz w:val="18"/>
          <w:szCs w:val="18"/>
          <w:color w:val="auto"/>
        </w:rPr>
        <w:t>Debt that we incurred under the New Term Loan Facility bears interest at variable rates and exposes us to interest rate risk. Interest is calculated under the terms of the New Term Loan Facility based on our selection, from time to time, of one of the index rates available to us plus an applicable margin that varies based on certain factors. See “Item 2. Management’s Discussion and Analysis of Financial Condition and Results of Operations—Liquidity and Capital Resources—Debt.” With the full $500 million principal amount drawn and outstanding, the impact on interest expense of a 1% increase or decrease in the interest rate of the New Term Loan Facility would be approximately $5 million per year. We do not currently have or intend to enter into any derivative arrangements to protect against fluctuations in interest rates applicable to our outstanding indebtedness.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Exchange Risk</w:t>
      </w:r>
    </w:p>
    <w:p>
      <w:pPr>
        <w:spacing w:after="0" w:line="209" w:lineRule="exact"/>
        <w:rPr>
          <w:sz w:val="20"/>
          <w:szCs w:val="20"/>
          <w:color w:val="auto"/>
        </w:rPr>
      </w:pPr>
    </w:p>
    <w:p>
      <w:pPr>
        <w:ind w:firstLine="292"/>
        <w:spacing w:after="0" w:line="270" w:lineRule="auto"/>
        <w:rPr>
          <w:sz w:val="20"/>
          <w:szCs w:val="20"/>
          <w:color w:val="auto"/>
        </w:rPr>
      </w:pPr>
      <w:r>
        <w:rPr>
          <w:rFonts w:ascii="Arial" w:cs="Arial" w:eastAsia="Arial" w:hAnsi="Arial"/>
          <w:sz w:val="18"/>
          <w:szCs w:val="18"/>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09" w:lineRule="exact"/>
        <w:rPr>
          <w:sz w:val="20"/>
          <w:szCs w:val="20"/>
          <w:color w:val="auto"/>
        </w:rPr>
      </w:pPr>
    </w:p>
    <w:p>
      <w:pPr>
        <w:ind w:firstLine="292"/>
        <w:spacing w:after="0" w:line="278"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September 30, 2019.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2019 at the reasonable assurance level.</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09" w:lineRule="exact"/>
        <w:rPr>
          <w:sz w:val="20"/>
          <w:szCs w:val="20"/>
          <w:color w:val="auto"/>
        </w:rPr>
      </w:pPr>
    </w:p>
    <w:p>
      <w:pPr>
        <w:ind w:right="160" w:firstLine="292"/>
        <w:spacing w:after="0" w:line="238" w:lineRule="auto"/>
        <w:rPr>
          <w:sz w:val="20"/>
          <w:szCs w:val="20"/>
          <w:color w:val="auto"/>
        </w:rPr>
      </w:pPr>
      <w:r>
        <w:rPr>
          <w:rFonts w:ascii="Arial" w:cs="Arial" w:eastAsia="Arial" w:hAnsi="Arial"/>
          <w:sz w:val="20"/>
          <w:szCs w:val="20"/>
          <w:color w:val="auto"/>
        </w:rPr>
        <w:t>There were no changes in our internal control over financial reporting (as defined in Rule 13a-15(f) and Rule 15d-15(f) under the Exchange Act) that occurred during the quarter ended September 30, 2019 that have materially affected, or are reasonably likely to materially affect, our internal control over financial reporting.</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INFORMATION</w:t>
      </w:r>
    </w:p>
    <w:p>
      <w:pPr>
        <w:spacing w:after="0" w:line="19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28" w:lineRule="exact"/>
        <w:rPr>
          <w:sz w:val="20"/>
          <w:szCs w:val="20"/>
          <w:color w:val="auto"/>
        </w:rPr>
      </w:pPr>
    </w:p>
    <w:p>
      <w:pPr>
        <w:ind w:right="420" w:firstLine="292"/>
        <w:spacing w:after="0" w:line="238" w:lineRule="auto"/>
        <w:rPr>
          <w:sz w:val="20"/>
          <w:szCs w:val="20"/>
          <w:color w:val="auto"/>
        </w:rPr>
      </w:pPr>
      <w:r>
        <w:rPr>
          <w:rFonts w:ascii="Arial" w:cs="Arial" w:eastAsia="Arial" w:hAnsi="Arial"/>
          <w:sz w:val="20"/>
          <w:szCs w:val="20"/>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 xml:space="preserve">Item </w:t>
      </w:r>
      <w:r>
        <w:rPr>
          <w:rFonts w:ascii="Arial" w:cs="Arial" w:eastAsia="Arial" w:hAnsi="Arial"/>
          <w:sz w:val="16"/>
          <w:szCs w:val="16"/>
          <w:b w:val="1"/>
          <w:bCs w:val="1"/>
          <w:i w:val="1"/>
          <w:iCs w:val="1"/>
          <w:color w:val="auto"/>
        </w:rPr>
        <w:t>1A.</w:t>
      </w:r>
      <w:r>
        <w:rPr>
          <w:sz w:val="20"/>
          <w:szCs w:val="20"/>
          <w:color w:val="auto"/>
        </w:rPr>
        <w:tab/>
      </w:r>
      <w:r>
        <w:rPr>
          <w:rFonts w:ascii="Arial" w:cs="Arial" w:eastAsia="Arial" w:hAnsi="Arial"/>
          <w:sz w:val="14"/>
          <w:szCs w:val="14"/>
          <w:b w:val="1"/>
          <w:bCs w:val="1"/>
          <w:i w:val="1"/>
          <w:iCs w:val="1"/>
          <w:color w:val="auto"/>
        </w:rPr>
        <w:t>Risk Factors.</w:t>
      </w:r>
    </w:p>
    <w:p>
      <w:pPr>
        <w:spacing w:after="0" w:line="228" w:lineRule="exact"/>
        <w:rPr>
          <w:sz w:val="20"/>
          <w:szCs w:val="20"/>
          <w:color w:val="auto"/>
        </w:rPr>
      </w:pPr>
    </w:p>
    <w:p>
      <w:pPr>
        <w:ind w:right="20" w:firstLine="292"/>
        <w:spacing w:after="0" w:line="263"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regarding, among other things, our plans, strategies, prospects and projections, both business and financial. As a result, you should not place undue reliance on any such statements included in this Quarterly Report.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15"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85" w:lineRule="exact"/>
        <w:rPr>
          <w:sz w:val="20"/>
          <w:szCs w:val="20"/>
          <w:color w:val="auto"/>
        </w:rPr>
      </w:pPr>
    </w:p>
    <w:p>
      <w:pPr>
        <w:ind w:firstLine="292"/>
        <w:spacing w:after="0" w:line="257" w:lineRule="auto"/>
        <w:rPr>
          <w:sz w:val="20"/>
          <w:szCs w:val="20"/>
          <w:color w:val="auto"/>
        </w:rPr>
      </w:pPr>
      <w:r>
        <w:rPr>
          <w:rFonts w:ascii="Arial" w:cs="Arial" w:eastAsia="Arial" w:hAnsi="Arial"/>
          <w:sz w:val="18"/>
          <w:szCs w:val="18"/>
          <w:color w:val="auto"/>
        </w:rPr>
        <w:t>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Additionally there can be no assurance that we will not need to make adjustments to our Terminals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our Quarterly Reports or our Annual Report,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181" w:lineRule="exact"/>
        <w:rPr>
          <w:sz w:val="20"/>
          <w:szCs w:val="20"/>
          <w:color w:val="auto"/>
        </w:rPr>
      </w:pPr>
    </w:p>
    <w:p>
      <w:pPr>
        <w:ind w:right="180"/>
        <w:spacing w:after="0" w:line="333" w:lineRule="auto"/>
        <w:rPr>
          <w:sz w:val="20"/>
          <w:szCs w:val="20"/>
          <w:color w:val="auto"/>
        </w:rPr>
      </w:pPr>
      <w:r>
        <w:rPr>
          <w:rFonts w:ascii="Arial" w:cs="Arial" w:eastAsia="Arial" w:hAnsi="Arial"/>
          <w:sz w:val="17"/>
          <w:szCs w:val="17"/>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72" w:lineRule="auto"/>
        <w:rPr>
          <w:sz w:val="20"/>
          <w:szCs w:val="20"/>
          <w:color w:val="auto"/>
        </w:rPr>
      </w:pPr>
      <w:r>
        <w:rPr>
          <w:rFonts w:ascii="Arial" w:cs="Arial" w:eastAsia="Arial" w:hAnsi="Arial"/>
          <w:sz w:val="17"/>
          <w:szCs w:val="17"/>
          <w:color w:val="auto"/>
        </w:rPr>
        <w:t>Development projects, including Terminals,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construction changes, increased costs and potentially decreased economic attractiveness. These risks are often increased in jurisdictions outside the United States, and these foreign jurisdictions are currently a primary focus of our business activities, where legal processes, language differences, cultural expectations, currency exchange requirements, employment laws and diligence requirements can make it more difficult, time-consuming and expensive to develop a project. Moreover, we are currently developing projects in locations where we have no prior development experience, and we expect to continue expanding into new jurisdictions in the future. Our inexperience in these jurisdictions creates a meaningful risk that we may experience delays, unforeseen expenses or other obstacles that will cause the projects we are developing to take longer and be more expensive than our initial estimates. While we plan our projects carefully and attempt to complete them according to timelines and budgets that we believe are feasible, we have experienced time delays and cost overruns in some projects we have developed previously and may experience similar issues with future projects given the inherent complexity and unpredictability of developing infrastructure projects in developing parts of the world. If we experience project delays or cost overruns in the future, these events could increase our costs, decrease our revenues and earnings and negatively affect our liquidity and business prospects. Delays in the construction beyond our estimated development periods, as well as amendments or change orders under the construction contracts we have entered into or any future contract related to future developments, could increase the cost of completion beyond the amounts that we estimate, which could require us to obtain additional sources of financing to continue development on our estimated development timeline or to fund our operations during construction of such development. Any delay in completion of a facility could cause a delay in the receipt of revenues estimated therefrom or cause a loss of one or more customers in the event of significant delays. As a result, any significant construction delay, whatever the cause, could have a material adverse effect on our business, operating results, cash flows and liquidity.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32" w:lineRule="exact"/>
        <w:rPr>
          <w:sz w:val="20"/>
          <w:szCs w:val="20"/>
          <w:color w:val="auto"/>
        </w:rPr>
      </w:pPr>
    </w:p>
    <w:p>
      <w:pPr>
        <w:ind w:firstLine="292"/>
        <w:spacing w:after="0" w:line="273" w:lineRule="auto"/>
        <w:rPr>
          <w:sz w:val="20"/>
          <w:szCs w:val="20"/>
          <w:color w:val="auto"/>
        </w:rPr>
      </w:pPr>
      <w:r>
        <w:rPr>
          <w:rFonts w:ascii="Arial" w:cs="Arial" w:eastAsia="Arial" w:hAnsi="Arial"/>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Angola,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5" w:lineRule="exact"/>
        <w:rPr>
          <w:sz w:val="20"/>
          <w:szCs w:val="20"/>
          <w:color w:val="auto"/>
        </w:rPr>
      </w:pPr>
    </w:p>
    <w:p>
      <w:pPr>
        <w:ind w:right="120" w:firstLine="292"/>
        <w:spacing w:after="0" w:line="236" w:lineRule="auto"/>
        <w:rPr>
          <w:sz w:val="20"/>
          <w:szCs w:val="20"/>
          <w:color w:val="auto"/>
        </w:rPr>
      </w:pPr>
      <w:r>
        <w:rPr>
          <w:rFonts w:ascii="Arial" w:cs="Arial" w:eastAsia="Arial" w:hAnsi="Arial"/>
          <w:sz w:val="20"/>
          <w:szCs w:val="20"/>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99" w:lineRule="exact"/>
        <w:rPr>
          <w:sz w:val="20"/>
          <w:szCs w:val="20"/>
          <w:color w:val="auto"/>
        </w:rPr>
      </w:pPr>
    </w:p>
    <w:p>
      <w:pPr>
        <w:ind w:left="580" w:hanging="290"/>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inability to achieve our target costs for the purchase, liquefaction and export of natural gas and/or LNG and our target pricing for long-term contracts;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develop cost-effective logistics solutions;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6" w:lineRule="exact"/>
        <w:rPr>
          <w:sz w:val="20"/>
          <w:szCs w:val="20"/>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manage expanding operations in the projected time frame;</w:t>
      </w:r>
    </w:p>
    <w:p>
      <w:pPr>
        <w:spacing w:after="0" w:line="230" w:lineRule="exact"/>
        <w:rPr>
          <w:rFonts w:ascii="Arial" w:cs="Arial" w:eastAsia="Arial" w:hAnsi="Arial"/>
          <w:sz w:val="16"/>
          <w:szCs w:val="16"/>
          <w:color w:val="auto"/>
        </w:rPr>
      </w:pPr>
    </w:p>
    <w:p>
      <w:pPr>
        <w:ind w:left="580" w:right="420" w:hanging="290"/>
        <w:spacing w:after="0" w:line="28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to structure innovative and profitable energy-related transactions as part of our sales and trading operations and to optimally price and manage position, performance and counterparty risks;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inability to develop infrastructure, including our Terminals and Liquefaction Facilities, as well as other future projects, in a timely and cost-effective manner;</w:t>
      </w:r>
    </w:p>
    <w:p>
      <w:pPr>
        <w:spacing w:after="0" w:line="241" w:lineRule="exact"/>
        <w:rPr>
          <w:rFonts w:ascii="Arial" w:cs="Arial" w:eastAsia="Arial" w:hAnsi="Arial"/>
          <w:sz w:val="15"/>
          <w:szCs w:val="15"/>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to attract and retain personnel in a timely and cost-effective manner;</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of investments in technology and machinery, such as liquefaction technology or LNG tank truck technology, to perform as expected;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competition which could increase our costs and undermine our profits;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anticipate and adapt to new trends in the energy sector in the U.S., Jamaica, the Caribbean, Mexico, Ireland, Angola and elsewhere;</w:t>
      </w:r>
    </w:p>
    <w:p>
      <w:pPr>
        <w:spacing w:after="0" w:line="230" w:lineRule="exact"/>
        <w:rPr>
          <w:rFonts w:ascii="Arial" w:cs="Arial" w:eastAsia="Arial" w:hAnsi="Arial"/>
          <w:sz w:val="16"/>
          <w:szCs w:val="16"/>
          <w:color w:val="auto"/>
        </w:rPr>
      </w:pPr>
    </w:p>
    <w:p>
      <w:pPr>
        <w:ind w:left="580" w:right="560" w:hanging="290"/>
        <w:spacing w:after="0" w:line="28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operating costs, including the need for capital improvements, insurance premiums, general taxes, real estate taxes and utilities, affecting our profit margins;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to raise significant additional debt and equity capital in the future to implement our strategy as well as to operate and expand our business;</w:t>
      </w:r>
    </w:p>
    <w:p>
      <w:pPr>
        <w:spacing w:after="0" w:line="230" w:lineRule="exact"/>
        <w:rPr>
          <w:rFonts w:ascii="Arial" w:cs="Arial" w:eastAsia="Arial" w:hAnsi="Arial"/>
          <w:sz w:val="16"/>
          <w:szCs w:val="16"/>
          <w:color w:val="auto"/>
        </w:rPr>
      </w:pPr>
    </w:p>
    <w:p>
      <w:pPr>
        <w:ind w:left="580" w:right="40" w:hanging="290"/>
        <w:spacing w:after="0" w:line="28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economic, political and business conditions in the U.S., Jamaica, the Caribbean, Mexico, Ireland, Angola and in the other geographic areas in which we intend to operate;</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inflation, depreciation of the currencies of the countries in which we operate and fluctuations in interest rates;</w:t>
      </w:r>
    </w:p>
    <w:p>
      <w:pPr>
        <w:spacing w:after="0" w:line="230" w:lineRule="exact"/>
        <w:rPr>
          <w:rFonts w:ascii="Arial" w:cs="Arial" w:eastAsia="Arial" w:hAnsi="Arial"/>
          <w:sz w:val="16"/>
          <w:szCs w:val="16"/>
          <w:color w:val="auto"/>
        </w:rPr>
      </w:pPr>
    </w:p>
    <w:p>
      <w:pPr>
        <w:ind w:left="580" w:right="360" w:hanging="290"/>
        <w:spacing w:after="0" w:line="28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obtain approvals from the Pennsylvania Department of Environmental Protection and relevant local authorities for the construction and operation of the Pennsylvania Facility and other relevant approvals;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win new bids or contracts on the terms, size and within the time frame we need to execute our business strategy;</w:t>
      </w:r>
    </w:p>
    <w:p>
      <w:pPr>
        <w:spacing w:after="0" w:line="230" w:lineRule="exact"/>
        <w:rPr>
          <w:rFonts w:ascii="Arial" w:cs="Arial" w:eastAsia="Arial" w:hAnsi="Arial"/>
          <w:sz w:val="16"/>
          <w:szCs w:val="16"/>
          <w:color w:val="auto"/>
        </w:rPr>
      </w:pPr>
    </w:p>
    <w:p>
      <w:pPr>
        <w:ind w:left="580" w:right="20" w:hanging="290"/>
        <w:spacing w:after="0" w:line="28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obtain approvals from governmental regulators and relevant local authorities for the construction and operation of potential future projects and other relevant approvals;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existing and future governmental laws and regulations; or</w:t>
      </w:r>
    </w:p>
    <w:p>
      <w:pPr>
        <w:spacing w:after="0" w:line="230" w:lineRule="exact"/>
        <w:rPr>
          <w:rFonts w:ascii="Arial" w:cs="Arial" w:eastAsia="Arial" w:hAnsi="Arial"/>
          <w:sz w:val="16"/>
          <w:szCs w:val="16"/>
          <w:color w:val="auto"/>
        </w:rPr>
      </w:pPr>
    </w:p>
    <w:p>
      <w:pPr>
        <w:ind w:left="580" w:right="260" w:hanging="290"/>
        <w:spacing w:after="0" w:line="26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83" w:lineRule="exact"/>
        <w:rPr>
          <w:sz w:val="20"/>
          <w:szCs w:val="20"/>
          <w:color w:val="auto"/>
        </w:rPr>
      </w:pPr>
    </w:p>
    <w:p>
      <w:pPr>
        <w:ind w:firstLine="292"/>
        <w:spacing w:after="0" w:line="247" w:lineRule="auto"/>
        <w:rPr>
          <w:sz w:val="20"/>
          <w:szCs w:val="20"/>
          <w:color w:val="auto"/>
        </w:rPr>
      </w:pPr>
      <w:r>
        <w:rPr>
          <w:rFonts w:ascii="Arial" w:cs="Arial" w:eastAsia="Arial" w:hAnsi="Arial"/>
          <w:sz w:val="20"/>
          <w:szCs w:val="20"/>
          <w:color w:val="auto"/>
        </w:rPr>
        <w:t>If we experience any of these failures, such failure may adversely affect our financial condition, results of operations and ability to execute our business strategy.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a limited operating history, which may not be sufficient to evaluate our business and prospects.</w:t>
      </w:r>
    </w:p>
    <w:p>
      <w:pPr>
        <w:spacing w:after="0" w:line="209" w:lineRule="exact"/>
        <w:rPr>
          <w:sz w:val="20"/>
          <w:szCs w:val="20"/>
          <w:color w:val="auto"/>
        </w:rPr>
      </w:pPr>
    </w:p>
    <w:p>
      <w:pPr>
        <w:ind w:right="140" w:firstLine="292"/>
        <w:spacing w:after="0" w:line="280"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$31.7 million in 2017 and $78.2 million in 2018.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data privacy and other matters. We will need to continue to build our team to implement our strategies.</w:t>
      </w:r>
    </w:p>
    <w:p>
      <w:pPr>
        <w:spacing w:after="0" w:line="159"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Old Harbour Terminal and Montego Bay Terminal (together,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76"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b w:val="1"/>
          <w:bCs w:val="1"/>
          <w:i w:val="1"/>
          <w:iCs w:val="1"/>
          <w:color w:val="auto"/>
        </w:rPr>
        <w:t>Our business is dependent upon obtaining substantial additional funding from various sources, which may not be available or may only be available on unfavorable terms.</w:t>
      </w:r>
    </w:p>
    <w:p>
      <w:pPr>
        <w:spacing w:after="0" w:line="185" w:lineRule="exact"/>
        <w:rPr>
          <w:sz w:val="20"/>
          <w:szCs w:val="20"/>
          <w:color w:val="auto"/>
        </w:rPr>
      </w:pPr>
    </w:p>
    <w:p>
      <w:pPr>
        <w:ind w:right="40" w:firstLine="292"/>
        <w:spacing w:after="0" w:line="257" w:lineRule="auto"/>
        <w:rPr>
          <w:sz w:val="20"/>
          <w:szCs w:val="20"/>
          <w:color w:val="auto"/>
        </w:rPr>
      </w:pPr>
      <w:r>
        <w:rPr>
          <w:rFonts w:ascii="Arial" w:cs="Arial" w:eastAsia="Arial" w:hAnsi="Arial"/>
          <w:sz w:val="18"/>
          <w:szCs w:val="18"/>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local markets, or the opportunistic sale of one of our non-core assets. See “Part II, Item 7. Management’s Discussion and Analysis of Financial Condition and Results of Operations” in our Annual Report and “Part I, Item 2. Management’s Discussion and Analysis of Financial Condition and Results of Operations” in this Quarterly Report for more information on our New Term Loan Facility, Senior Secured Bonds and Senior Unsecured Bonds. On September 2, 2019, we amended our New Term Loan Facility to accommodate the issuance of our Senior Secured Bonds and Senior Unsecured Bonds. If we are unable to secure additional funding, approvals or amendments to existing financing,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0" w:firstLine="292"/>
        <w:spacing w:after="0" w:line="278"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profitable for an indeterminate period of time.</w:t>
      </w:r>
    </w:p>
    <w:p>
      <w:pPr>
        <w:spacing w:after="0" w:line="209" w:lineRule="exact"/>
        <w:rPr>
          <w:sz w:val="20"/>
          <w:szCs w:val="20"/>
          <w:color w:val="auto"/>
        </w:rPr>
      </w:pPr>
    </w:p>
    <w:p>
      <w:pPr>
        <w:ind w:firstLine="292"/>
        <w:spacing w:after="0" w:line="233" w:lineRule="auto"/>
        <w:rPr>
          <w:sz w:val="20"/>
          <w:szCs w:val="20"/>
          <w:color w:val="auto"/>
        </w:rPr>
      </w:pPr>
      <w:r>
        <w:rPr>
          <w:rFonts w:ascii="Arial" w:cs="Arial" w:eastAsia="Arial" w:hAnsi="Arial"/>
          <w:sz w:val="20"/>
          <w:szCs w:val="20"/>
          <w:color w:val="auto"/>
        </w:rPr>
        <w:t>We have a limited operating history and did not commence revenue-generating activities until 2016, and therefore did not achieve profitability as of September 30, 2019. We will need to make a significant initial investment to complete construction and begin operations of each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192" w:lineRule="exact"/>
        <w:rPr>
          <w:sz w:val="20"/>
          <w:szCs w:val="20"/>
          <w:color w:val="auto"/>
        </w:rPr>
      </w:pPr>
    </w:p>
    <w:p>
      <w:pPr>
        <w:ind w:right="360" w:firstLine="292"/>
        <w:spacing w:after="0" w:line="333" w:lineRule="auto"/>
        <w:rPr>
          <w:sz w:val="20"/>
          <w:szCs w:val="20"/>
          <w:color w:val="auto"/>
        </w:rPr>
      </w:pPr>
      <w:r>
        <w:rPr>
          <w:rFonts w:ascii="Arial" w:cs="Arial" w:eastAsia="Arial" w:hAnsi="Arial"/>
          <w:sz w:val="17"/>
          <w:szCs w:val="17"/>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1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auto"/>
        </w:rPr>
        <w:t>Our business is heavily dependent upon our international operations, particularly in Jamaica, and any disruption to those operations would adversely affect us.</w:t>
      </w:r>
    </w:p>
    <w:p>
      <w:pPr>
        <w:spacing w:after="0" w:line="185"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80" w:lineRule="exact"/>
        <w:rPr>
          <w:sz w:val="20"/>
          <w:szCs w:val="20"/>
          <w:color w:val="auto"/>
        </w:rPr>
      </w:pPr>
    </w:p>
    <w:p>
      <w:pPr>
        <w:ind w:right="720"/>
        <w:spacing w:after="0" w:line="247" w:lineRule="auto"/>
        <w:rPr>
          <w:sz w:val="20"/>
          <w:szCs w:val="20"/>
          <w:color w:val="auto"/>
        </w:rPr>
      </w:pPr>
      <w:r>
        <w:rPr>
          <w:rFonts w:ascii="Arial" w:cs="Arial" w:eastAsia="Arial" w:hAnsi="Arial"/>
          <w:sz w:val="20"/>
          <w:szCs w:val="20"/>
          <w:b w:val="1"/>
          <w:bCs w:val="1"/>
          <w:i w:val="1"/>
          <w:iCs w:val="1"/>
          <w:color w:val="auto"/>
        </w:rPr>
        <w:t>Because we are currently dependent upon a limited number of customers, the loss of a significant customer could adversely affect our operating results.</w:t>
      </w:r>
    </w:p>
    <w:p>
      <w:pPr>
        <w:spacing w:after="0" w:line="185" w:lineRule="exact"/>
        <w:rPr>
          <w:sz w:val="20"/>
          <w:szCs w:val="20"/>
          <w:color w:val="auto"/>
        </w:rPr>
      </w:pPr>
    </w:p>
    <w:p>
      <w:pPr>
        <w:ind w:right="80" w:firstLine="292"/>
        <w:spacing w:after="0" w:line="262" w:lineRule="auto"/>
        <w:rPr>
          <w:sz w:val="20"/>
          <w:szCs w:val="20"/>
          <w:color w:val="auto"/>
        </w:rPr>
      </w:pPr>
      <w:r>
        <w:rPr>
          <w:rFonts w:ascii="Arial" w:cs="Arial" w:eastAsia="Arial" w:hAnsi="Arial"/>
          <w:sz w:val="18"/>
          <w:szCs w:val="18"/>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73" w:lineRule="exact"/>
        <w:rPr>
          <w:sz w:val="20"/>
          <w:szCs w:val="20"/>
          <w:color w:val="auto"/>
        </w:rPr>
      </w:pPr>
    </w:p>
    <w:p>
      <w:pPr>
        <w:ind w:right="20"/>
        <w:spacing w:after="0" w:line="327"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80" w:firstLine="292"/>
        <w:spacing w:after="0" w:line="276"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JPC and PREPA,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is substantially in excess of such minimum volume commitments. Our near term ability to generate cash is dependent on JPS’s, JPC’s, PREPA’s and Jamalco’s continued willingness and ability to continue purchasing our products and services and to perform their obligations under their respective contracts which may include construction or maintenance of facilities necessary to enable us to deliver and sell natural gas or LNG. If any of JPS, JPC, PREPA or Jamalco fails to perform its obligations under its contract, our operating results, cash flow and liquidity could be materially and adversely affected, even if we were ultimately successful in seeking damages from JPS, JPC, PREPA or Jamalco for a breach of contract. Additionally, as many of our facilities are still in developmental stages, our entry into long-term contracts before such facilities are fully operational exposes us to extended counterparty credit risk.</w:t>
      </w:r>
    </w:p>
    <w:p>
      <w:pPr>
        <w:spacing w:after="0" w:line="165" w:lineRule="exact"/>
        <w:rPr>
          <w:sz w:val="20"/>
          <w:szCs w:val="20"/>
          <w:color w:val="auto"/>
        </w:rPr>
      </w:pPr>
    </w:p>
    <w:p>
      <w:pPr>
        <w:ind w:firstLine="292"/>
        <w:spacing w:after="0" w:line="256" w:lineRule="auto"/>
        <w:rPr>
          <w:sz w:val="20"/>
          <w:szCs w:val="20"/>
          <w:color w:val="auto"/>
        </w:rPr>
      </w:pPr>
      <w:r>
        <w:rPr>
          <w:rFonts w:ascii="Arial" w:cs="Arial" w:eastAsia="Arial" w:hAnsi="Arial"/>
          <w:sz w:val="18"/>
          <w:szCs w:val="18"/>
          <w:color w:val="auto"/>
        </w:rPr>
        <w:t>Risks of nonpayment and nonperformance by customers are a consideration in our business, and our credit procedures and policies maybe inadequate to sufficiently eliminate customer credit risk.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recently completed a financial restructuring.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On March 5, 2019, after review by the Puerto Rico Energy Bureau and the Financial Oversight and Management Board for Puerto Rico, our subsidiary, NFEnergía entered into a Fuel Sale and Purchase Agreement with the Puerto Rico Electric Power Authority (“PREPA”) for the supply of natural gas and conversion of Units 5 and 6 of the San Juan Combined Cycle Power Plant.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182" w:lineRule="exact"/>
        <w:rPr>
          <w:sz w:val="20"/>
          <w:szCs w:val="20"/>
          <w:color w:val="auto"/>
        </w:rPr>
      </w:pPr>
    </w:p>
    <w:p>
      <w:pPr>
        <w:ind w:right="700" w:firstLine="292"/>
        <w:spacing w:after="0" w:line="247" w:lineRule="auto"/>
        <w:rPr>
          <w:sz w:val="20"/>
          <w:szCs w:val="20"/>
          <w:color w:val="auto"/>
        </w:rPr>
      </w:pPr>
      <w:r>
        <w:rPr>
          <w:rFonts w:ascii="Arial" w:cs="Arial" w:eastAsia="Arial" w:hAnsi="Arial"/>
          <w:sz w:val="20"/>
          <w:szCs w:val="20"/>
          <w:color w:val="auto"/>
        </w:rPr>
        <w:t>Further, adverse economic conditions in our industry increase the risk of nonpayment and nonperformance by customers, particularly customers that have sub-investment grade credit ratings.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740" w:firstLine="292"/>
        <w:spacing w:after="0" w:line="247" w:lineRule="auto"/>
        <w:rPr>
          <w:sz w:val="20"/>
          <w:szCs w:val="20"/>
          <w:color w:val="auto"/>
        </w:rPr>
      </w:pPr>
      <w:r>
        <w:rPr>
          <w:rFonts w:ascii="Arial" w:cs="Arial" w:eastAsia="Arial" w:hAnsi="Arial"/>
          <w:sz w:val="20"/>
          <w:szCs w:val="20"/>
          <w:color w:val="auto"/>
        </w:rPr>
        <w:t>Further, adverse economic conditions in our industry increase the risk of nonpayment and nonperformance by customers, particularly customers that have sub-investment grade credit ratings.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contracts with our customers are subject to termination under certain circumstances.</w:t>
      </w:r>
    </w:p>
    <w:p>
      <w:pPr>
        <w:spacing w:after="0" w:line="209" w:lineRule="exact"/>
        <w:rPr>
          <w:sz w:val="20"/>
          <w:szCs w:val="20"/>
          <w:color w:val="auto"/>
        </w:rPr>
      </w:pPr>
    </w:p>
    <w:p>
      <w:pPr>
        <w:jc w:val="both"/>
        <w:ind w:right="360" w:firstLine="292"/>
        <w:spacing w:after="0" w:line="238" w:lineRule="auto"/>
        <w:rPr>
          <w:sz w:val="20"/>
          <w:szCs w:val="20"/>
          <w:color w:val="auto"/>
        </w:rPr>
      </w:pPr>
      <w:r>
        <w:rPr>
          <w:rFonts w:ascii="Arial" w:cs="Arial" w:eastAsia="Arial" w:hAnsi="Arial"/>
          <w:sz w:val="20"/>
          <w:szCs w:val="20"/>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200" w:lineRule="exact"/>
        <w:rPr>
          <w:sz w:val="20"/>
          <w:szCs w:val="20"/>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the occurrence of certain events of force majeure;</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fail to make available specified scheduled cargo quantities;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occurrence of certain uncured payment defaults;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occurrence of an insolvency event;</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occurrence of certain uncured, material breaches;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fail to commence commercial operations or achieve financial close within the agreed timeframes.</w:t>
      </w:r>
    </w:p>
    <w:p>
      <w:pPr>
        <w:spacing w:after="0" w:line="224" w:lineRule="exact"/>
        <w:rPr>
          <w:sz w:val="20"/>
          <w:szCs w:val="20"/>
          <w:color w:val="auto"/>
        </w:rPr>
      </w:pPr>
    </w:p>
    <w:p>
      <w:pPr>
        <w:ind w:firstLine="292"/>
        <w:spacing w:after="0" w:line="238" w:lineRule="auto"/>
        <w:rPr>
          <w:sz w:val="20"/>
          <w:szCs w:val="20"/>
          <w:color w:val="auto"/>
        </w:rPr>
      </w:pPr>
      <w:r>
        <w:rPr>
          <w:rFonts w:ascii="Arial" w:cs="Arial" w:eastAsia="Arial" w:hAnsi="Arial"/>
          <w:sz w:val="20"/>
          <w:szCs w:val="20"/>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93" w:lineRule="exact"/>
        <w:rPr>
          <w:sz w:val="20"/>
          <w:szCs w:val="20"/>
          <w:color w:val="auto"/>
        </w:rPr>
      </w:pPr>
    </w:p>
    <w:p>
      <w:pPr>
        <w:jc w:val="both"/>
        <w:ind w:right="60"/>
        <w:spacing w:after="0" w:line="238" w:lineRule="auto"/>
        <w:rPr>
          <w:sz w:val="20"/>
          <w:szCs w:val="20"/>
          <w:color w:val="auto"/>
        </w:rPr>
      </w:pPr>
      <w:r>
        <w:rPr>
          <w:rFonts w:ascii="Arial" w:cs="Arial" w:eastAsia="Arial" w:hAnsi="Arial"/>
          <w:sz w:val="20"/>
          <w:szCs w:val="20"/>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93" w:lineRule="exact"/>
        <w:rPr>
          <w:sz w:val="20"/>
          <w:szCs w:val="20"/>
          <w:color w:val="auto"/>
        </w:rPr>
      </w:pPr>
    </w:p>
    <w:p>
      <w:pPr>
        <w:ind w:right="80" w:firstLine="292"/>
        <w:spacing w:after="0" w:line="238" w:lineRule="auto"/>
        <w:rPr>
          <w:sz w:val="20"/>
          <w:szCs w:val="20"/>
          <w:color w:val="auto"/>
        </w:rPr>
      </w:pPr>
      <w:r>
        <w:rPr>
          <w:rFonts w:ascii="Arial" w:cs="Arial" w:eastAsia="Arial" w:hAnsi="Arial"/>
          <w:sz w:val="20"/>
          <w:szCs w:val="20"/>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0" w:lineRule="exact"/>
        <w:rPr>
          <w:sz w:val="20"/>
          <w:szCs w:val="20"/>
          <w:color w:val="auto"/>
        </w:rPr>
      </w:pPr>
    </w:p>
    <w:p>
      <w:pPr>
        <w:ind w:left="580" w:hanging="290"/>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additions to competitive regasification capacity in North America, Europe, Asia and other markets, which could divert LNG or natural gas from our business;</w:t>
      </w:r>
    </w:p>
    <w:p>
      <w:pPr>
        <w:spacing w:after="0" w:line="241" w:lineRule="exact"/>
        <w:rPr>
          <w:rFonts w:ascii="Arial" w:cs="Arial" w:eastAsia="Arial" w:hAnsi="Arial"/>
          <w:sz w:val="15"/>
          <w:szCs w:val="15"/>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imposition of tariffs by China or any other jurisdiction on imports of LNG from the United States;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insufficient or oversupply of natural gas liquefaction or export capacity worldwide;</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insufficient LNG tanker capacity;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weather conditions and natural disasters;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reduced demand and lower prices for natural gas;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natural gas production deliverable by pipelines, which could suppress demand for LNG;</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which may decrease the production of natural gas;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 improvements that allow competitors to offer LNG regasification services at reduced prices;</w:t>
      </w:r>
    </w:p>
    <w:p>
      <w:pPr>
        <w:spacing w:after="0" w:line="230" w:lineRule="exact"/>
        <w:rPr>
          <w:rFonts w:ascii="Arial" w:cs="Arial" w:eastAsia="Arial" w:hAnsi="Arial"/>
          <w:sz w:val="16"/>
          <w:szCs w:val="16"/>
          <w:color w:val="auto"/>
        </w:rPr>
      </w:pPr>
    </w:p>
    <w:p>
      <w:pPr>
        <w:ind w:left="580" w:right="300" w:hanging="290"/>
        <w:spacing w:after="0" w:line="284"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supplies of, and prices for, alternative energy sources such as coal, oil, nuclear, hydroelectric, wind and solar energy, which may reduce the demand for natural gas;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0" w:right="460" w:hanging="290"/>
        <w:spacing w:after="0" w:line="284"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regulatory, tax or other governmental policies regarding imported or exported LNG, natural gas or alternative energy sources, which may reduce the demand for imported or exported LNG and/or natural gas;</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political conditions in natural gas producing regions;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adverse relative demand for LNG compared to other markets, which may decrease LNG imports into or exports from North America;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cyclical trends in general business and economic conditions that cause changes in the demand for natural gas.</w:t>
      </w:r>
    </w:p>
    <w:p>
      <w:pPr>
        <w:spacing w:after="0" w:line="224"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Adverse trends or developments affecting any of these factors, including the timing of the impact of these factors in relation to our purchases and sales of natural gas and LNG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6" w:lineRule="exact"/>
        <w:rPr>
          <w:sz w:val="20"/>
          <w:szCs w:val="20"/>
          <w:color w:val="auto"/>
        </w:rPr>
      </w:pPr>
    </w:p>
    <w:p>
      <w:pPr>
        <w:ind w:right="720"/>
        <w:spacing w:after="0" w:line="247" w:lineRule="auto"/>
        <w:rPr>
          <w:sz w:val="20"/>
          <w:szCs w:val="20"/>
          <w:color w:val="auto"/>
        </w:rPr>
      </w:pPr>
      <w:r>
        <w:rPr>
          <w:rFonts w:ascii="Arial" w:cs="Arial" w:eastAsia="Arial" w:hAnsi="Arial"/>
          <w:sz w:val="20"/>
          <w:szCs w:val="20"/>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85" w:lineRule="exact"/>
        <w:rPr>
          <w:sz w:val="20"/>
          <w:szCs w:val="20"/>
          <w:color w:val="auto"/>
        </w:rPr>
      </w:pPr>
    </w:p>
    <w:p>
      <w:pPr>
        <w:ind w:firstLine="292"/>
        <w:spacing w:after="0" w:line="275"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September 30, 2018, we had $613.3 million of total indebtedness outstanding, excluding deferred financing costs. On March 21, 2019, the Company drew an additional $220 million on the New Term Loan Facility. Total principal amounts outstanding under the New Term Loan Facility after this draw are $500 million. On September 5, 2019, South Power issued approximately $73 million and approximately $44 million in Senior Secured Bonds and Senior Unsecured Bonds, respectively. Total principal amounts outstanding under the Senior Secured Bonds and Senior Unsecured Bonds as of September 30, 2019 are $73,317 and $43,683, respectively. See “Part II, Item 7. Management’s Discussion and Analysis of Financial Condition and Results of Operations” in our Annual Report and “Part I, Item 2. Management’s Discussion and Analysis of Financial Condition and Results of Operation” of this Quarterly Report for more information on our New Term Loan Facility, Senior Secured Bonds and Senior Unsecured Bonds.</w:t>
      </w:r>
    </w:p>
    <w:p>
      <w:pPr>
        <w:spacing w:after="0" w:line="169" w:lineRule="exact"/>
        <w:rPr>
          <w:sz w:val="20"/>
          <w:szCs w:val="20"/>
          <w:color w:val="auto"/>
        </w:rPr>
      </w:pPr>
    </w:p>
    <w:p>
      <w:pPr>
        <w:ind w:right="80" w:firstLine="292"/>
        <w:spacing w:after="0" w:line="262" w:lineRule="auto"/>
        <w:rPr>
          <w:sz w:val="20"/>
          <w:szCs w:val="20"/>
          <w:color w:val="auto"/>
        </w:rPr>
      </w:pPr>
      <w:r>
        <w:rPr>
          <w:rFonts w:ascii="Arial" w:cs="Arial" w:eastAsia="Arial" w:hAnsi="Arial"/>
          <w:sz w:val="18"/>
          <w:szCs w:val="18"/>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173" w:lineRule="exact"/>
        <w:rPr>
          <w:sz w:val="20"/>
          <w:szCs w:val="20"/>
          <w:color w:val="auto"/>
        </w:rPr>
      </w:pPr>
    </w:p>
    <w:p>
      <w:pPr>
        <w:jc w:val="both"/>
        <w:ind w:right="320" w:firstLine="292"/>
        <w:spacing w:after="0" w:line="333"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80" w:firstLine="292"/>
        <w:spacing w:after="0" w:line="236" w:lineRule="auto"/>
        <w:rPr>
          <w:sz w:val="20"/>
          <w:szCs w:val="20"/>
          <w:color w:val="auto"/>
        </w:rPr>
      </w:pPr>
      <w:r>
        <w:rPr>
          <w:rFonts w:ascii="Arial" w:cs="Arial" w:eastAsia="Arial" w:hAnsi="Arial"/>
          <w:sz w:val="20"/>
          <w:szCs w:val="20"/>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92"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auto"/>
        </w:rPr>
        <w:t>The agreements governing our indebtedness place restrictions on us and our subsidiaries, reducing operational and financing flexibility and creating default risks.</w:t>
      </w:r>
    </w:p>
    <w:p>
      <w:pPr>
        <w:spacing w:after="0" w:line="185" w:lineRule="exact"/>
        <w:rPr>
          <w:sz w:val="20"/>
          <w:szCs w:val="20"/>
          <w:color w:val="auto"/>
        </w:rPr>
      </w:pPr>
    </w:p>
    <w:p>
      <w:pPr>
        <w:ind w:right="40" w:firstLine="292"/>
        <w:spacing w:after="0" w:line="238" w:lineRule="auto"/>
        <w:rPr>
          <w:sz w:val="20"/>
          <w:szCs w:val="20"/>
          <w:color w:val="auto"/>
        </w:rPr>
      </w:pPr>
      <w:r>
        <w:rPr>
          <w:rFonts w:ascii="Arial" w:cs="Arial" w:eastAsia="Arial" w:hAnsi="Arial"/>
          <w:sz w:val="20"/>
          <w:szCs w:val="20"/>
          <w:color w:val="auto"/>
        </w:rPr>
        <w:t>The agreements governing our indebtedness, including, but not limited to, our New Term Loan Facility, entered into on December 31, 2018, contain covenants that place restrictions on us and our subsidiaries. The terms governing our New Term Loan Facility restrict among other things, our and certain of our subsidiaries’ ability to:</w:t>
      </w:r>
    </w:p>
    <w:p>
      <w:pPr>
        <w:spacing w:after="0" w:line="200" w:lineRule="exact"/>
        <w:rPr>
          <w:sz w:val="20"/>
          <w:szCs w:val="20"/>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4" w:lineRule="exact"/>
        <w:rPr>
          <w:sz w:val="20"/>
          <w:szCs w:val="20"/>
          <w:color w:val="auto"/>
        </w:rPr>
      </w:pPr>
    </w:p>
    <w:p>
      <w:pPr>
        <w:jc w:val="both"/>
        <w:ind w:right="20" w:firstLine="292"/>
        <w:spacing w:after="0" w:line="275" w:lineRule="auto"/>
        <w:rPr>
          <w:sz w:val="20"/>
          <w:szCs w:val="20"/>
          <w:color w:val="auto"/>
        </w:rPr>
      </w:pPr>
      <w:r>
        <w:rPr>
          <w:rFonts w:ascii="Arial" w:cs="Arial" w:eastAsia="Arial" w:hAnsi="Arial"/>
          <w:sz w:val="17"/>
          <w:szCs w:val="17"/>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w:t>
      </w:r>
    </w:p>
    <w:p>
      <w:pPr>
        <w:spacing w:after="0" w:line="2"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 the lenders under our debt instruments could terminate their commitments to loan money, our secured lenders could foreclose against the assets securing such borrowings and we could be forced into bankruptcy or liquidation.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43" w:lineRule="exact"/>
        <w:rPr>
          <w:sz w:val="20"/>
          <w:szCs w:val="20"/>
          <w:color w:val="auto"/>
        </w:rPr>
      </w:pPr>
    </w:p>
    <w:p>
      <w:pPr>
        <w:ind w:right="100" w:firstLine="292"/>
        <w:spacing w:after="0" w:line="233" w:lineRule="auto"/>
        <w:rPr>
          <w:sz w:val="20"/>
          <w:szCs w:val="20"/>
          <w:color w:val="auto"/>
        </w:rPr>
      </w:pPr>
      <w:r>
        <w:rPr>
          <w:rFonts w:ascii="Arial" w:cs="Arial" w:eastAsia="Arial" w:hAnsi="Arial"/>
          <w:sz w:val="20"/>
          <w:szCs w:val="20"/>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of our LNG infrastructure and other facilities that we may construct involves significant risks.</w:t>
      </w:r>
    </w:p>
    <w:p>
      <w:pPr>
        <w:spacing w:after="0" w:line="209" w:lineRule="exact"/>
        <w:rPr>
          <w:sz w:val="20"/>
          <w:szCs w:val="20"/>
          <w:color w:val="auto"/>
        </w:rPr>
      </w:pPr>
    </w:p>
    <w:p>
      <w:pPr>
        <w:ind w:firstLine="292"/>
        <w:spacing w:after="0" w:line="270" w:lineRule="auto"/>
        <w:rPr>
          <w:sz w:val="20"/>
          <w:szCs w:val="20"/>
          <w:color w:val="auto"/>
        </w:rPr>
      </w:pPr>
      <w:r>
        <w:rPr>
          <w:rFonts w:ascii="Arial" w:cs="Arial" w:eastAsia="Arial" w:hAnsi="Arial"/>
          <w:sz w:val="18"/>
          <w:szCs w:val="18"/>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480" w:firstLine="292"/>
        <w:spacing w:after="0" w:line="247" w:lineRule="auto"/>
        <w:rPr>
          <w:sz w:val="20"/>
          <w:szCs w:val="20"/>
          <w:color w:val="auto"/>
        </w:rPr>
      </w:pPr>
      <w:r>
        <w:rPr>
          <w:rFonts w:ascii="Arial" w:cs="Arial" w:eastAsia="Arial" w:hAnsi="Arial"/>
          <w:sz w:val="20"/>
          <w:szCs w:val="20"/>
          <w:color w:val="auto"/>
        </w:rPr>
        <w:t>Any of these risks could disrupt our operations and increase our costs, which would adversely affect our business, operating results, cash flows and liquidity.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operation of the CHP Plant will involve particular, significant risks.</w:t>
      </w:r>
    </w:p>
    <w:p>
      <w:pPr>
        <w:spacing w:after="0" w:line="209" w:lineRule="exact"/>
        <w:rPr>
          <w:sz w:val="20"/>
          <w:szCs w:val="20"/>
          <w:color w:val="auto"/>
        </w:rPr>
      </w:pPr>
    </w:p>
    <w:p>
      <w:pPr>
        <w:ind w:right="40" w:firstLine="292"/>
        <w:spacing w:after="0" w:line="257" w:lineRule="auto"/>
        <w:rPr>
          <w:sz w:val="20"/>
          <w:szCs w:val="20"/>
          <w:color w:val="auto"/>
        </w:rPr>
      </w:pPr>
      <w:r>
        <w:rPr>
          <w:rFonts w:ascii="Arial" w:cs="Arial" w:eastAsia="Arial" w:hAnsi="Arial"/>
          <w:sz w:val="18"/>
          <w:szCs w:val="18"/>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93"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76"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93" w:lineRule="exact"/>
        <w:rPr>
          <w:sz w:val="20"/>
          <w:szCs w:val="20"/>
          <w:color w:val="auto"/>
        </w:rPr>
      </w:pPr>
    </w:p>
    <w:p>
      <w:pPr>
        <w:ind w:right="40" w:firstLine="292"/>
        <w:spacing w:after="0" w:line="278"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73" w:lineRule="exact"/>
        <w:rPr>
          <w:sz w:val="20"/>
          <w:szCs w:val="20"/>
          <w:color w:val="auto"/>
        </w:rPr>
      </w:pPr>
    </w:p>
    <w:p>
      <w:pPr>
        <w:jc w:val="both"/>
        <w:ind w:right="240" w:firstLine="292"/>
        <w:spacing w:after="0" w:line="301"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Information technology failures and cyberattacks could affect us significantly.</w:t>
      </w:r>
    </w:p>
    <w:p>
      <w:pPr>
        <w:spacing w:after="0" w:line="209" w:lineRule="exact"/>
        <w:rPr>
          <w:sz w:val="20"/>
          <w:szCs w:val="20"/>
          <w:color w:val="auto"/>
        </w:rPr>
      </w:pPr>
    </w:p>
    <w:p>
      <w:pPr>
        <w:jc w:val="both"/>
        <w:ind w:right="180" w:firstLine="292"/>
        <w:spacing w:after="0" w:line="238" w:lineRule="auto"/>
        <w:rPr>
          <w:sz w:val="20"/>
          <w:szCs w:val="20"/>
          <w:color w:val="auto"/>
        </w:rPr>
      </w:pPr>
      <w:r>
        <w:rPr>
          <w:rFonts w:ascii="Arial" w:cs="Arial" w:eastAsia="Arial" w:hAnsi="Arial"/>
          <w:sz w:val="20"/>
          <w:szCs w:val="20"/>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93" w:lineRule="exact"/>
        <w:rPr>
          <w:sz w:val="20"/>
          <w:szCs w:val="20"/>
          <w:color w:val="auto"/>
        </w:rPr>
      </w:pPr>
    </w:p>
    <w:p>
      <w:pPr>
        <w:ind w:right="160" w:firstLine="292"/>
        <w:spacing w:after="0" w:line="260" w:lineRule="auto"/>
        <w:rPr>
          <w:sz w:val="20"/>
          <w:szCs w:val="20"/>
          <w:color w:val="auto"/>
        </w:rPr>
      </w:pPr>
      <w:r>
        <w:rPr>
          <w:rFonts w:ascii="Arial" w:cs="Arial" w:eastAsia="Arial" w:hAnsi="Arial"/>
          <w:sz w:val="18"/>
          <w:szCs w:val="18"/>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insurance may be insufficient to cover losses that may occur to our property or result from our operations.</w:t>
      </w:r>
    </w:p>
    <w:p>
      <w:pPr>
        <w:spacing w:after="0" w:line="209" w:lineRule="exact"/>
        <w:rPr>
          <w:sz w:val="20"/>
          <w:szCs w:val="20"/>
          <w:color w:val="auto"/>
        </w:rPr>
      </w:pPr>
    </w:p>
    <w:p>
      <w:pPr>
        <w:ind w:right="40" w:firstLine="292"/>
        <w:spacing w:after="0" w:line="260" w:lineRule="auto"/>
        <w:rPr>
          <w:sz w:val="20"/>
          <w:szCs w:val="20"/>
          <w:color w:val="auto"/>
        </w:rPr>
      </w:pPr>
      <w:r>
        <w:rPr>
          <w:rFonts w:ascii="Arial" w:cs="Arial" w:eastAsia="Arial" w:hAnsi="Arial"/>
          <w:sz w:val="18"/>
          <w:szCs w:val="18"/>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76" w:lineRule="exact"/>
        <w:rPr>
          <w:sz w:val="20"/>
          <w:szCs w:val="20"/>
          <w:color w:val="auto"/>
        </w:rPr>
      </w:pPr>
    </w:p>
    <w:p>
      <w:pPr>
        <w:ind w:right="20" w:firstLine="292"/>
        <w:spacing w:after="0" w:line="266"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00" w:firstLine="292"/>
        <w:spacing w:after="0" w:line="301"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From time to time, we may be involved in legal proceedings and may experience unfavorable outcomes.</w:t>
      </w:r>
    </w:p>
    <w:p>
      <w:pPr>
        <w:spacing w:after="0" w:line="209" w:lineRule="exact"/>
        <w:rPr>
          <w:sz w:val="20"/>
          <w:szCs w:val="20"/>
          <w:color w:val="auto"/>
        </w:rPr>
      </w:pPr>
    </w:p>
    <w:p>
      <w:pPr>
        <w:ind w:right="160" w:firstLine="292"/>
        <w:spacing w:after="0" w:line="266" w:lineRule="auto"/>
        <w:rPr>
          <w:sz w:val="20"/>
          <w:szCs w:val="20"/>
          <w:color w:val="auto"/>
        </w:rPr>
      </w:pPr>
      <w:r>
        <w:rPr>
          <w:rFonts w:ascii="Arial" w:cs="Arial" w:eastAsia="Arial" w:hAnsi="Arial"/>
          <w:sz w:val="18"/>
          <w:szCs w:val="18"/>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32" w:lineRule="exact"/>
        <w:rPr>
          <w:sz w:val="20"/>
          <w:szCs w:val="20"/>
          <w:color w:val="auto"/>
        </w:rPr>
      </w:pPr>
    </w:p>
    <w:p>
      <w:pPr>
        <w:ind w:firstLine="292"/>
        <w:spacing w:after="0" w:line="290"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52" w:lineRule="exact"/>
        <w:rPr>
          <w:sz w:val="20"/>
          <w:szCs w:val="20"/>
          <w:color w:val="auto"/>
        </w:rPr>
      </w:pPr>
    </w:p>
    <w:p>
      <w:pPr>
        <w:ind w:right="400"/>
        <w:spacing w:after="0" w:line="247" w:lineRule="auto"/>
        <w:rPr>
          <w:sz w:val="20"/>
          <w:szCs w:val="20"/>
          <w:color w:val="auto"/>
        </w:rPr>
      </w:pPr>
      <w:r>
        <w:rPr>
          <w:rFonts w:ascii="Arial" w:cs="Arial" w:eastAsia="Arial" w:hAnsi="Arial"/>
          <w:sz w:val="20"/>
          <w:szCs w:val="20"/>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85" w:lineRule="exact"/>
        <w:rPr>
          <w:sz w:val="20"/>
          <w:szCs w:val="20"/>
          <w:color w:val="auto"/>
        </w:rPr>
      </w:pPr>
    </w:p>
    <w:p>
      <w:pPr>
        <w:ind w:right="20" w:firstLine="292"/>
        <w:spacing w:after="0" w:line="301" w:lineRule="auto"/>
        <w:rPr>
          <w:sz w:val="20"/>
          <w:szCs w:val="20"/>
          <w:color w:val="auto"/>
        </w:rPr>
      </w:pPr>
      <w:r>
        <w:rPr>
          <w:rFonts w:ascii="Arial" w:cs="Arial" w:eastAsia="Arial" w:hAnsi="Arial"/>
          <w:sz w:val="17"/>
          <w:szCs w:val="17"/>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49" w:lineRule="exact"/>
        <w:rPr>
          <w:sz w:val="20"/>
          <w:szCs w:val="20"/>
          <w:color w:val="auto"/>
        </w:rPr>
      </w:pPr>
    </w:p>
    <w:p>
      <w:pPr>
        <w:ind w:left="580" w:right="380" w:hanging="290"/>
        <w:spacing w:after="0" w:line="28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 unable to complete construction projects on schedule or at the budgeted cost due to the unavailability of required construction personnel or materials, accidents or weather conditions;</w:t>
      </w:r>
    </w:p>
    <w:p>
      <w:pPr>
        <w:spacing w:after="0" w:line="174" w:lineRule="exact"/>
        <w:rPr>
          <w:rFonts w:ascii="Arial" w:cs="Arial" w:eastAsia="Arial" w:hAnsi="Arial"/>
          <w:sz w:val="16"/>
          <w:szCs w:val="16"/>
          <w:color w:val="auto"/>
        </w:rPr>
      </w:pPr>
    </w:p>
    <w:p>
      <w:pPr>
        <w:ind w:left="580" w:right="140" w:hanging="290"/>
        <w:spacing w:after="0" w:line="319"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50" w:lineRule="exact"/>
        <w:rPr>
          <w:rFonts w:ascii="Arial" w:cs="Arial" w:eastAsia="Arial" w:hAnsi="Arial"/>
          <w:sz w:val="15"/>
          <w:szCs w:val="15"/>
          <w:color w:val="auto"/>
        </w:rPr>
      </w:pPr>
    </w:p>
    <w:p>
      <w:pPr>
        <w:ind w:left="580" w:right="380" w:hanging="290"/>
        <w:spacing w:after="0" w:line="28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construct facilities to capture anticipated future energy consumption growth in a region in which such growth does not materialize;</w:t>
      </w:r>
    </w:p>
    <w:p>
      <w:pPr>
        <w:spacing w:after="0" w:line="230" w:lineRule="exact"/>
        <w:rPr>
          <w:rFonts w:ascii="Arial" w:cs="Arial" w:eastAsia="Arial" w:hAnsi="Arial"/>
          <w:sz w:val="16"/>
          <w:szCs w:val="16"/>
          <w:color w:val="auto"/>
        </w:rPr>
      </w:pPr>
    </w:p>
    <w:p>
      <w:pPr>
        <w:ind w:left="580" w:right="60" w:hanging="290"/>
        <w:spacing w:after="0" w:line="28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174" w:lineRule="exact"/>
        <w:rPr>
          <w:rFonts w:ascii="Arial" w:cs="Arial" w:eastAsia="Arial" w:hAnsi="Arial"/>
          <w:sz w:val="16"/>
          <w:szCs w:val="16"/>
          <w:color w:val="auto"/>
        </w:rPr>
      </w:pPr>
    </w:p>
    <w:p>
      <w:pPr>
        <w:ind w:left="580" w:hanging="290"/>
        <w:spacing w:after="0" w:line="28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174" w:lineRule="exact"/>
        <w:rPr>
          <w:rFonts w:ascii="Arial" w:cs="Arial" w:eastAsia="Arial" w:hAnsi="Arial"/>
          <w:sz w:val="16"/>
          <w:szCs w:val="16"/>
          <w:color w:val="auto"/>
        </w:rPr>
      </w:pPr>
    </w:p>
    <w:p>
      <w:pPr>
        <w:ind w:left="580" w:right="100" w:hanging="290"/>
        <w:spacing w:after="0" w:line="269"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0" w:right="60" w:hanging="290"/>
        <w:spacing w:after="0" w:line="284"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(and have been in select circumstances) subject to local opposition, including the efforts by environmental groups, which may attract negative publicity or have an adverse impact on our reputation; and</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obtain rights-of-way to construct additional energy-related infrastructure or the cost to do so may be uneconomical.</w:t>
      </w:r>
    </w:p>
    <w:p>
      <w:pPr>
        <w:spacing w:after="0" w:line="224" w:lineRule="exact"/>
        <w:rPr>
          <w:sz w:val="20"/>
          <w:szCs w:val="20"/>
          <w:color w:val="auto"/>
        </w:rPr>
      </w:pPr>
    </w:p>
    <w:p>
      <w:pPr>
        <w:ind w:right="300" w:firstLine="292"/>
        <w:spacing w:after="0" w:line="301"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39"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b w:val="1"/>
          <w:bCs w:val="1"/>
          <w:i w:val="1"/>
          <w:iCs w:val="1"/>
          <w:color w:val="auto"/>
        </w:rPr>
        <w:t>We expect to be dependent on our primary building contractor and other contractors for the successful completion of our energy-related infrastructure.</w:t>
      </w:r>
    </w:p>
    <w:p>
      <w:pPr>
        <w:spacing w:after="0" w:line="185" w:lineRule="exact"/>
        <w:rPr>
          <w:sz w:val="20"/>
          <w:szCs w:val="20"/>
          <w:color w:val="auto"/>
        </w:rPr>
      </w:pPr>
    </w:p>
    <w:p>
      <w:pPr>
        <w:jc w:val="both"/>
        <w:ind w:right="360" w:firstLine="292"/>
        <w:spacing w:after="0" w:line="290" w:lineRule="auto"/>
        <w:rPr>
          <w:sz w:val="20"/>
          <w:szCs w:val="20"/>
          <w:color w:val="auto"/>
        </w:rPr>
      </w:pPr>
      <w:r>
        <w:rPr>
          <w:rFonts w:ascii="Arial" w:cs="Arial" w:eastAsia="Arial" w:hAnsi="Arial"/>
          <w:sz w:val="17"/>
          <w:szCs w:val="17"/>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59" w:lineRule="exact"/>
        <w:rPr>
          <w:sz w:val="20"/>
          <w:szCs w:val="20"/>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design and engineer each of our facilities to operate in accordance with specifications;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engage and retain third-party subcontractors and procure equipment and supplies;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253" w:lineRule="exact"/>
        <w:rPr>
          <w:rFonts w:ascii="Arial" w:cs="Arial" w:eastAsia="Arial" w:hAnsi="Arial"/>
          <w:sz w:val="14"/>
          <w:szCs w:val="14"/>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attract, develop and retain skilled personnel, including engineers;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post required construction bonds and comply with the terms thereof;</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maintain their own financial condition, including adequate working capital.</w:t>
      </w:r>
    </w:p>
    <w:p>
      <w:pPr>
        <w:spacing w:after="0" w:line="224" w:lineRule="exact"/>
        <w:rPr>
          <w:sz w:val="20"/>
          <w:szCs w:val="20"/>
          <w:color w:val="auto"/>
        </w:rPr>
      </w:pPr>
    </w:p>
    <w:p>
      <w:pPr>
        <w:ind w:right="80" w:firstLine="292"/>
        <w:spacing w:after="0" w:line="258" w:lineRule="auto"/>
        <w:rPr>
          <w:sz w:val="20"/>
          <w:szCs w:val="20"/>
          <w:color w:val="auto"/>
        </w:rPr>
      </w:pPr>
      <w:r>
        <w:rPr>
          <w:rFonts w:ascii="Arial" w:cs="Arial" w:eastAsia="Arial" w:hAnsi="Arial"/>
          <w:sz w:val="18"/>
          <w:szCs w:val="18"/>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85" w:lineRule="exact"/>
        <w:rPr>
          <w:sz w:val="20"/>
          <w:szCs w:val="20"/>
          <w:color w:val="auto"/>
        </w:rPr>
      </w:pPr>
    </w:p>
    <w:p>
      <w:pPr>
        <w:ind w:right="60" w:firstLine="292"/>
        <w:spacing w:after="0" w:line="233" w:lineRule="auto"/>
        <w:rPr>
          <w:sz w:val="20"/>
          <w:szCs w:val="20"/>
          <w:color w:val="auto"/>
        </w:rPr>
      </w:pPr>
      <w:r>
        <w:rPr>
          <w:rFonts w:ascii="Arial" w:cs="Arial" w:eastAsia="Arial" w:hAnsi="Arial"/>
          <w:sz w:val="20"/>
          <w:szCs w:val="20"/>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perform construction services from time to time, which are subject to a variety of risks unique to these activities.</w:t>
      </w:r>
    </w:p>
    <w:p>
      <w:pPr>
        <w:spacing w:after="0" w:line="20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From time to time, we may agree to provide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w:t>
      </w:r>
    </w:p>
    <w:p>
      <w:pPr>
        <w:spacing w:after="0" w:line="16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If any such excess costs or project delays were to be material, such events may adversely affect our cash flow and liquidity.</w:t>
      </w:r>
    </w:p>
    <w:p>
      <w:pPr>
        <w:spacing w:after="0" w:line="209"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39" w:lineRule="exact"/>
        <w:rPr>
          <w:sz w:val="20"/>
          <w:szCs w:val="20"/>
          <w:color w:val="auto"/>
        </w:rPr>
      </w:pPr>
    </w:p>
    <w:p>
      <w:pPr>
        <w:ind w:right="20" w:firstLine="292"/>
        <w:spacing w:after="0" w:line="263" w:lineRule="auto"/>
        <w:rPr>
          <w:sz w:val="20"/>
          <w:szCs w:val="20"/>
          <w:color w:val="auto"/>
        </w:rPr>
      </w:pPr>
      <w:r>
        <w:rPr>
          <w:rFonts w:ascii="Arial" w:cs="Arial" w:eastAsia="Arial" w:hAnsi="Arial"/>
          <w:sz w:val="18"/>
          <w:szCs w:val="18"/>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75"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both"/>
        <w:ind w:right="20" w:firstLine="292"/>
        <w:spacing w:after="0" w:line="301" w:lineRule="auto"/>
        <w:rPr>
          <w:sz w:val="20"/>
          <w:szCs w:val="20"/>
          <w:color w:val="auto"/>
        </w:rPr>
      </w:pPr>
      <w:r>
        <w:rPr>
          <w:rFonts w:ascii="Arial" w:cs="Arial" w:eastAsia="Arial" w:hAnsi="Arial"/>
          <w:sz w:val="17"/>
          <w:szCs w:val="17"/>
          <w:color w:val="auto"/>
        </w:rPr>
        <w:t>While we have entered into contracts with a third party to purchase a substantial portion of our expected LNG volumes for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42" w:lineRule="exact"/>
        <w:rPr>
          <w:sz w:val="20"/>
          <w:szCs w:val="20"/>
          <w:color w:val="auto"/>
        </w:rPr>
      </w:pPr>
    </w:p>
    <w:p>
      <w:pPr>
        <w:ind w:right="60" w:firstLine="292"/>
        <w:spacing w:after="0" w:line="233" w:lineRule="auto"/>
        <w:rPr>
          <w:sz w:val="20"/>
          <w:szCs w:val="20"/>
          <w:color w:val="auto"/>
        </w:rPr>
      </w:pPr>
      <w:r>
        <w:rPr>
          <w:rFonts w:ascii="Arial" w:cs="Arial" w:eastAsia="Arial" w:hAnsi="Arial"/>
          <w:sz w:val="20"/>
          <w:szCs w:val="20"/>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competition based upon the international market price for LNG or natural gas.</w:t>
      </w:r>
    </w:p>
    <w:p>
      <w:pPr>
        <w:spacing w:after="0" w:line="209" w:lineRule="exact"/>
        <w:rPr>
          <w:sz w:val="20"/>
          <w:szCs w:val="20"/>
          <w:color w:val="auto"/>
        </w:rPr>
      </w:pPr>
    </w:p>
    <w:p>
      <w:pPr>
        <w:ind w:right="60" w:firstLine="292"/>
        <w:spacing w:after="0" w:line="285"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62" w:lineRule="exact"/>
        <w:rPr>
          <w:sz w:val="20"/>
          <w:szCs w:val="20"/>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worldwide LNG production capacity and availability of LNG for market supply;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demand for natural gas but at levels below those required to maintain current price equilibrium with respect to supply;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the cost to supply natural gas feedstock to our liquefaction projects;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the cost to supply LNG feedstock to our facilities;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diesel;</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decreases in the price of LNG; and</w:t>
      </w:r>
    </w:p>
    <w:p>
      <w:pPr>
        <w:spacing w:after="0" w:line="230" w:lineRule="exact"/>
        <w:rPr>
          <w:rFonts w:ascii="Arial" w:cs="Arial" w:eastAsia="Arial" w:hAnsi="Arial"/>
          <w:sz w:val="16"/>
          <w:szCs w:val="16"/>
          <w:color w:val="auto"/>
        </w:rPr>
      </w:pPr>
    </w:p>
    <w:p>
      <w:pPr>
        <w:ind w:left="580" w:right="140" w:hanging="290"/>
        <w:spacing w:after="0" w:line="284"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67" w:lineRule="exact"/>
        <w:rPr>
          <w:sz w:val="20"/>
          <w:szCs w:val="20"/>
          <w:color w:val="auto"/>
        </w:rPr>
      </w:pPr>
    </w:p>
    <w:p>
      <w:pPr>
        <w:ind w:right="140" w:firstLine="292"/>
        <w:spacing w:after="0" w:line="236" w:lineRule="auto"/>
        <w:rPr>
          <w:sz w:val="20"/>
          <w:szCs w:val="20"/>
          <w:color w:val="auto"/>
        </w:rPr>
      </w:pPr>
      <w:r>
        <w:rPr>
          <w:rFonts w:ascii="Arial" w:cs="Arial" w:eastAsia="Arial" w:hAnsi="Arial"/>
          <w:sz w:val="20"/>
          <w:szCs w:val="20"/>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Technological innovation may impair the economic attractiveness of our projects.</w:t>
      </w:r>
    </w:p>
    <w:p>
      <w:pPr>
        <w:spacing w:after="0" w:line="209" w:lineRule="exact"/>
        <w:rPr>
          <w:sz w:val="20"/>
          <w:szCs w:val="20"/>
          <w:color w:val="auto"/>
        </w:rPr>
      </w:pPr>
    </w:p>
    <w:p>
      <w:pPr>
        <w:ind w:firstLine="292"/>
        <w:spacing w:after="0" w:line="233" w:lineRule="auto"/>
        <w:rPr>
          <w:sz w:val="20"/>
          <w:szCs w:val="20"/>
          <w:color w:val="auto"/>
        </w:rPr>
      </w:pPr>
      <w:r>
        <w:rPr>
          <w:rFonts w:ascii="Arial" w:cs="Arial" w:eastAsia="Arial" w:hAnsi="Arial"/>
          <w:sz w:val="20"/>
          <w:szCs w:val="20"/>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540"/>
        <w:spacing w:after="0" w:line="247" w:lineRule="auto"/>
        <w:rPr>
          <w:sz w:val="20"/>
          <w:szCs w:val="20"/>
          <w:color w:val="auto"/>
        </w:rPr>
      </w:pPr>
      <w:r>
        <w:rPr>
          <w:rFonts w:ascii="Arial" w:cs="Arial" w:eastAsia="Arial" w:hAnsi="Arial"/>
          <w:sz w:val="20"/>
          <w:szCs w:val="20"/>
          <w:b w:val="1"/>
          <w:bCs w:val="1"/>
          <w:i w:val="1"/>
          <w:iCs w:val="1"/>
          <w:color w:val="auto"/>
        </w:rPr>
        <w:t>Changes in legislation and regulations could have a material adverse impact on our business, results of operations, financial condition, liquidity and prospects.</w:t>
      </w:r>
    </w:p>
    <w:p>
      <w:pPr>
        <w:spacing w:after="0" w:line="185" w:lineRule="exact"/>
        <w:rPr>
          <w:sz w:val="20"/>
          <w:szCs w:val="20"/>
          <w:color w:val="auto"/>
        </w:rPr>
      </w:pPr>
    </w:p>
    <w:p>
      <w:pPr>
        <w:ind w:right="20" w:firstLine="292"/>
        <w:spacing w:after="0" w:line="276" w:lineRule="auto"/>
        <w:rPr>
          <w:sz w:val="20"/>
          <w:szCs w:val="20"/>
          <w:color w:val="auto"/>
        </w:rPr>
      </w:pPr>
      <w:r>
        <w:rPr>
          <w:rFonts w:ascii="Arial" w:cs="Arial" w:eastAsia="Arial" w:hAnsi="Arial"/>
          <w:sz w:val="17"/>
          <w:szCs w:val="17"/>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Increasing trucking regulations may increase our costs and negatively impact our results of operations.</w:t>
      </w:r>
    </w:p>
    <w:p>
      <w:pPr>
        <w:spacing w:after="0" w:line="209" w:lineRule="exact"/>
        <w:rPr>
          <w:sz w:val="20"/>
          <w:szCs w:val="20"/>
          <w:color w:val="auto"/>
        </w:rPr>
      </w:pPr>
    </w:p>
    <w:p>
      <w:pPr>
        <w:ind w:firstLine="292"/>
        <w:spacing w:after="0" w:line="261" w:lineRule="auto"/>
        <w:rPr>
          <w:sz w:val="20"/>
          <w:szCs w:val="20"/>
          <w:color w:val="auto"/>
        </w:rPr>
      </w:pPr>
      <w:r>
        <w:rPr>
          <w:rFonts w:ascii="Arial" w:cs="Arial" w:eastAsia="Arial" w:hAnsi="Arial"/>
          <w:sz w:val="18"/>
          <w:szCs w:val="18"/>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74" w:lineRule="exact"/>
        <w:rPr>
          <w:sz w:val="20"/>
          <w:szCs w:val="20"/>
          <w:color w:val="auto"/>
        </w:rPr>
      </w:pPr>
    </w:p>
    <w:p>
      <w:pPr>
        <w:ind w:right="40" w:firstLine="292"/>
        <w:spacing w:after="0" w:line="261"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74" w:lineRule="exact"/>
        <w:rPr>
          <w:sz w:val="20"/>
          <w:szCs w:val="20"/>
          <w:color w:val="auto"/>
        </w:rPr>
      </w:pPr>
    </w:p>
    <w:p>
      <w:pPr>
        <w:ind w:right="100" w:firstLine="292"/>
        <w:spacing w:after="0" w:line="278"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58"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60" w:firstLine="292"/>
        <w:spacing w:after="0" w:line="262"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73" w:lineRule="exact"/>
        <w:rPr>
          <w:sz w:val="20"/>
          <w:szCs w:val="20"/>
          <w:color w:val="auto"/>
        </w:rPr>
      </w:pPr>
    </w:p>
    <w:p>
      <w:pPr>
        <w:ind w:right="140" w:firstLine="292"/>
        <w:spacing w:after="0" w:line="263"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85" w:lineRule="exact"/>
        <w:rPr>
          <w:sz w:val="20"/>
          <w:szCs w:val="20"/>
          <w:color w:val="auto"/>
        </w:rPr>
      </w:pPr>
    </w:p>
    <w:p>
      <w:pPr>
        <w:ind w:right="120" w:firstLine="292"/>
        <w:spacing w:after="0" w:line="233" w:lineRule="auto"/>
        <w:rPr>
          <w:sz w:val="20"/>
          <w:szCs w:val="20"/>
          <w:color w:val="auto"/>
        </w:rPr>
      </w:pPr>
      <w:r>
        <w:rPr>
          <w:rFonts w:ascii="Arial" w:cs="Arial" w:eastAsia="Arial" w:hAnsi="Arial"/>
          <w:sz w:val="20"/>
          <w:szCs w:val="20"/>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96" w:lineRule="exact"/>
        <w:rPr>
          <w:sz w:val="20"/>
          <w:szCs w:val="20"/>
          <w:color w:val="auto"/>
        </w:rPr>
      </w:pPr>
    </w:p>
    <w:p>
      <w:pPr>
        <w:ind w:firstLine="292"/>
        <w:spacing w:after="0" w:line="247" w:lineRule="auto"/>
        <w:rPr>
          <w:sz w:val="20"/>
          <w:szCs w:val="20"/>
          <w:color w:val="auto"/>
        </w:rPr>
      </w:pPr>
      <w:r>
        <w:rPr>
          <w:rFonts w:ascii="Arial" w:cs="Arial" w:eastAsia="Arial" w:hAnsi="Arial"/>
          <w:sz w:val="20"/>
          <w:szCs w:val="20"/>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91" w:lineRule="exact"/>
        <w:rPr>
          <w:sz w:val="20"/>
          <w:szCs w:val="20"/>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natural disasters;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piracy;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24" w:lineRule="exact"/>
        <w:rPr>
          <w:sz w:val="20"/>
          <w:szCs w:val="20"/>
          <w:color w:val="auto"/>
        </w:rPr>
      </w:pPr>
    </w:p>
    <w:p>
      <w:pPr>
        <w:ind w:right="200" w:firstLine="292"/>
        <w:spacing w:after="0" w:line="234" w:lineRule="auto"/>
        <w:rPr>
          <w:sz w:val="20"/>
          <w:szCs w:val="20"/>
          <w:color w:val="auto"/>
        </w:rPr>
      </w:pPr>
      <w:r>
        <w:rPr>
          <w:rFonts w:ascii="Arial" w:cs="Arial" w:eastAsia="Arial" w:hAnsi="Arial"/>
          <w:sz w:val="20"/>
          <w:szCs w:val="20"/>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95"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Cargoes of LNG and our chartered vessels are at risk of being damaged or lost because of events such as:</w:t>
      </w:r>
    </w:p>
    <w:p>
      <w:pPr>
        <w:spacing w:after="0" w:line="215" w:lineRule="exact"/>
        <w:rPr>
          <w:sz w:val="20"/>
          <w:szCs w:val="20"/>
          <w:color w:val="auto"/>
        </w:rPr>
      </w:pPr>
    </w:p>
    <w:p>
      <w:pPr>
        <w:ind w:left="580" w:hanging="290"/>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marine disasters;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piracy;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6" w:lineRule="exact"/>
        <w:rPr>
          <w:sz w:val="20"/>
          <w:szCs w:val="20"/>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bad weather;</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environmental accidents;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An accident involving our cargoes or any of our chartered vessels could result in any of the following:</w:t>
      </w:r>
    </w:p>
    <w:p>
      <w:pPr>
        <w:spacing w:after="0" w:line="215" w:lineRule="exact"/>
        <w:rPr>
          <w:sz w:val="20"/>
          <w:szCs w:val="20"/>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death or injury to persons, loss of property or environmental damage;</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delays in the delivery of cargo;</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termination of charter contracts;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governmental fines, penalties or restrictions on conducting business;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higher insurance rates; and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damage to our reputation and customer relationships generally.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Any of these circumstances or events could increase our costs or lower our revenues.</w:t>
      </w:r>
    </w:p>
    <w:p>
      <w:pPr>
        <w:spacing w:after="0" w:line="209" w:lineRule="exact"/>
        <w:rPr>
          <w:sz w:val="20"/>
          <w:szCs w:val="20"/>
          <w:color w:val="auto"/>
        </w:rPr>
      </w:pPr>
    </w:p>
    <w:p>
      <w:pPr>
        <w:ind w:right="220" w:firstLine="292"/>
        <w:spacing w:after="0" w:line="236" w:lineRule="auto"/>
        <w:rPr>
          <w:sz w:val="20"/>
          <w:szCs w:val="20"/>
          <w:color w:val="auto"/>
        </w:rPr>
      </w:pPr>
      <w:r>
        <w:rPr>
          <w:rFonts w:ascii="Arial" w:cs="Arial" w:eastAsia="Arial" w:hAnsi="Arial"/>
          <w:sz w:val="20"/>
          <w:szCs w:val="20"/>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92" w:lineRule="exact"/>
        <w:rPr>
          <w:sz w:val="20"/>
          <w:szCs w:val="20"/>
          <w:color w:val="auto"/>
        </w:rPr>
      </w:pPr>
    </w:p>
    <w:p>
      <w:pPr>
        <w:ind w:right="520"/>
        <w:spacing w:after="0" w:line="247" w:lineRule="auto"/>
        <w:rPr>
          <w:sz w:val="20"/>
          <w:szCs w:val="20"/>
          <w:color w:val="auto"/>
        </w:rPr>
      </w:pPr>
      <w:r>
        <w:rPr>
          <w:rFonts w:ascii="Arial" w:cs="Arial" w:eastAsia="Arial" w:hAnsi="Arial"/>
          <w:sz w:val="20"/>
          <w:szCs w:val="20"/>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85" w:lineRule="exact"/>
        <w:rPr>
          <w:sz w:val="20"/>
          <w:szCs w:val="20"/>
          <w:color w:val="auto"/>
        </w:rPr>
      </w:pPr>
    </w:p>
    <w:p>
      <w:pPr>
        <w:ind w:firstLine="292"/>
        <w:spacing w:after="0" w:line="274"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0" w:firstLine="292"/>
        <w:spacing w:after="0" w:line="234" w:lineRule="auto"/>
        <w:rPr>
          <w:sz w:val="20"/>
          <w:szCs w:val="20"/>
          <w:color w:val="auto"/>
        </w:rPr>
      </w:pPr>
      <w:r>
        <w:rPr>
          <w:rFonts w:ascii="Arial" w:cs="Arial" w:eastAsia="Arial" w:hAnsi="Arial"/>
          <w:sz w:val="20"/>
          <w:szCs w:val="20"/>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95" w:lineRule="exact"/>
        <w:rPr>
          <w:sz w:val="20"/>
          <w:szCs w:val="20"/>
          <w:color w:val="auto"/>
        </w:rPr>
      </w:pPr>
    </w:p>
    <w:p>
      <w:pPr>
        <w:ind w:firstLine="292"/>
        <w:spacing w:after="0" w:line="233" w:lineRule="auto"/>
        <w:rPr>
          <w:sz w:val="20"/>
          <w:szCs w:val="20"/>
          <w:color w:val="auto"/>
        </w:rPr>
      </w:pPr>
      <w:r>
        <w:rPr>
          <w:rFonts w:ascii="Arial" w:cs="Arial" w:eastAsia="Arial" w:hAnsi="Arial"/>
          <w:sz w:val="20"/>
          <w:szCs w:val="20"/>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92" w:lineRule="exact"/>
        <w:rPr>
          <w:sz w:val="20"/>
          <w:szCs w:val="20"/>
          <w:color w:val="auto"/>
        </w:rPr>
      </w:pPr>
    </w:p>
    <w:p>
      <w:pPr>
        <w:ind w:right="860"/>
        <w:spacing w:after="0" w:line="247" w:lineRule="auto"/>
        <w:rPr>
          <w:sz w:val="20"/>
          <w:szCs w:val="20"/>
          <w:color w:val="auto"/>
        </w:rPr>
      </w:pPr>
      <w:r>
        <w:rPr>
          <w:rFonts w:ascii="Arial" w:cs="Arial" w:eastAsia="Arial" w:hAnsi="Arial"/>
          <w:sz w:val="20"/>
          <w:szCs w:val="20"/>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85" w:lineRule="exact"/>
        <w:rPr>
          <w:sz w:val="20"/>
          <w:szCs w:val="20"/>
          <w:color w:val="auto"/>
        </w:rPr>
      </w:pPr>
    </w:p>
    <w:p>
      <w:pPr>
        <w:ind w:right="80" w:firstLine="292"/>
        <w:spacing w:after="0" w:line="285"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62" w:lineRule="exact"/>
        <w:rPr>
          <w:sz w:val="20"/>
          <w:szCs w:val="20"/>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inadequate number of shipyards constructing LNG tankers and a backlog of orders at these shipyards;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political or economic disturbances in the countries where the tankers are being constructed;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governmental regulations or maritime self-regulatory organizations;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work stoppages or other labor disturbances at the shipyards;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bankruptcy or other financial crisis of shipbuilders;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quality or engineering problems;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weather interference or a catastrophic event, such as a major earthquake, tsunami or fire; or</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shortages of or delays in the receipt of necessary construction materials.</w:t>
      </w:r>
    </w:p>
    <w:p>
      <w:pPr>
        <w:spacing w:after="0" w:line="224" w:lineRule="exact"/>
        <w:rPr>
          <w:sz w:val="20"/>
          <w:szCs w:val="20"/>
          <w:color w:val="auto"/>
        </w:rPr>
      </w:pPr>
    </w:p>
    <w:p>
      <w:pPr>
        <w:ind w:right="100" w:firstLine="292"/>
        <w:spacing w:after="0" w:line="236" w:lineRule="auto"/>
        <w:rPr>
          <w:sz w:val="20"/>
          <w:szCs w:val="20"/>
          <w:color w:val="auto"/>
        </w:rPr>
      </w:pPr>
      <w:r>
        <w:rPr>
          <w:rFonts w:ascii="Arial" w:cs="Arial" w:eastAsia="Arial" w:hAnsi="Arial"/>
          <w:sz w:val="20"/>
          <w:szCs w:val="20"/>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92"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b w:val="1"/>
          <w:bCs w:val="1"/>
          <w:i w:val="1"/>
          <w:iCs w:val="1"/>
          <w:color w:val="auto"/>
        </w:rPr>
        <w:t>Competition in the LNG industry is intense, and some of our competitors have greater financial, technological and other resources than we currently possess.</w:t>
      </w:r>
    </w:p>
    <w:p>
      <w:pPr>
        <w:spacing w:after="0" w:line="185" w:lineRule="exact"/>
        <w:rPr>
          <w:sz w:val="20"/>
          <w:szCs w:val="20"/>
          <w:color w:val="auto"/>
        </w:rPr>
      </w:pPr>
    </w:p>
    <w:p>
      <w:pPr>
        <w:jc w:val="both"/>
        <w:ind w:right="220" w:firstLine="292"/>
        <w:spacing w:after="0" w:line="238" w:lineRule="auto"/>
        <w:rPr>
          <w:sz w:val="20"/>
          <w:szCs w:val="20"/>
          <w:color w:val="auto"/>
        </w:rPr>
      </w:pPr>
      <w:r>
        <w:rPr>
          <w:rFonts w:ascii="Arial" w:cs="Arial" w:eastAsia="Arial" w:hAnsi="Arial"/>
          <w:sz w:val="20"/>
          <w:szCs w:val="20"/>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both"/>
        <w:ind w:right="60" w:firstLine="292"/>
        <w:spacing w:after="0" w:line="275" w:lineRule="auto"/>
        <w:rPr>
          <w:sz w:val="20"/>
          <w:szCs w:val="20"/>
          <w:color w:val="auto"/>
        </w:rPr>
      </w:pPr>
      <w:r>
        <w:rPr>
          <w:rFonts w:ascii="Arial" w:cs="Arial" w:eastAsia="Arial" w:hAnsi="Arial"/>
          <w:sz w:val="17"/>
          <w:szCs w:val="17"/>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4" w:lineRule="exact"/>
        <w:rPr>
          <w:sz w:val="20"/>
          <w:szCs w:val="20"/>
          <w:color w:val="auto"/>
        </w:rPr>
      </w:pPr>
    </w:p>
    <w:p>
      <w:pPr>
        <w:ind w:right="580"/>
        <w:spacing w:after="0" w:line="247" w:lineRule="auto"/>
        <w:rPr>
          <w:sz w:val="20"/>
          <w:szCs w:val="20"/>
          <w:color w:val="auto"/>
        </w:rPr>
      </w:pPr>
      <w:r>
        <w:rPr>
          <w:rFonts w:ascii="Arial" w:cs="Arial" w:eastAsia="Arial" w:hAnsi="Arial"/>
          <w:sz w:val="20"/>
          <w:szCs w:val="20"/>
          <w:b w:val="1"/>
          <w:bCs w:val="1"/>
          <w:i w:val="1"/>
          <w:iCs w:val="1"/>
          <w:color w:val="auto"/>
        </w:rPr>
        <w:t>Failure of LNG to be a competitive source of energy in the markets in which we operate, and seek to operate, could adversely affect our expansion strategy.</w:t>
      </w:r>
    </w:p>
    <w:p>
      <w:pPr>
        <w:spacing w:after="0" w:line="185" w:lineRule="exact"/>
        <w:rPr>
          <w:sz w:val="20"/>
          <w:szCs w:val="20"/>
          <w:color w:val="auto"/>
        </w:rPr>
      </w:pPr>
    </w:p>
    <w:p>
      <w:pPr>
        <w:ind w:right="80" w:firstLine="292"/>
        <w:spacing w:after="0" w:line="263" w:lineRule="auto"/>
        <w:rPr>
          <w:sz w:val="20"/>
          <w:szCs w:val="20"/>
          <w:color w:val="auto"/>
        </w:rPr>
      </w:pPr>
      <w:r>
        <w:rPr>
          <w:rFonts w:ascii="Arial" w:cs="Arial" w:eastAsia="Arial" w:hAnsi="Arial"/>
          <w:sz w:val="18"/>
          <w:szCs w:val="18"/>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175" w:lineRule="exact"/>
        <w:rPr>
          <w:sz w:val="20"/>
          <w:szCs w:val="20"/>
          <w:color w:val="auto"/>
        </w:rPr>
      </w:pPr>
    </w:p>
    <w:p>
      <w:pPr>
        <w:ind w:right="60" w:firstLine="292"/>
        <w:spacing w:after="0" w:line="266"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69" w:lineRule="exact"/>
        <w:rPr>
          <w:sz w:val="20"/>
          <w:szCs w:val="20"/>
          <w:color w:val="auto"/>
        </w:rPr>
      </w:pPr>
    </w:p>
    <w:p>
      <w:pPr>
        <w:ind w:firstLine="292"/>
        <w:spacing w:after="0" w:line="234" w:lineRule="auto"/>
        <w:rPr>
          <w:sz w:val="20"/>
          <w:szCs w:val="20"/>
          <w:color w:val="auto"/>
        </w:rPr>
      </w:pPr>
      <w:r>
        <w:rPr>
          <w:rFonts w:ascii="Arial" w:cs="Arial" w:eastAsia="Arial" w:hAnsi="Arial"/>
          <w:sz w:val="20"/>
          <w:szCs w:val="20"/>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95" w:lineRule="exact"/>
        <w:rPr>
          <w:sz w:val="20"/>
          <w:szCs w:val="20"/>
          <w:color w:val="auto"/>
        </w:rPr>
      </w:pPr>
    </w:p>
    <w:p>
      <w:pPr>
        <w:jc w:val="both"/>
        <w:ind w:right="240" w:firstLine="292"/>
        <w:spacing w:after="0" w:line="278"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Any use of hedging arrangements may adversely affect our future operating results or liquidity.</w:t>
      </w:r>
    </w:p>
    <w:p>
      <w:pPr>
        <w:spacing w:after="0" w:line="209" w:lineRule="exact"/>
        <w:rPr>
          <w:sz w:val="20"/>
          <w:szCs w:val="20"/>
          <w:color w:val="auto"/>
        </w:rPr>
      </w:pPr>
    </w:p>
    <w:p>
      <w:pPr>
        <w:ind w:right="80" w:firstLine="292"/>
        <w:spacing w:after="0" w:line="236" w:lineRule="auto"/>
        <w:rPr>
          <w:sz w:val="20"/>
          <w:szCs w:val="20"/>
          <w:color w:val="auto"/>
        </w:rPr>
      </w:pPr>
      <w:r>
        <w:rPr>
          <w:rFonts w:ascii="Arial" w:cs="Arial" w:eastAsia="Arial" w:hAnsi="Arial"/>
          <w:sz w:val="20"/>
          <w:szCs w:val="20"/>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99" w:lineRule="exact"/>
        <w:rPr>
          <w:sz w:val="20"/>
          <w:szCs w:val="20"/>
          <w:color w:val="auto"/>
        </w:rPr>
      </w:pPr>
    </w:p>
    <w:p>
      <w:pPr>
        <w:ind w:left="580" w:hanging="290"/>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expected supply is less than the amount hedged;</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counterparty to the hedging contract defaults on its contractual obligations; or</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is a change in the expected differential between the underlying price in the hedging agreement and actual prices received.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40" w:firstLine="292"/>
        <w:spacing w:after="0" w:line="278"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5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85" w:lineRule="exact"/>
        <w:rPr>
          <w:sz w:val="20"/>
          <w:szCs w:val="20"/>
          <w:color w:val="auto"/>
        </w:rPr>
      </w:pPr>
    </w:p>
    <w:p>
      <w:pPr>
        <w:ind w:firstLine="292"/>
        <w:spacing w:after="0" w:line="274" w:lineRule="auto"/>
        <w:rPr>
          <w:sz w:val="20"/>
          <w:szCs w:val="20"/>
          <w:color w:val="auto"/>
        </w:rPr>
      </w:pPr>
      <w:r>
        <w:rPr>
          <w:rFonts w:ascii="Arial" w:cs="Arial" w:eastAsia="Arial" w:hAnsi="Arial"/>
          <w:sz w:val="17"/>
          <w:szCs w:val="17"/>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67" w:lineRule="exact"/>
        <w:rPr>
          <w:sz w:val="20"/>
          <w:szCs w:val="20"/>
          <w:color w:val="auto"/>
        </w:rPr>
      </w:pPr>
    </w:p>
    <w:p>
      <w:pPr>
        <w:ind w:right="420"/>
        <w:spacing w:after="0" w:line="247" w:lineRule="auto"/>
        <w:rPr>
          <w:sz w:val="20"/>
          <w:szCs w:val="20"/>
          <w:color w:val="auto"/>
        </w:rPr>
      </w:pPr>
      <w:r>
        <w:rPr>
          <w:rFonts w:ascii="Arial" w:cs="Arial" w:eastAsia="Arial" w:hAnsi="Arial"/>
          <w:sz w:val="20"/>
          <w:szCs w:val="20"/>
          <w:b w:val="1"/>
          <w:bCs w:val="1"/>
          <w:i w:val="1"/>
          <w:iCs w:val="1"/>
          <w:color w:val="auto"/>
        </w:rPr>
        <w:t>We may experience increased labor costs, and the unavailability of skilled workers or our failure to attract and retain qualified personnel could adversely affect us.</w:t>
      </w:r>
    </w:p>
    <w:p>
      <w:pPr>
        <w:spacing w:after="0" w:line="185"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76" w:lineRule="exact"/>
        <w:rPr>
          <w:sz w:val="20"/>
          <w:szCs w:val="20"/>
          <w:color w:val="auto"/>
        </w:rPr>
      </w:pPr>
    </w:p>
    <w:p>
      <w:pPr>
        <w:ind w:right="760"/>
        <w:spacing w:after="0" w:line="247" w:lineRule="auto"/>
        <w:rPr>
          <w:sz w:val="20"/>
          <w:szCs w:val="20"/>
          <w:color w:val="auto"/>
        </w:rPr>
      </w:pPr>
      <w:r>
        <w:rPr>
          <w:rFonts w:ascii="Arial" w:cs="Arial" w:eastAsia="Arial" w:hAnsi="Arial"/>
          <w:sz w:val="20"/>
          <w:szCs w:val="20"/>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85" w:lineRule="exact"/>
        <w:rPr>
          <w:sz w:val="20"/>
          <w:szCs w:val="20"/>
          <w:color w:val="auto"/>
        </w:rPr>
      </w:pPr>
    </w:p>
    <w:p>
      <w:pPr>
        <w:ind w:firstLine="292"/>
        <w:spacing w:after="0" w:line="266" w:lineRule="auto"/>
        <w:rPr>
          <w:sz w:val="20"/>
          <w:szCs w:val="20"/>
          <w:color w:val="auto"/>
        </w:rPr>
      </w:pPr>
      <w:r>
        <w:rPr>
          <w:rFonts w:ascii="Arial" w:cs="Arial" w:eastAsia="Arial" w:hAnsi="Arial"/>
          <w:sz w:val="18"/>
          <w:szCs w:val="18"/>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impairments to long-lived assets.</w:t>
      </w:r>
    </w:p>
    <w:p>
      <w:pPr>
        <w:spacing w:after="0" w:line="209" w:lineRule="exact"/>
        <w:rPr>
          <w:sz w:val="20"/>
          <w:szCs w:val="20"/>
          <w:color w:val="auto"/>
        </w:rPr>
      </w:pPr>
    </w:p>
    <w:p>
      <w:pPr>
        <w:ind w:right="20" w:firstLine="292"/>
        <w:spacing w:after="0" w:line="280"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59"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58"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76"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192" w:lineRule="exact"/>
        <w:rPr>
          <w:sz w:val="20"/>
          <w:szCs w:val="20"/>
          <w:color w:val="auto"/>
        </w:rPr>
      </w:pPr>
    </w:p>
    <w:p>
      <w:pPr>
        <w:ind w:right="40" w:firstLine="292"/>
        <w:spacing w:after="0" w:line="233" w:lineRule="auto"/>
        <w:rPr>
          <w:sz w:val="20"/>
          <w:szCs w:val="20"/>
          <w:color w:val="auto"/>
        </w:rPr>
      </w:pPr>
      <w:r>
        <w:rPr>
          <w:rFonts w:ascii="Arial" w:cs="Arial" w:eastAsia="Arial" w:hAnsi="Arial"/>
          <w:sz w:val="20"/>
          <w:szCs w:val="20"/>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92" w:lineRule="exact"/>
        <w:rPr>
          <w:sz w:val="20"/>
          <w:szCs w:val="20"/>
          <w:color w:val="auto"/>
        </w:rPr>
      </w:pPr>
    </w:p>
    <w:p>
      <w:pPr>
        <w:ind w:firstLine="292"/>
        <w:spacing w:after="0" w:line="260" w:lineRule="auto"/>
        <w:rPr>
          <w:sz w:val="20"/>
          <w:szCs w:val="20"/>
          <w:color w:val="auto"/>
        </w:rPr>
      </w:pPr>
      <w:r>
        <w:rPr>
          <w:rFonts w:ascii="Arial" w:cs="Arial" w:eastAsia="Arial" w:hAnsi="Arial"/>
          <w:sz w:val="18"/>
          <w:szCs w:val="18"/>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2022—from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3" w:name="page64"/>
    <w:bookmarkEnd w:id="6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180" w:lineRule="exact"/>
        <w:rPr>
          <w:sz w:val="20"/>
          <w:szCs w:val="20"/>
          <w:color w:val="auto"/>
        </w:rPr>
      </w:pPr>
    </w:p>
    <w:p>
      <w:pPr>
        <w:ind w:right="40" w:firstLine="292"/>
        <w:spacing w:after="0" w:line="259" w:lineRule="auto"/>
        <w:rPr>
          <w:sz w:val="20"/>
          <w:szCs w:val="20"/>
          <w:color w:val="auto"/>
        </w:rPr>
      </w:pPr>
      <w:r>
        <w:rPr>
          <w:rFonts w:ascii="Arial" w:cs="Arial" w:eastAsia="Arial" w:hAnsi="Arial"/>
          <w:sz w:val="18"/>
          <w:szCs w:val="18"/>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76" w:lineRule="exact"/>
        <w:rPr>
          <w:sz w:val="20"/>
          <w:szCs w:val="20"/>
          <w:color w:val="auto"/>
        </w:rPr>
      </w:pPr>
    </w:p>
    <w:p>
      <w:pPr>
        <w:ind w:right="80" w:firstLine="292"/>
        <w:spacing w:after="0" w:line="278"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163" w:lineRule="exact"/>
        <w:rPr>
          <w:sz w:val="20"/>
          <w:szCs w:val="20"/>
          <w:color w:val="auto"/>
        </w:rPr>
      </w:pPr>
    </w:p>
    <w:p>
      <w:pPr>
        <w:ind w:firstLine="292"/>
        <w:spacing w:after="0" w:line="280" w:lineRule="auto"/>
        <w:rPr>
          <w:sz w:val="20"/>
          <w:szCs w:val="20"/>
          <w:color w:val="auto"/>
        </w:rPr>
      </w:pPr>
      <w:r>
        <w:rPr>
          <w:rFonts w:ascii="Arial" w:cs="Arial" w:eastAsia="Arial" w:hAnsi="Arial"/>
          <w:sz w:val="17"/>
          <w:szCs w:val="17"/>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59" w:lineRule="exact"/>
        <w:rPr>
          <w:sz w:val="20"/>
          <w:szCs w:val="20"/>
          <w:color w:val="auto"/>
        </w:rPr>
      </w:pPr>
    </w:p>
    <w:p>
      <w:pPr>
        <w:ind w:right="20" w:firstLine="292"/>
        <w:spacing w:after="0" w:line="234" w:lineRule="auto"/>
        <w:rPr>
          <w:sz w:val="20"/>
          <w:szCs w:val="20"/>
          <w:color w:val="auto"/>
        </w:rPr>
      </w:pPr>
      <w:r>
        <w:rPr>
          <w:rFonts w:ascii="Arial" w:cs="Arial" w:eastAsia="Arial" w:hAnsi="Arial"/>
          <w:sz w:val="20"/>
          <w:szCs w:val="20"/>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93" w:lineRule="exact"/>
        <w:rPr>
          <w:sz w:val="20"/>
          <w:szCs w:val="20"/>
          <w:color w:val="auto"/>
        </w:rPr>
      </w:pPr>
    </w:p>
    <w:p>
      <w:pPr>
        <w:ind w:right="20" w:firstLine="292"/>
        <w:spacing w:after="0" w:line="258" w:lineRule="auto"/>
        <w:rPr>
          <w:sz w:val="20"/>
          <w:szCs w:val="20"/>
          <w:color w:val="auto"/>
        </w:rPr>
      </w:pPr>
      <w:r>
        <w:rPr>
          <w:rFonts w:ascii="Arial" w:cs="Arial" w:eastAsia="Arial" w:hAnsi="Arial"/>
          <w:sz w:val="18"/>
          <w:szCs w:val="18"/>
          <w:color w:val="auto"/>
        </w:rPr>
        <w:t>The design, construction and operation of energy-related infrastructure, including our existing and proposed facilities, the important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additional requirements in Jamaica, Mexico, Ireland, Angola or other jurisdictions, including with respect to land use approvals needed to construct and operate our facilities.</w:t>
      </w:r>
    </w:p>
    <w:p>
      <w:pPr>
        <w:spacing w:after="0" w:line="182" w:lineRule="exact"/>
        <w:rPr>
          <w:sz w:val="20"/>
          <w:szCs w:val="20"/>
          <w:color w:val="auto"/>
        </w:rPr>
      </w:pPr>
    </w:p>
    <w:p>
      <w:pPr>
        <w:ind w:right="40" w:firstLine="292"/>
        <w:spacing w:after="0" w:line="276"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6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85" w:lineRule="exact"/>
        <w:rPr>
          <w:sz w:val="20"/>
          <w:szCs w:val="20"/>
          <w:color w:val="auto"/>
        </w:rPr>
      </w:pPr>
    </w:p>
    <w:p>
      <w:pPr>
        <w:ind w:right="60" w:firstLine="292"/>
        <w:spacing w:after="0" w:line="260" w:lineRule="auto"/>
        <w:rPr>
          <w:sz w:val="20"/>
          <w:szCs w:val="20"/>
          <w:color w:val="auto"/>
        </w:rPr>
      </w:pPr>
      <w:r>
        <w:rPr>
          <w:rFonts w:ascii="Arial" w:cs="Arial" w:eastAsia="Arial" w:hAnsi="Arial"/>
          <w:sz w:val="18"/>
          <w:szCs w:val="18"/>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w:t>
      </w:r>
    </w:p>
    <w:p>
      <w:pPr>
        <w:spacing w:after="0" w:line="176" w:lineRule="exact"/>
        <w:rPr>
          <w:sz w:val="20"/>
          <w:szCs w:val="20"/>
          <w:color w:val="auto"/>
        </w:rPr>
      </w:pPr>
    </w:p>
    <w:p>
      <w:pPr>
        <w:ind w:right="180" w:firstLine="292"/>
        <w:spacing w:after="0" w:line="236" w:lineRule="auto"/>
        <w:rPr>
          <w:sz w:val="20"/>
          <w:szCs w:val="20"/>
          <w:color w:val="auto"/>
        </w:rPr>
      </w:pPr>
      <w:r>
        <w:rPr>
          <w:rFonts w:ascii="Arial" w:cs="Arial" w:eastAsia="Arial" w:hAnsi="Arial"/>
          <w:sz w:val="20"/>
          <w:szCs w:val="20"/>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60" w:lineRule="auto"/>
        <w:rPr>
          <w:sz w:val="20"/>
          <w:szCs w:val="20"/>
          <w:color w:val="auto"/>
        </w:rPr>
      </w:pPr>
      <w:r>
        <w:rPr>
          <w:rFonts w:ascii="Arial" w:cs="Arial" w:eastAsia="Arial" w:hAnsi="Arial"/>
          <w:sz w:val="18"/>
          <w:szCs w:val="18"/>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76" w:lineRule="exact"/>
        <w:rPr>
          <w:sz w:val="20"/>
          <w:szCs w:val="20"/>
          <w:color w:val="auto"/>
        </w:rPr>
      </w:pPr>
    </w:p>
    <w:p>
      <w:pPr>
        <w:ind w:right="140" w:firstLine="292"/>
        <w:spacing w:after="0" w:line="261"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4" w:lineRule="exact"/>
        <w:rPr>
          <w:sz w:val="20"/>
          <w:szCs w:val="20"/>
          <w:color w:val="auto"/>
        </w:rPr>
      </w:pPr>
    </w:p>
    <w:p>
      <w:pPr>
        <w:ind w:firstLine="292"/>
        <w:spacing w:after="0" w:line="236" w:lineRule="auto"/>
        <w:rPr>
          <w:sz w:val="20"/>
          <w:szCs w:val="20"/>
          <w:color w:val="auto"/>
        </w:rPr>
      </w:pPr>
      <w:r>
        <w:rPr>
          <w:rFonts w:ascii="Arial" w:cs="Arial" w:eastAsia="Arial" w:hAnsi="Arial"/>
          <w:sz w:val="20"/>
          <w:szCs w:val="20"/>
          <w:i w:val="1"/>
          <w:iCs w:val="1"/>
          <w:color w:val="auto"/>
        </w:rPr>
        <w:t>Greenhouse Gases/Climate Change</w:t>
      </w:r>
      <w:r>
        <w:rPr>
          <w:rFonts w:ascii="Arial" w:cs="Arial" w:eastAsia="Arial" w:hAnsi="Arial"/>
          <w:sz w:val="20"/>
          <w:szCs w:val="20"/>
          <w:color w:val="auto"/>
        </w:rPr>
        <w:t>. From time to time, there may be federal and state regulatory and policy initiatives to reduce GHG</w:t>
      </w:r>
      <w:r>
        <w:rPr>
          <w:rFonts w:ascii="Arial" w:cs="Arial" w:eastAsia="Arial" w:hAnsi="Arial"/>
          <w:sz w:val="20"/>
          <w:szCs w:val="20"/>
          <w:i w:val="1"/>
          <w:iCs w:val="1"/>
          <w:color w:val="auto"/>
        </w:rPr>
        <w:t xml:space="preserve"> </w:t>
      </w:r>
      <w:r>
        <w:rPr>
          <w:rFonts w:ascii="Arial" w:cs="Arial" w:eastAsia="Arial" w:hAnsi="Arial"/>
          <w:sz w:val="20"/>
          <w:szCs w:val="20"/>
          <w:color w:val="auto"/>
        </w:rPr>
        <w:t>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192" w:lineRule="exact"/>
        <w:rPr>
          <w:sz w:val="20"/>
          <w:szCs w:val="20"/>
          <w:color w:val="auto"/>
        </w:rPr>
      </w:pPr>
    </w:p>
    <w:p>
      <w:pPr>
        <w:ind w:right="40" w:firstLine="292"/>
        <w:spacing w:after="0" w:line="290" w:lineRule="auto"/>
        <w:rPr>
          <w:sz w:val="20"/>
          <w:szCs w:val="20"/>
          <w:color w:val="auto"/>
        </w:rPr>
      </w:pPr>
      <w:r>
        <w:rPr>
          <w:rFonts w:ascii="Arial" w:cs="Arial" w:eastAsia="Arial" w:hAnsi="Arial"/>
          <w:sz w:val="17"/>
          <w:szCs w:val="17"/>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152" w:lineRule="exact"/>
        <w:rPr>
          <w:sz w:val="20"/>
          <w:szCs w:val="20"/>
          <w:color w:val="auto"/>
        </w:rPr>
      </w:pPr>
    </w:p>
    <w:p>
      <w:pPr>
        <w:ind w:right="140" w:firstLine="292"/>
        <w:spacing w:after="0" w:line="260" w:lineRule="auto"/>
        <w:rPr>
          <w:sz w:val="20"/>
          <w:szCs w:val="20"/>
          <w:color w:val="auto"/>
        </w:rPr>
      </w:pPr>
      <w:r>
        <w:rPr>
          <w:rFonts w:ascii="Arial" w:cs="Arial" w:eastAsia="Arial" w:hAnsi="Arial"/>
          <w:sz w:val="18"/>
          <w:szCs w:val="18"/>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176" w:lineRule="exact"/>
        <w:rPr>
          <w:sz w:val="20"/>
          <w:szCs w:val="20"/>
          <w:color w:val="auto"/>
        </w:rPr>
      </w:pPr>
    </w:p>
    <w:p>
      <w:pPr>
        <w:ind w:firstLine="292"/>
        <w:spacing w:after="0" w:line="274" w:lineRule="auto"/>
        <w:rPr>
          <w:sz w:val="20"/>
          <w:szCs w:val="20"/>
          <w:color w:val="auto"/>
        </w:rPr>
      </w:pPr>
      <w:r>
        <w:rPr>
          <w:rFonts w:ascii="Arial" w:cs="Arial" w:eastAsia="Arial" w:hAnsi="Arial"/>
          <w:sz w:val="17"/>
          <w:szCs w:val="17"/>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21st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61"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74" w:lineRule="exact"/>
        <w:rPr>
          <w:sz w:val="20"/>
          <w:szCs w:val="20"/>
          <w:color w:val="auto"/>
        </w:rPr>
      </w:pPr>
    </w:p>
    <w:p>
      <w:pPr>
        <w:ind w:right="20" w:firstLine="292"/>
        <w:spacing w:after="0" w:line="258" w:lineRule="auto"/>
        <w:rPr>
          <w:sz w:val="20"/>
          <w:szCs w:val="20"/>
          <w:color w:val="auto"/>
        </w:rPr>
      </w:pPr>
      <w:r>
        <w:rPr>
          <w:rFonts w:ascii="Arial" w:cs="Arial" w:eastAsia="Arial" w:hAnsi="Arial"/>
          <w:sz w:val="18"/>
          <w:szCs w:val="18"/>
          <w:i w:val="1"/>
          <w:iCs w:val="1"/>
          <w:color w:val="auto"/>
        </w:rPr>
        <w:t>Hydraulic Fracturing</w:t>
      </w:r>
      <w:r>
        <w:rPr>
          <w:rFonts w:ascii="Arial" w:cs="Arial" w:eastAsia="Arial" w:hAnsi="Arial"/>
          <w:sz w:val="18"/>
          <w:szCs w:val="18"/>
          <w:color w:val="auto"/>
        </w:rPr>
        <w:t>. Certain of our suppliers of natural gas and LNG employ hydraulic fracturing techniques to stimulate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179" w:lineRule="exact"/>
        <w:rPr>
          <w:sz w:val="20"/>
          <w:szCs w:val="20"/>
          <w:color w:val="auto"/>
        </w:rPr>
      </w:pPr>
    </w:p>
    <w:p>
      <w:pPr>
        <w:ind w:firstLine="292"/>
        <w:spacing w:after="0" w:line="258" w:lineRule="auto"/>
        <w:rPr>
          <w:sz w:val="20"/>
          <w:szCs w:val="20"/>
          <w:color w:val="auto"/>
        </w:rPr>
      </w:pPr>
      <w:r>
        <w:rPr>
          <w:rFonts w:ascii="Arial" w:cs="Arial" w:eastAsia="Arial" w:hAnsi="Arial"/>
          <w:sz w:val="18"/>
          <w:szCs w:val="18"/>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82"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75" w:lineRule="auto"/>
        <w:rPr>
          <w:sz w:val="20"/>
          <w:szCs w:val="20"/>
          <w:color w:val="auto"/>
        </w:rPr>
      </w:pPr>
      <w:r>
        <w:rPr>
          <w:rFonts w:ascii="Arial" w:cs="Arial" w:eastAsia="Arial" w:hAnsi="Arial"/>
          <w:sz w:val="17"/>
          <w:szCs w:val="17"/>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Angola and the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that event occurred, we may face an array of issues, including, but not limited to: having to abandon the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69" w:lineRule="exact"/>
        <w:rPr>
          <w:sz w:val="20"/>
          <w:szCs w:val="20"/>
          <w:color w:val="auto"/>
        </w:rPr>
      </w:pPr>
    </w:p>
    <w:p>
      <w:pPr>
        <w:ind w:right="40" w:firstLine="292"/>
        <w:spacing w:after="0" w:line="260"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Angola,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76" w:lineRule="exact"/>
        <w:rPr>
          <w:sz w:val="20"/>
          <w:szCs w:val="20"/>
          <w:color w:val="auto"/>
        </w:rPr>
      </w:pPr>
    </w:p>
    <w:p>
      <w:pPr>
        <w:ind w:right="20" w:firstLine="292"/>
        <w:spacing w:after="0" w:line="266"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69" w:lineRule="exact"/>
        <w:rPr>
          <w:sz w:val="20"/>
          <w:szCs w:val="20"/>
          <w:color w:val="auto"/>
        </w:rPr>
      </w:pPr>
    </w:p>
    <w:p>
      <w:pPr>
        <w:ind w:firstLine="292"/>
        <w:spacing w:after="0" w:line="266" w:lineRule="auto"/>
        <w:rPr>
          <w:sz w:val="20"/>
          <w:szCs w:val="20"/>
          <w:color w:val="auto"/>
        </w:rPr>
      </w:pPr>
      <w:r>
        <w:rPr>
          <w:rFonts w:ascii="Arial" w:cs="Arial" w:eastAsia="Arial" w:hAnsi="Arial"/>
          <w:sz w:val="18"/>
          <w:szCs w:val="18"/>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the Jurisdictions in Which We Operate</w:t>
      </w:r>
    </w:p>
    <w:p>
      <w:pPr>
        <w:spacing w:after="0" w:line="215"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85" w:lineRule="exact"/>
        <w:rPr>
          <w:sz w:val="20"/>
          <w:szCs w:val="20"/>
          <w:color w:val="auto"/>
        </w:rPr>
      </w:pPr>
    </w:p>
    <w:p>
      <w:pPr>
        <w:ind w:right="620" w:firstLine="292"/>
        <w:spacing w:after="0" w:line="301"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firstLine="292"/>
        <w:spacing w:after="0" w:line="257" w:lineRule="auto"/>
        <w:rPr>
          <w:sz w:val="20"/>
          <w:szCs w:val="20"/>
          <w:color w:val="auto"/>
        </w:rPr>
      </w:pPr>
      <w:r>
        <w:rPr>
          <w:rFonts w:ascii="Arial" w:cs="Arial" w:eastAsia="Arial" w:hAnsi="Arial"/>
          <w:sz w:val="18"/>
          <w:szCs w:val="18"/>
          <w:color w:val="auto"/>
        </w:rPr>
        <w:t>We currently have interests and operations in Jamaica and the United States and currently intend to expand into additional markets in the Caribbean (including Puerto Rico and the Dominican Republic), Mexico, Ireland, Angola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Recently, public demonstrations in Puerto Rico led to the governor’s resignation and the political change interrupted the bidding process for the privatization of PREPA’s transmission and distribution systems. While our operations have not, to date, been impacted by the demonstrations or changes in Puerto Rico’s administration, any cancellation related to or substantial disruption in the development of our Puerto Rico Facility or in our ability to perform our obligations under the Fuel Sale and Purchase Agreement with PREPA could have a material adverse effect on our financial condition, results of operations and cash flows. Furthermore, we cannot predict how our relationship with PREPA could change if PREPA selects a winner in its bidding process for its transmission and distribution system and the system were to become privatized. If such an event were to occur, PREPA may seek to find alternative power sources or purchase substantially less natural gas from us than what we currently expect to sell to PREPA.</w:t>
      </w:r>
    </w:p>
    <w:p>
      <w:pPr>
        <w:spacing w:after="0" w:line="186" w:lineRule="exact"/>
        <w:rPr>
          <w:sz w:val="20"/>
          <w:szCs w:val="20"/>
          <w:color w:val="auto"/>
        </w:rPr>
      </w:pPr>
    </w:p>
    <w:p>
      <w:pPr>
        <w:ind w:right="360" w:firstLine="292"/>
        <w:spacing w:after="0" w:line="238" w:lineRule="auto"/>
        <w:rPr>
          <w:sz w:val="20"/>
          <w:szCs w:val="20"/>
          <w:color w:val="auto"/>
        </w:rPr>
      </w:pPr>
      <w:r>
        <w:rPr>
          <w:rFonts w:ascii="Arial" w:cs="Arial" w:eastAsia="Arial" w:hAnsi="Arial"/>
          <w:sz w:val="20"/>
          <w:szCs w:val="20"/>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200" w:lineRule="exact"/>
        <w:rPr>
          <w:sz w:val="20"/>
          <w:szCs w:val="20"/>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lower economic activity;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oil, natural gas or petrochemical prices;</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devaluation of the applicable currency;</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higher inflation; or</w:t>
      </w:r>
    </w:p>
    <w:p>
      <w:pPr>
        <w:spacing w:after="0" w:line="230" w:lineRule="exact"/>
        <w:rPr>
          <w:rFonts w:ascii="Arial" w:cs="Arial" w:eastAsia="Arial" w:hAnsi="Arial"/>
          <w:sz w:val="16"/>
          <w:szCs w:val="16"/>
          <w:color w:val="auto"/>
        </w:rPr>
      </w:pPr>
    </w:p>
    <w:p>
      <w:pPr>
        <w:ind w:left="580" w:hanging="290"/>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domestic interest rates,</w:t>
      </w:r>
    </w:p>
    <w:p>
      <w:pPr>
        <w:spacing w:after="0" w:line="22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192" w:lineRule="exact"/>
        <w:rPr>
          <w:sz w:val="20"/>
          <w:szCs w:val="20"/>
          <w:color w:val="auto"/>
        </w:rPr>
      </w:pPr>
    </w:p>
    <w:p>
      <w:pPr>
        <w:ind w:right="160" w:firstLine="292"/>
        <w:spacing w:after="0" w:line="290" w:lineRule="auto"/>
        <w:rPr>
          <w:sz w:val="20"/>
          <w:szCs w:val="20"/>
          <w:color w:val="auto"/>
        </w:rPr>
      </w:pPr>
      <w:r>
        <w:rPr>
          <w:rFonts w:ascii="Arial" w:cs="Arial" w:eastAsia="Arial" w:hAnsi="Arial"/>
          <w:sz w:val="17"/>
          <w:szCs w:val="17"/>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financial condition and operating results may be adversely affected by foreign exchange fluctuations.</w:t>
      </w:r>
    </w:p>
    <w:p>
      <w:pPr>
        <w:spacing w:after="0" w:line="209" w:lineRule="exact"/>
        <w:rPr>
          <w:sz w:val="20"/>
          <w:szCs w:val="20"/>
          <w:color w:val="auto"/>
        </w:rPr>
      </w:pPr>
    </w:p>
    <w:p>
      <w:pPr>
        <w:ind w:firstLine="292"/>
        <w:spacing w:after="0" w:line="270"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66" w:lineRule="exact"/>
        <w:rPr>
          <w:sz w:val="20"/>
          <w:szCs w:val="20"/>
          <w:color w:val="auto"/>
        </w:rPr>
      </w:pPr>
    </w:p>
    <w:p>
      <w:pPr>
        <w:ind w:right="20" w:firstLine="292"/>
        <w:spacing w:after="0" w:line="262"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both"/>
        <w:ind w:right="160"/>
        <w:spacing w:after="0" w:line="278"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58" w:lineRule="exact"/>
        <w:rPr>
          <w:sz w:val="20"/>
          <w:szCs w:val="20"/>
          <w:color w:val="auto"/>
        </w:rPr>
      </w:pPr>
    </w:p>
    <w:p>
      <w:pPr>
        <w:ind w:firstLine="292"/>
        <w:spacing w:after="0" w:line="263"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75" w:lineRule="exact"/>
        <w:rPr>
          <w:sz w:val="20"/>
          <w:szCs w:val="20"/>
          <w:color w:val="auto"/>
        </w:rPr>
      </w:pPr>
    </w:p>
    <w:p>
      <w:pPr>
        <w:ind w:right="420" w:firstLine="292"/>
        <w:spacing w:after="0" w:line="247" w:lineRule="auto"/>
        <w:rPr>
          <w:sz w:val="20"/>
          <w:szCs w:val="20"/>
          <w:color w:val="auto"/>
        </w:rPr>
      </w:pPr>
      <w:r>
        <w:rPr>
          <w:rFonts w:ascii="Arial" w:cs="Arial" w:eastAsia="Arial" w:hAnsi="Arial"/>
          <w:sz w:val="20"/>
          <w:szCs w:val="20"/>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Inherent in Owning Class A shares</w:t>
      </w:r>
    </w:p>
    <w:p>
      <w:pPr>
        <w:spacing w:after="0" w:line="215" w:lineRule="exact"/>
        <w:rPr>
          <w:sz w:val="20"/>
          <w:szCs w:val="20"/>
          <w:color w:val="auto"/>
        </w:rPr>
      </w:pPr>
    </w:p>
    <w:p>
      <w:pPr>
        <w:ind w:right="440"/>
        <w:spacing w:after="0" w:line="247" w:lineRule="auto"/>
        <w:rPr>
          <w:sz w:val="20"/>
          <w:szCs w:val="20"/>
          <w:color w:val="auto"/>
        </w:rPr>
      </w:pPr>
      <w:r>
        <w:rPr>
          <w:rFonts w:ascii="Arial" w:cs="Arial" w:eastAsia="Arial" w:hAnsi="Arial"/>
          <w:sz w:val="20"/>
          <w:szCs w:val="20"/>
          <w:b w:val="1"/>
          <w:bCs w:val="1"/>
          <w:i w:val="1"/>
          <w:iCs w:val="1"/>
          <w:color w:val="auto"/>
        </w:rPr>
        <w:t>We are a “controlled company” within the meaning of NASDAQ rules and, as a result, qualify for and intend to rely on exemptions from certain corporate governance requirements.</w:t>
      </w:r>
    </w:p>
    <w:p>
      <w:pPr>
        <w:spacing w:after="0" w:line="185" w:lineRule="exact"/>
        <w:rPr>
          <w:sz w:val="20"/>
          <w:szCs w:val="20"/>
          <w:color w:val="auto"/>
        </w:rPr>
      </w:pPr>
    </w:p>
    <w:p>
      <w:pPr>
        <w:ind w:right="220" w:firstLine="292"/>
        <w:spacing w:after="0" w:line="236" w:lineRule="auto"/>
        <w:rPr>
          <w:sz w:val="20"/>
          <w:szCs w:val="20"/>
          <w:color w:val="auto"/>
        </w:rPr>
      </w:pPr>
      <w:r>
        <w:rPr>
          <w:rFonts w:ascii="Arial" w:cs="Arial" w:eastAsia="Arial" w:hAnsi="Arial"/>
          <w:sz w:val="20"/>
          <w:szCs w:val="20"/>
          <w:color w:val="auto"/>
        </w:rPr>
        <w:t>New Fortress Energy Holdings holds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99" w:lineRule="exact"/>
        <w:rPr>
          <w:sz w:val="20"/>
          <w:szCs w:val="20"/>
          <w:color w:val="auto"/>
        </w:rPr>
      </w:pPr>
    </w:p>
    <w:p>
      <w:pPr>
        <w:ind w:left="580" w:hanging="290"/>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as defined under the rules of NASDAQ;</w:t>
      </w:r>
    </w:p>
    <w:p>
      <w:pPr>
        <w:spacing w:after="0" w:line="230" w:lineRule="exact"/>
        <w:rPr>
          <w:rFonts w:ascii="Arial" w:cs="Arial" w:eastAsia="Arial" w:hAnsi="Arial"/>
          <w:sz w:val="16"/>
          <w:szCs w:val="16"/>
          <w:color w:val="auto"/>
        </w:rPr>
      </w:pPr>
    </w:p>
    <w:p>
      <w:pPr>
        <w:ind w:left="580" w:right="940" w:hanging="290"/>
        <w:spacing w:after="0" w:line="284"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nominating and governance committee be composed entirely of independent directors with a written charter addressing the committee’s purpose and responsibilities; and</w:t>
      </w:r>
    </w:p>
    <w:p>
      <w:pPr>
        <w:spacing w:after="0" w:line="174" w:lineRule="exact"/>
        <w:rPr>
          <w:rFonts w:ascii="Arial" w:cs="Arial" w:eastAsia="Arial" w:hAnsi="Arial"/>
          <w:sz w:val="16"/>
          <w:szCs w:val="16"/>
          <w:color w:val="auto"/>
        </w:rPr>
      </w:pPr>
    </w:p>
    <w:p>
      <w:pPr>
        <w:ind w:left="580" w:hanging="290"/>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with a written charter addressing the committee’s purpose and responsibilities.</w:t>
      </w:r>
    </w:p>
    <w:p>
      <w:pPr>
        <w:spacing w:after="0" w:line="235" w:lineRule="exact"/>
        <w:rPr>
          <w:sz w:val="20"/>
          <w:szCs w:val="20"/>
          <w:color w:val="auto"/>
        </w:rPr>
      </w:pPr>
    </w:p>
    <w:p>
      <w:pPr>
        <w:ind w:firstLine="292"/>
        <w:spacing w:after="0" w:line="236" w:lineRule="auto"/>
        <w:rPr>
          <w:sz w:val="20"/>
          <w:szCs w:val="20"/>
          <w:color w:val="auto"/>
        </w:rPr>
      </w:pPr>
      <w:r>
        <w:rPr>
          <w:rFonts w:ascii="Arial" w:cs="Arial" w:eastAsia="Arial" w:hAnsi="Arial"/>
          <w:sz w:val="20"/>
          <w:szCs w:val="20"/>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192"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auto"/>
        </w:rPr>
        <w:t>New Fortress Energy Holdings has the ability to direct the voting of a majority of our shares, and its interests may conflict with those of our other shareholders.</w:t>
      </w:r>
    </w:p>
    <w:p>
      <w:pPr>
        <w:spacing w:after="0" w:line="185" w:lineRule="exact"/>
        <w:rPr>
          <w:sz w:val="20"/>
          <w:szCs w:val="20"/>
          <w:color w:val="auto"/>
        </w:rPr>
      </w:pPr>
    </w:p>
    <w:p>
      <w:pPr>
        <w:ind w:right="20" w:firstLine="292"/>
        <w:spacing w:after="0" w:line="260" w:lineRule="auto"/>
        <w:rPr>
          <w:sz w:val="20"/>
          <w:szCs w:val="20"/>
          <w:color w:val="auto"/>
        </w:rPr>
      </w:pPr>
      <w:r>
        <w:rPr>
          <w:rFonts w:ascii="Arial" w:cs="Arial" w:eastAsia="Arial" w:hAnsi="Arial"/>
          <w:sz w:val="18"/>
          <w:szCs w:val="18"/>
          <w:color w:val="auto"/>
        </w:rPr>
        <w:t>As of November 8, 2019, New Fortress Energy Holdings owns an aggregate of approximately 145,057,375 Class B shares representing 86.4% of our voting power. In addition, Wesley R. Edens and Randal A. Nardone, who are members of New Fortress Energy Holdings, own 3,278,199 Class A shares and 3,080,000 Class A shares, respectively, representing 15.7% and 14.8% voting power of the Class A shares, respectively.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20" w:firstLine="292"/>
        <w:spacing w:after="0" w:line="262" w:lineRule="auto"/>
        <w:rPr>
          <w:sz w:val="20"/>
          <w:szCs w:val="20"/>
          <w:color w:val="auto"/>
        </w:rPr>
      </w:pPr>
      <w:r>
        <w:rPr>
          <w:rFonts w:ascii="Arial" w:cs="Arial" w:eastAsia="Arial" w:hAnsi="Arial"/>
          <w:sz w:val="18"/>
          <w:szCs w:val="18"/>
          <w:color w:val="auto"/>
        </w:rPr>
        <w:t>Furthermore, in connection with the IPO, we entered into a shareholders’ agreement (the “Shareholders’ Agreement”) with New Fortress Energy Holdings and its affiliates. The Shareholders’ Agreement provides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provides certain entities controlled by Wesley R. Edens and Randal A. Nardone (the “Consenting Entities”) the right to approve certain material transactions so long as the Consenting Entities and their affiliates collectively, directly or indirectly, own at least 30% of the outstanding Class A shares and Class B shares. See “Part III, Item 13. Certain Relationships and Related Transactions, and Director Independence—Shareholders’ Agreement” in our Annual Report.</w:t>
      </w:r>
    </w:p>
    <w:p>
      <w:pPr>
        <w:spacing w:after="0" w:line="173" w:lineRule="exact"/>
        <w:rPr>
          <w:sz w:val="20"/>
          <w:szCs w:val="20"/>
          <w:color w:val="auto"/>
        </w:rPr>
      </w:pPr>
    </w:p>
    <w:p>
      <w:pPr>
        <w:ind w:firstLine="292"/>
        <w:spacing w:after="0" w:line="266"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169" w:lineRule="exact"/>
        <w:rPr>
          <w:sz w:val="20"/>
          <w:szCs w:val="20"/>
          <w:color w:val="auto"/>
        </w:rPr>
      </w:pPr>
    </w:p>
    <w:p>
      <w:pPr>
        <w:ind w:right="100" w:firstLine="292"/>
        <w:spacing w:after="0" w:line="234" w:lineRule="auto"/>
        <w:rPr>
          <w:sz w:val="20"/>
          <w:szCs w:val="20"/>
          <w:color w:val="auto"/>
        </w:rPr>
      </w:pPr>
      <w:r>
        <w:rPr>
          <w:rFonts w:ascii="Arial" w:cs="Arial" w:eastAsia="Arial" w:hAnsi="Arial"/>
          <w:sz w:val="20"/>
          <w:szCs w:val="20"/>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Fortress Energy Holdings may compete with us.</w:t>
      </w:r>
    </w:p>
    <w:p>
      <w:pPr>
        <w:spacing w:after="0" w:line="209"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Our governing documents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193" w:lineRule="exact"/>
        <w:rPr>
          <w:sz w:val="20"/>
          <w:szCs w:val="20"/>
          <w:color w:val="auto"/>
        </w:rPr>
      </w:pPr>
    </w:p>
    <w:p>
      <w:pPr>
        <w:ind w:right="320" w:firstLine="292"/>
        <w:spacing w:after="0" w:line="233" w:lineRule="auto"/>
        <w:rPr>
          <w:sz w:val="20"/>
          <w:szCs w:val="20"/>
          <w:color w:val="auto"/>
        </w:rPr>
      </w:pPr>
      <w:r>
        <w:rPr>
          <w:rFonts w:ascii="Arial" w:cs="Arial" w:eastAsia="Arial" w:hAnsi="Arial"/>
          <w:sz w:val="20"/>
          <w:szCs w:val="20"/>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203" w:lineRule="exact"/>
        <w:rPr>
          <w:sz w:val="20"/>
          <w:szCs w:val="20"/>
          <w:color w:val="auto"/>
        </w:rPr>
      </w:pPr>
    </w:p>
    <w:p>
      <w:pPr>
        <w:ind w:left="580" w:hanging="290"/>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dividing our board of directors into three classes of directors, with each class serving staggered three-year terms;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1" w:name="page72"/>
    <w:bookmarkEnd w:id="71"/>
    <w:p>
      <w:pPr>
        <w:ind w:left="2"/>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7" w:lineRule="exact"/>
        <w:rPr>
          <w:sz w:val="20"/>
          <w:szCs w:val="20"/>
          <w:color w:val="auto"/>
        </w:rPr>
      </w:pPr>
    </w:p>
    <w:p>
      <w:pPr>
        <w:ind w:left="582" w:right="420" w:hanging="290"/>
        <w:spacing w:after="0" w:line="284"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74" w:lineRule="exact"/>
        <w:rPr>
          <w:rFonts w:ascii="Arial" w:cs="Arial" w:eastAsia="Arial" w:hAnsi="Arial"/>
          <w:sz w:val="16"/>
          <w:szCs w:val="16"/>
          <w:color w:val="auto"/>
        </w:rPr>
      </w:pPr>
    </w:p>
    <w:p>
      <w:pPr>
        <w:ind w:left="582" w:right="360" w:hanging="290"/>
        <w:spacing w:after="0" w:line="284"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74" w:lineRule="exact"/>
        <w:rPr>
          <w:rFonts w:ascii="Arial" w:cs="Arial" w:eastAsia="Arial" w:hAnsi="Arial"/>
          <w:sz w:val="16"/>
          <w:szCs w:val="16"/>
          <w:color w:val="auto"/>
        </w:rPr>
      </w:pPr>
    </w:p>
    <w:p>
      <w:pPr>
        <w:ind w:left="582" w:right="40" w:hanging="290"/>
        <w:spacing w:after="0" w:line="284"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74" w:lineRule="exact"/>
        <w:rPr>
          <w:rFonts w:ascii="Arial" w:cs="Arial" w:eastAsia="Arial" w:hAnsi="Arial"/>
          <w:sz w:val="16"/>
          <w:szCs w:val="16"/>
          <w:color w:val="auto"/>
        </w:rPr>
      </w:pPr>
    </w:p>
    <w:p>
      <w:pPr>
        <w:ind w:left="582" w:hanging="290"/>
        <w:spacing w:after="0"/>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230" w:lineRule="exact"/>
        <w:rPr>
          <w:rFonts w:ascii="Arial" w:cs="Arial" w:eastAsia="Arial" w:hAnsi="Arial"/>
          <w:sz w:val="16"/>
          <w:szCs w:val="16"/>
          <w:color w:val="auto"/>
        </w:rPr>
      </w:pPr>
    </w:p>
    <w:p>
      <w:pPr>
        <w:ind w:left="582" w:right="760" w:hanging="290"/>
        <w:spacing w:after="0" w:line="284"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establishing advance notice provisions for shareholder proposals and nominations for elections to the board of directors to be acted upon at meetings of the shareholders; and</w:t>
      </w:r>
    </w:p>
    <w:p>
      <w:pPr>
        <w:spacing w:after="0" w:line="174" w:lineRule="exact"/>
        <w:rPr>
          <w:rFonts w:ascii="Arial" w:cs="Arial" w:eastAsia="Arial" w:hAnsi="Arial"/>
          <w:sz w:val="16"/>
          <w:szCs w:val="16"/>
          <w:color w:val="auto"/>
        </w:rPr>
      </w:pPr>
    </w:p>
    <w:p>
      <w:pPr>
        <w:ind w:left="582" w:hanging="290"/>
        <w:spacing w:after="0"/>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the board of directors is expressly authorized to adopt, or to alter or repeal our operating agreement.</w:t>
      </w:r>
    </w:p>
    <w:p>
      <w:pPr>
        <w:spacing w:after="0" w:line="224" w:lineRule="exact"/>
        <w:rPr>
          <w:sz w:val="20"/>
          <w:szCs w:val="20"/>
          <w:color w:val="auto"/>
        </w:rPr>
      </w:pPr>
    </w:p>
    <w:p>
      <w:pPr>
        <w:ind w:left="2" w:right="120"/>
        <w:spacing w:after="0" w:line="333"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116" w:lineRule="exact"/>
        <w:rPr>
          <w:sz w:val="20"/>
          <w:szCs w:val="20"/>
          <w:color w:val="auto"/>
        </w:rPr>
      </w:pPr>
    </w:p>
    <w:p>
      <w:pPr>
        <w:ind w:left="2" w:right="300" w:firstLine="292"/>
        <w:spacing w:after="0" w:line="275"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w:t>
      </w:r>
    </w:p>
    <w:p>
      <w:pPr>
        <w:spacing w:after="0" w:line="2" w:lineRule="exact"/>
        <w:rPr>
          <w:sz w:val="20"/>
          <w:szCs w:val="20"/>
          <w:color w:val="auto"/>
        </w:rPr>
      </w:pPr>
    </w:p>
    <w:p>
      <w:pPr>
        <w:ind w:left="2" w:hanging="2"/>
        <w:spacing w:after="0" w:line="260"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4" w:lineRule="exact"/>
        <w:rPr>
          <w:sz w:val="20"/>
          <w:szCs w:val="20"/>
          <w:color w:val="auto"/>
        </w:rPr>
      </w:pPr>
    </w:p>
    <w:p>
      <w:pPr>
        <w:ind w:left="2" w:right="140"/>
        <w:spacing w:after="0" w:line="247" w:lineRule="auto"/>
        <w:rPr>
          <w:sz w:val="20"/>
          <w:szCs w:val="20"/>
          <w:color w:val="auto"/>
        </w:rPr>
      </w:pPr>
      <w:r>
        <w:rPr>
          <w:rFonts w:ascii="Arial" w:cs="Arial" w:eastAsia="Arial" w:hAnsi="Arial"/>
          <w:sz w:val="20"/>
          <w:szCs w:val="20"/>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85" w:lineRule="exact"/>
        <w:rPr>
          <w:sz w:val="20"/>
          <w:szCs w:val="20"/>
          <w:color w:val="auto"/>
        </w:rPr>
      </w:pPr>
    </w:p>
    <w:p>
      <w:pPr>
        <w:ind w:left="2" w:right="60" w:firstLine="292"/>
        <w:spacing w:after="0" w:line="236" w:lineRule="auto"/>
        <w:rPr>
          <w:sz w:val="20"/>
          <w:szCs w:val="20"/>
          <w:color w:val="auto"/>
        </w:rPr>
      </w:pPr>
      <w:r>
        <w:rPr>
          <w:rFonts w:ascii="Arial" w:cs="Arial" w:eastAsia="Arial" w:hAnsi="Arial"/>
          <w:sz w:val="20"/>
          <w:szCs w:val="20"/>
          <w:color w:val="auto"/>
        </w:rPr>
        <w:t>We do not currently plan to declare regular cash dividends on our Class A shares in the foreseeable future. Consequently, a shareholder’s only opportunity to achieve a return on investment in us will be if the shareholder sells its Class A share at a price greater than it paid for such Class A shares. There is no guarantee that the price of our Class A shares that will prevail in the market will ever exceed the price paid to purchase such Class A shares.</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We may issue preferred shares, the terms of which could adversely affect the voting power or value of our Class A shares.</w:t>
      </w:r>
    </w:p>
    <w:p>
      <w:pPr>
        <w:spacing w:after="0" w:line="232" w:lineRule="exact"/>
        <w:rPr>
          <w:sz w:val="20"/>
          <w:szCs w:val="20"/>
          <w:color w:val="auto"/>
        </w:rPr>
      </w:pPr>
    </w:p>
    <w:p>
      <w:pPr>
        <w:ind w:left="2" w:right="200" w:firstLine="292"/>
        <w:spacing w:after="0" w:line="282" w:lineRule="auto"/>
        <w:rPr>
          <w:sz w:val="20"/>
          <w:szCs w:val="20"/>
          <w:color w:val="auto"/>
        </w:rPr>
      </w:pPr>
      <w:r>
        <w:rPr>
          <w:rFonts w:ascii="Arial" w:cs="Arial" w:eastAsia="Arial" w:hAnsi="Arial"/>
          <w:sz w:val="17"/>
          <w:szCs w:val="17"/>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33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2"/>
          </w:cols>
          <w:pgMar w:left="238" w:top="124" w:right="23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pursuant to NFI’s limited liability company agreement (the “NFI LLC Agreement”) or other large holders.</w:t>
      </w:r>
    </w:p>
    <w:p>
      <w:pPr>
        <w:spacing w:after="0" w:line="142" w:lineRule="exact"/>
        <w:rPr>
          <w:sz w:val="20"/>
          <w:szCs w:val="20"/>
          <w:color w:val="auto"/>
        </w:rPr>
      </w:pPr>
    </w:p>
    <w:p>
      <w:pPr>
        <w:ind w:firstLine="292"/>
        <w:spacing w:after="0" w:line="258" w:lineRule="auto"/>
        <w:rPr>
          <w:sz w:val="20"/>
          <w:szCs w:val="20"/>
          <w:color w:val="auto"/>
        </w:rPr>
      </w:pPr>
      <w:r>
        <w:rPr>
          <w:rFonts w:ascii="Arial" w:cs="Arial" w:eastAsia="Arial" w:hAnsi="Arial"/>
          <w:sz w:val="18"/>
          <w:szCs w:val="18"/>
          <w:color w:val="auto"/>
        </w:rPr>
        <w:t>As of November 8, 2019, we have 22,892,293 Class A shares and 145,057,375 Class B shares outstanding. The Class A shares sold in the IPO are freely tradable without restriction under the Securities Act except for any Class A shares that may be held or acquired by our directors, officers or affiliates, which will be restricted securities under the Securities Act. Under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The NFI LLC Units held by New Fortress Energy Holdings and any Class A shares New Fortress Energy Holdings acquired through the exercise of the Redemption Right are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176"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auto"/>
        </w:rPr>
        <w:t>An active, liquid and orderly trading market for our Class A shares may not be maintained and the price of our Class A shares may fluctuate significantly.</w:t>
      </w:r>
    </w:p>
    <w:p>
      <w:pPr>
        <w:spacing w:after="0" w:line="185" w:lineRule="exact"/>
        <w:rPr>
          <w:sz w:val="20"/>
          <w:szCs w:val="20"/>
          <w:color w:val="auto"/>
        </w:rPr>
      </w:pPr>
    </w:p>
    <w:p>
      <w:pPr>
        <w:ind w:right="140" w:firstLine="292"/>
        <w:spacing w:after="0" w:line="234" w:lineRule="auto"/>
        <w:rPr>
          <w:sz w:val="20"/>
          <w:szCs w:val="20"/>
          <w:color w:val="auto"/>
        </w:rPr>
      </w:pPr>
      <w:r>
        <w:rPr>
          <w:rFonts w:ascii="Arial" w:cs="Arial" w:eastAsia="Arial" w:hAnsi="Arial"/>
          <w:sz w:val="20"/>
          <w:szCs w:val="20"/>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195"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139" w:lineRule="exact"/>
        <w:rPr>
          <w:sz w:val="20"/>
          <w:szCs w:val="20"/>
          <w:color w:val="auto"/>
        </w:rPr>
      </w:pPr>
    </w:p>
    <w:p>
      <w:pPr>
        <w:ind w:firstLine="292"/>
        <w:spacing w:after="0" w:line="257" w:lineRule="auto"/>
        <w:rPr>
          <w:sz w:val="20"/>
          <w:szCs w:val="20"/>
          <w:color w:val="auto"/>
        </w:rPr>
      </w:pPr>
      <w:r>
        <w:rPr>
          <w:rFonts w:ascii="Arial" w:cs="Arial" w:eastAsia="Arial" w:hAnsi="Arial"/>
          <w:sz w:val="18"/>
          <w:szCs w:val="18"/>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120" w:firstLine="292"/>
        <w:spacing w:after="0" w:line="236" w:lineRule="auto"/>
        <w:rPr>
          <w:sz w:val="20"/>
          <w:szCs w:val="20"/>
          <w:color w:val="auto"/>
        </w:rPr>
      </w:pPr>
      <w:r>
        <w:rPr>
          <w:rFonts w:ascii="Arial" w:cs="Arial" w:eastAsia="Arial" w:hAnsi="Arial"/>
          <w:sz w:val="20"/>
          <w:szCs w:val="20"/>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92" w:lineRule="exact"/>
        <w:rPr>
          <w:sz w:val="20"/>
          <w:szCs w:val="20"/>
          <w:color w:val="auto"/>
        </w:rPr>
      </w:pPr>
    </w:p>
    <w:p>
      <w:pPr>
        <w:ind w:right="540"/>
        <w:spacing w:after="0" w:line="238" w:lineRule="auto"/>
        <w:rPr>
          <w:sz w:val="20"/>
          <w:szCs w:val="20"/>
          <w:color w:val="auto"/>
        </w:rPr>
      </w:pPr>
      <w:r>
        <w:rPr>
          <w:rFonts w:ascii="Arial" w:cs="Arial" w:eastAsia="Arial" w:hAnsi="Arial"/>
          <w:sz w:val="20"/>
          <w:szCs w:val="20"/>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193"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2018,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76"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93" w:lineRule="exact"/>
        <w:rPr>
          <w:sz w:val="20"/>
          <w:szCs w:val="20"/>
          <w:color w:val="auto"/>
        </w:rPr>
      </w:pPr>
    </w:p>
    <w:p>
      <w:pPr>
        <w:ind w:right="20" w:firstLine="292"/>
        <w:spacing w:after="0" w:line="258" w:lineRule="auto"/>
        <w:rPr>
          <w:sz w:val="20"/>
          <w:szCs w:val="20"/>
          <w:color w:val="auto"/>
        </w:rPr>
      </w:pPr>
      <w:r>
        <w:rPr>
          <w:rFonts w:ascii="Arial" w:cs="Arial" w:eastAsia="Arial" w:hAnsi="Arial"/>
          <w:sz w:val="18"/>
          <w:szCs w:val="18"/>
          <w:color w:val="auto"/>
        </w:rPr>
        <w:t>As a newly public company with shares listed on NASDAQ, we are and will be subject to an extensive body of regulations that did not apply to us previously, including certain provisions of the Sarbanes-Oxley Act, the Dodd-Frank’s Act, regulations of the SEC and NASDAQ requirements. Compliance with these rules and regulations will increase our legal, accounting, compliance and other expenses that we did not incur prior to the IPO and make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82" w:lineRule="exact"/>
        <w:rPr>
          <w:sz w:val="20"/>
          <w:szCs w:val="20"/>
          <w:color w:val="auto"/>
        </w:rPr>
      </w:pPr>
    </w:p>
    <w:p>
      <w:pPr>
        <w:ind w:right="560"/>
        <w:spacing w:after="0" w:line="369"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92" w:lineRule="exact"/>
        <w:rPr>
          <w:sz w:val="20"/>
          <w:szCs w:val="20"/>
          <w:color w:val="auto"/>
        </w:rPr>
      </w:pPr>
    </w:p>
    <w:p>
      <w:pPr>
        <w:ind w:firstLine="292"/>
        <w:spacing w:after="0" w:line="238" w:lineRule="auto"/>
        <w:rPr>
          <w:sz w:val="20"/>
          <w:szCs w:val="20"/>
          <w:color w:val="auto"/>
        </w:rPr>
      </w:pPr>
      <w:r>
        <w:rPr>
          <w:rFonts w:ascii="Arial" w:cs="Arial" w:eastAsia="Arial" w:hAnsi="Arial"/>
          <w:sz w:val="20"/>
          <w:szCs w:val="20"/>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85" w:lineRule="exact"/>
        <w:rPr>
          <w:sz w:val="20"/>
          <w:szCs w:val="20"/>
          <w:color w:val="auto"/>
        </w:rPr>
      </w:pPr>
    </w:p>
    <w:p>
      <w:pPr>
        <w:ind w:right="40" w:firstLine="292"/>
        <w:spacing w:after="0" w:line="260" w:lineRule="auto"/>
        <w:rPr>
          <w:sz w:val="20"/>
          <w:szCs w:val="20"/>
          <w:color w:val="auto"/>
        </w:rPr>
      </w:pPr>
      <w:r>
        <w:rPr>
          <w:rFonts w:ascii="Arial" w:cs="Arial" w:eastAsia="Arial" w:hAnsi="Arial"/>
          <w:sz w:val="18"/>
          <w:szCs w:val="18"/>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7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In certain circumstances, NFI is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158" w:lineRule="exact"/>
        <w:rPr>
          <w:sz w:val="20"/>
          <w:szCs w:val="20"/>
          <w:color w:val="auto"/>
        </w:rPr>
      </w:pPr>
    </w:p>
    <w:p>
      <w:pPr>
        <w:ind w:firstLine="292"/>
        <w:spacing w:after="0" w:line="262" w:lineRule="auto"/>
        <w:rPr>
          <w:sz w:val="20"/>
          <w:szCs w:val="20"/>
          <w:color w:val="auto"/>
        </w:rPr>
      </w:pPr>
      <w:r>
        <w:rPr>
          <w:rFonts w:ascii="Arial" w:cs="Arial" w:eastAsia="Arial" w:hAnsi="Arial"/>
          <w:sz w:val="18"/>
          <w:szCs w:val="18"/>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173" w:lineRule="exact"/>
        <w:rPr>
          <w:sz w:val="20"/>
          <w:szCs w:val="20"/>
          <w:color w:val="auto"/>
        </w:rPr>
      </w:pPr>
    </w:p>
    <w:p>
      <w:pPr>
        <w:ind w:right="120" w:firstLine="292"/>
        <w:spacing w:after="0" w:line="233" w:lineRule="auto"/>
        <w:rPr>
          <w:sz w:val="20"/>
          <w:szCs w:val="20"/>
          <w:color w:val="auto"/>
        </w:rPr>
      </w:pPr>
      <w:r>
        <w:rPr>
          <w:rFonts w:ascii="Arial" w:cs="Arial" w:eastAsia="Arial" w:hAnsi="Arial"/>
          <w:sz w:val="20"/>
          <w:szCs w:val="20"/>
          <w:color w:val="auto"/>
        </w:rPr>
        <w:t>The amount of such additional tax distributions is determined based on certain assumptions, including assumed income tax rates, and is calculated after taking into account other distributions (including other tax distributions) made by NFI. Additional tax distributions may significantly exceed the actual tax liability for many of the holders of NFI LLC Units, including.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192" w:lineRule="exact"/>
        <w:rPr>
          <w:sz w:val="20"/>
          <w:szCs w:val="20"/>
          <w:color w:val="auto"/>
        </w:rPr>
      </w:pPr>
    </w:p>
    <w:p>
      <w:pPr>
        <w:ind w:right="20" w:firstLine="292"/>
        <w:spacing w:after="0" w:line="261" w:lineRule="auto"/>
        <w:rPr>
          <w:sz w:val="20"/>
          <w:szCs w:val="20"/>
          <w:color w:val="auto"/>
        </w:rPr>
      </w:pPr>
      <w:r>
        <w:rPr>
          <w:rFonts w:ascii="Arial" w:cs="Arial" w:eastAsia="Arial" w:hAnsi="Arial"/>
          <w:sz w:val="18"/>
          <w:szCs w:val="18"/>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174" w:lineRule="exact"/>
        <w:rPr>
          <w:sz w:val="20"/>
          <w:szCs w:val="20"/>
          <w:color w:val="auto"/>
        </w:rPr>
      </w:pPr>
    </w:p>
    <w:p>
      <w:pPr>
        <w:ind w:right="1020"/>
        <w:spacing w:after="0" w:line="247" w:lineRule="auto"/>
        <w:rPr>
          <w:sz w:val="20"/>
          <w:szCs w:val="20"/>
          <w:color w:val="auto"/>
        </w:rPr>
      </w:pPr>
      <w:r>
        <w:rPr>
          <w:rFonts w:ascii="Arial" w:cs="Arial" w:eastAsia="Arial" w:hAnsi="Arial"/>
          <w:sz w:val="20"/>
          <w:szCs w:val="20"/>
          <w:b w:val="1"/>
          <w:bCs w:val="1"/>
          <w:i w:val="1"/>
          <w:iCs w:val="1"/>
          <w:color w:val="auto"/>
        </w:rPr>
        <w:t>If NFI were to become a publicly traded partnership taxable as a corporation for U.S. federal income tax purposes, significant tax inefficiencies might result.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25995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right="120" w:firstLine="292"/>
        <w:spacing w:after="0" w:line="274" w:lineRule="auto"/>
        <w:rPr>
          <w:sz w:val="20"/>
          <w:szCs w:val="20"/>
          <w:color w:val="auto"/>
        </w:rPr>
      </w:pPr>
      <w:r>
        <w:rPr>
          <w:rFonts w:ascii="Arial" w:cs="Arial" w:eastAsia="Arial" w:hAnsi="Arial"/>
          <w:sz w:val="17"/>
          <w:szCs w:val="17"/>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the right of NFE (instead of NFI) upon the exercise of the Redemption Right to, for administrative convenience, acquire each tendered NFI LLC Unit directly from the redeeming unitholder for, at its election, (x) one Class A share, subject to conversion rate adjustments for equity splits, equity dividends and reclassification and other similar transactions or (y) an equivalent amount of cash (our Call Right, which the decision to exercise such right shall be made by a committee of our board of directors))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provides for limitations on the ability of unitholders of NFI to transfer their NFI LLC Units and provides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170" w:lineRule="exact"/>
        <w:rPr>
          <w:sz w:val="20"/>
          <w:szCs w:val="20"/>
          <w:color w:val="auto"/>
        </w:rPr>
      </w:pPr>
    </w:p>
    <w:p>
      <w:pPr>
        <w:ind w:right="140" w:firstLine="292"/>
        <w:spacing w:after="0" w:line="247" w:lineRule="auto"/>
        <w:rPr>
          <w:sz w:val="20"/>
          <w:szCs w:val="20"/>
          <w:color w:val="auto"/>
        </w:rPr>
      </w:pPr>
      <w:r>
        <w:rPr>
          <w:rFonts w:ascii="Arial" w:cs="Arial" w:eastAsia="Arial" w:hAnsi="Arial"/>
          <w:sz w:val="20"/>
          <w:szCs w:val="20"/>
          <w:color w:val="auto"/>
        </w:rPr>
        <w:t>If NFI were to become a publicly traded partnership, significant tax inefficiencies might result for us and for NFI, including as a result of our inability to file a consolidated U.S. federal income tax return with NFI.</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0"/>
              </w:rPr>
              <w:t>Item 5.</w:t>
            </w:r>
          </w:p>
        </w:tc>
        <w:tc>
          <w:tcPr>
            <w:tcW w:w="1058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Information.</w:t>
            </w:r>
          </w:p>
        </w:tc>
      </w:tr>
      <w:tr>
        <w:trPr>
          <w:trHeight w:val="449"/>
        </w:trPr>
        <w:tc>
          <w:tcPr>
            <w:tcW w:w="11440" w:type="dxa"/>
            <w:vAlign w:val="bottom"/>
            <w:gridSpan w:val="9"/>
          </w:tcPr>
          <w:p>
            <w:pPr>
              <w:ind w:left="300"/>
              <w:spacing w:after="0"/>
              <w:rPr>
                <w:sz w:val="20"/>
                <w:szCs w:val="20"/>
                <w:color w:val="auto"/>
              </w:rPr>
            </w:pPr>
            <w:r>
              <w:rPr>
                <w:rFonts w:ascii="Arial" w:cs="Arial" w:eastAsia="Arial" w:hAnsi="Arial"/>
                <w:sz w:val="20"/>
                <w:szCs w:val="20"/>
                <w:color w:val="auto"/>
              </w:rPr>
              <w:t>On November 12, 2019, Michael J. Utsler, Chief Operating Officer, departed the Company.</w:t>
            </w:r>
          </w:p>
        </w:tc>
      </w:tr>
      <w:tr>
        <w:trPr>
          <w:trHeight w:val="404"/>
        </w:trPr>
        <w:tc>
          <w:tcPr>
            <w:tcW w:w="8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0"/>
              </w:rPr>
              <w:t>Item 6.</w:t>
            </w:r>
          </w:p>
        </w:tc>
        <w:tc>
          <w:tcPr>
            <w:tcW w:w="10580" w:type="dxa"/>
            <w:vAlign w:val="bottom"/>
            <w:gridSpan w:val="3"/>
          </w:tcPr>
          <w:p>
            <w:pPr>
              <w:ind w:left="20"/>
              <w:spacing w:after="0"/>
              <w:rPr>
                <w:sz w:val="20"/>
                <w:szCs w:val="20"/>
                <w:color w:val="auto"/>
              </w:rPr>
            </w:pPr>
            <w:r>
              <w:rPr>
                <w:rFonts w:ascii="Arial" w:cs="Arial" w:eastAsia="Arial" w:hAnsi="Arial"/>
                <w:sz w:val="16"/>
                <w:szCs w:val="16"/>
                <w:b w:val="1"/>
                <w:bCs w:val="1"/>
                <w:color w:val="auto"/>
              </w:rPr>
              <w:t>Exhibits.</w:t>
            </w:r>
          </w:p>
        </w:tc>
      </w:tr>
      <w:tr>
        <w:trPr>
          <w:trHeight w:val="399"/>
        </w:trPr>
        <w:tc>
          <w:tcPr>
            <w:tcW w:w="148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9960" w:type="dxa"/>
            <w:vAlign w:val="bottom"/>
          </w:tcPr>
          <w:p>
            <w:pPr>
              <w:spacing w:after="0"/>
              <w:rPr>
                <w:sz w:val="24"/>
                <w:szCs w:val="24"/>
                <w:color w:val="auto"/>
              </w:rPr>
            </w:pPr>
          </w:p>
        </w:tc>
      </w:tr>
      <w:tr>
        <w:trPr>
          <w:trHeight w:val="216"/>
        </w:trPr>
        <w:tc>
          <w:tcPr>
            <w:tcW w:w="148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9960" w:type="dxa"/>
            <w:vAlign w:val="bottom"/>
          </w:tcPr>
          <w:p>
            <w:pPr>
              <w:ind w:left="458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820" w:type="dxa"/>
            <w:vAlign w:val="bottom"/>
            <w:tcBorders>
              <w:top w:val="single" w:sz="8" w:color="auto"/>
            </w:tcBorders>
            <w:gridSpan w:val="5"/>
            <w:shd w:val="clear" w:color="auto" w:fill="CCEEFF"/>
          </w:tcPr>
          <w:p>
            <w:pPr>
              <w:jc w:val="right"/>
              <w:ind w:right="40"/>
              <w:spacing w:after="0" w:line="158" w:lineRule="exact"/>
              <w:rPr>
                <w:rFonts w:ascii="Arial" w:cs="Arial" w:eastAsia="Arial" w:hAnsi="Arial"/>
                <w:sz w:val="16"/>
                <w:szCs w:val="16"/>
                <w:color w:val="0000EE"/>
              </w:rPr>
            </w:pPr>
            <w:hyperlink r:id="rId89">
              <w:r>
                <w:rPr>
                  <w:rFonts w:ascii="Arial" w:cs="Arial" w:eastAsia="Arial" w:hAnsi="Arial"/>
                  <w:sz w:val="16"/>
                  <w:szCs w:val="16"/>
                  <w:color w:val="0000EE"/>
                </w:rPr>
                <w:t>3.</w:t>
              </w:r>
              <w:r>
                <w:rPr>
                  <w:rFonts w:ascii="Arial" w:cs="Arial" w:eastAsia="Arial" w:hAnsi="Arial"/>
                  <w:sz w:val="16"/>
                  <w:szCs w:val="16"/>
                  <w:u w:val="single" w:color="auto"/>
                  <w:color w:val="0000EE"/>
                </w:rPr>
                <w:t>1</w:t>
              </w:r>
            </w:hyperlink>
          </w:p>
        </w:tc>
        <w:tc>
          <w:tcPr>
            <w:tcW w:w="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6"/>
                <w:szCs w:val="16"/>
                <w:color w:val="auto"/>
                <w:w w:val="94"/>
              </w:rPr>
              <w:t>Certificate of Formation of New Fortress Energy LLC (incorporated by reference to Exhibit 3.1 to the Registrant’s Registration Statement on Form S-1</w:t>
            </w:r>
          </w:p>
        </w:tc>
      </w:tr>
      <w:tr>
        <w:trPr>
          <w:trHeight w:val="212"/>
        </w:trPr>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(File No. 333-228339), filed with the SEC on November 9, 2018)</w:t>
            </w:r>
          </w:p>
        </w:tc>
      </w:tr>
      <w:tr>
        <w:trPr>
          <w:trHeight w:val="195"/>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58"/>
        </w:trPr>
        <w:tc>
          <w:tcPr>
            <w:tcW w:w="820" w:type="dxa"/>
            <w:vAlign w:val="bottom"/>
            <w:gridSpan w:val="5"/>
            <w:shd w:val="clear" w:color="auto" w:fill="CCEEFF"/>
          </w:tcPr>
          <w:p>
            <w:pPr>
              <w:jc w:val="right"/>
              <w:ind w:right="40"/>
              <w:spacing w:after="0" w:line="158" w:lineRule="exact"/>
              <w:rPr>
                <w:rFonts w:ascii="Arial" w:cs="Arial" w:eastAsia="Arial" w:hAnsi="Arial"/>
                <w:sz w:val="16"/>
                <w:szCs w:val="16"/>
                <w:color w:val="0000EE"/>
              </w:rPr>
            </w:pPr>
            <w:hyperlink r:id="rId90">
              <w:r>
                <w:rPr>
                  <w:rFonts w:ascii="Arial" w:cs="Arial" w:eastAsia="Arial" w:hAnsi="Arial"/>
                  <w:sz w:val="16"/>
                  <w:szCs w:val="16"/>
                  <w:color w:val="0000EE"/>
                </w:rPr>
                <w:t>3.</w:t>
              </w:r>
              <w:r>
                <w:rPr>
                  <w:rFonts w:ascii="Arial" w:cs="Arial" w:eastAsia="Arial" w:hAnsi="Arial"/>
                  <w:sz w:val="16"/>
                  <w:szCs w:val="16"/>
                  <w:u w:val="single" w:color="auto"/>
                  <w:color w:val="0000EE"/>
                </w:rPr>
                <w:t>2</w:t>
              </w:r>
            </w:hyperlink>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9"/>
              </w:rPr>
              <w:t>Certificate of Amendment to Certificate of Formation of New Fortress Energy LLC (incorporated by reference to Exhibit 3.2 to the Registrant’s</w:t>
            </w:r>
          </w:p>
        </w:tc>
      </w:tr>
      <w:tr>
        <w:trPr>
          <w:trHeight w:val="212"/>
        </w:trPr>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Registration Statement on Form S-1 (File No. 333-228339), filed with the SEC on November 9, 2018)</w:t>
            </w:r>
          </w:p>
        </w:tc>
      </w:tr>
      <w:tr>
        <w:trPr>
          <w:trHeight w:val="195"/>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58"/>
        </w:trPr>
        <w:tc>
          <w:tcPr>
            <w:tcW w:w="820" w:type="dxa"/>
            <w:vAlign w:val="bottom"/>
            <w:gridSpan w:val="5"/>
            <w:shd w:val="clear" w:color="auto" w:fill="CCEEFF"/>
          </w:tcPr>
          <w:p>
            <w:pPr>
              <w:jc w:val="right"/>
              <w:ind w:right="40"/>
              <w:spacing w:after="0" w:line="158" w:lineRule="exact"/>
              <w:rPr>
                <w:rFonts w:ascii="Arial" w:cs="Arial" w:eastAsia="Arial" w:hAnsi="Arial"/>
                <w:sz w:val="16"/>
                <w:szCs w:val="16"/>
                <w:color w:val="0000EE"/>
              </w:rPr>
            </w:pPr>
            <w:hyperlink r:id="rId91">
              <w:r>
                <w:rPr>
                  <w:rFonts w:ascii="Arial" w:cs="Arial" w:eastAsia="Arial" w:hAnsi="Arial"/>
                  <w:sz w:val="16"/>
                  <w:szCs w:val="16"/>
                  <w:color w:val="0000EE"/>
                </w:rPr>
                <w:t>3.</w:t>
              </w:r>
              <w:r>
                <w:rPr>
                  <w:rFonts w:ascii="Arial" w:cs="Arial" w:eastAsia="Arial" w:hAnsi="Arial"/>
                  <w:sz w:val="16"/>
                  <w:szCs w:val="16"/>
                  <w:u w:val="single" w:color="auto"/>
                  <w:color w:val="0000EE"/>
                </w:rPr>
                <w:t>3</w:t>
              </w:r>
            </w:hyperlink>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3"/>
              </w:rPr>
              <w:t>First Amended and Restated Limited Liability Company Agreement of New Fortress Energy LLC, dated February 4, 2019 (incorporated by reference to</w:t>
            </w:r>
          </w:p>
        </w:tc>
      </w:tr>
      <w:tr>
        <w:trPr>
          <w:trHeight w:val="212"/>
        </w:trPr>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Exhibit 3.1 to the Registrant’s Form 8-K (File No. 001-38790), filed with the SEC on February 5, 2019)</w:t>
            </w:r>
          </w:p>
        </w:tc>
      </w:tr>
      <w:tr>
        <w:trPr>
          <w:trHeight w:val="195"/>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58"/>
        </w:trPr>
        <w:tc>
          <w:tcPr>
            <w:tcW w:w="860" w:type="dxa"/>
            <w:vAlign w:val="bottom"/>
            <w:gridSpan w:val="6"/>
            <w:shd w:val="clear" w:color="auto" w:fill="CCEEFF"/>
          </w:tcPr>
          <w:p>
            <w:pPr>
              <w:jc w:val="center"/>
              <w:ind w:left="417"/>
              <w:spacing w:after="0" w:line="158" w:lineRule="exact"/>
              <w:rPr>
                <w:rFonts w:ascii="Arial" w:cs="Arial" w:eastAsia="Arial" w:hAnsi="Arial"/>
                <w:sz w:val="16"/>
                <w:szCs w:val="16"/>
                <w:color w:val="0000EE"/>
                <w:w w:val="89"/>
              </w:rPr>
            </w:pPr>
            <w:hyperlink r:id="rId92">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w:t>
              </w:r>
            </w:hyperlink>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4"/>
              </w:rPr>
              <w:t>Third Amendment Agreement, dated as of September 2, 2019, to the Credit Agreement, dated as of August 15, 2018, as amended and restated as of</w:t>
            </w:r>
          </w:p>
        </w:tc>
      </w:tr>
      <w:tr>
        <w:trPr>
          <w:trHeight w:val="199"/>
        </w:trPr>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December 31, 2018, and as amended as of February 11, 2019 and March 13, 2019, among New Fortress Intermediate LLC, NFE Atlantic Holdings</w:t>
            </w:r>
          </w:p>
        </w:tc>
      </w:tr>
      <w:tr>
        <w:trPr>
          <w:trHeight w:val="195"/>
        </w:trPr>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w w:val="92"/>
              </w:rPr>
              <w:t>LLC, the subsidiary guarantors from time to time party thereto, lenders parties thereto and Morgan Stanley Senior Funding, Inc., as administrative agent</w:t>
            </w:r>
          </w:p>
        </w:tc>
      </w:tr>
      <w:tr>
        <w:trPr>
          <w:trHeight w:val="208"/>
        </w:trPr>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(incorporated by reference to Exhibit 10.1 to the Registrant’s Form 8-K (File No. 001-38790), filed with the SEC on September 6, 2019).</w:t>
            </w:r>
          </w:p>
        </w:tc>
      </w:tr>
      <w:tr>
        <w:trPr>
          <w:trHeight w:val="195"/>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58"/>
        </w:trPr>
        <w:tc>
          <w:tcPr>
            <w:tcW w:w="860" w:type="dxa"/>
            <w:vAlign w:val="bottom"/>
            <w:gridSpan w:val="6"/>
            <w:shd w:val="clear" w:color="auto" w:fill="CCEEFF"/>
          </w:tcPr>
          <w:p>
            <w:pPr>
              <w:jc w:val="right"/>
              <w:spacing w:after="0" w:line="158" w:lineRule="exact"/>
              <w:rPr>
                <w:rFonts w:ascii="Arial" w:cs="Arial" w:eastAsia="Arial" w:hAnsi="Arial"/>
                <w:sz w:val="16"/>
                <w:szCs w:val="16"/>
                <w:color w:val="0000EE"/>
              </w:rPr>
            </w:pPr>
            <w:hyperlink w:anchor="page79">
              <w:r>
                <w:rPr>
                  <w:rFonts w:ascii="Arial" w:cs="Arial" w:eastAsia="Arial" w:hAnsi="Arial"/>
                  <w:sz w:val="16"/>
                  <w:szCs w:val="16"/>
                  <w:color w:val="0000EE"/>
                </w:rPr>
                <w:t>31.</w:t>
              </w:r>
              <w:r>
                <w:rPr>
                  <w:rFonts w:ascii="Arial" w:cs="Arial" w:eastAsia="Arial" w:hAnsi="Arial"/>
                  <w:sz w:val="16"/>
                  <w:szCs w:val="16"/>
                  <w:u w:val="single" w:color="auto"/>
                  <w:color w:val="0000EE"/>
                </w:rPr>
                <w:t>1*</w:t>
              </w:r>
            </w:hyperlink>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2"/>
              </w:rPr>
              <w:t>Certification by Chief Executive Officer pursuant to Rule 13a-14(a) and 15d-14(a) of the Exchange Act Rules, as adopted pursuant to Section 302 of the</w:t>
            </w:r>
          </w:p>
        </w:tc>
      </w:tr>
      <w:tr>
        <w:trPr>
          <w:trHeight w:val="212"/>
        </w:trPr>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Sarbanes-Oxley Act of 2002.</w:t>
            </w:r>
          </w:p>
        </w:tc>
      </w:tr>
      <w:tr>
        <w:trPr>
          <w:trHeight w:val="195"/>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58"/>
        </w:trPr>
        <w:tc>
          <w:tcPr>
            <w:tcW w:w="860" w:type="dxa"/>
            <w:vAlign w:val="bottom"/>
            <w:gridSpan w:val="6"/>
            <w:shd w:val="clear" w:color="auto" w:fill="CCEEFF"/>
          </w:tcPr>
          <w:p>
            <w:pPr>
              <w:jc w:val="right"/>
              <w:spacing w:after="0" w:line="158" w:lineRule="exact"/>
              <w:rPr>
                <w:rFonts w:ascii="Arial" w:cs="Arial" w:eastAsia="Arial" w:hAnsi="Arial"/>
                <w:sz w:val="16"/>
                <w:szCs w:val="16"/>
                <w:color w:val="0000EE"/>
              </w:rPr>
            </w:pPr>
            <w:hyperlink w:anchor="page80">
              <w:r>
                <w:rPr>
                  <w:rFonts w:ascii="Arial" w:cs="Arial" w:eastAsia="Arial" w:hAnsi="Arial"/>
                  <w:sz w:val="16"/>
                  <w:szCs w:val="16"/>
                  <w:color w:val="0000EE"/>
                </w:rPr>
                <w:t>31.</w:t>
              </w:r>
              <w:r>
                <w:rPr>
                  <w:rFonts w:ascii="Arial" w:cs="Arial" w:eastAsia="Arial" w:hAnsi="Arial"/>
                  <w:sz w:val="16"/>
                  <w:szCs w:val="16"/>
                  <w:u w:val="single" w:color="auto"/>
                  <w:color w:val="0000EE"/>
                </w:rPr>
                <w:t>2*</w:t>
              </w:r>
            </w:hyperlink>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3"/>
              </w:rPr>
              <w:t>Certification by Chief Financial Officer pursuant to Rule 13a-14(a) and 15d-14(a) of the Exchange Act Rules, as adopted pursuant to Section 302 of the</w:t>
            </w:r>
          </w:p>
        </w:tc>
      </w:tr>
      <w:tr>
        <w:trPr>
          <w:trHeight w:val="212"/>
        </w:trPr>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Sarbanes-Oxley Act of 2002.</w:t>
            </w:r>
          </w:p>
        </w:tc>
      </w:tr>
      <w:tr>
        <w:trPr>
          <w:trHeight w:val="53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3"/>
                <w:szCs w:val="13"/>
                <w:color w:val="auto"/>
              </w:rPr>
              <w:t>74</w:t>
            </w:r>
          </w:p>
        </w:tc>
      </w:tr>
      <w:tr>
        <w:trPr>
          <w:trHeight w:val="40"/>
        </w:trPr>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9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76" w:name="page77"/>
    <w:bookmarkEnd w:id="76"/>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480" w:type="dxa"/>
            <w:vAlign w:val="bottom"/>
            <w:gridSpan w:val="4"/>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9960" w:type="dxa"/>
            <w:vAlign w:val="bottom"/>
          </w:tcPr>
          <w:p>
            <w:pPr>
              <w:spacing w:after="0"/>
              <w:rPr>
                <w:sz w:val="13"/>
                <w:szCs w:val="13"/>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329"/>
        </w:trPr>
        <w:tc>
          <w:tcPr>
            <w:tcW w:w="14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9960" w:type="dxa"/>
            <w:vAlign w:val="bottom"/>
          </w:tcPr>
          <w:p>
            <w:pPr>
              <w:spacing w:after="0"/>
              <w:rPr>
                <w:sz w:val="24"/>
                <w:szCs w:val="24"/>
                <w:color w:val="auto"/>
              </w:rPr>
            </w:pPr>
          </w:p>
        </w:tc>
      </w:tr>
      <w:tr>
        <w:trPr>
          <w:trHeight w:val="216"/>
        </w:trPr>
        <w:tc>
          <w:tcPr>
            <w:tcW w:w="1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9960" w:type="dxa"/>
            <w:vAlign w:val="bottom"/>
          </w:tcPr>
          <w:p>
            <w:pPr>
              <w:ind w:left="4580"/>
              <w:spacing w:after="0"/>
              <w:rPr>
                <w:sz w:val="20"/>
                <w:szCs w:val="20"/>
                <w:color w:val="auto"/>
              </w:rPr>
            </w:pPr>
            <w:r>
              <w:rPr>
                <w:rFonts w:ascii="Arial" w:cs="Arial" w:eastAsia="Arial" w:hAnsi="Arial"/>
                <w:sz w:val="16"/>
                <w:szCs w:val="16"/>
                <w:b w:val="1"/>
                <w:bCs w:val="1"/>
                <w:color w:val="auto"/>
              </w:rPr>
              <w:t>Description</w:t>
            </w:r>
          </w:p>
        </w:tc>
      </w:tr>
      <w:tr>
        <w:trPr>
          <w:trHeight w:val="175"/>
        </w:trPr>
        <w:tc>
          <w:tcPr>
            <w:tcW w:w="1380" w:type="dxa"/>
            <w:vAlign w:val="bottom"/>
            <w:tcBorders>
              <w:top w:val="single" w:sz="8" w:color="auto"/>
            </w:tcBorders>
            <w:gridSpan w:val="3"/>
            <w:shd w:val="clear" w:color="auto" w:fill="CCEEFF"/>
          </w:tcPr>
          <w:p>
            <w:pPr>
              <w:jc w:val="center"/>
              <w:ind w:right="20"/>
              <w:spacing w:after="0" w:line="158" w:lineRule="exact"/>
              <w:rPr>
                <w:rFonts w:ascii="Arial" w:cs="Arial" w:eastAsia="Arial" w:hAnsi="Arial"/>
                <w:sz w:val="16"/>
                <w:szCs w:val="16"/>
                <w:color w:val="0000EE"/>
              </w:rPr>
            </w:pPr>
            <w:hyperlink w:anchor="page81">
              <w:r>
                <w:rPr>
                  <w:rFonts w:ascii="Arial" w:cs="Arial" w:eastAsia="Arial" w:hAnsi="Arial"/>
                  <w:sz w:val="16"/>
                  <w:szCs w:val="16"/>
                  <w:color w:val="0000EE"/>
                </w:rPr>
                <w:t>32.</w:t>
              </w:r>
              <w:r>
                <w:rPr>
                  <w:rFonts w:ascii="Arial" w:cs="Arial" w:eastAsia="Arial" w:hAnsi="Arial"/>
                  <w:sz w:val="16"/>
                  <w:szCs w:val="16"/>
                  <w:u w:val="single" w:color="auto"/>
                  <w:color w:val="0000EE"/>
                </w:rPr>
                <w:t>1**</w:t>
              </w:r>
            </w:hyperlink>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6"/>
                <w:szCs w:val="16"/>
                <w:color w:val="auto"/>
                <w:w w:val="93"/>
              </w:rPr>
              <w:t>Certifications by Chief Executive Officer pursuant to Title 18 U.S.C. Section 1350, as adopted pursuant to Section 906 of Sarbanes-Oxley Act of 2002.</w:t>
            </w:r>
          </w:p>
        </w:tc>
      </w:tr>
      <w:tr>
        <w:trPr>
          <w:trHeight w:val="195"/>
        </w:trPr>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960" w:type="dxa"/>
            <w:vAlign w:val="bottom"/>
            <w:tcBorders>
              <w:top w:val="single" w:sz="8" w:color="CCEEFF"/>
            </w:tcBorders>
          </w:tcPr>
          <w:p>
            <w:pPr>
              <w:spacing w:after="0"/>
              <w:rPr>
                <w:sz w:val="16"/>
                <w:szCs w:val="16"/>
                <w:color w:val="auto"/>
              </w:rPr>
            </w:pPr>
          </w:p>
        </w:tc>
      </w:tr>
      <w:tr>
        <w:trPr>
          <w:trHeight w:val="175"/>
        </w:trPr>
        <w:tc>
          <w:tcPr>
            <w:tcW w:w="1380" w:type="dxa"/>
            <w:vAlign w:val="bottom"/>
            <w:gridSpan w:val="3"/>
            <w:shd w:val="clear" w:color="auto" w:fill="CCEEFF"/>
          </w:tcPr>
          <w:p>
            <w:pPr>
              <w:jc w:val="center"/>
              <w:ind w:right="20"/>
              <w:spacing w:after="0" w:line="158" w:lineRule="exact"/>
              <w:rPr>
                <w:rFonts w:ascii="Arial" w:cs="Arial" w:eastAsia="Arial" w:hAnsi="Arial"/>
                <w:sz w:val="16"/>
                <w:szCs w:val="16"/>
                <w:color w:val="0000EE"/>
              </w:rPr>
            </w:pPr>
            <w:hyperlink w:anchor="page82">
              <w:r>
                <w:rPr>
                  <w:rFonts w:ascii="Arial" w:cs="Arial" w:eastAsia="Arial" w:hAnsi="Arial"/>
                  <w:sz w:val="16"/>
                  <w:szCs w:val="16"/>
                  <w:color w:val="0000EE"/>
                </w:rPr>
                <w:t>32.</w:t>
              </w:r>
              <w:r>
                <w:rPr>
                  <w:rFonts w:ascii="Arial" w:cs="Arial" w:eastAsia="Arial" w:hAnsi="Arial"/>
                  <w:sz w:val="16"/>
                  <w:szCs w:val="16"/>
                  <w:u w:val="single" w:color="auto"/>
                  <w:color w:val="0000EE"/>
                </w:rPr>
                <w:t>2**</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4"/>
              </w:rPr>
              <w:t>Certifications by Chief Financial Officer pursuant to Title 18 U.S.C. Section 1350, as adopted pursuant to Section 906 of Sarbanes-Oxley Act of 2002.</w:t>
            </w:r>
          </w:p>
        </w:tc>
      </w:tr>
      <w:tr>
        <w:trPr>
          <w:trHeight w:val="195"/>
        </w:trPr>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960" w:type="dxa"/>
            <w:vAlign w:val="bottom"/>
            <w:tcBorders>
              <w:top w:val="single" w:sz="8" w:color="CCEEFF"/>
            </w:tcBorders>
          </w:tcPr>
          <w:p>
            <w:pPr>
              <w:spacing w:after="0"/>
              <w:rPr>
                <w:sz w:val="16"/>
                <w:szCs w:val="16"/>
                <w:color w:val="auto"/>
              </w:rPr>
            </w:pPr>
          </w:p>
        </w:tc>
      </w:tr>
      <w:tr>
        <w:trPr>
          <w:trHeight w:val="195"/>
        </w:trPr>
        <w:tc>
          <w:tcPr>
            <w:tcW w:w="148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6"/>
              </w:rPr>
              <w:t>101.INS*</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195"/>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95"/>
        </w:trPr>
        <w:tc>
          <w:tcPr>
            <w:tcW w:w="148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5"/>
              </w:rPr>
              <w:t>101.SCH*</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Schema Document</w:t>
            </w:r>
          </w:p>
        </w:tc>
      </w:tr>
      <w:tr>
        <w:trPr>
          <w:trHeight w:val="195"/>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95"/>
        </w:trPr>
        <w:tc>
          <w:tcPr>
            <w:tcW w:w="148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rPr>
              <w:t>101.CAL*</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Calculation Linkbase Document</w:t>
            </w:r>
          </w:p>
        </w:tc>
      </w:tr>
      <w:tr>
        <w:trPr>
          <w:trHeight w:val="195"/>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95"/>
        </w:trPr>
        <w:tc>
          <w:tcPr>
            <w:tcW w:w="148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rPr>
              <w:t>101.LAB*</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Label Linkbase Document</w:t>
            </w:r>
          </w:p>
        </w:tc>
      </w:tr>
      <w:tr>
        <w:trPr>
          <w:trHeight w:val="195"/>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95"/>
        </w:trPr>
        <w:tc>
          <w:tcPr>
            <w:tcW w:w="148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3"/>
              </w:rPr>
              <w:t>101.PRE*</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Presentation Linkbase Document</w:t>
            </w:r>
          </w:p>
        </w:tc>
      </w:tr>
      <w:tr>
        <w:trPr>
          <w:trHeight w:val="195"/>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spacing w:after="0"/>
              <w:rPr>
                <w:sz w:val="16"/>
                <w:szCs w:val="16"/>
                <w:color w:val="auto"/>
              </w:rPr>
            </w:pPr>
          </w:p>
        </w:tc>
      </w:tr>
      <w:tr>
        <w:trPr>
          <w:trHeight w:val="195"/>
        </w:trPr>
        <w:tc>
          <w:tcPr>
            <w:tcW w:w="148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5"/>
              </w:rPr>
              <w:t>101.DEF*</w:t>
            </w:r>
          </w:p>
        </w:tc>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0915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1091565" cy="15240"/>
                    </a:xfrm>
                    <a:prstGeom prst="rect">
                      <a:avLst/>
                    </a:prstGeom>
                    <a:noFill/>
                  </pic:spPr>
                </pic:pic>
              </a:graphicData>
            </a:graphic>
          </wp:anchor>
        </w:drawing>
      </w:r>
    </w:p>
    <w:p>
      <w:pPr>
        <w:spacing w:after="0" w:line="211" w:lineRule="exact"/>
        <w:rPr>
          <w:sz w:val="20"/>
          <w:szCs w:val="20"/>
          <w:color w:val="auto"/>
        </w:rPr>
      </w:pPr>
    </w:p>
    <w:p>
      <w:pPr>
        <w:ind w:left="302" w:hanging="302"/>
        <w:spacing w:after="0"/>
        <w:tabs>
          <w:tab w:leader="none" w:pos="3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Filed as an exhibit to this Quarterly Report</w:t>
      </w:r>
    </w:p>
    <w:p>
      <w:pPr>
        <w:spacing w:after="0" w:line="23" w:lineRule="exact"/>
        <w:rPr>
          <w:sz w:val="20"/>
          <w:szCs w:val="20"/>
          <w:color w:val="auto"/>
        </w:rPr>
      </w:pPr>
    </w:p>
    <w:p>
      <w:pPr>
        <w:ind w:left="302" w:hanging="302"/>
        <w:spacing w:after="0"/>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Furnished as an exhibit to this Quarterly Report</w:t>
      </w:r>
    </w:p>
    <w:p>
      <w:pPr>
        <w:spacing w:after="0" w:line="11"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   Compensatory plan or arrangement</w:t>
      </w:r>
    </w:p>
    <w:p>
      <w:pPr>
        <w:spacing w:after="0" w:line="38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95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112" w:right="21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15" w:lineRule="exact"/>
        <w:rPr>
          <w:sz w:val="20"/>
          <w:szCs w:val="20"/>
          <w:color w:val="auto"/>
        </w:rPr>
      </w:pPr>
    </w:p>
    <w:p>
      <w:pPr>
        <w:ind w:right="20" w:firstLine="292"/>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7780" w:type="dxa"/>
            <w:vAlign w:val="bottom"/>
            <w:gridSpan w:val="2"/>
          </w:tcPr>
          <w:p>
            <w:pPr>
              <w:ind w:left="2060"/>
              <w:spacing w:after="0"/>
              <w:rPr>
                <w:sz w:val="20"/>
                <w:szCs w:val="20"/>
                <w:color w:val="auto"/>
              </w:rPr>
            </w:pPr>
            <w:r>
              <w:rPr>
                <w:rFonts w:ascii="Arial" w:cs="Arial" w:eastAsia="Arial" w:hAnsi="Arial"/>
                <w:sz w:val="16"/>
                <w:szCs w:val="16"/>
                <w:b w:val="1"/>
                <w:bCs w:val="1"/>
                <w:color w:val="auto"/>
              </w:rPr>
              <w:t>NEW FORTRESS ENERGY LLC</w:t>
            </w:r>
          </w:p>
        </w:tc>
      </w:tr>
      <w:tr>
        <w:trPr>
          <w:trHeight w:val="395"/>
        </w:trPr>
        <w:tc>
          <w:tcPr>
            <w:tcW w:w="3660" w:type="dxa"/>
            <w:vAlign w:val="bottom"/>
          </w:tcPr>
          <w:p>
            <w:pPr>
              <w:spacing w:after="0"/>
              <w:rPr>
                <w:sz w:val="20"/>
                <w:szCs w:val="20"/>
                <w:color w:val="auto"/>
              </w:rPr>
            </w:pPr>
            <w:r>
              <w:rPr>
                <w:rFonts w:ascii="Arial" w:cs="Arial" w:eastAsia="Arial" w:hAnsi="Arial"/>
                <w:sz w:val="16"/>
                <w:szCs w:val="16"/>
                <w:color w:val="auto"/>
              </w:rPr>
              <w:t>Date: November 12, 2019</w:t>
            </w:r>
          </w:p>
        </w:tc>
        <w:tc>
          <w:tcPr>
            <w:tcW w:w="2620" w:type="dxa"/>
            <w:vAlign w:val="bottom"/>
          </w:tcPr>
          <w:p>
            <w:pPr>
              <w:ind w:left="20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Wesley R. Edens</w:t>
            </w:r>
          </w:p>
        </w:tc>
      </w:tr>
      <w:tr>
        <w:trPr>
          <w:trHeight w:val="183"/>
        </w:trPr>
        <w:tc>
          <w:tcPr>
            <w:tcW w:w="3660" w:type="dxa"/>
            <w:vAlign w:val="bottom"/>
          </w:tcPr>
          <w:p>
            <w:pPr>
              <w:spacing w:after="0"/>
              <w:rPr>
                <w:sz w:val="15"/>
                <w:szCs w:val="15"/>
                <w:color w:val="auto"/>
              </w:rPr>
            </w:pPr>
          </w:p>
        </w:tc>
        <w:tc>
          <w:tcPr>
            <w:tcW w:w="2620" w:type="dxa"/>
            <w:vAlign w:val="bottom"/>
          </w:tcPr>
          <w:p>
            <w:pPr>
              <w:ind w:left="2060"/>
              <w:spacing w:after="0" w:line="183" w:lineRule="exact"/>
              <w:rPr>
                <w:sz w:val="20"/>
                <w:szCs w:val="20"/>
                <w:color w:val="auto"/>
              </w:rPr>
            </w:pPr>
            <w:r>
              <w:rPr>
                <w:rFonts w:ascii="Arial" w:cs="Arial" w:eastAsia="Arial" w:hAnsi="Arial"/>
                <w:sz w:val="16"/>
                <w:szCs w:val="16"/>
                <w:color w:val="auto"/>
              </w:rPr>
              <w:t>Name:</w:t>
            </w:r>
          </w:p>
        </w:tc>
        <w:tc>
          <w:tcPr>
            <w:tcW w:w="5160" w:type="dxa"/>
            <w:vAlign w:val="bottom"/>
          </w:tcPr>
          <w:p>
            <w:pPr>
              <w:spacing w:after="0" w:line="183" w:lineRule="exact"/>
              <w:rPr>
                <w:sz w:val="20"/>
                <w:szCs w:val="20"/>
                <w:color w:val="auto"/>
              </w:rPr>
            </w:pPr>
            <w:r>
              <w:rPr>
                <w:rFonts w:ascii="Arial" w:cs="Arial" w:eastAsia="Arial" w:hAnsi="Arial"/>
                <w:sz w:val="16"/>
                <w:szCs w:val="16"/>
                <w:color w:val="auto"/>
              </w:rPr>
              <w:t>Wesley R. Edens</w:t>
            </w:r>
          </w:p>
        </w:tc>
      </w:tr>
      <w:tr>
        <w:trPr>
          <w:trHeight w:val="195"/>
        </w:trPr>
        <w:tc>
          <w:tcPr>
            <w:tcW w:w="3660" w:type="dxa"/>
            <w:vAlign w:val="bottom"/>
          </w:tcPr>
          <w:p>
            <w:pPr>
              <w:spacing w:after="0"/>
              <w:rPr>
                <w:sz w:val="16"/>
                <w:szCs w:val="16"/>
                <w:color w:val="auto"/>
              </w:rPr>
            </w:pPr>
          </w:p>
        </w:tc>
        <w:tc>
          <w:tcPr>
            <w:tcW w:w="2620" w:type="dxa"/>
            <w:vAlign w:val="bottom"/>
          </w:tcPr>
          <w:p>
            <w:pPr>
              <w:ind w:left="2060"/>
              <w:spacing w:after="0"/>
              <w:rPr>
                <w:sz w:val="20"/>
                <w:szCs w:val="20"/>
                <w:color w:val="auto"/>
              </w:rPr>
            </w:pPr>
            <w:r>
              <w:rPr>
                <w:rFonts w:ascii="Arial" w:cs="Arial" w:eastAsia="Arial" w:hAnsi="Arial"/>
                <w:sz w:val="16"/>
                <w:szCs w:val="16"/>
                <w:color w:val="auto"/>
              </w:rPr>
              <w:t>Title:</w:t>
            </w:r>
          </w:p>
        </w:tc>
        <w:tc>
          <w:tcPr>
            <w:tcW w:w="5160" w:type="dxa"/>
            <w:vAlign w:val="bottom"/>
          </w:tcPr>
          <w:p>
            <w:pPr>
              <w:spacing w:after="0"/>
              <w:rPr>
                <w:sz w:val="20"/>
                <w:szCs w:val="20"/>
                <w:color w:val="auto"/>
              </w:rPr>
            </w:pPr>
            <w:r>
              <w:rPr>
                <w:rFonts w:ascii="Arial" w:cs="Arial" w:eastAsia="Arial" w:hAnsi="Arial"/>
                <w:sz w:val="16"/>
                <w:szCs w:val="16"/>
                <w:color w:val="auto"/>
              </w:rPr>
              <w:t>Chief Executive Officer and Chairman</w:t>
            </w:r>
          </w:p>
        </w:tc>
      </w:tr>
      <w:tr>
        <w:trPr>
          <w:trHeight w:val="207"/>
        </w:trPr>
        <w:tc>
          <w:tcPr>
            <w:tcW w:w="3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639"/>
        </w:trPr>
        <w:tc>
          <w:tcPr>
            <w:tcW w:w="3660" w:type="dxa"/>
            <w:vAlign w:val="bottom"/>
          </w:tcPr>
          <w:p>
            <w:pPr>
              <w:spacing w:after="0"/>
              <w:rPr>
                <w:sz w:val="20"/>
                <w:szCs w:val="20"/>
                <w:color w:val="auto"/>
              </w:rPr>
            </w:pPr>
            <w:r>
              <w:rPr>
                <w:rFonts w:ascii="Arial" w:cs="Arial" w:eastAsia="Arial" w:hAnsi="Arial"/>
                <w:sz w:val="16"/>
                <w:szCs w:val="16"/>
                <w:color w:val="auto"/>
              </w:rPr>
              <w:t>Date: November 12, 2019</w:t>
            </w:r>
          </w:p>
        </w:tc>
        <w:tc>
          <w:tcPr>
            <w:tcW w:w="2620" w:type="dxa"/>
            <w:vAlign w:val="bottom"/>
          </w:tcPr>
          <w:p>
            <w:pPr>
              <w:ind w:left="20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S. Guinta</w:t>
            </w:r>
          </w:p>
        </w:tc>
      </w:tr>
      <w:tr>
        <w:trPr>
          <w:trHeight w:val="183"/>
        </w:trPr>
        <w:tc>
          <w:tcPr>
            <w:tcW w:w="3660" w:type="dxa"/>
            <w:vAlign w:val="bottom"/>
          </w:tcPr>
          <w:p>
            <w:pPr>
              <w:spacing w:after="0"/>
              <w:rPr>
                <w:sz w:val="15"/>
                <w:szCs w:val="15"/>
                <w:color w:val="auto"/>
              </w:rPr>
            </w:pPr>
          </w:p>
        </w:tc>
        <w:tc>
          <w:tcPr>
            <w:tcW w:w="2620" w:type="dxa"/>
            <w:vAlign w:val="bottom"/>
          </w:tcPr>
          <w:p>
            <w:pPr>
              <w:ind w:left="2060"/>
              <w:spacing w:after="0" w:line="183" w:lineRule="exact"/>
              <w:rPr>
                <w:sz w:val="20"/>
                <w:szCs w:val="20"/>
                <w:color w:val="auto"/>
              </w:rPr>
            </w:pPr>
            <w:r>
              <w:rPr>
                <w:rFonts w:ascii="Arial" w:cs="Arial" w:eastAsia="Arial" w:hAnsi="Arial"/>
                <w:sz w:val="16"/>
                <w:szCs w:val="16"/>
                <w:color w:val="auto"/>
              </w:rPr>
              <w:t>Name:</w:t>
            </w:r>
          </w:p>
        </w:tc>
        <w:tc>
          <w:tcPr>
            <w:tcW w:w="5160" w:type="dxa"/>
            <w:vAlign w:val="bottom"/>
          </w:tcPr>
          <w:p>
            <w:pPr>
              <w:spacing w:after="0" w:line="183" w:lineRule="exact"/>
              <w:rPr>
                <w:sz w:val="20"/>
                <w:szCs w:val="20"/>
                <w:color w:val="auto"/>
              </w:rPr>
            </w:pPr>
            <w:r>
              <w:rPr>
                <w:rFonts w:ascii="Arial" w:cs="Arial" w:eastAsia="Arial" w:hAnsi="Arial"/>
                <w:sz w:val="16"/>
                <w:szCs w:val="16"/>
                <w:color w:val="auto"/>
              </w:rPr>
              <w:t>Christopher S. Guinta</w:t>
            </w:r>
          </w:p>
        </w:tc>
      </w:tr>
      <w:tr>
        <w:trPr>
          <w:trHeight w:val="195"/>
        </w:trPr>
        <w:tc>
          <w:tcPr>
            <w:tcW w:w="3660" w:type="dxa"/>
            <w:vAlign w:val="bottom"/>
          </w:tcPr>
          <w:p>
            <w:pPr>
              <w:spacing w:after="0"/>
              <w:rPr>
                <w:sz w:val="16"/>
                <w:szCs w:val="16"/>
                <w:color w:val="auto"/>
              </w:rPr>
            </w:pPr>
          </w:p>
        </w:tc>
        <w:tc>
          <w:tcPr>
            <w:tcW w:w="2620" w:type="dxa"/>
            <w:vAlign w:val="bottom"/>
          </w:tcPr>
          <w:p>
            <w:pPr>
              <w:ind w:left="2060"/>
              <w:spacing w:after="0"/>
              <w:rPr>
                <w:sz w:val="20"/>
                <w:szCs w:val="20"/>
                <w:color w:val="auto"/>
              </w:rPr>
            </w:pPr>
            <w:r>
              <w:rPr>
                <w:rFonts w:ascii="Arial" w:cs="Arial" w:eastAsia="Arial" w:hAnsi="Arial"/>
                <w:sz w:val="16"/>
                <w:szCs w:val="16"/>
                <w:color w:val="auto"/>
              </w:rPr>
              <w:t>Title:</w:t>
            </w:r>
          </w:p>
        </w:tc>
        <w:tc>
          <w:tcPr>
            <w:tcW w:w="51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7"/>
        </w:trPr>
        <w:tc>
          <w:tcPr>
            <w:tcW w:w="3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420"/>
        </w:trPr>
        <w:tc>
          <w:tcPr>
            <w:tcW w:w="3660" w:type="dxa"/>
            <w:vAlign w:val="bottom"/>
          </w:tcPr>
          <w:p>
            <w:pPr>
              <w:spacing w:after="0"/>
              <w:rPr>
                <w:sz w:val="20"/>
                <w:szCs w:val="20"/>
                <w:color w:val="auto"/>
              </w:rPr>
            </w:pPr>
            <w:r>
              <w:rPr>
                <w:rFonts w:ascii="Arial" w:cs="Arial" w:eastAsia="Arial" w:hAnsi="Arial"/>
                <w:sz w:val="16"/>
                <w:szCs w:val="16"/>
                <w:color w:val="auto"/>
              </w:rPr>
              <w:t>Date: November 12, 2019</w:t>
            </w:r>
          </w:p>
        </w:tc>
        <w:tc>
          <w:tcPr>
            <w:tcW w:w="2620" w:type="dxa"/>
            <w:vAlign w:val="bottom"/>
          </w:tcPr>
          <w:p>
            <w:pPr>
              <w:ind w:left="206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Yunyoung Shin</w:t>
            </w:r>
          </w:p>
        </w:tc>
      </w:tr>
      <w:tr>
        <w:trPr>
          <w:trHeight w:val="183"/>
        </w:trPr>
        <w:tc>
          <w:tcPr>
            <w:tcW w:w="3660" w:type="dxa"/>
            <w:vAlign w:val="bottom"/>
          </w:tcPr>
          <w:p>
            <w:pPr>
              <w:spacing w:after="0"/>
              <w:rPr>
                <w:sz w:val="15"/>
                <w:szCs w:val="15"/>
                <w:color w:val="auto"/>
              </w:rPr>
            </w:pPr>
          </w:p>
        </w:tc>
        <w:tc>
          <w:tcPr>
            <w:tcW w:w="2620" w:type="dxa"/>
            <w:vAlign w:val="bottom"/>
          </w:tcPr>
          <w:p>
            <w:pPr>
              <w:ind w:left="2060"/>
              <w:spacing w:after="0" w:line="183" w:lineRule="exact"/>
              <w:rPr>
                <w:sz w:val="20"/>
                <w:szCs w:val="20"/>
                <w:color w:val="auto"/>
              </w:rPr>
            </w:pPr>
            <w:r>
              <w:rPr>
                <w:rFonts w:ascii="Arial" w:cs="Arial" w:eastAsia="Arial" w:hAnsi="Arial"/>
                <w:sz w:val="16"/>
                <w:szCs w:val="16"/>
                <w:color w:val="auto"/>
              </w:rPr>
              <w:t>Name:</w:t>
            </w:r>
          </w:p>
        </w:tc>
        <w:tc>
          <w:tcPr>
            <w:tcW w:w="5160" w:type="dxa"/>
            <w:vAlign w:val="bottom"/>
          </w:tcPr>
          <w:p>
            <w:pPr>
              <w:spacing w:after="0" w:line="183" w:lineRule="exact"/>
              <w:rPr>
                <w:sz w:val="20"/>
                <w:szCs w:val="20"/>
                <w:color w:val="auto"/>
              </w:rPr>
            </w:pPr>
            <w:r>
              <w:rPr>
                <w:rFonts w:ascii="Arial" w:cs="Arial" w:eastAsia="Arial" w:hAnsi="Arial"/>
                <w:sz w:val="16"/>
                <w:szCs w:val="16"/>
                <w:color w:val="auto"/>
              </w:rPr>
              <w:t>Yunyoung Shin</w:t>
            </w:r>
          </w:p>
        </w:tc>
      </w:tr>
      <w:tr>
        <w:trPr>
          <w:trHeight w:val="195"/>
        </w:trPr>
        <w:tc>
          <w:tcPr>
            <w:tcW w:w="3660" w:type="dxa"/>
            <w:vAlign w:val="bottom"/>
          </w:tcPr>
          <w:p>
            <w:pPr>
              <w:spacing w:after="0"/>
              <w:rPr>
                <w:sz w:val="16"/>
                <w:szCs w:val="16"/>
                <w:color w:val="auto"/>
              </w:rPr>
            </w:pPr>
          </w:p>
        </w:tc>
        <w:tc>
          <w:tcPr>
            <w:tcW w:w="2620" w:type="dxa"/>
            <w:vAlign w:val="bottom"/>
          </w:tcPr>
          <w:p>
            <w:pPr>
              <w:ind w:left="2060"/>
              <w:spacing w:after="0"/>
              <w:rPr>
                <w:sz w:val="20"/>
                <w:szCs w:val="20"/>
                <w:color w:val="auto"/>
              </w:rPr>
            </w:pPr>
            <w:r>
              <w:rPr>
                <w:rFonts w:ascii="Arial" w:cs="Arial" w:eastAsia="Arial" w:hAnsi="Arial"/>
                <w:sz w:val="16"/>
                <w:szCs w:val="16"/>
                <w:color w:val="auto"/>
              </w:rPr>
              <w:t>Title:</w:t>
            </w:r>
          </w:p>
        </w:tc>
        <w:tc>
          <w:tcPr>
            <w:tcW w:w="5160" w:type="dxa"/>
            <w:vAlign w:val="bottom"/>
          </w:tcPr>
          <w:p>
            <w:pPr>
              <w:spacing w:after="0"/>
              <w:rPr>
                <w:sz w:val="20"/>
                <w:szCs w:val="20"/>
                <w:color w:val="auto"/>
              </w:rPr>
            </w:pPr>
            <w:r>
              <w:rPr>
                <w:rFonts w:ascii="Arial" w:cs="Arial" w:eastAsia="Arial" w:hAnsi="Arial"/>
                <w:sz w:val="16"/>
                <w:szCs w:val="16"/>
                <w:color w:val="auto"/>
              </w:rPr>
              <w:t>Chief Accounting Officer</w:t>
            </w:r>
          </w:p>
        </w:tc>
      </w:tr>
      <w:tr>
        <w:trPr>
          <w:trHeight w:val="207"/>
        </w:trPr>
        <w:tc>
          <w:tcPr>
            <w:tcW w:w="3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(Principal Accounting Officer)</w:t>
            </w:r>
          </w:p>
        </w:tc>
      </w:tr>
      <w:tr>
        <w:trPr>
          <w:trHeight w:val="587"/>
        </w:trPr>
        <w:tc>
          <w:tcPr>
            <w:tcW w:w="366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3"/>
                <w:szCs w:val="13"/>
                <w:color w:val="auto"/>
              </w:rPr>
              <w:t>76</w:t>
            </w:r>
          </w:p>
        </w:tc>
        <w:tc>
          <w:tcPr>
            <w:tcW w:w="5160" w:type="dxa"/>
            <w:vAlign w:val="bottom"/>
          </w:tcPr>
          <w:p>
            <w:pPr>
              <w:spacing w:after="0"/>
              <w:rPr>
                <w:sz w:val="24"/>
                <w:szCs w:val="24"/>
                <w:color w:val="auto"/>
              </w:rPr>
            </w:pPr>
          </w:p>
        </w:tc>
      </w:tr>
      <w:tr>
        <w:trPr>
          <w:trHeight w:val="88"/>
        </w:trPr>
        <w:tc>
          <w:tcPr>
            <w:tcW w:w="36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5160" w:type="dxa"/>
            <w:vAlign w:val="bottom"/>
            <w:tcBorders>
              <w:bottom w:val="single" w:sz="8" w:color="auto"/>
            </w:tcBorders>
          </w:tcPr>
          <w:p>
            <w:pPr>
              <w:spacing w:after="0"/>
              <w:rPr>
                <w:sz w:val="7"/>
                <w:szCs w:val="7"/>
                <w:color w:val="auto"/>
              </w:rPr>
            </w:pPr>
          </w:p>
        </w:tc>
      </w:tr>
    </w:tbl>
    <w:p>
      <w:pPr>
        <w:sectPr>
          <w:pgSz w:w="11900" w:h="16838" w:orient="portrait"/>
          <w:cols w:equalWidth="0" w:num="1">
            <w:col w:w="11440"/>
          </w:cols>
          <w:pgMar w:left="240" w:top="124"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59955" cy="31115"/>
                    </a:xfrm>
                    <a:prstGeom prst="rect">
                      <a:avLst/>
                    </a:prstGeom>
                    <a:noFill/>
                  </pic:spPr>
                </pic:pic>
              </a:graphicData>
            </a:graphic>
          </wp:anchor>
        </w:drawing>
        <w:t>EXHIBIT 31.1</w:t>
      </w:r>
    </w:p>
    <w:p>
      <w:pPr>
        <w:spacing w:after="0" w:line="209" w:lineRule="exact"/>
        <w:rPr>
          <w:sz w:val="20"/>
          <w:szCs w:val="20"/>
          <w:color w:val="auto"/>
        </w:rPr>
      </w:pPr>
    </w:p>
    <w:p>
      <w:pPr>
        <w:jc w:val="center"/>
        <w:ind w:left="240" w:right="2840"/>
        <w:spacing w:after="0" w:line="241" w:lineRule="auto"/>
        <w:rPr>
          <w:sz w:val="20"/>
          <w:szCs w:val="20"/>
          <w:color w:val="auto"/>
        </w:rPr>
      </w:pPr>
      <w:r>
        <w:rPr>
          <w:rFonts w:ascii="Arial" w:cs="Arial" w:eastAsia="Arial" w:hAnsi="Arial"/>
          <w:sz w:val="20"/>
          <w:szCs w:val="20"/>
          <w:b w:val="1"/>
          <w:bCs w:val="1"/>
          <w:color w:val="auto"/>
        </w:rPr>
        <w:t>CERTIFICATION OF CHIEF EXECUTIVE OFFICER PURSUANT TO RULE 13A-14(A) AND RULE 15D-14(A) OF THE SECURITIES EXCHANGE ACT OF 1934, AS AMENDED</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0"/>
          <w:szCs w:val="20"/>
          <w:color w:val="auto"/>
        </w:rPr>
        <w:t>I, Wesley R. Edens, certify that:</w:t>
      </w:r>
    </w:p>
    <w:p>
      <w:pPr>
        <w:spacing w:after="0" w:line="215" w:lineRule="exact"/>
        <w:rPr>
          <w:sz w:val="20"/>
          <w:szCs w:val="20"/>
          <w:color w:val="auto"/>
        </w:rPr>
      </w:pPr>
    </w:p>
    <w:p>
      <w:pPr>
        <w:ind w:left="582" w:hanging="582"/>
        <w:spacing w:after="0"/>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30" w:lineRule="exact"/>
        <w:rPr>
          <w:rFonts w:ascii="Arial" w:cs="Arial" w:eastAsia="Arial" w:hAnsi="Arial"/>
          <w:sz w:val="16"/>
          <w:szCs w:val="16"/>
          <w:color w:val="auto"/>
        </w:rPr>
      </w:pPr>
    </w:p>
    <w:p>
      <w:pPr>
        <w:ind w:left="582" w:right="80" w:hanging="582"/>
        <w:spacing w:after="0" w:line="319" w:lineRule="auto"/>
        <w:tabs>
          <w:tab w:leader="none" w:pos="582"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582" w:right="80" w:hanging="582"/>
        <w:spacing w:after="0" w:line="284" w:lineRule="auto"/>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2" w:hanging="582"/>
        <w:spacing w:after="0"/>
        <w:tabs>
          <w:tab w:leader="none" w:pos="582"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582"/>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8" w:lineRule="exact"/>
        <w:rPr>
          <w:rFonts w:ascii="Arial" w:cs="Arial" w:eastAsia="Arial" w:hAnsi="Arial"/>
          <w:sz w:val="14"/>
          <w:szCs w:val="14"/>
          <w:color w:val="auto"/>
        </w:rPr>
      </w:pPr>
    </w:p>
    <w:p>
      <w:pPr>
        <w:ind w:left="1162" w:right="80" w:hanging="577"/>
        <w:spacing w:after="0" w:line="269"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62" w:right="220" w:hanging="577"/>
        <w:spacing w:after="0" w:line="284"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62" w:right="160" w:hanging="577"/>
        <w:spacing w:after="0" w:line="269"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2" w:right="380" w:hanging="582"/>
        <w:spacing w:after="0" w:line="284" w:lineRule="auto"/>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62" w:right="380" w:hanging="577"/>
        <w:spacing w:after="0" w:line="284"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62" w:right="600" w:hanging="577"/>
        <w:spacing w:after="0" w:line="284"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
        <w:spacing w:after="0"/>
        <w:tabs>
          <w:tab w:leader="none" w:pos="562" w:val="left"/>
          <w:tab w:leader="none" w:pos="5702" w:val="left"/>
          <w:tab w:leader="none" w:pos="6282" w:val="left"/>
        </w:tabs>
        <w:rPr>
          <w:sz w:val="20"/>
          <w:szCs w:val="20"/>
          <w:color w:val="auto"/>
        </w:rPr>
      </w:pPr>
      <w:r>
        <w:rPr>
          <w:rFonts w:ascii="Arial" w:cs="Arial" w:eastAsia="Arial" w:hAnsi="Arial"/>
          <w:sz w:val="16"/>
          <w:szCs w:val="16"/>
          <w:color w:val="auto"/>
        </w:rPr>
        <w:t>Date:</w:t>
        <w:tab/>
        <w:t>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325818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258185" cy="1524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22860</wp:posOffset>
            </wp:positionV>
            <wp:extent cx="181864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818640" cy="15240"/>
                    </a:xfrm>
                    <a:prstGeom prst="rect">
                      <a:avLst/>
                    </a:prstGeom>
                    <a:noFill/>
                  </pic:spPr>
                </pic:pic>
              </a:graphicData>
            </a:graphic>
          </wp:anchor>
        </w:drawing>
      </w:r>
    </w:p>
    <w:p>
      <w:pPr>
        <w:spacing w:after="0" w:line="28"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Wesley R. Edens</w:t>
      </w:r>
    </w:p>
    <w:p>
      <w:pPr>
        <w:spacing w:after="0" w:line="23"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725995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261"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59955" cy="31115"/>
                    </a:xfrm>
                    <a:prstGeom prst="rect">
                      <a:avLst/>
                    </a:prstGeom>
                    <a:noFill/>
                  </pic:spPr>
                </pic:pic>
              </a:graphicData>
            </a:graphic>
          </wp:anchor>
        </w:drawing>
        <w:t>EXHIBIT 31.2</w:t>
      </w:r>
    </w:p>
    <w:p>
      <w:pPr>
        <w:spacing w:after="0" w:line="209" w:lineRule="exact"/>
        <w:rPr>
          <w:sz w:val="20"/>
          <w:szCs w:val="20"/>
          <w:color w:val="auto"/>
        </w:rPr>
      </w:pPr>
    </w:p>
    <w:p>
      <w:pPr>
        <w:jc w:val="center"/>
        <w:ind w:left="240" w:right="2840"/>
        <w:spacing w:after="0" w:line="241" w:lineRule="auto"/>
        <w:rPr>
          <w:sz w:val="20"/>
          <w:szCs w:val="20"/>
          <w:color w:val="auto"/>
        </w:rPr>
      </w:pPr>
      <w:r>
        <w:rPr>
          <w:rFonts w:ascii="Arial" w:cs="Arial" w:eastAsia="Arial" w:hAnsi="Arial"/>
          <w:sz w:val="20"/>
          <w:szCs w:val="20"/>
          <w:b w:val="1"/>
          <w:bCs w:val="1"/>
          <w:color w:val="auto"/>
        </w:rPr>
        <w:t>CERTIFICATION OF CHIEF FINANCIAL OFFICER PURSUANT TO RULE 13A-14(A) AND RULE 15D-14(A) OF THE SECURITIES EXCHANGE ACT OF 1934, AS AMENDED</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20"/>
          <w:szCs w:val="20"/>
          <w:color w:val="auto"/>
        </w:rPr>
        <w:t>I, Christopher S. Guinta, certify that:</w:t>
      </w:r>
    </w:p>
    <w:p>
      <w:pPr>
        <w:spacing w:after="0" w:line="215" w:lineRule="exact"/>
        <w:rPr>
          <w:sz w:val="20"/>
          <w:szCs w:val="20"/>
          <w:color w:val="auto"/>
        </w:rPr>
      </w:pPr>
    </w:p>
    <w:p>
      <w:pPr>
        <w:ind w:left="582" w:hanging="582"/>
        <w:spacing w:after="0"/>
        <w:tabs>
          <w:tab w:leader="none" w:pos="5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30" w:lineRule="exact"/>
        <w:rPr>
          <w:rFonts w:ascii="Arial" w:cs="Arial" w:eastAsia="Arial" w:hAnsi="Arial"/>
          <w:sz w:val="16"/>
          <w:szCs w:val="16"/>
          <w:color w:val="auto"/>
        </w:rPr>
      </w:pPr>
    </w:p>
    <w:p>
      <w:pPr>
        <w:ind w:left="582" w:right="80" w:hanging="582"/>
        <w:spacing w:after="0" w:line="319" w:lineRule="auto"/>
        <w:tabs>
          <w:tab w:leader="none" w:pos="58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582" w:right="80" w:hanging="582"/>
        <w:spacing w:after="0" w:line="284" w:lineRule="auto"/>
        <w:tabs>
          <w:tab w:leader="none" w:pos="5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2" w:hanging="582"/>
        <w:spacing w:after="0"/>
        <w:tabs>
          <w:tab w:leader="none" w:pos="58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ind w:left="582"/>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8" w:lineRule="exact"/>
        <w:rPr>
          <w:rFonts w:ascii="Arial" w:cs="Arial" w:eastAsia="Arial" w:hAnsi="Arial"/>
          <w:sz w:val="14"/>
          <w:szCs w:val="14"/>
          <w:color w:val="auto"/>
        </w:rPr>
      </w:pPr>
    </w:p>
    <w:p>
      <w:pPr>
        <w:ind w:left="1162" w:right="80" w:hanging="577"/>
        <w:spacing w:after="0" w:line="269"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62" w:right="220" w:hanging="577"/>
        <w:spacing w:after="0" w:line="284"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62" w:right="160" w:hanging="577"/>
        <w:spacing w:after="0" w:line="269"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2" w:right="380" w:hanging="582"/>
        <w:spacing w:after="0" w:line="284" w:lineRule="auto"/>
        <w:tabs>
          <w:tab w:leader="none" w:pos="5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62" w:right="380" w:hanging="577"/>
        <w:spacing w:after="0" w:line="284"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62" w:right="600" w:hanging="577"/>
        <w:spacing w:after="0" w:line="284"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
        <w:spacing w:after="0"/>
        <w:tabs>
          <w:tab w:leader="none" w:pos="562" w:val="left"/>
          <w:tab w:leader="none" w:pos="5702" w:val="left"/>
          <w:tab w:leader="none" w:pos="6282" w:val="left"/>
        </w:tabs>
        <w:rPr>
          <w:sz w:val="20"/>
          <w:szCs w:val="20"/>
          <w:color w:val="auto"/>
        </w:rPr>
      </w:pPr>
      <w:r>
        <w:rPr>
          <w:rFonts w:ascii="Arial" w:cs="Arial" w:eastAsia="Arial" w:hAnsi="Arial"/>
          <w:sz w:val="16"/>
          <w:szCs w:val="16"/>
          <w:color w:val="auto"/>
        </w:rPr>
        <w:t>Date:</w:t>
        <w:tab/>
        <w:t>November 12,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325818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58185" cy="1524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22860</wp:posOffset>
            </wp:positionV>
            <wp:extent cx="181864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818640" cy="15240"/>
                    </a:xfrm>
                    <a:prstGeom prst="rect">
                      <a:avLst/>
                    </a:prstGeom>
                    <a:noFill/>
                  </pic:spPr>
                </pic:pic>
              </a:graphicData>
            </a:graphic>
          </wp:anchor>
        </w:drawing>
      </w:r>
    </w:p>
    <w:p>
      <w:pPr>
        <w:spacing w:after="0" w:line="28"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Christopher S. Guinta</w:t>
      </w:r>
    </w:p>
    <w:p>
      <w:pPr>
        <w:spacing w:after="0" w:line="23"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302"/>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725995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2"/>
          </w:cols>
          <w:pgMar w:left="238" w:top="261"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59955" cy="31115"/>
                    </a:xfrm>
                    <a:prstGeom prst="rect">
                      <a:avLst/>
                    </a:prstGeom>
                    <a:noFill/>
                  </pic:spPr>
                </pic:pic>
              </a:graphicData>
            </a:graphic>
          </wp:anchor>
        </w:drawing>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CHIEF EXECUTIVE OFFICER UNDER SECTION 906</w:t>
      </w:r>
    </w:p>
    <w:p>
      <w:pPr>
        <w:jc w:val="center"/>
        <w:spacing w:after="0"/>
        <w:rPr>
          <w:sz w:val="20"/>
          <w:szCs w:val="20"/>
          <w:color w:val="auto"/>
        </w:rPr>
      </w:pPr>
      <w:r>
        <w:rPr>
          <w:rFonts w:ascii="Arial" w:cs="Arial" w:eastAsia="Arial" w:hAnsi="Arial"/>
          <w:sz w:val="20"/>
          <w:szCs w:val="20"/>
          <w:b w:val="1"/>
          <w:bCs w:val="1"/>
          <w:color w:val="auto"/>
        </w:rPr>
        <w:t>OF THE SARBANES OXLEY ACT OF 2002, 18 U.S.C. § 1350</w:t>
      </w:r>
    </w:p>
    <w:p>
      <w:pPr>
        <w:spacing w:after="0" w:line="19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In connection with the Quarterly Report on Form 10-Q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65" w:lineRule="exact"/>
        <w:rPr>
          <w:sz w:val="20"/>
          <w:szCs w:val="20"/>
          <w:color w:val="auto"/>
        </w:rPr>
      </w:pPr>
    </w:p>
    <w:p>
      <w:pPr>
        <w:ind w:left="1160" w:hanging="577"/>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0" w:lineRule="exact"/>
        <w:rPr>
          <w:rFonts w:ascii="Arial" w:cs="Arial" w:eastAsia="Arial" w:hAnsi="Arial"/>
          <w:sz w:val="16"/>
          <w:szCs w:val="16"/>
          <w:color w:val="auto"/>
        </w:rPr>
      </w:pPr>
    </w:p>
    <w:p>
      <w:pPr>
        <w:ind w:left="1160" w:hanging="577"/>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gridSpan w:val="2"/>
          </w:tcPr>
          <w:p>
            <w:pPr>
              <w:spacing w:after="0"/>
              <w:rPr>
                <w:sz w:val="20"/>
                <w:szCs w:val="20"/>
                <w:color w:val="auto"/>
              </w:rPr>
            </w:pPr>
            <w:r>
              <w:rPr>
                <w:rFonts w:ascii="Arial" w:cs="Arial" w:eastAsia="Arial" w:hAnsi="Arial"/>
                <w:sz w:val="16"/>
                <w:szCs w:val="16"/>
                <w:color w:val="auto"/>
              </w:rPr>
              <w:t>Date:   November 12, 2019</w:t>
            </w:r>
          </w:p>
        </w:tc>
        <w:tc>
          <w:tcPr>
            <w:tcW w:w="2860" w:type="dxa"/>
            <w:vAlign w:val="bottom"/>
          </w:tcPr>
          <w:p>
            <w:pPr>
              <w:ind w:left="2280"/>
              <w:spacing w:after="0"/>
              <w:rPr>
                <w:sz w:val="20"/>
                <w:szCs w:val="20"/>
                <w:color w:val="auto"/>
              </w:rPr>
            </w:pPr>
            <w:r>
              <w:rPr>
                <w:rFonts w:ascii="Arial" w:cs="Arial" w:eastAsia="Arial" w:hAnsi="Arial"/>
                <w:sz w:val="16"/>
                <w:szCs w:val="16"/>
                <w:color w:val="auto"/>
              </w:rPr>
              <w:t>By:</w:t>
            </w:r>
          </w:p>
        </w:tc>
        <w:tc>
          <w:tcPr>
            <w:tcW w:w="5140" w:type="dxa"/>
            <w:vAlign w:val="bottom"/>
          </w:tcPr>
          <w:p>
            <w:pPr>
              <w:spacing w:after="0"/>
              <w:rPr>
                <w:sz w:val="20"/>
                <w:szCs w:val="20"/>
                <w:color w:val="auto"/>
              </w:rPr>
            </w:pPr>
            <w:r>
              <w:rPr>
                <w:rFonts w:ascii="Arial" w:cs="Arial" w:eastAsia="Arial" w:hAnsi="Arial"/>
                <w:sz w:val="16"/>
                <w:szCs w:val="16"/>
                <w:color w:val="auto"/>
              </w:rPr>
              <w:t>/s/ Wesley R. Edens</w:t>
            </w:r>
          </w:p>
        </w:tc>
      </w:tr>
      <w:tr>
        <w:trPr>
          <w:trHeight w:val="183"/>
        </w:trPr>
        <w:tc>
          <w:tcPr>
            <w:tcW w:w="580" w:type="dxa"/>
            <w:vAlign w:val="bottom"/>
          </w:tcPr>
          <w:p>
            <w:pPr>
              <w:spacing w:after="0"/>
              <w:rPr>
                <w:sz w:val="15"/>
                <w:szCs w:val="15"/>
                <w:color w:val="auto"/>
              </w:rPr>
            </w:pPr>
          </w:p>
        </w:tc>
        <w:tc>
          <w:tcPr>
            <w:tcW w:w="2860" w:type="dxa"/>
            <w:vAlign w:val="bottom"/>
            <w:tcBorders>
              <w:top w:val="single" w:sz="8" w:color="auto"/>
            </w:tcBorders>
          </w:tcPr>
          <w:p>
            <w:pPr>
              <w:spacing w:after="0"/>
              <w:rPr>
                <w:sz w:val="15"/>
                <w:szCs w:val="15"/>
                <w:color w:val="auto"/>
              </w:rPr>
            </w:pPr>
          </w:p>
        </w:tc>
        <w:tc>
          <w:tcPr>
            <w:tcW w:w="2860" w:type="dxa"/>
            <w:vAlign w:val="bottom"/>
          </w:tcPr>
          <w:p>
            <w:pPr>
              <w:spacing w:after="0"/>
              <w:rPr>
                <w:sz w:val="15"/>
                <w:szCs w:val="15"/>
                <w:color w:val="auto"/>
              </w:rPr>
            </w:pPr>
          </w:p>
        </w:tc>
        <w:tc>
          <w:tcPr>
            <w:tcW w:w="514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Wesley R. Edens</w:t>
            </w:r>
          </w:p>
        </w:tc>
      </w:tr>
      <w:tr>
        <w:trPr>
          <w:trHeight w:val="195"/>
        </w:trPr>
        <w:tc>
          <w:tcPr>
            <w:tcW w:w="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7"/>
        </w:trPr>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541"/>
        </w:trPr>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61"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59955" cy="31115"/>
                    </a:xfrm>
                    <a:prstGeom prst="rect">
                      <a:avLst/>
                    </a:prstGeom>
                    <a:noFill/>
                  </pic:spPr>
                </pic:pic>
              </a:graphicData>
            </a:graphic>
          </wp:anchor>
        </w:drawing>
        <w:t>EXHIBIT 32.2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CHIEF FINANCIAL OFFICER UNDER SECTION 906</w:t>
      </w:r>
    </w:p>
    <w:p>
      <w:pPr>
        <w:jc w:val="center"/>
        <w:spacing w:after="0"/>
        <w:rPr>
          <w:sz w:val="20"/>
          <w:szCs w:val="20"/>
          <w:color w:val="auto"/>
        </w:rPr>
      </w:pPr>
      <w:r>
        <w:rPr>
          <w:rFonts w:ascii="Arial" w:cs="Arial" w:eastAsia="Arial" w:hAnsi="Arial"/>
          <w:sz w:val="20"/>
          <w:szCs w:val="20"/>
          <w:b w:val="1"/>
          <w:bCs w:val="1"/>
          <w:color w:val="auto"/>
        </w:rPr>
        <w:t>OF THE SARBANES OXLEY ACT OF 2002, 18 U.S.C. § 1350</w:t>
      </w:r>
    </w:p>
    <w:p>
      <w:pPr>
        <w:spacing w:after="0" w:line="193" w:lineRule="exact"/>
        <w:rPr>
          <w:sz w:val="20"/>
          <w:szCs w:val="20"/>
          <w:color w:val="auto"/>
        </w:rPr>
      </w:pPr>
    </w:p>
    <w:p>
      <w:pPr>
        <w:jc w:val="both"/>
        <w:ind w:right="320"/>
        <w:spacing w:after="0" w:line="278" w:lineRule="auto"/>
        <w:rPr>
          <w:sz w:val="20"/>
          <w:szCs w:val="20"/>
          <w:color w:val="auto"/>
        </w:rPr>
      </w:pPr>
      <w:r>
        <w:rPr>
          <w:rFonts w:ascii="Arial" w:cs="Arial" w:eastAsia="Arial" w:hAnsi="Arial"/>
          <w:sz w:val="18"/>
          <w:szCs w:val="18"/>
          <w:color w:val="auto"/>
        </w:rPr>
        <w:t>In connection with Quarterly Report on Form 10-Q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65" w:lineRule="exact"/>
        <w:rPr>
          <w:sz w:val="20"/>
          <w:szCs w:val="20"/>
          <w:color w:val="auto"/>
        </w:rPr>
      </w:pPr>
    </w:p>
    <w:p>
      <w:pPr>
        <w:ind w:left="1160" w:hanging="577"/>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0" w:lineRule="exact"/>
        <w:rPr>
          <w:rFonts w:ascii="Arial" w:cs="Arial" w:eastAsia="Arial" w:hAnsi="Arial"/>
          <w:sz w:val="16"/>
          <w:szCs w:val="16"/>
          <w:color w:val="auto"/>
        </w:rPr>
      </w:pPr>
    </w:p>
    <w:p>
      <w:pPr>
        <w:ind w:left="1160" w:hanging="577"/>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gridSpan w:val="2"/>
          </w:tcPr>
          <w:p>
            <w:pPr>
              <w:spacing w:after="0"/>
              <w:rPr>
                <w:sz w:val="20"/>
                <w:szCs w:val="20"/>
                <w:color w:val="auto"/>
              </w:rPr>
            </w:pPr>
            <w:r>
              <w:rPr>
                <w:rFonts w:ascii="Arial" w:cs="Arial" w:eastAsia="Arial" w:hAnsi="Arial"/>
                <w:sz w:val="16"/>
                <w:szCs w:val="16"/>
                <w:color w:val="auto"/>
              </w:rPr>
              <w:t>Date:   November 12, 2019</w:t>
            </w:r>
          </w:p>
        </w:tc>
        <w:tc>
          <w:tcPr>
            <w:tcW w:w="2860" w:type="dxa"/>
            <w:vAlign w:val="bottom"/>
          </w:tcPr>
          <w:p>
            <w:pPr>
              <w:ind w:left="2280"/>
              <w:spacing w:after="0"/>
              <w:rPr>
                <w:sz w:val="20"/>
                <w:szCs w:val="20"/>
                <w:color w:val="auto"/>
              </w:rPr>
            </w:pPr>
            <w:r>
              <w:rPr>
                <w:rFonts w:ascii="Arial" w:cs="Arial" w:eastAsia="Arial" w:hAnsi="Arial"/>
                <w:sz w:val="16"/>
                <w:szCs w:val="16"/>
                <w:color w:val="auto"/>
              </w:rPr>
              <w:t>By:</w:t>
            </w:r>
          </w:p>
        </w:tc>
        <w:tc>
          <w:tcPr>
            <w:tcW w:w="5140" w:type="dxa"/>
            <w:vAlign w:val="bottom"/>
          </w:tcPr>
          <w:p>
            <w:pPr>
              <w:spacing w:after="0"/>
              <w:rPr>
                <w:sz w:val="20"/>
                <w:szCs w:val="20"/>
                <w:color w:val="auto"/>
              </w:rPr>
            </w:pPr>
            <w:r>
              <w:rPr>
                <w:rFonts w:ascii="Arial" w:cs="Arial" w:eastAsia="Arial" w:hAnsi="Arial"/>
                <w:sz w:val="16"/>
                <w:szCs w:val="16"/>
                <w:color w:val="auto"/>
              </w:rPr>
              <w:t>/s/ Christopher S. Guinta</w:t>
            </w:r>
          </w:p>
        </w:tc>
      </w:tr>
      <w:tr>
        <w:trPr>
          <w:trHeight w:val="183"/>
        </w:trPr>
        <w:tc>
          <w:tcPr>
            <w:tcW w:w="580" w:type="dxa"/>
            <w:vAlign w:val="bottom"/>
          </w:tcPr>
          <w:p>
            <w:pPr>
              <w:spacing w:after="0"/>
              <w:rPr>
                <w:sz w:val="15"/>
                <w:szCs w:val="15"/>
                <w:color w:val="auto"/>
              </w:rPr>
            </w:pPr>
          </w:p>
        </w:tc>
        <w:tc>
          <w:tcPr>
            <w:tcW w:w="2860" w:type="dxa"/>
            <w:vAlign w:val="bottom"/>
            <w:tcBorders>
              <w:top w:val="single" w:sz="8" w:color="auto"/>
            </w:tcBorders>
          </w:tcPr>
          <w:p>
            <w:pPr>
              <w:spacing w:after="0"/>
              <w:rPr>
                <w:sz w:val="15"/>
                <w:szCs w:val="15"/>
                <w:color w:val="auto"/>
              </w:rPr>
            </w:pPr>
          </w:p>
        </w:tc>
        <w:tc>
          <w:tcPr>
            <w:tcW w:w="2860" w:type="dxa"/>
            <w:vAlign w:val="bottom"/>
          </w:tcPr>
          <w:p>
            <w:pPr>
              <w:spacing w:after="0"/>
              <w:rPr>
                <w:sz w:val="15"/>
                <w:szCs w:val="15"/>
                <w:color w:val="auto"/>
              </w:rPr>
            </w:pPr>
          </w:p>
        </w:tc>
        <w:tc>
          <w:tcPr>
            <w:tcW w:w="514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Christopher S. Guinta</w:t>
            </w:r>
          </w:p>
        </w:tc>
      </w:tr>
      <w:tr>
        <w:trPr>
          <w:trHeight w:val="195"/>
        </w:trPr>
        <w:tc>
          <w:tcPr>
            <w:tcW w:w="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7"/>
        </w:trPr>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541"/>
        </w:trPr>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26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2"/>
    </w:lvl>
  </w:abstractNum>
  <w:abstractNum w:abstractNumId="8">
    <w:nsid w:val="6CEAF087"/>
    <w:multiLevelType w:val="hybridMultilevel"/>
    <w:lvl w:ilvl="0">
      <w:lvlJc w:val="left"/>
      <w:lvlText w:val="(%1)"/>
      <w:numFmt w:val="lowerLetter"/>
      <w:start w:val="3"/>
    </w:lvl>
  </w:abstractNum>
  <w:abstractNum w:abstractNumId="9">
    <w:nsid w:val="22221A70"/>
    <w:multiLevelType w:val="hybridMultilevel"/>
    <w:lvl w:ilvl="0">
      <w:lvlJc w:val="left"/>
      <w:lvlText w:val="(%1)"/>
      <w:numFmt w:val="lowerLetter"/>
      <w:start w:val="4"/>
    </w:lvl>
  </w:abstractNum>
  <w:abstractNum w:abstractNumId="10">
    <w:nsid w:val="4516DDE9"/>
    <w:multiLevelType w:val="hybridMultilevel"/>
    <w:lvl w:ilvl="0">
      <w:lvlJc w:val="left"/>
      <w:lvlText w:val="(%1)"/>
      <w:numFmt w:val="lowerLetter"/>
      <w:start w:val="5"/>
    </w:lvl>
  </w:abstractNum>
  <w:abstractNum w:abstractNumId="11">
    <w:nsid w:val="3006C83E"/>
    <w:multiLevelType w:val="hybridMultilevel"/>
    <w:lvl w:ilvl="0">
      <w:lvlJc w:val="left"/>
      <w:lvlText w:val="(%1)"/>
      <w:numFmt w:val="lowerLetter"/>
      <w:start w:val="6"/>
    </w:lvl>
  </w:abstractNum>
  <w:abstractNum w:abstractNumId="12">
    <w:nsid w:val="614FD4A1"/>
    <w:multiLevelType w:val="hybridMultilevel"/>
    <w:lvl w:ilvl="0">
      <w:lvlJc w:val="left"/>
      <w:lvlText w:val="(%1)"/>
      <w:numFmt w:val="lowerLetter"/>
      <w:start w:val="7"/>
    </w:lvl>
  </w:abstractNum>
  <w:abstractNum w:abstractNumId="13">
    <w:nsid w:val="419AC241"/>
    <w:multiLevelType w:val="hybridMultilevel"/>
    <w:lvl w:ilvl="0">
      <w:lvlJc w:val="left"/>
      <w:lvlText w:val="(%1)"/>
      <w:numFmt w:val="lowerLetter"/>
      <w:start w:val="8"/>
    </w:lvl>
  </w:abstractNum>
  <w:abstractNum w:abstractNumId="14">
    <w:nsid w:val="5577F8E1"/>
    <w:multiLevelType w:val="hybridMultilevel"/>
    <w:lvl w:ilvl="0">
      <w:lvlJc w:val="left"/>
      <w:lvlText w:val="%1."/>
      <w:numFmt w:val="decimal"/>
      <w:start w:val="3"/>
    </w:lvl>
  </w:abstractNum>
  <w:abstractNum w:abstractNumId="15">
    <w:nsid w:val="440BADFC"/>
    <w:multiLevelType w:val="hybridMultilevel"/>
    <w:lvl w:ilvl="0">
      <w:lvlJc w:val="left"/>
      <w:lvlText w:val="%1."/>
      <w:numFmt w:val="decimal"/>
      <w:start w:val="4"/>
    </w:lvl>
  </w:abstractNum>
  <w:abstractNum w:abstractNumId="16">
    <w:nsid w:val="5072367"/>
    <w:multiLevelType w:val="hybridMultilevel"/>
    <w:lvl w:ilvl="0">
      <w:lvlJc w:val="left"/>
      <w:lvlText w:val="%1."/>
      <w:numFmt w:val="decimal"/>
      <w:start w:val="5"/>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8"/>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Roman"/>
      <w:start w:val="4"/>
    </w:lvl>
  </w:abstractNum>
  <w:abstractNum w:abstractNumId="27">
    <w:nsid w:val="3855585C"/>
    <w:multiLevelType w:val="hybridMultilevel"/>
    <w:lvl w:ilvl="0">
      <w:lvlJc w:val="left"/>
      <w:lvlText w:val="(%1)"/>
      <w:numFmt w:val="decimal"/>
      <w:start w:val="2"/>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Roman"/>
      <w:start w:val="4"/>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89" Type="http://schemas.openxmlformats.org/officeDocument/2006/relationships/hyperlink" Target="http://www.sec.gov/Archives/edgar/data/1749723/000114036118042889/s002392x7_ex3-1.htm" TargetMode="External"/><Relationship Id="rId90" Type="http://schemas.openxmlformats.org/officeDocument/2006/relationships/hyperlink" Target="http://www.sec.gov/Archives/edgar/data/1749723/000114036118042889/s002392x7_ex3-2.htm" TargetMode="External"/><Relationship Id="rId91" Type="http://schemas.openxmlformats.org/officeDocument/2006/relationships/hyperlink" Target="http://www.sec.gov/Archives/edgar/data/1749723/000114036119002493/s002392x20_ex3-1.htm" TargetMode="External"/><Relationship Id="rId92" Type="http://schemas.openxmlformats.org/officeDocument/2006/relationships/hyperlink" Target="http://www.sec.gov/Archives/edgar/data/1749723/00011403611901623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2019-12-28T01:40:15Z</dcterms:created>
  <dcterms:modified xsi:type="dcterms:W3CDTF">2019-12-28T01:40:15Z</dcterms:modified>
</cp:coreProperties>
</file>