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(Rule 13d-102)</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FILED PURSUANT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New Fortress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644393100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the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40" w:right="9280" w:hanging="23"/>
        <w:spacing w:after="0" w:line="266" w:lineRule="auto"/>
        <w:tabs>
          <w:tab w:leader="none" w:pos="894"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Rule 13d-1(b) </w:t>
      </w: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13d-1(c)</w:t>
      </w:r>
      <w:r>
        <w:rPr>
          <w:rFonts w:ascii="Wingdings" w:cs="Wingdings" w:eastAsia="Wingdings" w:hAnsi="Wingdings"/>
          <w:sz w:val="18"/>
          <w:szCs w:val="18"/>
          <w:b w:val="1"/>
          <w:bCs w:val="1"/>
          <w:color w:val="auto"/>
        </w:rPr>
        <w:t xml:space="preserve"> o </w:t>
      </w:r>
      <w:r>
        <w:rPr>
          <w:rFonts w:ascii="Times New Roman" w:cs="Times New Roman" w:eastAsia="Times New Roman" w:hAnsi="Times New Roman"/>
          <w:sz w:val="18"/>
          <w:szCs w:val="18"/>
          <w:color w:val="auto"/>
        </w:rPr>
        <w:t>Rule 13d-1(d)</w:t>
      </w:r>
    </w:p>
    <w:p>
      <w:pPr>
        <w:spacing w:after="0" w:line="176"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644393100</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6823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82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60" w:right="6720" w:hanging="746"/>
        <w:spacing w:after="0" w:line="508" w:lineRule="auto"/>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William Blair Investment Management, LLC</w:t>
      </w:r>
    </w:p>
    <w:p>
      <w:pPr>
        <w:spacing w:after="0" w:line="1" w:lineRule="exact"/>
        <w:rPr>
          <w:rFonts w:ascii="Times New Roman" w:cs="Times New Roman" w:eastAsia="Times New Roman" w:hAnsi="Times New Roman"/>
          <w:sz w:val="18"/>
          <w:szCs w:val="18"/>
          <w:color w:val="auto"/>
        </w:rPr>
      </w:pPr>
    </w:p>
    <w:p>
      <w:pPr>
        <w:ind w:left="1260" w:right="5000" w:hanging="746"/>
        <w:spacing w:after="0" w:line="261" w:lineRule="auto"/>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jc w:val="both"/>
        <w:ind w:left="10520"/>
        <w:spacing w:after="0" w:line="229" w:lineRule="auto"/>
        <w:tabs>
          <w:tab w:leader="none" w:pos="10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Wingdings" w:cs="Wingdings" w:eastAsia="Wingdings" w:hAnsi="Wingdings"/>
          <w:sz w:val="18"/>
          <w:szCs w:val="18"/>
          <w:b w:val="1"/>
          <w:bCs w:val="1"/>
          <w:color w:val="auto"/>
        </w:rPr>
        <w:t>o</w:t>
      </w:r>
    </w:p>
    <w:p>
      <w:pPr>
        <w:spacing w:after="0" w:line="9" w:lineRule="exact"/>
        <w:rPr>
          <w:sz w:val="20"/>
          <w:szCs w:val="20"/>
          <w:color w:val="auto"/>
        </w:rPr>
      </w:pPr>
    </w:p>
    <w:p>
      <w:pPr>
        <w:jc w:val="both"/>
        <w:ind w:left="10520"/>
        <w:spacing w:after="0"/>
        <w:tabs>
          <w:tab w:leader="none" w:pos="109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Wingdings" w:cs="Wingdings" w:eastAsia="Wingdings" w:hAnsi="Wingdings"/>
          <w:sz w:val="18"/>
          <w:szCs w:val="18"/>
          <w:b w:val="1"/>
          <w:bCs w:val="1"/>
          <w:color w:val="auto"/>
        </w:rPr>
        <w:t>o</w:t>
      </w:r>
    </w:p>
    <w:p>
      <w:pPr>
        <w:spacing w:after="0" w:line="200" w:lineRule="exact"/>
        <w:rPr>
          <w:sz w:val="20"/>
          <w:szCs w:val="20"/>
          <w:color w:val="auto"/>
        </w:rPr>
      </w:pPr>
    </w:p>
    <w:p>
      <w:pPr>
        <w:spacing w:after="0" w:line="245" w:lineRule="exact"/>
        <w:rPr>
          <w:sz w:val="20"/>
          <w:szCs w:val="20"/>
          <w:color w:val="auto"/>
        </w:rPr>
      </w:pPr>
    </w:p>
    <w:p>
      <w:pPr>
        <w:ind w:left="1260" w:hanging="746"/>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260" w:right="6300" w:hanging="746"/>
        <w:spacing w:after="0" w:line="508"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1" w:lineRule="exact"/>
        <w:rPr>
          <w:rFonts w:ascii="Times New Roman" w:cs="Times New Roman" w:eastAsia="Times New Roman" w:hAnsi="Times New Roman"/>
          <w:sz w:val="18"/>
          <w:szCs w:val="18"/>
          <w:color w:val="auto"/>
        </w:rPr>
      </w:pPr>
    </w:p>
    <w:p>
      <w:pPr>
        <w:ind w:left="3520" w:hanging="758"/>
        <w:spacing w:after="0"/>
        <w:tabs>
          <w:tab w:leader="none" w:pos="35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5"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4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9,916,528</w:t>
            </w:r>
          </w:p>
        </w:tc>
        <w:tc>
          <w:tcPr>
            <w:tcW w:w="0" w:type="dxa"/>
            <w:vAlign w:val="bottom"/>
          </w:tcPr>
          <w:p>
            <w:pPr>
              <w:spacing w:after="0"/>
              <w:rPr>
                <w:sz w:val="1"/>
                <w:szCs w:val="1"/>
                <w:color w:val="auto"/>
              </w:rPr>
            </w:pPr>
          </w:p>
        </w:tc>
      </w:tr>
      <w:tr>
        <w:trPr>
          <w:trHeight w:val="178"/>
        </w:trPr>
        <w:tc>
          <w:tcPr>
            <w:tcW w:w="17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40" w:type="dxa"/>
            <w:vAlign w:val="bottom"/>
          </w:tcPr>
          <w:p>
            <w:pPr>
              <w:spacing w:after="0"/>
              <w:rPr>
                <w:sz w:val="18"/>
                <w:szCs w:val="18"/>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7"/>
              </w:rPr>
              <w:t>EACH</w:t>
            </w:r>
          </w:p>
        </w:tc>
        <w:tc>
          <w:tcPr>
            <w:tcW w:w="940" w:type="dxa"/>
            <w:vAlign w:val="bottom"/>
            <w:tcBorders>
              <w:bottom w:val="single" w:sz="8" w:color="auto"/>
            </w:tcBorders>
          </w:tcPr>
          <w:p>
            <w:pPr>
              <w:spacing w:after="0"/>
              <w:rPr>
                <w:sz w:val="2"/>
                <w:szCs w:val="2"/>
                <w:color w:val="auto"/>
              </w:rPr>
            </w:pPr>
          </w:p>
        </w:tc>
        <w:tc>
          <w:tcPr>
            <w:tcW w:w="8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7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WITH</w:t>
            </w:r>
          </w:p>
        </w:tc>
        <w:tc>
          <w:tcPr>
            <w:tcW w:w="940" w:type="dxa"/>
            <w:vAlign w:val="bottom"/>
          </w:tcPr>
          <w:p>
            <w:pPr>
              <w:spacing w:after="0"/>
              <w:rPr>
                <w:sz w:val="22"/>
                <w:szCs w:val="22"/>
                <w:color w:val="auto"/>
              </w:rPr>
            </w:pPr>
          </w:p>
        </w:tc>
        <w:tc>
          <w:tcPr>
            <w:tcW w:w="8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11,057,878</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520" w:right="5200" w:hanging="758"/>
        <w:spacing w:after="0" w:line="508" w:lineRule="auto"/>
        <w:tabs>
          <w:tab w:leader="none" w:pos="35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spacing w:after="0" w:line="1" w:lineRule="exact"/>
        <w:rPr>
          <w:rFonts w:ascii="Times New Roman" w:cs="Times New Roman" w:eastAsia="Times New Roman" w:hAnsi="Times New Roman"/>
          <w:sz w:val="18"/>
          <w:szCs w:val="18"/>
          <w:color w:val="auto"/>
        </w:rPr>
      </w:pPr>
    </w:p>
    <w:p>
      <w:pPr>
        <w:ind w:left="1260" w:right="3420" w:hanging="746"/>
        <w:spacing w:after="0" w:line="508" w:lineRule="auto"/>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11,057,878</w:t>
      </w:r>
    </w:p>
    <w:p>
      <w:pPr>
        <w:spacing w:after="0" w:line="1" w:lineRule="exact"/>
        <w:rPr>
          <w:sz w:val="20"/>
          <w:szCs w:val="20"/>
          <w:color w:val="auto"/>
        </w:rPr>
      </w:pPr>
    </w:p>
    <w:p>
      <w:pPr>
        <w:ind w:left="1260" w:right="3320" w:hanging="791"/>
        <w:spacing w:after="0" w:line="261" w:lineRule="auto"/>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jc w:val="right"/>
        <w:ind w:right="120"/>
        <w:spacing w:after="0" w:line="238" w:lineRule="auto"/>
        <w:rPr>
          <w:sz w:val="20"/>
          <w:szCs w:val="20"/>
          <w:color w:val="auto"/>
        </w:rPr>
      </w:pPr>
      <w:r>
        <w:rPr>
          <w:rFonts w:ascii="Wingdings" w:cs="Wingdings" w:eastAsia="Wingdings" w:hAnsi="Wingdings"/>
          <w:sz w:val="18"/>
          <w:szCs w:val="18"/>
          <w:b w:val="1"/>
          <w:bCs w:val="1"/>
          <w:color w:val="auto"/>
        </w:rPr>
        <w:t>o</w:t>
      </w:r>
    </w:p>
    <w:p>
      <w:pPr>
        <w:spacing w:after="0" w:line="216" w:lineRule="exact"/>
        <w:rPr>
          <w:sz w:val="20"/>
          <w:szCs w:val="20"/>
          <w:color w:val="auto"/>
        </w:rPr>
      </w:pPr>
    </w:p>
    <w:p>
      <w:pPr>
        <w:ind w:left="1260" w:right="4920" w:hanging="787"/>
        <w:spacing w:after="0" w:line="508"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5.4%</w:t>
      </w:r>
    </w:p>
    <w:p>
      <w:pPr>
        <w:spacing w:after="0" w:line="1" w:lineRule="exact"/>
        <w:rPr>
          <w:rFonts w:ascii="Times New Roman" w:cs="Times New Roman" w:eastAsia="Times New Roman" w:hAnsi="Times New Roman"/>
          <w:sz w:val="18"/>
          <w:szCs w:val="18"/>
          <w:color w:val="auto"/>
        </w:rPr>
      </w:pPr>
    </w:p>
    <w:p>
      <w:pPr>
        <w:ind w:left="1260" w:right="5640" w:hanging="791"/>
        <w:spacing w:after="0" w:line="532"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1640" w:type="dxa"/>
            <w:vAlign w:val="bottom"/>
            <w:tcBorders>
              <w:top w:val="single" w:sz="8" w:color="auto"/>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644393100</w:t>
            </w:r>
          </w:p>
        </w:tc>
        <w:tc>
          <w:tcPr>
            <w:tcW w:w="580" w:type="dxa"/>
            <w:vAlign w:val="bottom"/>
            <w:tcBorders>
              <w:top w:val="single" w:sz="8" w:color="auto"/>
              <w:bottom w:val="single" w:sz="8" w:color="auto"/>
            </w:tcBorders>
          </w:tcPr>
          <w:p>
            <w:pPr>
              <w:spacing w:after="0"/>
              <w:rPr>
                <w:sz w:val="19"/>
                <w:szCs w:val="19"/>
                <w:color w:val="auto"/>
              </w:rPr>
            </w:pPr>
          </w:p>
        </w:tc>
        <w:tc>
          <w:tcPr>
            <w:tcW w:w="354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3</w:t>
            </w:r>
          </w:p>
        </w:tc>
      </w:tr>
      <w:tr>
        <w:trPr>
          <w:trHeight w:val="623"/>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234"/>
        </w:trPr>
        <w:tc>
          <w:tcPr>
            <w:tcW w:w="1000" w:type="dxa"/>
            <w:vAlign w:val="bottom"/>
          </w:tcPr>
          <w:p>
            <w:pPr>
              <w:spacing w:after="0"/>
              <w:rPr>
                <w:sz w:val="20"/>
                <w:szCs w:val="20"/>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New Fortress Energy Inc.</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234"/>
        </w:trPr>
        <w:tc>
          <w:tcPr>
            <w:tcW w:w="1000" w:type="dxa"/>
            <w:vAlign w:val="bottom"/>
          </w:tcPr>
          <w:p>
            <w:pPr>
              <w:spacing w:after="0"/>
              <w:rPr>
                <w:sz w:val="20"/>
                <w:szCs w:val="20"/>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111 W 19th Street, 8th Floor, New York, NY 10011</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234"/>
        </w:trPr>
        <w:tc>
          <w:tcPr>
            <w:tcW w:w="1000" w:type="dxa"/>
            <w:vAlign w:val="bottom"/>
          </w:tcPr>
          <w:p>
            <w:pPr>
              <w:spacing w:after="0"/>
              <w:rPr>
                <w:sz w:val="20"/>
                <w:szCs w:val="20"/>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William Blair Investment Management, LLC</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234"/>
        </w:trPr>
        <w:tc>
          <w:tcPr>
            <w:tcW w:w="1000" w:type="dxa"/>
            <w:vAlign w:val="bottom"/>
          </w:tcPr>
          <w:p>
            <w:pPr>
              <w:spacing w:after="0"/>
              <w:rPr>
                <w:sz w:val="20"/>
                <w:szCs w:val="20"/>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150 North Riverside Plaza, Chicago, IL 60606</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Citizenship:</w:t>
            </w:r>
          </w:p>
        </w:tc>
        <w:tc>
          <w:tcPr>
            <w:tcW w:w="35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Delaware</w:t>
            </w:r>
          </w:p>
        </w:tc>
        <w:tc>
          <w:tcPr>
            <w:tcW w:w="354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234"/>
        </w:trPr>
        <w:tc>
          <w:tcPr>
            <w:tcW w:w="1000" w:type="dxa"/>
            <w:vAlign w:val="bottom"/>
          </w:tcPr>
          <w:p>
            <w:pPr>
              <w:spacing w:after="0"/>
              <w:rPr>
                <w:sz w:val="20"/>
                <w:szCs w:val="20"/>
                <w:color w:val="auto"/>
              </w:rPr>
            </w:pP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Common Stock</w:t>
            </w:r>
          </w:p>
        </w:tc>
      </w:tr>
      <w:tr>
        <w:trPr>
          <w:trHeight w:val="41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234"/>
        </w:trPr>
        <w:tc>
          <w:tcPr>
            <w:tcW w:w="100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644393100</w:t>
            </w:r>
          </w:p>
        </w:tc>
        <w:tc>
          <w:tcPr>
            <w:tcW w:w="354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102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tc>
      </w:tr>
      <w:tr>
        <w:trPr>
          <w:trHeight w:val="441"/>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284"/>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283"/>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283"/>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284"/>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 investment adviser in accordance with § 240.13d-1(b)(1)(ii)(E);</w:t>
            </w:r>
          </w:p>
        </w:tc>
      </w:tr>
      <w:tr>
        <w:trPr>
          <w:trHeight w:val="283"/>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w:t>
            </w:r>
          </w:p>
        </w:tc>
        <w:tc>
          <w:tcPr>
            <w:tcW w:w="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240.13d-1(b)(1)(ii)(F);</w:t>
            </w:r>
          </w:p>
        </w:tc>
      </w:tr>
      <w:tr>
        <w:trPr>
          <w:trHeight w:val="283"/>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w:t>
            </w:r>
          </w:p>
        </w:tc>
        <w:tc>
          <w:tcPr>
            <w:tcW w:w="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284"/>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w:t>
            </w:r>
          </w:p>
        </w:tc>
        <w:tc>
          <w:tcPr>
            <w:tcW w:w="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 1813);</w:t>
            </w:r>
          </w:p>
        </w:tc>
      </w:tr>
      <w:tr>
        <w:trPr>
          <w:trHeight w:val="257"/>
        </w:trPr>
        <w:tc>
          <w:tcPr>
            <w:tcW w:w="1000" w:type="dxa"/>
            <w:vAlign w:val="bottom"/>
          </w:tcPr>
          <w:p>
            <w:pPr>
              <w:spacing w:after="0"/>
              <w:rPr>
                <w:sz w:val="22"/>
                <w:szCs w:val="22"/>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w:t>
            </w:r>
          </w:p>
        </w:tc>
      </w:tr>
      <w:tr>
        <w:trPr>
          <w:trHeight w:val="234"/>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Company Act (15 U.S.C. 80a-3);</w:t>
            </w:r>
          </w:p>
        </w:tc>
      </w:tr>
      <w:tr>
        <w:trPr>
          <w:trHeight w:val="292"/>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w:t>
            </w:r>
          </w:p>
        </w:tc>
        <w:tc>
          <w:tcPr>
            <w:tcW w:w="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 non-U.S. institution in accordance with § 240.13d-1(b)(1)(ii)(J);</w:t>
            </w:r>
          </w:p>
        </w:tc>
      </w:tr>
      <w:tr>
        <w:trPr>
          <w:trHeight w:val="303"/>
        </w:trPr>
        <w:tc>
          <w:tcPr>
            <w:tcW w:w="1000" w:type="dxa"/>
            <w:vAlign w:val="bottom"/>
          </w:tcPr>
          <w:p>
            <w:pPr>
              <w:spacing w:after="0"/>
              <w:rPr>
                <w:sz w:val="24"/>
                <w:szCs w:val="24"/>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w:t>
            </w:r>
          </w:p>
        </w:tc>
        <w:tc>
          <w:tcPr>
            <w:tcW w:w="5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Group, in accordance with § 240.13d-1(b)(1)(ii)(K).</w:t>
            </w:r>
          </w:p>
        </w:tc>
      </w:tr>
    </w:tbl>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29"/>
        </w:trPr>
        <w:tc>
          <w:tcPr>
            <w:tcW w:w="1780" w:type="dxa"/>
            <w:vAlign w:val="bottom"/>
            <w:tcBorders>
              <w:top w:val="single" w:sz="8" w:color="auto"/>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644393100</w:t>
            </w:r>
          </w:p>
        </w:tc>
        <w:tc>
          <w:tcPr>
            <w:tcW w:w="3980" w:type="dxa"/>
            <w:vAlign w:val="bottom"/>
            <w:tcBorders>
              <w:top w:val="single" w:sz="8" w:color="auto"/>
              <w:bottom w:val="single" w:sz="8" w:color="auto"/>
              <w:right w:val="single" w:sz="8" w:color="auto"/>
            </w:tcBorders>
          </w:tcPr>
          <w:p>
            <w:pPr>
              <w:spacing w:after="0"/>
              <w:rPr>
                <w:sz w:val="19"/>
                <w:szCs w:val="19"/>
                <w:color w:val="auto"/>
              </w:rPr>
            </w:pP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4</w:t>
            </w:r>
          </w:p>
        </w:tc>
      </w:tr>
      <w:tr>
        <w:trPr>
          <w:trHeight w:val="623"/>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3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216"/>
        </w:trPr>
        <w:tc>
          <w:tcPr>
            <w:tcW w:w="940" w:type="dxa"/>
            <w:vAlign w:val="bottom"/>
          </w:tcPr>
          <w:p>
            <w:pPr>
              <w:spacing w:after="0"/>
              <w:rPr>
                <w:sz w:val="18"/>
                <w:szCs w:val="18"/>
                <w:color w:val="auto"/>
              </w:rPr>
            </w:pPr>
          </w:p>
        </w:tc>
        <w:tc>
          <w:tcPr>
            <w:tcW w:w="103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w:t>
            </w:r>
          </w:p>
        </w:tc>
      </w:tr>
      <w:tr>
        <w:trPr>
          <w:trHeight w:val="234"/>
        </w:trPr>
        <w:tc>
          <w:tcPr>
            <w:tcW w:w="94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w:t>
            </w:r>
          </w:p>
        </w:tc>
        <w:tc>
          <w:tcPr>
            <w:tcW w:w="39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w:t>
            </w:r>
          </w:p>
        </w:tc>
        <w:tc>
          <w:tcPr>
            <w:tcW w:w="9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 beneficially owned: 11,057,878</w:t>
            </w:r>
          </w:p>
        </w:tc>
      </w:tr>
      <w:tr>
        <w:trPr>
          <w:trHeight w:val="432"/>
        </w:trPr>
        <w:tc>
          <w:tcPr>
            <w:tcW w:w="94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9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 of class: 5.4%</w:t>
            </w:r>
          </w:p>
        </w:tc>
      </w:tr>
      <w:tr>
        <w:trPr>
          <w:trHeight w:val="432"/>
        </w:trPr>
        <w:tc>
          <w:tcPr>
            <w:tcW w:w="940" w:type="dxa"/>
            <w:vAlign w:val="bottom"/>
          </w:tcPr>
          <w:p>
            <w:pPr>
              <w:spacing w:after="0"/>
              <w:rPr>
                <w:sz w:val="24"/>
                <w:szCs w:val="24"/>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w:t>
            </w:r>
          </w:p>
        </w:tc>
        <w:tc>
          <w:tcPr>
            <w:tcW w:w="9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 of shares as to which the person has:</w:t>
            </w:r>
          </w:p>
        </w:tc>
      </w:tr>
      <w:tr>
        <w:trPr>
          <w:trHeight w:val="432"/>
        </w:trPr>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   Sole power to vote or to direct the vote: 9,916,528</w:t>
            </w:r>
          </w:p>
        </w:tc>
      </w:tr>
      <w:tr>
        <w:trPr>
          <w:trHeight w:val="432"/>
        </w:trPr>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(ii)   Shared power to vote or to direct the vote: 0</w:t>
            </w:r>
          </w:p>
        </w:tc>
      </w:tr>
      <w:tr>
        <w:trPr>
          <w:trHeight w:val="432"/>
        </w:trPr>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(iii)  Sole power to dispose or to direct the disposition of: 11,057,878</w:t>
            </w:r>
          </w:p>
        </w:tc>
      </w:tr>
      <w:tr>
        <w:trPr>
          <w:trHeight w:val="432"/>
        </w:trPr>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 0</w:t>
            </w: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3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180"/>
        </w:trPr>
        <w:tc>
          <w:tcPr>
            <w:tcW w:w="940" w:type="dxa"/>
            <w:vAlign w:val="bottom"/>
          </w:tcPr>
          <w:p>
            <w:pPr>
              <w:spacing w:after="0"/>
              <w:rPr>
                <w:sz w:val="15"/>
                <w:szCs w:val="15"/>
                <w:color w:val="auto"/>
              </w:rPr>
            </w:pPr>
          </w:p>
        </w:tc>
        <w:tc>
          <w:tcPr>
            <w:tcW w:w="10300" w:type="dxa"/>
            <w:vAlign w:val="bottom"/>
            <w:gridSpan w:val="3"/>
          </w:tcPr>
          <w:p>
            <w:pPr>
              <w:ind w:left="300"/>
              <w:spacing w:after="0" w:line="181" w:lineRule="exact"/>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303"/>
        </w:trPr>
        <w:tc>
          <w:tcPr>
            <w:tcW w:w="940" w:type="dxa"/>
            <w:vAlign w:val="bottom"/>
          </w:tcPr>
          <w:p>
            <w:pPr>
              <w:spacing w:after="0"/>
              <w:rPr>
                <w:sz w:val="24"/>
                <w:szCs w:val="24"/>
                <w:color w:val="auto"/>
              </w:rPr>
            </w:pPr>
          </w:p>
        </w:tc>
        <w:tc>
          <w:tcPr>
            <w:tcW w:w="10300" w:type="dxa"/>
            <w:vAlign w:val="bottom"/>
            <w:gridSpan w:val="3"/>
          </w:tcPr>
          <w:p>
            <w:pPr>
              <w:ind w:left="300"/>
              <w:spacing w:after="0" w:line="207" w:lineRule="exact"/>
              <w:rPr>
                <w:sz w:val="20"/>
                <w:szCs w:val="20"/>
                <w:color w:val="auto"/>
              </w:rPr>
            </w:pPr>
            <w:r>
              <w:rPr>
                <w:rFonts w:ascii="Times New Roman" w:cs="Times New Roman" w:eastAsia="Times New Roman" w:hAnsi="Times New Roman"/>
                <w:sz w:val="18"/>
                <w:szCs w:val="18"/>
                <w:color w:val="auto"/>
              </w:rPr>
              <w:t xml:space="preserve">more than 5 percent of the class of securities, check the following. </w:t>
            </w:r>
            <w:r>
              <w:rPr>
                <w:rFonts w:ascii="MS PGothic" w:cs="MS PGothic" w:eastAsia="MS PGothic" w:hAnsi="MS PGothic"/>
                <w:sz w:val="18"/>
                <w:szCs w:val="18"/>
                <w:color w:val="auto"/>
              </w:rPr>
              <w:t>☐</w:t>
            </w:r>
          </w:p>
        </w:tc>
      </w:tr>
      <w:tr>
        <w:trPr>
          <w:trHeight w:val="381"/>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34"/>
        </w:trPr>
        <w:tc>
          <w:tcPr>
            <w:tcW w:w="94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39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0"/>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20"/>
        </w:trPr>
        <w:tc>
          <w:tcPr>
            <w:tcW w:w="940" w:type="dxa"/>
            <w:vAlign w:val="bottom"/>
          </w:tcPr>
          <w:p>
            <w:pPr>
              <w:spacing w:after="0"/>
              <w:rPr>
                <w:sz w:val="19"/>
                <w:szCs w:val="19"/>
                <w:color w:val="auto"/>
              </w:rPr>
            </w:pPr>
          </w:p>
        </w:tc>
        <w:tc>
          <w:tcPr>
            <w:tcW w:w="103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234"/>
        </w:trPr>
        <w:tc>
          <w:tcPr>
            <w:tcW w:w="94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39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34"/>
        </w:trPr>
        <w:tc>
          <w:tcPr>
            <w:tcW w:w="94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39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3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34"/>
        </w:trPr>
        <w:tc>
          <w:tcPr>
            <w:tcW w:w="940" w:type="dxa"/>
            <w:vAlign w:val="bottom"/>
          </w:tcPr>
          <w:p>
            <w:pPr>
              <w:spacing w:after="0"/>
              <w:rPr>
                <w:sz w:val="20"/>
                <w:szCs w:val="20"/>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3980" w:type="dxa"/>
            <w:vAlign w:val="bottom"/>
          </w:tcPr>
          <w:p>
            <w:pPr>
              <w:spacing w:after="0"/>
              <w:rPr>
                <w:sz w:val="20"/>
                <w:szCs w:val="20"/>
                <w:color w:val="auto"/>
              </w:rPr>
            </w:pPr>
          </w:p>
        </w:tc>
        <w:tc>
          <w:tcPr>
            <w:tcW w:w="5480" w:type="dxa"/>
            <w:vAlign w:val="bottom"/>
          </w:tcPr>
          <w:p>
            <w:pPr>
              <w:spacing w:after="0"/>
              <w:rPr>
                <w:sz w:val="20"/>
                <w:szCs w:val="20"/>
                <w:color w:val="auto"/>
              </w:rPr>
            </w:pPr>
          </w:p>
        </w:tc>
      </w:tr>
      <w:tr>
        <w:trPr>
          <w:trHeight w:val="414"/>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3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Certifications:</w:t>
            </w:r>
          </w:p>
        </w:tc>
      </w:tr>
      <w:tr>
        <w:trPr>
          <w:trHeight w:val="234"/>
        </w:trPr>
        <w:tc>
          <w:tcPr>
            <w:tcW w:w="940" w:type="dxa"/>
            <w:vAlign w:val="bottom"/>
          </w:tcPr>
          <w:p>
            <w:pPr>
              <w:spacing w:after="0"/>
              <w:rPr>
                <w:sz w:val="20"/>
                <w:szCs w:val="20"/>
                <w:color w:val="auto"/>
              </w:rPr>
            </w:pPr>
          </w:p>
        </w:tc>
        <w:tc>
          <w:tcPr>
            <w:tcW w:w="103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bl>
    <w:p>
      <w:pPr>
        <w:ind w:left="1240" w:right="360"/>
        <w:spacing w:after="0" w:line="255" w:lineRule="auto"/>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57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644393100</w:t>
            </w:r>
          </w:p>
        </w:tc>
        <w:tc>
          <w:tcPr>
            <w:tcW w:w="5480" w:type="dxa"/>
            <w:vAlign w:val="bottom"/>
            <w:tcBorders>
              <w:top w:val="single" w:sz="8" w:color="auto"/>
              <w:bottom w:val="single" w:sz="8" w:color="auto"/>
              <w:right w:val="single" w:sz="8" w:color="auto"/>
            </w:tcBorders>
          </w:tcPr>
          <w:p>
            <w:pPr>
              <w:ind w:left="4880"/>
              <w:spacing w:after="0"/>
              <w:rPr>
                <w:sz w:val="20"/>
                <w:szCs w:val="20"/>
                <w:color w:val="auto"/>
              </w:rPr>
            </w:pPr>
            <w:r>
              <w:rPr>
                <w:rFonts w:ascii="Times New Roman" w:cs="Times New Roman" w:eastAsia="Times New Roman" w:hAnsi="Times New Roman"/>
                <w:sz w:val="18"/>
                <w:szCs w:val="18"/>
                <w:color w:val="auto"/>
              </w:rPr>
              <w:t>Page 5</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14, 2024</w:t>
            </w:r>
          </w:p>
        </w:tc>
      </w:tr>
      <w:tr>
        <w:trPr>
          <w:trHeight w:val="42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 Stephanie Braming</w:t>
            </w:r>
          </w:p>
        </w:tc>
      </w:tr>
      <w:tr>
        <w:trPr>
          <w:trHeight w:val="40"/>
        </w:trPr>
        <w:tc>
          <w:tcPr>
            <w:tcW w:w="66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Stephanie Braming</w:t>
            </w:r>
          </w:p>
        </w:tc>
      </w:tr>
      <w:tr>
        <w:trPr>
          <w:trHeight w:val="40"/>
        </w:trPr>
        <w:tc>
          <w:tcPr>
            <w:tcW w:w="66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r>
        <w:trPr>
          <w:trHeight w:val="42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Partner, Global Head of Investment Management</w:t>
            </w:r>
          </w:p>
        </w:tc>
      </w:tr>
      <w:tr>
        <w:trPr>
          <w:trHeight w:val="40"/>
        </w:trPr>
        <w:tc>
          <w:tcPr>
            <w:tcW w:w="660" w:type="dxa"/>
            <w:vAlign w:val="bottom"/>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power of attorney for this purpose which is already on file with the Commission may be incorporated by reference. The name and any title of each person who signs the statement shall be typed or printed beneath his signature.</w:t>
      </w:r>
    </w:p>
    <w:p>
      <w:pPr>
        <w:spacing w:after="0" w:line="17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3"/>
    </w:lvl>
    <w:lvl w:ilvl="1">
      <w:lvlJc w:val="left"/>
      <w:lvlText w:val="%2."/>
      <w:numFmt w:val="decimal"/>
      <w:start w:val="5"/>
    </w:lvl>
  </w:abstractNum>
  <w:abstractNum w:abstractNumId="3">
    <w:nsid w:val="3D1B58BA"/>
    <w:multiLevelType w:val="hybridMultilevel"/>
    <w:lvl w:ilvl="0">
      <w:lvlJc w:val="left"/>
      <w:lvlText w:val="%1"/>
      <w:numFmt w:val="decimal"/>
      <w:start w:val="1"/>
    </w:lvl>
    <w:lvl w:ilvl="1">
      <w:lvlJc w:val="left"/>
      <w:lvlText w:val="%2."/>
      <w:numFmt w:val="decimal"/>
      <w:start w:val="8"/>
    </w:lvl>
  </w:abstractNum>
  <w:abstractNum w:abstractNumId="4">
    <w:nsid w:val="507ED7AB"/>
    <w:multiLevelType w:val="hybridMultilevel"/>
    <w:lvl w:ilvl="0">
      <w:lvlJc w:val="left"/>
      <w:lvlText w:val="%1."/>
      <w:numFmt w:val="decimal"/>
      <w:start w:val="9"/>
    </w:lvl>
    <w:lvl w:ilvl="1">
      <w:lvlJc w:val="left"/>
      <w:lvlText w:val="%2"/>
      <w:numFmt w:val="decimal"/>
      <w:start w:val="1"/>
    </w:lvl>
  </w:abstractNum>
  <w:abstractNum w:abstractNumId="5">
    <w:nsid w:val="2EB141F2"/>
    <w:multiLevelType w:val="hybridMultilevel"/>
    <w:lvl w:ilvl="0">
      <w:lvlJc w:val="left"/>
      <w:lvlText w:val="%1."/>
      <w:numFmt w:val="decimal"/>
      <w:start w:val="10"/>
    </w:lvl>
  </w:abstractNum>
  <w:abstractNum w:abstractNumId="6">
    <w:nsid w:val="41B71EF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2024-11-14T10:34:33Z</dcterms:created>
  <dcterms:modified xsi:type="dcterms:W3CDTF">2024-11-14T10:34:33Z</dcterms:modified>
</cp:coreProperties>
</file>