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17"/>
          <w:szCs w:val="17"/>
          <w:b w:val="1"/>
          <w:bCs w:val="1"/>
          <w:color w:val="auto"/>
        </w:rPr>
        <w:t>UNITED STATES</w:t>
      </w:r>
    </w:p>
    <w:p>
      <w:pPr>
        <w:spacing w:after="0" w:line="8" w:lineRule="exact"/>
        <w:rPr>
          <w:sz w:val="24"/>
          <w:szCs w:val="24"/>
          <w:color w:val="auto"/>
        </w:rPr>
      </w:pPr>
    </w:p>
    <w:p>
      <w:pPr>
        <w:jc w:val="center"/>
        <w:ind w:right="-107"/>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07"/>
        <w:spacing w:after="0"/>
        <w:rPr>
          <w:sz w:val="20"/>
          <w:szCs w:val="20"/>
          <w:color w:val="auto"/>
        </w:rPr>
      </w:pPr>
      <w:r>
        <w:rPr>
          <w:rFonts w:ascii="Arial" w:cs="Arial" w:eastAsia="Arial" w:hAnsi="Arial"/>
          <w:sz w:val="14"/>
          <w:szCs w:val="14"/>
          <w:b w:val="1"/>
          <w:bCs w:val="1"/>
          <w:color w:val="auto"/>
        </w:rPr>
        <w:t>Washington, D.C. 20549</w:t>
      </w: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1"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CURRENT REPORT</w:t>
      </w:r>
    </w:p>
    <w:p>
      <w:pPr>
        <w:jc w:val="center"/>
        <w:ind w:right="-107"/>
        <w:spacing w:after="0"/>
        <w:rPr>
          <w:sz w:val="20"/>
          <w:szCs w:val="20"/>
          <w:color w:val="auto"/>
        </w:rPr>
      </w:pPr>
      <w:r>
        <w:rPr>
          <w:rFonts w:ascii="Arial" w:cs="Arial" w:eastAsia="Arial" w:hAnsi="Arial"/>
          <w:sz w:val="12"/>
          <w:szCs w:val="12"/>
          <w:b w:val="1"/>
          <w:bCs w:val="1"/>
          <w:color w:val="auto"/>
        </w:rPr>
        <w:t>PURSUANT TO SECTION 13 OR 15(D)</w:t>
      </w:r>
    </w:p>
    <w:p>
      <w:pPr>
        <w:spacing w:after="0" w:line="5"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46" w:lineRule="exact"/>
        <w:rPr>
          <w:sz w:val="24"/>
          <w:szCs w:val="24"/>
          <w:color w:val="auto"/>
        </w:rPr>
      </w:pPr>
    </w:p>
    <w:p>
      <w:pPr>
        <w:jc w:val="center"/>
        <w:ind w:right="-107"/>
        <w:spacing w:after="0"/>
        <w:rPr>
          <w:sz w:val="20"/>
          <w:szCs w:val="20"/>
          <w:color w:val="auto"/>
        </w:rPr>
      </w:pPr>
      <w:r>
        <w:rPr>
          <w:rFonts w:ascii="Arial" w:cs="Arial" w:eastAsia="Arial" w:hAnsi="Arial"/>
          <w:sz w:val="11"/>
          <w:szCs w:val="11"/>
          <w:b w:val="1"/>
          <w:bCs w:val="1"/>
          <w:color w:val="auto"/>
        </w:rPr>
        <w:t>Date of Report (Date of earliest event reported): October 16, 2023</w:t>
      </w:r>
    </w:p>
    <w:p>
      <w:pPr>
        <w:spacing w:after="0" w:line="156" w:lineRule="exact"/>
        <w:rPr>
          <w:sz w:val="24"/>
          <w:szCs w:val="24"/>
          <w:color w:val="auto"/>
        </w:rPr>
      </w:pPr>
    </w:p>
    <w:p>
      <w:pPr>
        <w:jc w:val="center"/>
        <w:ind w:right="-107"/>
        <w:spacing w:after="0"/>
        <w:rPr>
          <w:sz w:val="20"/>
          <w:szCs w:val="20"/>
          <w:color w:val="auto"/>
        </w:rPr>
      </w:pPr>
      <w:r>
        <w:rPr>
          <w:rFonts w:ascii="Arial" w:cs="Arial" w:eastAsia="Arial" w:hAnsi="Arial"/>
          <w:sz w:val="29"/>
          <w:szCs w:val="29"/>
          <w:b w:val="1"/>
          <w:bCs w:val="1"/>
          <w:color w:val="auto"/>
        </w:rPr>
        <w:t>New Fortress Energy Inc.</w:t>
      </w:r>
    </w:p>
    <w:p>
      <w:pPr>
        <w:spacing w:after="0" w:line="28"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08"/>
          </w:cols>
          <w:pgMar w:left="292" w:top="737" w:right="399" w:bottom="1440" w:gutter="0" w:footer="0" w:header="0"/>
        </w:sectPr>
      </w:pPr>
    </w:p>
    <w:p>
      <w:pPr>
        <w:spacing w:after="0" w:line="181" w:lineRule="exact"/>
        <w:rPr>
          <w:sz w:val="24"/>
          <w:szCs w:val="24"/>
          <w:color w:val="auto"/>
        </w:rPr>
      </w:pPr>
    </w:p>
    <w:p>
      <w:pPr>
        <w:ind w:left="182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300"/>
        <w:spacing w:after="0"/>
        <w:rPr>
          <w:sz w:val="20"/>
          <w:szCs w:val="20"/>
          <w:color w:val="auto"/>
        </w:rPr>
      </w:pPr>
      <w:r>
        <w:rPr>
          <w:rFonts w:ascii="Arial" w:cs="Arial" w:eastAsia="Arial" w:hAnsi="Arial"/>
          <w:sz w:val="10"/>
          <w:szCs w:val="10"/>
          <w:b w:val="1"/>
          <w:bCs w:val="1"/>
          <w:color w:val="auto"/>
        </w:rPr>
        <w:t>001-38790</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83-1482060</w:t>
      </w:r>
    </w:p>
    <w:p>
      <w:pPr>
        <w:spacing w:after="0" w:line="56" w:lineRule="exact"/>
        <w:rPr>
          <w:sz w:val="24"/>
          <w:szCs w:val="24"/>
          <w:color w:val="auto"/>
        </w:rPr>
      </w:pPr>
    </w:p>
    <w:p>
      <w:pPr>
        <w:sectPr>
          <w:pgSz w:w="11900" w:h="16838" w:orient="portrait"/>
          <w:cols w:equalWidth="0" w:num="3">
            <w:col w:w="4788" w:space="720"/>
            <w:col w:w="2820" w:space="720"/>
            <w:col w:w="2160"/>
          </w:cols>
          <w:pgMar w:left="292" w:top="737" w:right="399" w:bottom="1440" w:gutter="0" w:footer="0" w:header="0"/>
          <w:type w:val="continuous"/>
        </w:sectPr>
      </w:pPr>
    </w:p>
    <w:p>
      <w:pPr>
        <w:ind w:left="1208"/>
        <w:spacing w:after="0"/>
        <w:rPr>
          <w:sz w:val="20"/>
          <w:szCs w:val="20"/>
          <w:color w:val="auto"/>
        </w:rPr>
      </w:pPr>
      <w:r>
        <w:rPr>
          <w:rFonts w:ascii="Arial" w:cs="Arial" w:eastAsia="Arial" w:hAnsi="Arial"/>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(IRS Employer Identification No.)</w:t>
      </w:r>
    </w:p>
    <w:p>
      <w:pPr>
        <w:spacing w:after="0" w:line="200" w:lineRule="exact"/>
        <w:rPr>
          <w:sz w:val="24"/>
          <w:szCs w:val="24"/>
          <w:color w:val="auto"/>
        </w:rPr>
      </w:pPr>
    </w:p>
    <w:p>
      <w:pPr>
        <w:sectPr>
          <w:pgSz w:w="11900" w:h="16838" w:orient="portrait"/>
          <w:cols w:equalWidth="0" w:num="3">
            <w:col w:w="4508" w:space="720"/>
            <w:col w:w="2740" w:space="720"/>
            <w:col w:w="2520"/>
          </w:cols>
          <w:pgMar w:left="292" w:top="737" w:right="399" w:bottom="1440" w:gutter="0" w:footer="0" w:header="0"/>
          <w:type w:val="continuous"/>
        </w:sectPr>
      </w:pPr>
    </w:p>
    <w:p>
      <w:pPr>
        <w:spacing w:after="0" w:line="95" w:lineRule="exact"/>
        <w:rPr>
          <w:sz w:val="24"/>
          <w:szCs w:val="24"/>
          <w:color w:val="auto"/>
        </w:rPr>
      </w:pPr>
    </w:p>
    <w:p>
      <w:pPr>
        <w:jc w:val="center"/>
        <w:ind w:right="1192"/>
        <w:spacing w:after="0"/>
        <w:rPr>
          <w:sz w:val="20"/>
          <w:szCs w:val="20"/>
          <w:color w:val="auto"/>
        </w:rPr>
      </w:pPr>
      <w:r>
        <w:rPr>
          <w:rFonts w:ascii="Arial" w:cs="Arial" w:eastAsia="Arial" w:hAnsi="Arial"/>
          <w:sz w:val="10"/>
          <w:szCs w:val="10"/>
          <w:b w:val="1"/>
          <w:bCs w:val="1"/>
          <w:color w:val="auto"/>
        </w:rPr>
        <w:t>111 W. 19th Street, 8th Floor</w:t>
      </w:r>
    </w:p>
    <w:p>
      <w:pPr>
        <w:spacing w:after="0" w:line="34" w:lineRule="exact"/>
        <w:rPr>
          <w:sz w:val="24"/>
          <w:szCs w:val="24"/>
          <w:color w:val="auto"/>
        </w:rPr>
      </w:pPr>
    </w:p>
    <w:p>
      <w:pPr>
        <w:jc w:val="center"/>
        <w:ind w:right="1192"/>
        <w:spacing w:after="0"/>
        <w:rPr>
          <w:sz w:val="20"/>
          <w:szCs w:val="20"/>
          <w:color w:val="auto"/>
        </w:rPr>
      </w:pPr>
      <w:r>
        <w:rPr>
          <w:rFonts w:ascii="Arial" w:cs="Arial" w:eastAsia="Arial" w:hAnsi="Arial"/>
          <w:sz w:val="12"/>
          <w:szCs w:val="12"/>
          <w:b w:val="1"/>
          <w:bCs w:val="1"/>
          <w:color w:val="auto"/>
        </w:rPr>
        <w:t>New York, NY</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10011</w:t>
      </w:r>
    </w:p>
    <w:p>
      <w:pPr>
        <w:spacing w:after="0" w:line="59" w:lineRule="exact"/>
        <w:rPr>
          <w:sz w:val="24"/>
          <w:szCs w:val="24"/>
          <w:color w:val="auto"/>
        </w:rPr>
      </w:pPr>
    </w:p>
    <w:p>
      <w:pPr>
        <w:sectPr>
          <w:pgSz w:w="11900" w:h="16838" w:orient="portrait"/>
          <w:cols w:equalWidth="0" w:num="2">
            <w:col w:w="8428" w:space="720"/>
            <w:col w:w="2060"/>
          </w:cols>
          <w:pgMar w:left="292" w:top="737" w:right="399" w:bottom="1440" w:gutter="0" w:footer="0" w:header="0"/>
          <w:type w:val="continuous"/>
        </w:sectPr>
      </w:pPr>
    </w:p>
    <w:p>
      <w:pPr>
        <w:ind w:left="2628"/>
        <w:spacing w:after="0"/>
        <w:rPr>
          <w:sz w:val="20"/>
          <w:szCs w:val="20"/>
          <w:color w:val="auto"/>
        </w:rPr>
      </w:pPr>
      <w:r>
        <w:rPr>
          <w:rFonts w:ascii="Arial" w:cs="Arial" w:eastAsia="Arial" w:hAnsi="Arial"/>
          <w:sz w:val="12"/>
          <w:szCs w:val="12"/>
          <w:color w:val="auto"/>
        </w:rPr>
        <w:t>(Address of Principal Executive Offices)</w:t>
      </w:r>
    </w:p>
    <w:p>
      <w:pPr>
        <w:spacing w:after="0" w:line="74" w:lineRule="exact"/>
        <w:rPr>
          <w:sz w:val="24"/>
          <w:szCs w:val="24"/>
          <w:color w:val="auto"/>
        </w:rPr>
      </w:pPr>
    </w:p>
    <w:p>
      <w:pPr>
        <w:ind w:left="3948"/>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(516) 268-7400</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0"/>
          <w:szCs w:val="10"/>
          <w:color w:val="auto"/>
        </w:rPr>
        <w:t>(Zip Code)</w:t>
      </w:r>
    </w:p>
    <w:p>
      <w:pPr>
        <w:spacing w:after="0" w:line="412" w:lineRule="exact"/>
        <w:rPr>
          <w:sz w:val="24"/>
          <w:szCs w:val="24"/>
          <w:color w:val="auto"/>
        </w:rPr>
      </w:pPr>
    </w:p>
    <w:p>
      <w:pPr>
        <w:sectPr>
          <w:pgSz w:w="11900" w:h="16838" w:orient="portrait"/>
          <w:cols w:equalWidth="0" w:num="2">
            <w:col w:w="8308" w:space="720"/>
            <w:col w:w="2180"/>
          </w:cols>
          <w:pgMar w:left="292" w:top="737" w:right="399" w:bottom="1440" w:gutter="0" w:footer="0" w:header="0"/>
          <w:type w:val="continuous"/>
        </w:sectPr>
      </w:pPr>
    </w:p>
    <w:p>
      <w:pPr>
        <w:spacing w:after="0" w:line="148"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428" w:hanging="416"/>
        <w:spacing w:after="0"/>
        <w:tabs>
          <w:tab w:leader="none" w:pos="4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36" w:lineRule="exact"/>
        <w:rPr>
          <w:sz w:val="24"/>
          <w:szCs w:val="24"/>
          <w:color w:val="auto"/>
        </w:rPr>
      </w:pPr>
    </w:p>
    <w:tbl>
      <w:tblPr>
        <w:tblLayout w:type="fixed"/>
        <w:tblInd w:w="1188" w:type="dxa"/>
        <w:tblCellMar>
          <w:top w:w="0" w:type="dxa"/>
          <w:left w:w="0" w:type="dxa"/>
          <w:bottom w:w="0" w:type="dxa"/>
          <w:right w:w="0" w:type="dxa"/>
        </w:tblCellMar>
      </w:tblPr>
      <w:tr>
        <w:trPr>
          <w:trHeight w:val="157"/>
        </w:trPr>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40" w:type="dxa"/>
            <w:vAlign w:val="bottom"/>
            <w:gridSpan w:val="3"/>
          </w:tcPr>
          <w:p>
            <w:pPr>
              <w:ind w:left="920"/>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468"/>
        </w:trPr>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2"/>
                <w:szCs w:val="12"/>
                <w:color w:val="auto"/>
                <w:w w:val="91"/>
              </w:rPr>
              <w:t>Title of each class</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Trading Symbol(s)</w:t>
            </w:r>
          </w:p>
        </w:tc>
        <w:tc>
          <w:tcPr>
            <w:tcW w:w="1980" w:type="dxa"/>
            <w:vAlign w:val="bottom"/>
          </w:tcPr>
          <w:p>
            <w:pPr>
              <w:spacing w:after="0"/>
              <w:rPr>
                <w:sz w:val="24"/>
                <w:szCs w:val="24"/>
                <w:color w:val="auto"/>
              </w:rPr>
            </w:pPr>
          </w:p>
        </w:tc>
        <w:tc>
          <w:tcPr>
            <w:tcW w:w="2500" w:type="dxa"/>
            <w:vAlign w:val="bottom"/>
            <w:gridSpan w:val="2"/>
          </w:tcPr>
          <w:p>
            <w:pPr>
              <w:jc w:val="center"/>
              <w:ind w:left="32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78"/>
        </w:trPr>
        <w:tc>
          <w:tcPr>
            <w:tcW w:w="2080" w:type="dxa"/>
            <w:vAlign w:val="bottom"/>
            <w:gridSpan w:val="3"/>
          </w:tcPr>
          <w:p>
            <w:pPr>
              <w:jc w:val="center"/>
              <w:ind w:right="920"/>
              <w:spacing w:after="0"/>
              <w:rPr>
                <w:sz w:val="20"/>
                <w:szCs w:val="20"/>
                <w:color w:val="auto"/>
              </w:rPr>
            </w:pPr>
            <w:r>
              <w:rPr>
                <w:rFonts w:ascii="Arial" w:cs="Arial" w:eastAsia="Arial" w:hAnsi="Arial"/>
                <w:sz w:val="12"/>
                <w:szCs w:val="12"/>
                <w:b w:val="1"/>
                <w:bCs w:val="1"/>
                <w:color w:val="auto"/>
                <w:w w:val="87"/>
              </w:rPr>
              <w:t>Class A common stock</w:t>
            </w:r>
          </w:p>
        </w:tc>
        <w:tc>
          <w:tcPr>
            <w:tcW w:w="1340" w:type="dxa"/>
            <w:vAlign w:val="bottom"/>
          </w:tcPr>
          <w:p>
            <w:pPr>
              <w:spacing w:after="0"/>
              <w:rPr>
                <w:sz w:val="15"/>
                <w:szCs w:val="15"/>
                <w:color w:val="auto"/>
              </w:rPr>
            </w:pPr>
          </w:p>
        </w:tc>
        <w:tc>
          <w:tcPr>
            <w:tcW w:w="2900" w:type="dxa"/>
            <w:vAlign w:val="bottom"/>
            <w:gridSpan w:val="2"/>
          </w:tcPr>
          <w:p>
            <w:pPr>
              <w:jc w:val="center"/>
              <w:ind w:right="1980"/>
              <w:spacing w:after="0"/>
              <w:rPr>
                <w:sz w:val="20"/>
                <w:szCs w:val="20"/>
                <w:color w:val="auto"/>
              </w:rPr>
            </w:pPr>
            <w:r>
              <w:rPr>
                <w:rFonts w:ascii="Arial" w:cs="Arial" w:eastAsia="Arial" w:hAnsi="Arial"/>
                <w:sz w:val="12"/>
                <w:szCs w:val="12"/>
                <w:b w:val="1"/>
                <w:bCs w:val="1"/>
                <w:color w:val="auto"/>
                <w:w w:val="99"/>
              </w:rPr>
              <w:t>“NFE”</w:t>
            </w:r>
          </w:p>
        </w:tc>
        <w:tc>
          <w:tcPr>
            <w:tcW w:w="3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3"/>
              </w:rPr>
              <w:t>NASDAQ Global Select Market</w:t>
            </w:r>
          </w:p>
        </w:tc>
      </w:tr>
    </w:tbl>
    <w:p>
      <w:pPr>
        <w:spacing w:after="0" w:line="387" w:lineRule="exact"/>
        <w:rPr>
          <w:sz w:val="24"/>
          <w:szCs w:val="24"/>
          <w:color w:val="auto"/>
        </w:rPr>
      </w:pPr>
    </w:p>
    <w:p>
      <w:pPr>
        <w:ind w:left="8" w:right="8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ind w:left="148" w:hanging="148"/>
        <w:spacing w:after="0"/>
        <w:tabs>
          <w:tab w:leader="none" w:pos="14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Emerging growth company</w:t>
      </w:r>
    </w:p>
    <w:p>
      <w:pPr>
        <w:spacing w:after="0" w:line="159" w:lineRule="exact"/>
        <w:rPr>
          <w:sz w:val="24"/>
          <w:szCs w:val="24"/>
          <w:color w:val="auto"/>
        </w:rPr>
      </w:pPr>
    </w:p>
    <w:p>
      <w:pPr>
        <w:ind w:left="8"/>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364490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37" w:right="399" w:bottom="1440" w:gutter="0" w:footer="0" w:header="0"/>
          <w:type w:val="continuous"/>
        </w:sectPr>
      </w:pPr>
    </w:p>
    <w:bookmarkStart w:id="1" w:name="page2"/>
    <w:bookmarkEnd w:id="1"/>
    <w:p>
      <w:pPr>
        <w:spacing w:after="0"/>
        <w:tabs>
          <w:tab w:leader="none" w:pos="6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On October 16, 2023, New Fortress Energy Inc. issued a company update, a copy of which is filed as Exhibit 99.1 hereto and is incorporated herein by reference.</w:t>
      </w:r>
    </w:p>
    <w:p>
      <w:pPr>
        <w:spacing w:after="0" w:line="159" w:lineRule="exact"/>
        <w:rPr>
          <w:sz w:val="20"/>
          <w:szCs w:val="20"/>
          <w:color w:val="auto"/>
        </w:rPr>
      </w:pPr>
    </w:p>
    <w:p>
      <w:pPr>
        <w:ind w:right="40" w:firstLine="324"/>
        <w:spacing w:after="0" w:line="234" w:lineRule="auto"/>
        <w:rPr>
          <w:sz w:val="20"/>
          <w:szCs w:val="20"/>
          <w:color w:val="auto"/>
        </w:rPr>
      </w:pPr>
      <w:r>
        <w:rPr>
          <w:rFonts w:ascii="Arial" w:cs="Arial" w:eastAsia="Arial" w:hAnsi="Arial"/>
          <w:sz w:val="12"/>
          <w:szCs w:val="12"/>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or the Exchange Act, except as shall be expressly set forth by specific reference in such filing.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63" w:lineRule="exact"/>
        <w:rPr>
          <w:sz w:val="20"/>
          <w:szCs w:val="20"/>
          <w:color w:val="auto"/>
        </w:rPr>
      </w:pPr>
    </w:p>
    <w:p>
      <w:pPr>
        <w:ind w:right="40" w:firstLine="324"/>
        <w:spacing w:after="0" w:line="248" w:lineRule="auto"/>
        <w:rPr>
          <w:sz w:val="20"/>
          <w:szCs w:val="20"/>
          <w:color w:val="auto"/>
        </w:rPr>
      </w:pPr>
      <w:r>
        <w:rPr>
          <w:rFonts w:ascii="Arial" w:cs="Arial" w:eastAsia="Arial" w:hAnsi="Arial"/>
          <w:sz w:val="11"/>
          <w:szCs w:val="11"/>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Item 9.01.</w:t>
            </w:r>
          </w:p>
        </w:tc>
        <w:tc>
          <w:tcPr>
            <w:tcW w:w="10660" w:type="dxa"/>
            <w:vAlign w:val="bottom"/>
            <w:gridSpan w:val="3"/>
          </w:tcPr>
          <w:p>
            <w:pPr>
              <w:ind w:left="20"/>
              <w:spacing w:after="0"/>
              <w:rPr>
                <w:sz w:val="20"/>
                <w:szCs w:val="20"/>
                <w:color w:val="auto"/>
              </w:rPr>
            </w:pPr>
            <w:r>
              <w:rPr>
                <w:rFonts w:ascii="Arial" w:cs="Arial" w:eastAsia="Arial" w:hAnsi="Arial"/>
                <w:sz w:val="12"/>
                <w:szCs w:val="12"/>
                <w:b w:val="1"/>
                <w:bCs w:val="1"/>
                <w:color w:val="auto"/>
              </w:rPr>
              <w:t>Financial Statements and Exhibits.</w:t>
            </w:r>
          </w:p>
        </w:tc>
        <w:tc>
          <w:tcPr>
            <w:tcW w:w="0" w:type="dxa"/>
            <w:vAlign w:val="bottom"/>
          </w:tcPr>
          <w:p>
            <w:pPr>
              <w:spacing w:after="0"/>
              <w:rPr>
                <w:sz w:val="1"/>
                <w:szCs w:val="1"/>
                <w:color w:val="auto"/>
              </w:rPr>
            </w:pPr>
          </w:p>
        </w:tc>
      </w:tr>
      <w:tr>
        <w:trPr>
          <w:trHeight w:val="297"/>
        </w:trPr>
        <w:tc>
          <w:tcPr>
            <w:tcW w:w="640" w:type="dxa"/>
            <w:vAlign w:val="bottom"/>
            <w:gridSpan w:val="3"/>
          </w:tcPr>
          <w:p>
            <w:pPr>
              <w:jc w:val="center"/>
              <w:ind w:left="160"/>
              <w:spacing w:after="0"/>
              <w:rPr>
                <w:sz w:val="20"/>
                <w:szCs w:val="20"/>
                <w:color w:val="auto"/>
              </w:rPr>
            </w:pPr>
            <w:r>
              <w:rPr>
                <w:rFonts w:ascii="Arial" w:cs="Arial" w:eastAsia="Arial" w:hAnsi="Arial"/>
                <w:sz w:val="12"/>
                <w:szCs w:val="12"/>
                <w:b w:val="1"/>
                <w:bCs w:val="1"/>
                <w:color w:val="auto"/>
                <w:w w:val="94"/>
              </w:rPr>
              <w:t>Exhibit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vMerge w:val="restart"/>
          </w:tcPr>
          <w:p>
            <w:pPr>
              <w:ind w:left="48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0"/>
        </w:trPr>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2"/>
              </w:rPr>
              <w:t>No.</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220" w:type="dxa"/>
            <w:vAlign w:val="bottom"/>
            <w:tcBorders>
              <w:bottom w:val="single" w:sz="8" w:color="0000FF"/>
            </w:tcBorders>
          </w:tcPr>
          <w:p>
            <w:pPr>
              <w:jc w:val="center"/>
              <w:spacing w:after="0" w:line="135" w:lineRule="exact"/>
              <w:rPr>
                <w:sz w:val="20"/>
                <w:szCs w:val="20"/>
                <w:color w:val="auto"/>
              </w:rPr>
            </w:pPr>
            <w:r>
              <w:rPr>
                <w:rFonts w:ascii="Arial" w:cs="Arial" w:eastAsia="Arial" w:hAnsi="Arial"/>
                <w:sz w:val="12"/>
                <w:szCs w:val="12"/>
                <w:color w:val="0000FF"/>
                <w:w w:val="85"/>
              </w:rPr>
              <w:t>99.</w:t>
            </w:r>
            <w:r>
              <w:rPr>
                <w:rFonts w:ascii="Arial" w:cs="Arial" w:eastAsia="Arial" w:hAnsi="Arial"/>
                <w:sz w:val="12"/>
                <w:szCs w:val="12"/>
                <w:u w:val="single" w:color="auto"/>
                <w:color w:val="0000FF"/>
                <w:w w:val="85"/>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340" w:type="dxa"/>
            <w:vAlign w:val="bottom"/>
          </w:tcPr>
          <w:p>
            <w:pPr>
              <w:spacing w:after="0" w:line="135" w:lineRule="exact"/>
              <w:rPr>
                <w:sz w:val="20"/>
                <w:szCs w:val="20"/>
                <w:color w:val="auto"/>
              </w:rPr>
            </w:pPr>
            <w:r>
              <w:rPr>
                <w:rFonts w:ascii="Arial" w:cs="Arial" w:eastAsia="Arial" w:hAnsi="Arial"/>
                <w:sz w:val="12"/>
                <w:szCs w:val="12"/>
                <w:color w:val="auto"/>
              </w:rPr>
              <w:t>Company update, dated October 2023, issued by New Fortress Energy Inc.</w:t>
            </w:r>
          </w:p>
        </w:tc>
        <w:tc>
          <w:tcPr>
            <w:tcW w:w="0" w:type="dxa"/>
            <w:vAlign w:val="bottom"/>
          </w:tcPr>
          <w:p>
            <w:pPr>
              <w:spacing w:after="0"/>
              <w:rPr>
                <w:sz w:val="1"/>
                <w:szCs w:val="1"/>
                <w:color w:val="auto"/>
              </w:rPr>
            </w:pPr>
          </w:p>
        </w:tc>
      </w:tr>
      <w:tr>
        <w:trPr>
          <w:trHeight w:val="178"/>
        </w:trPr>
        <w:tc>
          <w:tcPr>
            <w:tcW w:w="540" w:type="dxa"/>
            <w:vAlign w:val="bottom"/>
            <w:gridSpan w:val="2"/>
          </w:tcPr>
          <w:p>
            <w:pPr>
              <w:jc w:val="right"/>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837"/>
        </w:trPr>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29"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60" w:type="dxa"/>
            <w:vAlign w:val="bottom"/>
          </w:tcPr>
          <w:p>
            <w:pPr>
              <w:spacing w:after="0"/>
              <w:rPr>
                <w:sz w:val="13"/>
                <w:szCs w:val="13"/>
                <w:color w:val="auto"/>
              </w:rPr>
            </w:pPr>
          </w:p>
        </w:tc>
        <w:tc>
          <w:tcPr>
            <w:tcW w:w="6020" w:type="dxa"/>
            <w:vAlign w:val="bottom"/>
            <w:gridSpan w:val="2"/>
          </w:tcPr>
          <w:p>
            <w:pPr>
              <w:ind w:left="20"/>
              <w:spacing w:after="0"/>
              <w:rPr>
                <w:sz w:val="20"/>
                <w:szCs w:val="20"/>
                <w:color w:val="auto"/>
              </w:rPr>
            </w:pPr>
            <w:r>
              <w:rPr>
                <w:rFonts w:ascii="Arial" w:cs="Arial" w:eastAsia="Arial" w:hAnsi="Arial"/>
                <w:sz w:val="12"/>
                <w:szCs w:val="12"/>
                <w:b w:val="1"/>
                <w:bCs w:val="1"/>
                <w:color w:val="auto"/>
              </w:rPr>
              <w:t>NEW FORTRESS ENERGY INC.</w:t>
            </w:r>
          </w:p>
        </w:tc>
      </w:tr>
      <w:tr>
        <w:trPr>
          <w:trHeight w:val="180"/>
        </w:trPr>
        <w:tc>
          <w:tcPr>
            <w:tcW w:w="5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80" w:type="dxa"/>
            <w:vAlign w:val="bottom"/>
          </w:tcPr>
          <w:p>
            <w:pPr>
              <w:spacing w:after="0"/>
              <w:rPr>
                <w:sz w:val="15"/>
                <w:szCs w:val="15"/>
                <w:color w:val="auto"/>
              </w:rPr>
            </w:pPr>
          </w:p>
        </w:tc>
      </w:tr>
      <w:tr>
        <w:trPr>
          <w:trHeight w:val="171"/>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October 16, 2023</w:t>
            </w:r>
          </w:p>
        </w:tc>
        <w:tc>
          <w:tcPr>
            <w:tcW w:w="740" w:type="dxa"/>
            <w:vAlign w:val="bottom"/>
          </w:tcPr>
          <w:p>
            <w:pPr>
              <w:ind w:left="20"/>
              <w:spacing w:after="0"/>
              <w:rPr>
                <w:sz w:val="20"/>
                <w:szCs w:val="20"/>
                <w:color w:val="auto"/>
              </w:rPr>
            </w:pPr>
            <w:r>
              <w:rPr>
                <w:rFonts w:ascii="Arial" w:cs="Arial" w:eastAsia="Arial" w:hAnsi="Arial"/>
                <w:sz w:val="12"/>
                <w:szCs w:val="12"/>
                <w:color w:val="auto"/>
              </w:rPr>
              <w:t>By:</w:t>
            </w:r>
          </w:p>
        </w:tc>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/s/ Christopher S. Guinta</w:t>
            </w:r>
          </w:p>
        </w:tc>
      </w:tr>
      <w:tr>
        <w:trPr>
          <w:trHeight w:val="160"/>
        </w:trPr>
        <w:tc>
          <w:tcPr>
            <w:tcW w:w="5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Name:</w:t>
            </w:r>
          </w:p>
        </w:tc>
        <w:tc>
          <w:tcPr>
            <w:tcW w:w="5280" w:type="dxa"/>
            <w:vAlign w:val="bottom"/>
          </w:tcPr>
          <w:p>
            <w:pPr>
              <w:ind w:left="20"/>
              <w:spacing w:after="0"/>
              <w:rPr>
                <w:sz w:val="20"/>
                <w:szCs w:val="20"/>
                <w:color w:val="auto"/>
              </w:rPr>
            </w:pPr>
            <w:r>
              <w:rPr>
                <w:rFonts w:ascii="Arial" w:cs="Arial" w:eastAsia="Arial" w:hAnsi="Arial"/>
                <w:sz w:val="12"/>
                <w:szCs w:val="12"/>
                <w:color w:val="auto"/>
              </w:rPr>
              <w:t>Christopher S. Guinta</w:t>
            </w:r>
          </w:p>
        </w:tc>
      </w:tr>
      <w:tr>
        <w:trPr>
          <w:trHeight w:val="171"/>
        </w:trPr>
        <w:tc>
          <w:tcPr>
            <w:tcW w:w="5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color w:val="auto"/>
              </w:rPr>
              <w:t>Title:</w:t>
            </w:r>
          </w:p>
        </w:tc>
        <w:tc>
          <w:tcPr>
            <w:tcW w:w="5280" w:type="dxa"/>
            <w:vAlign w:val="bottom"/>
          </w:tcPr>
          <w:p>
            <w:pPr>
              <w:ind w:left="20"/>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280"/>
          </w:cols>
          <w:pgMar w:left="300" w:top="66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2023-10-16T12:44:59Z</dcterms:created>
  <dcterms:modified xsi:type="dcterms:W3CDTF">2023-10-16T12:44:59Z</dcterms:modified>
</cp:coreProperties>
</file>