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59"/>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August 8, 2023</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86" w:lineRule="exact"/>
        <w:rPr>
          <w:sz w:val="24"/>
          <w:szCs w:val="24"/>
          <w:color w:val="auto"/>
        </w:rPr>
      </w:pPr>
    </w:p>
    <w:p>
      <w:pPr>
        <w:sectPr>
          <w:pgSz w:w="11900" w:h="16838" w:orient="portrait"/>
          <w:cols w:equalWidth="0" w:num="3">
            <w:col w:w="4620" w:space="720"/>
            <w:col w:w="2800" w:space="720"/>
            <w:col w:w="222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111 W. 19th Street, 8th Floor</w:t>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7"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6"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36"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58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7"/>
        </w:trPr>
        <w:tc>
          <w:tcPr>
            <w:tcW w:w="25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6"/>
              </w:rPr>
              <w:t>Class A common stock</w:t>
            </w:r>
          </w:p>
        </w:tc>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“NFE”</w:t>
            </w:r>
          </w:p>
        </w:tc>
        <w:tc>
          <w:tcPr>
            <w:tcW w:w="15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80" w:lineRule="exact"/>
        <w:rPr>
          <w:sz w:val="24"/>
          <w:szCs w:val="24"/>
          <w:color w:val="auto"/>
        </w:rPr>
      </w:pPr>
    </w:p>
    <w:p>
      <w:pPr>
        <w:ind w:right="36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On August 8, 2023, New Fortress Energy Inc. (“NFE” or the “Company”) issued a press release announcing the Company’s financial and operating results for its fiscal quarter ended June 30, 2023. A copy of the Company’s press release is attached to this Current Report on Form 8-K (the “Current Report”) as Exhibit 99.1 and is incorporated herein solely for purposes of this Item 2.02 disclosure.</w:t>
      </w:r>
    </w:p>
    <w:p>
      <w:pPr>
        <w:spacing w:after="0" w:line="202" w:lineRule="exact"/>
        <w:rPr>
          <w:sz w:val="20"/>
          <w:szCs w:val="20"/>
          <w:color w:val="auto"/>
        </w:rPr>
      </w:pPr>
    </w:p>
    <w:p>
      <w:pPr>
        <w:ind w:right="240" w:firstLine="486"/>
        <w:spacing w:after="0" w:line="24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55"/>
        </w:trPr>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c>
          <w:tcPr>
            <w:tcW w:w="100" w:type="dxa"/>
            <w:vAlign w:val="bottom"/>
          </w:tcPr>
          <w:p>
            <w:pPr>
              <w:spacing w:after="0"/>
              <w:rPr>
                <w:sz w:val="22"/>
                <w:szCs w:val="22"/>
                <w:color w:val="auto"/>
              </w:rPr>
            </w:pPr>
          </w:p>
        </w:tc>
        <w:tc>
          <w:tcPr>
            <w:tcW w:w="10240" w:type="dxa"/>
            <w:vAlign w:val="bottom"/>
            <w:tcBorders>
              <w:bottom w:val="single" w:sz="8" w:color="auto"/>
            </w:tcBorders>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900" w:type="dxa"/>
            <w:vAlign w:val="bottom"/>
            <w:gridSpan w:val="3"/>
          </w:tcPr>
          <w:p>
            <w:pPr>
              <w:jc w:val="center"/>
              <w:ind w:right="280"/>
              <w:spacing w:after="0" w:line="20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0" w:type="dxa"/>
            <w:vAlign w:val="bottom"/>
          </w:tcPr>
          <w:p>
            <w:pPr>
              <w:spacing w:after="0"/>
              <w:rPr>
                <w:sz w:val="17"/>
                <w:szCs w:val="17"/>
                <w:color w:val="auto"/>
              </w:rPr>
            </w:pPr>
          </w:p>
        </w:tc>
        <w:tc>
          <w:tcPr>
            <w:tcW w:w="10240" w:type="dxa"/>
            <w:vAlign w:val="bottom"/>
          </w:tcPr>
          <w:p>
            <w:pPr>
              <w:ind w:left="20"/>
              <w:spacing w:after="0" w:line="202" w:lineRule="exact"/>
              <w:rPr>
                <w:sz w:val="20"/>
                <w:szCs w:val="20"/>
                <w:color w:val="auto"/>
              </w:rPr>
            </w:pPr>
            <w:r>
              <w:rPr>
                <w:rFonts w:ascii="Arial" w:cs="Arial" w:eastAsia="Arial" w:hAnsi="Arial"/>
                <w:sz w:val="18"/>
                <w:szCs w:val="18"/>
                <w:color w:val="auto"/>
              </w:rPr>
              <w:t>Press Release, dated August 8, 2023, issued by New Fortress Energy Inc.</w:t>
            </w:r>
          </w:p>
        </w:tc>
      </w:tr>
      <w:tr>
        <w:trPr>
          <w:trHeight w:val="277"/>
        </w:trPr>
        <w:tc>
          <w:tcPr>
            <w:tcW w:w="300" w:type="dxa"/>
            <w:vAlign w:val="bottom"/>
          </w:tcPr>
          <w:p>
            <w:pPr>
              <w:spacing w:after="0"/>
              <w:rPr>
                <w:sz w:val="24"/>
                <w:szCs w:val="24"/>
                <w:color w:val="auto"/>
              </w:rPr>
            </w:pPr>
          </w:p>
        </w:tc>
        <w:tc>
          <w:tcPr>
            <w:tcW w:w="3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86"/>
              </w:rPr>
              <w:t>104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76"/>
        </w:trPr>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2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FORTRESS ENERGY INC.</w:t>
            </w:r>
          </w:p>
        </w:tc>
      </w:tr>
      <w:tr>
        <w:trPr>
          <w:trHeight w:val="547"/>
        </w:trPr>
        <w:tc>
          <w:tcPr>
            <w:tcW w:w="3180" w:type="dxa"/>
            <w:vAlign w:val="bottom"/>
          </w:tcPr>
          <w:p>
            <w:pPr>
              <w:spacing w:after="0"/>
              <w:rPr>
                <w:sz w:val="20"/>
                <w:szCs w:val="20"/>
                <w:color w:val="auto"/>
              </w:rPr>
            </w:pPr>
            <w:r>
              <w:rPr>
                <w:rFonts w:ascii="Arial" w:cs="Arial" w:eastAsia="Arial" w:hAnsi="Arial"/>
                <w:sz w:val="18"/>
                <w:szCs w:val="18"/>
                <w:color w:val="auto"/>
              </w:rPr>
              <w:t>August 8, 2023</w:t>
            </w:r>
          </w:p>
        </w:tc>
        <w:tc>
          <w:tcPr>
            <w:tcW w:w="278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3180" w:type="dxa"/>
            <w:vAlign w:val="bottom"/>
          </w:tcPr>
          <w:p>
            <w:pPr>
              <w:spacing w:after="0"/>
              <w:rPr>
                <w:sz w:val="21"/>
                <w:szCs w:val="21"/>
                <w:color w:val="auto"/>
              </w:rPr>
            </w:pPr>
          </w:p>
        </w:tc>
        <w:tc>
          <w:tcPr>
            <w:tcW w:w="2780" w:type="dxa"/>
            <w:vAlign w:val="bottom"/>
          </w:tcPr>
          <w:p>
            <w:pPr>
              <w:ind w:left="206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3180" w:type="dxa"/>
            <w:vAlign w:val="bottom"/>
          </w:tcPr>
          <w:p>
            <w:pPr>
              <w:spacing w:after="0"/>
              <w:rPr>
                <w:sz w:val="22"/>
                <w:szCs w:val="22"/>
                <w:color w:val="auto"/>
              </w:rPr>
            </w:pPr>
          </w:p>
        </w:tc>
        <w:tc>
          <w:tcPr>
            <w:tcW w:w="2780" w:type="dxa"/>
            <w:vAlign w:val="bottom"/>
          </w:tcPr>
          <w:p>
            <w:pPr>
              <w:ind w:left="206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93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jc w:val="right"/>
        <w:ind w:right="20"/>
        <w:spacing w:after="0" w:line="212" w:lineRule="auto"/>
        <w:rPr>
          <w:sz w:val="20"/>
          <w:szCs w:val="20"/>
          <w:color w:val="auto"/>
        </w:rPr>
      </w:pPr>
      <w:r>
        <w:rPr>
          <w:rFonts w:ascii="Arial" w:cs="Arial" w:eastAsia="Arial" w:hAnsi="Arial"/>
          <w:sz w:val="18"/>
          <w:szCs w:val="18"/>
          <w:color w:val="auto"/>
        </w:rPr>
        <w:t>111 W 19</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8"/>
          <w:szCs w:val="18"/>
          <w:color w:val="auto"/>
        </w:rPr>
        <w:t>New York, NY 10011</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Second Quarter 2023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August 8, 2023</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NEW YORK -- New Fortress Energy Inc. (Nasdaq: NFE) (“NFE” or the “Company”) today reported its financial results for the second quarter of 2023.</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359" w:lineRule="exact"/>
        <w:rPr>
          <w:sz w:val="20"/>
          <w:szCs w:val="20"/>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$246 million in the second quarter of 2023 and $686 million in the first half of 2023</w:t>
      </w:r>
    </w:p>
    <w:p>
      <w:pPr>
        <w:spacing w:after="0" w:line="26"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$120 million in the second quarter of 2023 and $272 million in the first half of 2023</w:t>
      </w:r>
    </w:p>
    <w:p>
      <w:pPr>
        <w:spacing w:after="0" w:line="41"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$0.58 on a fully diluted basis in the second quarter of 2023 and $1.48 in the first half of 2023</w:t>
      </w:r>
    </w:p>
    <w:p>
      <w:pPr>
        <w:spacing w:after="0" w:line="26"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several milestones since the first quarter of 2023</w:t>
      </w:r>
    </w:p>
    <w:p>
      <w:pPr>
        <w:spacing w:after="0" w:line="47" w:lineRule="exact"/>
        <w:rPr>
          <w:rFonts w:ascii="Arial" w:cs="Arial" w:eastAsia="Arial" w:hAnsi="Arial"/>
          <w:sz w:val="18"/>
          <w:szCs w:val="18"/>
          <w:color w:val="auto"/>
        </w:rPr>
      </w:pPr>
    </w:p>
    <w:p>
      <w:pPr>
        <w:ind w:left="1380" w:right="20" w:hanging="400"/>
        <w:spacing w:after="0" w:line="25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 PR, an independently managed subsidiary of NFE, assumed management of PREPA's thermal power plants in Puerto Rico under a 10-year contract</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80" w:right="80" w:hanging="400"/>
        <w:spacing w:after="0" w:line="21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installed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350 MW of gas fired power in Puerto Rico under FEMA authorization, with 150 MW of power online</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Palo Seco in June 2023, and another 200 MW of power in San Juan coming online</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third quarter of 2023</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ind w:left="1380" w:hanging="400"/>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installed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our first rig for FLNG 1 at Altamira, and targeting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third quarter of 2023</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1380" w:hanging="400"/>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our 135 MW La Paz power plant, and targeting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third quarter of 2023</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spacing w:after="0" w:line="16" w:lineRule="exact"/>
        <w:rPr>
          <w:rFonts w:ascii="Arial" w:cs="Arial" w:eastAsia="Arial" w:hAnsi="Arial"/>
          <w:sz w:val="18"/>
          <w:szCs w:val="18"/>
          <w:color w:val="auto"/>
        </w:rPr>
      </w:pPr>
    </w:p>
    <w:p>
      <w:pPr>
        <w:ind w:left="1380" w:hanging="400"/>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our 3 Mtpa Barcarena terminal, and targeting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by year end 2023</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740" w:right="280" w:hanging="408"/>
        <w:spacing w:after="0" w:line="24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Expecting an increase in earnings and decrease in capex in the second half of 2023 through 2024 as we place $3.2 billion of invested capital</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projects online</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over the next 60 days</w:t>
      </w:r>
      <w:r>
        <w:rPr>
          <w:rFonts w:ascii="Arial" w:cs="Arial" w:eastAsia="Arial" w:hAnsi="Arial"/>
          <w:sz w:val="23"/>
          <w:szCs w:val="23"/>
          <w:color w:val="auto"/>
          <w:vertAlign w:val="superscript"/>
        </w:rPr>
        <w:t>(6)</w:t>
      </w: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for 2024 to decline to $250 million to reflect completion of a number of our projects</w:t>
      </w:r>
    </w:p>
    <w:p>
      <w:pPr>
        <w:spacing w:after="0" w:line="5" w:lineRule="exact"/>
        <w:rPr>
          <w:rFonts w:ascii="Arial" w:cs="Arial" w:eastAsia="Arial" w:hAnsi="Arial"/>
          <w:sz w:val="18"/>
          <w:szCs w:val="18"/>
          <w:color w:val="auto"/>
        </w:rPr>
      </w:pPr>
    </w:p>
    <w:p>
      <w:pPr>
        <w:ind w:left="740" w:right="240" w:hanging="408"/>
        <w:spacing w:after="0" w:line="22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Illustrative Adjusted EBITDA Guidance</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for 2023 revised to $1.6 billion to reflect lower expected cargo earnings and timing of infrastructure projects coming online</w:t>
      </w:r>
      <w:r>
        <w:rPr>
          <w:rFonts w:ascii="Arial" w:cs="Arial" w:eastAsia="Arial" w:hAnsi="Arial"/>
          <w:sz w:val="23"/>
          <w:szCs w:val="23"/>
          <w:color w:val="auto"/>
          <w:vertAlign w:val="superscript"/>
        </w:rPr>
        <w:t>(4)</w:t>
      </w:r>
      <w:r>
        <w:rPr>
          <w:rFonts w:ascii="Arial" w:cs="Arial" w:eastAsia="Arial" w:hAnsi="Arial"/>
          <w:sz w:val="18"/>
          <w:szCs w:val="18"/>
          <w:color w:val="auto"/>
        </w:rPr>
        <w:t>, while 2024 guidance</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reiterated at $2.4 billion</w:t>
      </w:r>
    </w:p>
    <w:p>
      <w:pPr>
        <w:spacing w:after="0" w:line="1" w:lineRule="exact"/>
        <w:rPr>
          <w:rFonts w:ascii="Arial" w:cs="Arial" w:eastAsia="Arial" w:hAnsi="Arial"/>
          <w:sz w:val="18"/>
          <w:szCs w:val="18"/>
          <w:color w:val="auto"/>
        </w:rPr>
      </w:pPr>
    </w:p>
    <w:p>
      <w:pPr>
        <w:ind w:left="740" w:right="900" w:hanging="408"/>
        <w:spacing w:after="0" w:line="219" w:lineRule="auto"/>
        <w:tabs>
          <w:tab w:leader="none" w:pos="74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Composition of earnings expected to transition as more than 85% of 2024 Adjusted EBITDA Guidance</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will be generated from core infrastructure and only 15% from cargo sales, with 84% from investment grade counterparts</w:t>
      </w:r>
    </w:p>
    <w:p>
      <w:pPr>
        <w:spacing w:after="0" w:line="39" w:lineRule="exact"/>
        <w:rPr>
          <w:rFonts w:ascii="Arial" w:cs="Arial" w:eastAsia="Arial" w:hAnsi="Arial"/>
          <w:sz w:val="18"/>
          <w:szCs w:val="18"/>
          <w:i w:val="1"/>
          <w:iCs w:val="1"/>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strategy focuses on operations, cash generation, and deleveraging</w:t>
      </w:r>
    </w:p>
    <w:p>
      <w:pPr>
        <w:spacing w:after="0" w:line="360" w:lineRule="exact"/>
        <w:rPr>
          <w:sz w:val="20"/>
          <w:szCs w:val="20"/>
          <w:color w:val="auto"/>
        </w:rPr>
      </w:pPr>
    </w:p>
    <w:p>
      <w:pPr>
        <w:jc w:val="both"/>
        <w:ind w:left="580" w:hanging="80"/>
        <w:spacing w:after="0" w:line="254" w:lineRule="auto"/>
        <w:rPr>
          <w:sz w:val="20"/>
          <w:szCs w:val="20"/>
          <w:color w:val="auto"/>
        </w:rPr>
      </w:pPr>
      <w:r>
        <w:rPr>
          <w:rFonts w:ascii="Arial" w:cs="Arial" w:eastAsia="Arial" w:hAnsi="Arial"/>
          <w:sz w:val="17"/>
          <w:szCs w:val="17"/>
          <w:color w:val="auto"/>
        </w:rPr>
        <w:t>"We are at an exciting period in the Company's history as we near the end of our large-scale buildout with more than $3.2 billion of high-quality, contracted projects entering service</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over the next 90 days</w:t>
      </w:r>
      <w:r>
        <w:rPr>
          <w:rFonts w:ascii="Arial" w:cs="Arial" w:eastAsia="Arial" w:hAnsi="Arial"/>
          <w:sz w:val="22"/>
          <w:szCs w:val="22"/>
          <w:color w:val="auto"/>
          <w:vertAlign w:val="superscript"/>
        </w:rPr>
        <w:t>(6)</w:t>
      </w:r>
      <w:r>
        <w:rPr>
          <w:rFonts w:ascii="Arial" w:cs="Arial" w:eastAsia="Arial" w:hAnsi="Arial"/>
          <w:sz w:val="17"/>
          <w:szCs w:val="17"/>
          <w:color w:val="auto"/>
        </w:rPr>
        <w:t>. We expect a significant increase in free cash flow as these projects enter service and capital expenditures decline. Our focus is on significantly growing cash flows from our portfolio, operational execution, deleveraging, and low cost, high return organic growth opportunities," said Wes Edens, NFE president and chief executive officer.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Puerto Rico</w:t>
      </w:r>
    </w:p>
    <w:p>
      <w:pPr>
        <w:spacing w:after="0" w:line="58" w:lineRule="exact"/>
        <w:rPr>
          <w:sz w:val="20"/>
          <w:szCs w:val="20"/>
          <w:color w:val="auto"/>
        </w:rPr>
      </w:pPr>
    </w:p>
    <w:p>
      <w:pPr>
        <w:ind w:left="740" w:hanging="408"/>
        <w:spacing w:after="0" w:line="23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and installed 150 MW of power at our Palo Seco location in June 2023, and near completion</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for 200 MW of power at our San Juan terminal with expected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third quarter of 2023</w:t>
      </w:r>
      <w:r>
        <w:rPr>
          <w:rFonts w:ascii="Arial" w:cs="Arial" w:eastAsia="Arial" w:hAnsi="Arial"/>
          <w:sz w:val="23"/>
          <w:szCs w:val="23"/>
          <w:color w:val="auto"/>
          <w:vertAlign w:val="superscript"/>
        </w:rPr>
        <w:t>(6)</w:t>
      </w:r>
    </w:p>
    <w:p>
      <w:pPr>
        <w:ind w:left="740" w:hanging="408"/>
        <w:spacing w:after="0" w:line="24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July, Genera PR LLC, an independently managed subsidiary of NFE, completed all mobilization activities and is now managing PREPA's thermal power generation system</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4,693 MW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LNG</w:t>
      </w:r>
    </w:p>
    <w:p>
      <w:pPr>
        <w:spacing w:after="0" w:line="42"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Mechanically completed</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each of our modules and three rigs on FLNG 1, with our Pioneer III rig successfully installed offshore in August</w:t>
      </w:r>
    </w:p>
    <w:p>
      <w:pPr>
        <w:spacing w:after="0" w:line="27" w:lineRule="exact"/>
        <w:rPr>
          <w:rFonts w:ascii="Arial" w:cs="Arial" w:eastAsia="Arial" w:hAnsi="Arial"/>
          <w:sz w:val="17"/>
          <w:szCs w:val="17"/>
          <w:color w:val="auto"/>
        </w:rPr>
      </w:pPr>
    </w:p>
    <w:p>
      <w:pPr>
        <w:ind w:left="1380" w:hanging="400"/>
        <w:spacing w:after="0" w:line="231" w:lineRule="auto"/>
        <w:tabs>
          <w:tab w:leader="none" w:pos="1421"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Expecting to complete and install the remaining two FLNG rigs in August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and introduce First Gas</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and achieve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September</w:t>
      </w:r>
      <w:r>
        <w:rPr>
          <w:rFonts w:ascii="Arial" w:cs="Arial" w:eastAsia="Arial" w:hAnsi="Arial"/>
          <w:sz w:val="23"/>
          <w:szCs w:val="23"/>
          <w:color w:val="auto"/>
          <w:vertAlign w:val="superscript"/>
        </w:rPr>
        <w:t>(6)</w:t>
      </w:r>
    </w:p>
    <w:p>
      <w:pPr>
        <w:sectPr>
          <w:pgSz w:w="11900" w:h="16838" w:orient="portrait"/>
          <w:cols w:equalWidth="0" w:num="1">
            <w:col w:w="11240"/>
          </w:cols>
          <w:pgMar w:left="320" w:top="931" w:right="339" w:bottom="1440" w:gutter="0" w:footer="0" w:header="0"/>
        </w:sectPr>
      </w:pPr>
    </w:p>
    <w:bookmarkStart w:id="4" w:name="page5"/>
    <w:bookmarkEnd w:id="4"/>
    <w:p>
      <w:pPr>
        <w:ind w:left="740" w:hanging="408"/>
        <w:spacing w:after="0"/>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FLNG 2 and 3 are already under construction</w:t>
      </w:r>
      <w:r>
        <w:rPr>
          <w:rFonts w:ascii="Arial" w:cs="Arial" w:eastAsia="Arial" w:hAnsi="Arial"/>
          <w:sz w:val="20"/>
          <w:szCs w:val="20"/>
          <w:color w:val="auto"/>
          <w:vertAlign w:val="superscript"/>
        </w:rPr>
        <w:t>(9)</w:t>
      </w:r>
      <w:r>
        <w:rPr>
          <w:rFonts w:ascii="Arial" w:cs="Arial" w:eastAsia="Arial" w:hAnsi="Arial"/>
          <w:sz w:val="16"/>
          <w:szCs w:val="16"/>
          <w:color w:val="auto"/>
        </w:rPr>
        <w:t xml:space="preserve"> and all long-lead items have been procured, with expected COD</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in the first quarter of 2025</w:t>
      </w:r>
      <w:r>
        <w:rPr>
          <w:rFonts w:ascii="Arial" w:cs="Arial" w:eastAsia="Arial" w:hAnsi="Arial"/>
          <w:sz w:val="20"/>
          <w:szCs w:val="20"/>
          <w:color w:val="auto"/>
          <w:vertAlign w:val="superscript"/>
        </w:rPr>
        <w:t>(6)</w:t>
      </w:r>
    </w:p>
    <w:p>
      <w:pPr>
        <w:spacing w:after="0" w:line="61" w:lineRule="exact"/>
        <w:rPr>
          <w:rFonts w:ascii="Arial" w:cs="Arial" w:eastAsia="Arial" w:hAnsi="Arial"/>
          <w:sz w:val="16"/>
          <w:szCs w:val="16"/>
          <w:color w:val="auto"/>
        </w:rPr>
      </w:pPr>
    </w:p>
    <w:p>
      <w:pPr>
        <w:ind w:left="1380" w:hanging="400"/>
        <w:spacing w:after="0" w:line="219" w:lineRule="auto"/>
        <w:tabs>
          <w:tab w:leader="none" w:pos="1390" w:val="left"/>
        </w:tabs>
        <w:numPr>
          <w:ilvl w:val="2"/>
          <w:numId w:val="6"/>
        </w:numPr>
        <w:rPr>
          <w:rFonts w:ascii="Arial" w:cs="Arial" w:eastAsia="Arial" w:hAnsi="Arial"/>
          <w:sz w:val="18"/>
          <w:szCs w:val="18"/>
          <w:color w:val="auto"/>
        </w:rPr>
      </w:pPr>
      <w:r>
        <w:rPr>
          <w:rFonts w:ascii="Arial" w:cs="Arial" w:eastAsia="Arial" w:hAnsi="Arial"/>
          <w:sz w:val="18"/>
          <w:szCs w:val="18"/>
          <w:color w:val="auto"/>
        </w:rPr>
        <w:t>In May, we signed a non-binding Letter of Intent</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with CFE to explore installing FLNG 2 and 3 at an underutilized existing onshore terminal in Altamira</w:t>
      </w:r>
    </w:p>
    <w:p>
      <w:pPr>
        <w:spacing w:after="0" w:line="39" w:lineRule="exact"/>
        <w:rPr>
          <w:rFonts w:ascii="Arial" w:cs="Arial" w:eastAsia="Arial" w:hAnsi="Arial"/>
          <w:sz w:val="18"/>
          <w:szCs w:val="18"/>
          <w:color w:val="auto"/>
        </w:rPr>
      </w:pPr>
    </w:p>
    <w:p>
      <w:pPr>
        <w:ind w:left="1380" w:hanging="400"/>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Financing strategy anticipates no additional NFE equity financings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Terminals</w:t>
      </w:r>
    </w:p>
    <w:p>
      <w:pPr>
        <w:spacing w:after="0" w:line="57" w:lineRule="exact"/>
        <w:rPr>
          <w:rFonts w:ascii="Arial" w:cs="Arial" w:eastAsia="Arial" w:hAnsi="Arial"/>
          <w:sz w:val="18"/>
          <w:szCs w:val="18"/>
          <w:i w:val="1"/>
          <w:iCs w:val="1"/>
          <w:color w:val="auto"/>
        </w:rPr>
      </w:pPr>
    </w:p>
    <w:p>
      <w:pPr>
        <w:ind w:left="740" w:hanging="408"/>
        <w:spacing w:after="0" w:line="229"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Completed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our Barcarena terminal with First Gas</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to Norsk Hydro on schedule for end of year 2023</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upon the arrival of our FSRU, which is currently being converted from an LNG carrier</w:t>
      </w:r>
    </w:p>
    <w:p>
      <w:pPr>
        <w:spacing w:after="0" w:line="36" w:lineRule="exact"/>
        <w:rPr>
          <w:rFonts w:ascii="Arial" w:cs="Arial" w:eastAsia="Arial" w:hAnsi="Arial"/>
          <w:sz w:val="18"/>
          <w:szCs w:val="18"/>
          <w:color w:val="auto"/>
        </w:rPr>
      </w:pPr>
    </w:p>
    <w:p>
      <w:pPr>
        <w:ind w:left="740" w:hanging="408"/>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Undergoing reliability testing at our La Paz power plant and expect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third quarter of 2023</w:t>
      </w:r>
      <w:r>
        <w:rPr>
          <w:rFonts w:ascii="Arial" w:cs="Arial" w:eastAsia="Arial" w:hAnsi="Arial"/>
          <w:sz w:val="23"/>
          <w:szCs w:val="23"/>
          <w:color w:val="auto"/>
          <w:vertAlign w:val="superscript"/>
        </w:rPr>
        <w:t>(6)</w:t>
      </w:r>
    </w:p>
    <w:p>
      <w:pPr>
        <w:spacing w:after="0" w:line="26" w:lineRule="exact"/>
        <w:rPr>
          <w:rFonts w:ascii="Arial" w:cs="Arial" w:eastAsia="Arial" w:hAnsi="Arial"/>
          <w:sz w:val="18"/>
          <w:szCs w:val="18"/>
          <w:color w:val="auto"/>
        </w:rPr>
      </w:pPr>
    </w:p>
    <w:p>
      <w:pPr>
        <w:ind w:left="740" w:hanging="408"/>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Remain on schedule for our Santa Catarina terminal and expect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first quarter of 2024</w:t>
      </w:r>
      <w:r>
        <w:rPr>
          <w:rFonts w:ascii="Arial" w:cs="Arial" w:eastAsia="Arial" w:hAnsi="Arial"/>
          <w:sz w:val="23"/>
          <w:szCs w:val="23"/>
          <w:color w:val="auto"/>
          <w:vertAlign w:val="superscript"/>
        </w:rPr>
        <w:t>(6)</w:t>
      </w:r>
    </w:p>
    <w:p>
      <w:pPr>
        <w:spacing w:after="0" w:line="5" w:lineRule="exact"/>
        <w:rPr>
          <w:rFonts w:ascii="Arial" w:cs="Arial" w:eastAsia="Arial" w:hAnsi="Arial"/>
          <w:sz w:val="18"/>
          <w:szCs w:val="18"/>
          <w:color w:val="auto"/>
        </w:rPr>
      </w:pPr>
    </w:p>
    <w:p>
      <w:pPr>
        <w:jc w:val="both"/>
        <w:ind w:left="740" w:hanging="408"/>
        <w:spacing w:after="0" w:line="210"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Construction</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of our 630 MW power plant at Barcarena is more than 20% completed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pursuant to a fixed-price, date-certain EPC contract with Mitsubishi and Toyo Setal; Operations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are expected to commence in the third quarter of 2025</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pursuant to 25-year PPAs with Brazilian distribution companies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Commercial</w:t>
      </w:r>
    </w:p>
    <w:p>
      <w:pPr>
        <w:spacing w:after="0" w:line="58" w:lineRule="exact"/>
        <w:rPr>
          <w:sz w:val="20"/>
          <w:szCs w:val="20"/>
          <w:color w:val="auto"/>
        </w:rPr>
      </w:pPr>
    </w:p>
    <w:p>
      <w:pPr>
        <w:ind w:left="740" w:hanging="408"/>
        <w:spacing w:after="0" w:line="23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Finalizing an agreement</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to sell our 135 MW La Paz power plant to CFE for approximately $180 million, with transaction close expected in the first quarter of 2024</w:t>
      </w:r>
      <w:r>
        <w:rPr>
          <w:rFonts w:ascii="Arial" w:cs="Arial" w:eastAsia="Arial" w:hAnsi="Arial"/>
          <w:sz w:val="23"/>
          <w:szCs w:val="23"/>
          <w:color w:val="auto"/>
          <w:vertAlign w:val="superscript"/>
        </w:rPr>
        <w:t>(6)</w:t>
      </w:r>
    </w:p>
    <w:p>
      <w:pPr>
        <w:ind w:left="740" w:hanging="408"/>
        <w:spacing w:after="0" w:line="21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we were awarded a 400 MW nameplate capacity contract</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with a 10-year duration from the Single Electricity Market Operator (SEMO), Ireland's electric grid operator</w:t>
      </w:r>
    </w:p>
    <w:p>
      <w:pPr>
        <w:spacing w:after="0" w:line="40" w:lineRule="exact"/>
        <w:rPr>
          <w:sz w:val="20"/>
          <w:szCs w:val="20"/>
          <w:color w:val="auto"/>
        </w:rPr>
      </w:pPr>
    </w:p>
    <w:p>
      <w:pPr>
        <w:ind w:left="1220" w:hanging="402"/>
        <w:spacing w:after="0" w:line="255"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Expecting to finalize our permitting and construction contract for a 600 MW combined-cycle natural gas power plant before year-end 2023</w:t>
      </w:r>
      <w:r>
        <w:rPr>
          <w:rFonts w:ascii="Arial" w:cs="Arial" w:eastAsia="Arial" w:hAnsi="Arial"/>
          <w:sz w:val="23"/>
          <w:szCs w:val="23"/>
          <w:color w:val="auto"/>
          <w:vertAlign w:val="superscript"/>
        </w:rPr>
        <w:t>(6)</w:t>
      </w:r>
      <w:r>
        <w:rPr>
          <w:rFonts w:ascii="Arial" w:cs="Arial" w:eastAsia="Arial" w:hAnsi="Arial"/>
          <w:sz w:val="18"/>
          <w:szCs w:val="18"/>
          <w:color w:val="auto"/>
        </w:rPr>
        <w:t>, with operations expected to commence</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2026</w:t>
      </w:r>
      <w:r>
        <w:rPr>
          <w:rFonts w:ascii="Arial" w:cs="Arial" w:eastAsia="Arial" w:hAnsi="Arial"/>
          <w:sz w:val="23"/>
          <w:szCs w:val="23"/>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Hydrogen</w:t>
      </w:r>
    </w:p>
    <w:p>
      <w:pPr>
        <w:spacing w:after="0" w:line="42" w:lineRule="exact"/>
        <w:rPr>
          <w:sz w:val="20"/>
          <w:szCs w:val="20"/>
          <w:color w:val="auto"/>
        </w:rPr>
      </w:pPr>
    </w:p>
    <w:p>
      <w:pPr>
        <w:ind w:left="740" w:hanging="408"/>
        <w:spacing w:after="0" w:line="23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on our first hydrogen plant, with an initial capacity of 100 MW or approximately 46 tons per day, is progressing on schedule</w:t>
      </w:r>
      <w:r>
        <w:rPr>
          <w:rFonts w:ascii="Arial" w:cs="Arial" w:eastAsia="Arial" w:hAnsi="Arial"/>
          <w:sz w:val="23"/>
          <w:szCs w:val="23"/>
          <w:color w:val="auto"/>
          <w:vertAlign w:val="superscript"/>
        </w:rPr>
        <w:t>(6)</w:t>
      </w:r>
      <w:r>
        <w:rPr>
          <w:rFonts w:ascii="Arial" w:cs="Arial" w:eastAsia="Arial" w:hAnsi="Arial"/>
          <w:sz w:val="18"/>
          <w:szCs w:val="18"/>
          <w:color w:val="auto"/>
        </w:rPr>
        <w:t>, with first production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expected in the fourth quarter of 2024</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and COD</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in the first quarter of 2025</w:t>
      </w:r>
      <w:r>
        <w:rPr>
          <w:rFonts w:ascii="Arial" w:cs="Arial" w:eastAsia="Arial" w:hAnsi="Arial"/>
          <w:sz w:val="23"/>
          <w:szCs w:val="23"/>
          <w:color w:val="auto"/>
          <w:vertAlign w:val="superscript"/>
        </w:rPr>
        <w:t>(6)</w:t>
      </w:r>
    </w:p>
    <w:p>
      <w:pPr>
        <w:ind w:left="740" w:hanging="408"/>
        <w:spacing w:after="0" w:line="219"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several other U.S. green hydrogen projects in various stages of Development</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with a focus on sites with strategic logistics, low-cost power, and strong regional hydrogen demand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63" w:lineRule="exact"/>
        <w:rPr>
          <w:sz w:val="20"/>
          <w:szCs w:val="20"/>
          <w:color w:val="auto"/>
        </w:rPr>
      </w:pPr>
    </w:p>
    <w:p>
      <w:pPr>
        <w:ind w:left="740" w:hanging="408"/>
        <w:spacing w:after="0" w:line="277" w:lineRule="auto"/>
        <w:tabs>
          <w:tab w:leader="none" w:pos="7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In June and July, we closed $200 million of asset level debt for the installment of power generation at our Puerto Rico complex at an interest rate of SOFR + 3.00%</w:t>
      </w:r>
    </w:p>
    <w:p>
      <w:pPr>
        <w:spacing w:after="0" w:line="8" w:lineRule="exact"/>
        <w:rPr>
          <w:rFonts w:ascii="Arial" w:cs="Arial" w:eastAsia="Arial" w:hAnsi="Arial"/>
          <w:sz w:val="18"/>
          <w:szCs w:val="18"/>
          <w:i w:val="1"/>
          <w:iCs w:val="1"/>
          <w:color w:val="auto"/>
        </w:rPr>
      </w:pPr>
    </w:p>
    <w:p>
      <w:pPr>
        <w:ind w:left="740" w:hanging="408"/>
        <w:spacing w:after="0" w:line="277" w:lineRule="auto"/>
        <w:tabs>
          <w:tab w:leader="none" w:pos="7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In August, we received credit approval for $575 million of asset level debt for the construction of our Barcarena power plant at a blended interest rate of 9.2%</w:t>
      </w:r>
    </w:p>
    <w:p>
      <w:pPr>
        <w:spacing w:after="0" w:line="8" w:lineRule="exact"/>
        <w:rPr>
          <w:rFonts w:ascii="Arial" w:cs="Arial" w:eastAsia="Arial" w:hAnsi="Arial"/>
          <w:sz w:val="18"/>
          <w:szCs w:val="18"/>
          <w:i w:val="1"/>
          <w:iCs w:val="1"/>
          <w:color w:val="auto"/>
        </w:rPr>
      </w:pPr>
    </w:p>
    <w:p>
      <w:pPr>
        <w:ind w:left="740" w:hanging="408"/>
        <w:spacing w:after="0"/>
        <w:tabs>
          <w:tab w:leader="none" w:pos="7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In August, we closed a $400 million term loan with Morgan Stanley at an interest rate of SOFR + 3.50%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58" w:lineRule="exact"/>
        <w:rPr>
          <w:sz w:val="20"/>
          <w:szCs w:val="20"/>
          <w:color w:val="auto"/>
        </w:rPr>
      </w:pPr>
    </w:p>
    <w:p>
      <w:pPr>
        <w:ind w:right="2640" w:firstLine="332"/>
        <w:spacing w:after="0" w:line="274" w:lineRule="auto"/>
        <w:tabs>
          <w:tab w:leader="none" w:pos="729"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Common dividend</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of $0.10 per share expected to be maintained for each quarter through end of year 2024 </w:t>
      </w:r>
      <w:r>
        <w:rPr>
          <w:rFonts w:ascii="Arial" w:cs="Arial" w:eastAsia="Arial" w:hAnsi="Arial"/>
          <w:sz w:val="18"/>
          <w:szCs w:val="18"/>
          <w:i w:val="1"/>
          <w:iCs w:val="1"/>
          <w:color w:val="auto"/>
        </w:rPr>
        <w:t>Earnings Composition</w:t>
      </w:r>
    </w:p>
    <w:p>
      <w:pPr>
        <w:spacing w:after="0" w:line="1" w:lineRule="exact"/>
        <w:rPr>
          <w:rFonts w:ascii="Arial" w:cs="Arial" w:eastAsia="Arial" w:hAnsi="Arial"/>
          <w:sz w:val="18"/>
          <w:szCs w:val="18"/>
          <w:i w:val="1"/>
          <w:iCs w:val="1"/>
          <w:color w:val="auto"/>
        </w:rPr>
      </w:pPr>
    </w:p>
    <w:p>
      <w:pPr>
        <w:ind w:left="740" w:hanging="408"/>
        <w:spacing w:after="0" w:line="229" w:lineRule="auto"/>
        <w:tabs>
          <w:tab w:leader="none" w:pos="7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Composition of earnings expected to transition as more than 85% of 2024 Adjusted EBITDA Guidance</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will be generated from core infrastructure and only 15% from cargo sales</w:t>
      </w:r>
    </w:p>
    <w:p>
      <w:pPr>
        <w:spacing w:after="0" w:line="36" w:lineRule="exact"/>
        <w:rPr>
          <w:rFonts w:ascii="Arial" w:cs="Arial" w:eastAsia="Arial" w:hAnsi="Arial"/>
          <w:sz w:val="18"/>
          <w:szCs w:val="18"/>
          <w:i w:val="1"/>
          <w:iCs w:val="1"/>
          <w:color w:val="auto"/>
        </w:rPr>
      </w:pPr>
    </w:p>
    <w:p>
      <w:pPr>
        <w:ind w:left="740" w:hanging="408"/>
        <w:spacing w:after="0"/>
        <w:tabs>
          <w:tab w:leader="none" w:pos="7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Approximately 84% of 2024 Adjusted EBITDA Guidance</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expected to be generated from investment grade counterparts</w:t>
      </w:r>
    </w:p>
    <w:p>
      <w:pPr>
        <w:spacing w:after="0" w:line="308" w:lineRule="exact"/>
        <w:rPr>
          <w:sz w:val="20"/>
          <w:szCs w:val="20"/>
          <w:color w:val="auto"/>
        </w:rPr>
      </w:pPr>
    </w:p>
    <w:p>
      <w:pPr>
        <w:ind w:left="80" w:right="280"/>
        <w:spacing w:after="0" w:line="277" w:lineRule="auto"/>
        <w:rPr>
          <w:sz w:val="20"/>
          <w:szCs w:val="20"/>
          <w:color w:val="auto"/>
        </w:rPr>
      </w:pPr>
      <w:r>
        <w:rPr>
          <w:rFonts w:ascii="Arial" w:cs="Arial" w:eastAsia="Arial" w:hAnsi="Arial"/>
          <w:sz w:val="18"/>
          <w:szCs w:val="18"/>
          <w:color w:val="auto"/>
        </w:rPr>
        <w:t>On August 7, 2023, NFE’s Board of Directors approved a dividend of $0.10 per share, with a record date of September 13, 2023 and a payment date of September 27, 2023.</w:t>
      </w:r>
    </w:p>
    <w:p>
      <w:pPr>
        <w:sectPr>
          <w:pgSz w:w="11900" w:h="16838" w:orient="portrait"/>
          <w:cols w:equalWidth="0" w:num="1">
            <w:col w:w="11240"/>
          </w:cols>
          <w:pgMar w:left="320" w:top="9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98"/>
        </w:trPr>
        <w:tc>
          <w:tcPr>
            <w:tcW w:w="1580" w:type="dxa"/>
            <w:vAlign w:val="bottom"/>
            <w:tcBorders>
              <w:top w:val="single" w:sz="8" w:color="auto"/>
            </w:tcBorders>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Three Months Ended</w:t>
            </w:r>
          </w:p>
        </w:tc>
      </w:tr>
      <w:tr>
        <w:trPr>
          <w:trHeight w:val="257"/>
        </w:trPr>
        <w:tc>
          <w:tcPr>
            <w:tcW w:w="74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2023</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June 30, 2023</w:t>
            </w:r>
          </w:p>
        </w:tc>
      </w:tr>
      <w:tr>
        <w:trPr>
          <w:trHeight w:val="243"/>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5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63"/>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56"/>
        </w:trPr>
        <w:tc>
          <w:tcPr>
            <w:tcW w:w="740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7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740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Terminals and Infrastructure Segment Operating Margin</w:t>
            </w:r>
            <w:r>
              <w:rPr>
                <w:rFonts w:ascii="Arial" w:cs="Arial" w:eastAsia="Arial" w:hAnsi="Arial"/>
                <w:sz w:val="23"/>
                <w:szCs w:val="23"/>
                <w:color w:val="auto"/>
                <w:vertAlign w:val="superscript"/>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239.4</w:t>
            </w:r>
          </w:p>
        </w:tc>
      </w:tr>
      <w:tr>
        <w:trPr>
          <w:trHeight w:val="257"/>
        </w:trPr>
        <w:tc>
          <w:tcPr>
            <w:tcW w:w="7400" w:type="dxa"/>
            <w:vAlign w:val="bottom"/>
            <w:gridSpan w:val="2"/>
            <w:shd w:val="clear" w:color="auto" w:fill="CCEEFF"/>
          </w:tcPr>
          <w:p>
            <w:pPr>
              <w:ind w:left="140"/>
              <w:spacing w:after="0" w:line="256" w:lineRule="exact"/>
              <w:rPr>
                <w:sz w:val="20"/>
                <w:szCs w:val="20"/>
                <w:color w:val="auto"/>
              </w:rPr>
            </w:pPr>
            <w:r>
              <w:rPr>
                <w:rFonts w:ascii="Arial" w:cs="Arial" w:eastAsia="Arial" w:hAnsi="Arial"/>
                <w:sz w:val="18"/>
                <w:szCs w:val="18"/>
                <w:color w:val="auto"/>
              </w:rPr>
              <w:t>Ships Segment Operating Margin</w:t>
            </w:r>
            <w:r>
              <w:rPr>
                <w:rFonts w:ascii="Arial" w:cs="Arial" w:eastAsia="Arial" w:hAnsi="Arial"/>
                <w:sz w:val="23"/>
                <w:szCs w:val="23"/>
                <w:color w:val="auto"/>
                <w:vertAlign w:val="superscript"/>
              </w:rPr>
              <w:t>(5)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57"/>
        </w:trPr>
        <w:tc>
          <w:tcPr>
            <w:tcW w:w="7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Segment Operating Margin</w:t>
            </w:r>
            <w:r>
              <w:rPr>
                <w:rFonts w:ascii="Arial" w:cs="Arial" w:eastAsia="Arial" w:hAnsi="Arial"/>
                <w:sz w:val="23"/>
                <w:szCs w:val="23"/>
                <w:color w:val="auto"/>
                <w:vertAlign w:val="superscript"/>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480.8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293.8</w:t>
            </w:r>
          </w:p>
        </w:tc>
      </w:tr>
      <w:tr>
        <w:trPr>
          <w:trHeight w:val="27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refer to our Q2 2023 Investor Presentation (the “Presentation”) for further information about the following terms: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1)“Adjusted EBITDA,” see definition and reconciliation of this non-GAAP measure in the exhibits to this press release.</w:t>
      </w:r>
    </w:p>
    <w:p>
      <w:pPr>
        <w:jc w:val="both"/>
        <w:ind w:firstLine="8"/>
        <w:spacing w:after="0" w:line="254" w:lineRule="auto"/>
        <w:tabs>
          <w:tab w:leader="none" w:pos="216"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“Adjusted EPS” is not a measurement of financial performance under GAAP and should not be considered in isolation or as an alternative to any measure of performance or liquidity derived in accordance with GAAP. We calculate Adjusted EPS as adjusted net income divided by the weighted average shares outstanding on a fully diluted basis for the period indicated. We believe this non-GAAP measure, as we have defined it, offers a useful supplemental view of the overall evaluation of the Company in a manner that is consistent with metrics used for management’s evaluation of the Company’s overall performance. Adjusted EPS does not have a standardized meaning, and different companies may use different definitions. Therefore, this term may not be necessarily comparable to similarly titled measures reported by other companies.</w:t>
      </w:r>
    </w:p>
    <w:p>
      <w:pPr>
        <w:jc w:val="both"/>
        <w:ind w:firstLine="8"/>
        <w:spacing w:after="0"/>
        <w:tabs>
          <w:tab w:leader="none" w:pos="206"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selection of Genera PR LLC (“Genera”), an independently managed subsidiary of NFE, by the Puerto Rico Public-Private Partnerships Authority (“P3A”), in accordance with the requirement established by Act 120-2018 (Puerto Rico Electric System Transformation Act), for a ten-year operation and maintenance agreement with the Puerto Rico Electric Power Authority (“PREPA”) for the operation, maintenance, decommissioning and modernization of PREPA-owned thermal power generation system of 4,693 MW after a mobilization period, as approved by the government of Puerto Rico, the Fiscal Oversight Management Board and Puerto Rico’s Electricity Bureau.</w:t>
      </w:r>
    </w:p>
    <w:p>
      <w:pPr>
        <w:spacing w:after="0" w:line="2" w:lineRule="exact"/>
        <w:rPr>
          <w:rFonts w:ascii="Arial" w:cs="Arial" w:eastAsia="Arial" w:hAnsi="Arial"/>
          <w:sz w:val="18"/>
          <w:szCs w:val="18"/>
          <w:i w:val="1"/>
          <w:iCs w:val="1"/>
          <w:color w:val="auto"/>
        </w:rPr>
      </w:pPr>
    </w:p>
    <w:p>
      <w:pPr>
        <w:jc w:val="both"/>
        <w:ind w:firstLine="8"/>
        <w:spacing w:after="0" w:line="254" w:lineRule="auto"/>
        <w:tabs>
          <w:tab w:leader="none" w:pos="231"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“Online”, “Operational”, "Operating", "Completion", "Completed", “COD” or “commercial operation date”, “Deployment” or similar statuses (either capitalized or lower case) with respect to a particular project means we expect gas to be made available in the near future,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have begun. We cannot assure you if or when such projects will reach full commercial operation. Our ability to export liquefied natural gas depends on our ability to obtain export and other permits from governmental and regulatory agencies. No assurance can be given that we will receive required permits, approvals and authorizations from governmental and regulatory agencies in connection with the exportation of liquefied natural gas on a timely basis or at all or that, once received, we will be able to maintain in full force and effect, renew or replace such permits, approvals and authorizations.</w:t>
      </w:r>
    </w:p>
    <w:p>
      <w:pPr>
        <w:spacing w:after="0" w:line="1" w:lineRule="exact"/>
        <w:rPr>
          <w:rFonts w:ascii="Arial" w:cs="Arial" w:eastAsia="Arial" w:hAnsi="Arial"/>
          <w:sz w:val="17"/>
          <w:szCs w:val="17"/>
          <w:i w:val="1"/>
          <w:iCs w:val="1"/>
          <w:color w:val="auto"/>
        </w:rPr>
      </w:pPr>
    </w:p>
    <w:p>
      <w:pPr>
        <w:jc w:val="both"/>
        <w:ind w:firstLine="8"/>
        <w:spacing w:after="0" w:line="252" w:lineRule="auto"/>
        <w:tabs>
          <w:tab w:leader="none" w:pos="206"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“Total Segment Operating Margin” is the total of our Terminals and Infrastructure Segment Operating Margin and Ships Segment Operating Margin. "Terminals and Infrastructure Segment Operating Margin" included our effective share of revenue, expenses and operating margin attributable to our 50% ownership of Centrais Elétricas de Sergipe Participações S.A. (“CELSEPAR”) prior to the Sergipe Sale. "Ships Segment Operating Margin" included our effective share of revenue, expenses and operating margin attributable to our ownership of 50% of the common units of Hilli LLC prior to the completion of the Hilli Exchange. Hilli LLC owns Golar Hilli Corporation (“Hilli Corp”), the disponent owner of the Hilli.</w:t>
      </w:r>
    </w:p>
    <w:p>
      <w:pPr>
        <w:spacing w:after="0" w:line="1" w:lineRule="exact"/>
        <w:rPr>
          <w:rFonts w:ascii="Arial" w:cs="Arial" w:eastAsia="Arial" w:hAnsi="Arial"/>
          <w:sz w:val="17"/>
          <w:szCs w:val="17"/>
          <w:i w:val="1"/>
          <w:iCs w:val="1"/>
          <w:color w:val="auto"/>
        </w:rPr>
      </w:pPr>
    </w:p>
    <w:p>
      <w:pPr>
        <w:jc w:val="both"/>
        <w:ind w:firstLine="8"/>
        <w:spacing w:after="0" w:line="242" w:lineRule="auto"/>
        <w:tabs>
          <w:tab w:leader="none" w:pos="20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Lead times and expected development times used in this Presentation indicate our internal evaluations of a project’s expected timeline. They refer to us completing certain stages of projects within a timeframe and within a spectrum of budget parameters that, when taken as a whole, are substantially consistent with our business model. These timeframes include assumptions regarding items that are outside our control, including permitting, weather, supply of equipment and materials, and other potential sources of delay. To the extent that projects have not yet started or are currently under development, we can make no assurance that such projects are on track within the timeline parameters we establish. Additionally, the construction of facilities is inherently subject to the risks of cost overruns and delays. If we are unable to construct, commission, complete and operate any of our facilities as expected, or, when and if constructed, any of them do not accomplish our goals, estimates regarding timelines, budget and savings could be materially and adversely affected.</w:t>
      </w:r>
    </w:p>
    <w:p>
      <w:pPr>
        <w:sectPr>
          <w:pgSz w:w="11900" w:h="16838" w:orient="portrait"/>
          <w:cols w:equalWidth="0" w:num="1">
            <w:col w:w="11240"/>
          </w:cols>
          <w:pgMar w:left="320" w:top="918" w:right="339" w:bottom="1440" w:gutter="0" w:footer="0" w:header="0"/>
        </w:sectPr>
      </w:pPr>
    </w:p>
    <w:bookmarkStart w:id="6" w:name="page7"/>
    <w:bookmarkEnd w:id="6"/>
    <w:p>
      <w:pPr>
        <w:jc w:val="both"/>
        <w:ind w:firstLine="8"/>
        <w:spacing w:after="0" w:line="255" w:lineRule="auto"/>
        <w:tabs>
          <w:tab w:leader="none" w:pos="196"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management’s expectations regarding the funding of the committed expenditures reflected and the estimated expenditures for the development of our projects. The estimated expenditures, including those related to project costs, are based on specified assumptions that may not be based on a measure of performance under GAAP and should not be relied upon for any reason. These values are not based on the Company’s historical operating results, which are limited and do not purport to be an actual representation of our future economics. Actual results could differ materially from management’s assumptions, and there can be no assurance that actual performance will reflect our expectations.</w:t>
      </w:r>
    </w:p>
    <w:p>
      <w:pPr>
        <w:spacing w:after="0" w:line="3" w:lineRule="exact"/>
        <w:rPr>
          <w:rFonts w:ascii="Arial" w:cs="Arial" w:eastAsia="Arial" w:hAnsi="Arial"/>
          <w:sz w:val="17"/>
          <w:szCs w:val="17"/>
          <w:i w:val="1"/>
          <w:iCs w:val="1"/>
          <w:color w:val="auto"/>
        </w:rPr>
      </w:pPr>
    </w:p>
    <w:p>
      <w:pPr>
        <w:jc w:val="both"/>
        <w:spacing w:after="0" w:line="251" w:lineRule="auto"/>
        <w:rPr>
          <w:rFonts w:ascii="Arial" w:cs="Arial" w:eastAsia="Arial" w:hAnsi="Arial"/>
          <w:sz w:val="17"/>
          <w:szCs w:val="17"/>
          <w:i w:val="1"/>
          <w:iCs w:val="1"/>
          <w:color w:val="auto"/>
        </w:rPr>
      </w:pPr>
      <w:r>
        <w:rPr>
          <w:rFonts w:ascii="Arial" w:cs="Arial" w:eastAsia="Arial" w:hAnsi="Arial"/>
          <w:sz w:val="16"/>
          <w:szCs w:val="16"/>
          <w:i w:val="1"/>
          <w:iCs w:val="1"/>
          <w:color w:val="auto"/>
        </w:rPr>
        <w:t>8)“Illustrative Adjusted EBITDA Guidance” means our forward-looking goal for Adjusted EBITDA for the relevant period and is based on the "Illustrative Total Segment Operating Margin Guidance" less illustrative Core SGA assumed to be at $130mm for all periods 2024 onward including the pro rata share of Core SG&amp;A from unconsolidated entities. For the purpose of this presentation, we have assumed an average Total Segment Operating Margin between $9.57 and $13.64 per MMBtu for all downstream terminal economics, because we assume that (i) we purchase delivered gas at a weighted average of $6.68 in 2023,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$15.31 in 2023 based on industry averages in the region. We assume all Brazil terminals and power plants are Operational and earning revenue through fuel sales and capacity charges or other fixed fees. For Vessels chartered to third parties, this measure reflects the revenue from those charters,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$162k per day per vessel. For Fast LNG, this measure reflects the difference between the delivered cost of open LNG and the delivered cost of open market LNG less Fast LNG production cost.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is higher than the cost we would need to achieve Illustrative Total Segment Operating Margin Guidance,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Guidance related to such volumes (i) are not based on the Company’s historical operating results, which are limited, and (ii) do not purport to be an actual representation of our future economics. Actual circumstances could differ materially from the assumptions, and actual performance and results could differ materially from, and there can be no assurance that they will reflect, our corporate guidance.</w:t>
      </w:r>
    </w:p>
    <w:p>
      <w:pPr>
        <w:spacing w:after="0" w:line="191" w:lineRule="exact"/>
        <w:rPr>
          <w:rFonts w:ascii="Arial" w:cs="Arial" w:eastAsia="Arial" w:hAnsi="Arial"/>
          <w:sz w:val="17"/>
          <w:szCs w:val="17"/>
          <w:i w:val="1"/>
          <w:iCs w:val="1"/>
          <w:color w:val="auto"/>
        </w:rPr>
      </w:pPr>
    </w:p>
    <w:p>
      <w:pPr>
        <w:jc w:val="both"/>
        <w:ind w:firstLine="8"/>
        <w:spacing w:after="0" w:line="236" w:lineRule="auto"/>
        <w:tabs>
          <w:tab w:leader="none" w:pos="199"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“Under Construction”, “Development,” “In Development” or similar statuses means that we have taken steps and invested money to develop a facility, including execution of agreements for the development of the project (subject, in certain cases, to satisfaction of conditions precedent), procuring land rights and entitlements, negotiating or signing construction contracts, and undertaking active engineering, procurement and construction work. Our development projects are in various phases of progress, and there can be no assurance that we will continue progress on each development as we expect or that each development will be Completed or enter full commercial operations. There can be no assurance that we will be able to enter into the contracts required for the development of these facilities on commercially favorable terms or at all. If we are unable to enter into favorable contracts or to obtain the necessary regulatory and land use approvals on favorable terms, we may not be able to construct these assets as expected, or at all. Additionally, the construction of facilities is inherently subject to the risks of cost overruns and delays.</w:t>
      </w:r>
    </w:p>
    <w:p>
      <w:pPr>
        <w:spacing w:after="0" w:line="1" w:lineRule="exact"/>
        <w:rPr>
          <w:rFonts w:ascii="Arial" w:cs="Arial" w:eastAsia="Arial" w:hAnsi="Arial"/>
          <w:sz w:val="17"/>
          <w:szCs w:val="17"/>
          <w:i w:val="1"/>
          <w:iCs w:val="1"/>
          <w:color w:val="auto"/>
        </w:rPr>
      </w:pPr>
    </w:p>
    <w:p>
      <w:pPr>
        <w:jc w:val="both"/>
        <w:spacing w:after="0" w:line="226" w:lineRule="auto"/>
        <w:rPr>
          <w:rFonts w:ascii="Arial" w:cs="Arial" w:eastAsia="Arial" w:hAnsi="Arial"/>
          <w:sz w:val="17"/>
          <w:szCs w:val="17"/>
          <w:i w:val="1"/>
          <w:iCs w:val="1"/>
          <w:color w:val="auto"/>
        </w:rPr>
      </w:pPr>
      <w:r>
        <w:rPr>
          <w:rFonts w:ascii="Arial" w:cs="Arial" w:eastAsia="Arial" w:hAnsi="Arial"/>
          <w:sz w:val="18"/>
          <w:szCs w:val="18"/>
          <w:i w:val="1"/>
          <w:iCs w:val="1"/>
          <w:color w:val="auto"/>
        </w:rPr>
        <w:t>10)“Mechanical Completion” or similar statuses with respect to a particular project means we have completed construction and certain subsystems are ready to be handed over to the commissioning team. There may be several mechanical completion milestones defined for the various subsystems of a project. Therefore, no assurance can be given that we will be able to complete a project and begin operations even if a project has reached mechanical completion.</w:t>
      </w:r>
    </w:p>
    <w:p>
      <w:pPr>
        <w:spacing w:after="0" w:line="3" w:lineRule="exact"/>
        <w:rPr>
          <w:rFonts w:ascii="Arial" w:cs="Arial" w:eastAsia="Arial" w:hAnsi="Arial"/>
          <w:sz w:val="17"/>
          <w:szCs w:val="17"/>
          <w:i w:val="1"/>
          <w:iCs w:val="1"/>
          <w:color w:val="auto"/>
        </w:rPr>
      </w:pPr>
    </w:p>
    <w:p>
      <w:pPr>
        <w:jc w:val="both"/>
        <w:ind w:firstLine="8"/>
        <w:spacing w:after="0" w:line="248" w:lineRule="auto"/>
        <w:tabs>
          <w:tab w:leader="none" w:pos="277"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Refers to the date on which (or, for future dates, management's current estimate of the date on which) natural gas is first made available for a project, including a facility in development. Full commercial operation of such project will occur later than, and may occur substantially later than, the date of first gas. We cannot assure you if or when such projects will reach the date of delivery of first gas, or full commercial operations.</w:t>
      </w:r>
    </w:p>
    <w:p>
      <w:pPr>
        <w:spacing w:after="0" w:line="1" w:lineRule="exact"/>
        <w:rPr>
          <w:rFonts w:ascii="Arial" w:cs="Arial" w:eastAsia="Arial" w:hAnsi="Arial"/>
          <w:sz w:val="17"/>
          <w:szCs w:val="17"/>
          <w:i w:val="1"/>
          <w:iCs w:val="1"/>
          <w:color w:val="auto"/>
        </w:rPr>
      </w:pPr>
    </w:p>
    <w:p>
      <w:pPr>
        <w:jc w:val="both"/>
        <w:ind w:firstLine="8"/>
        <w:spacing w:after="0" w:line="239" w:lineRule="auto"/>
        <w:tabs>
          <w:tab w:leader="none" w:pos="29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non-binding letter of intent between New Fortress Energy Inc. and CFEnergía, S.A. de C.V. in connection with the proposed development and operation of an onshore liquefied natural gas terminal to be located at the existing Altamira LNG import terminal. We cannot assure you if or when we will enter into binding definitive agreements related to such contracts or the terms of any such contracts.</w:t>
      </w:r>
    </w:p>
    <w:p>
      <w:pPr>
        <w:jc w:val="both"/>
        <w:ind w:firstLine="8"/>
        <w:spacing w:after="0"/>
        <w:tabs>
          <w:tab w:leader="none" w:pos="309"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binding short-form agreements with Comisión Federal de Electricidad (“CFE”) related to the (i) expansion and extension of NFE’s supply of natural gas to multiple CFE power generation facilities in Baja California Sur, and (ii) sale of NFE’s La Paz power plant to CFE. These transactions are subject to customary terms and conditions and execution of final long-form binding definitive agreements. We cannot assure you if or when we will enter into long-form definitive agreements related to such projects or the terms of any such agreements. Furthermore, upon execution of long-form definitive agreements, we cannot assure you if or when conditions to such agreements will be satisfied, or if we will obtain the required approvals for the transactions set forth in such agreement.</w:t>
      </w:r>
    </w:p>
    <w:p>
      <w:pPr>
        <w:spacing w:after="0" w:line="1" w:lineRule="exact"/>
        <w:rPr>
          <w:rFonts w:ascii="Arial" w:cs="Arial" w:eastAsia="Arial" w:hAnsi="Arial"/>
          <w:sz w:val="18"/>
          <w:szCs w:val="18"/>
          <w:i w:val="1"/>
          <w:iCs w:val="1"/>
          <w:color w:val="auto"/>
        </w:rPr>
      </w:pPr>
    </w:p>
    <w:p>
      <w:pPr>
        <w:ind w:firstLine="8"/>
        <w:spacing w:after="0" w:line="243" w:lineRule="auto"/>
        <w:tabs>
          <w:tab w:leader="none" w:pos="298"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the award of a 10-year contract by the Single Electricity Market Operator (SEMO) to Shannon LNG Limited, a subsidiary of NFE, for the delivery of 400 MW of electricity generation capacity at the site in Kerry, Ireland by October</w:t>
      </w:r>
    </w:p>
    <w:p>
      <w:pPr>
        <w:sectPr>
          <w:pgSz w:w="11900" w:h="16838" w:orient="portrait"/>
          <w:cols w:equalWidth="0" w:num="1">
            <w:col w:w="11240"/>
          </w:cols>
          <w:pgMar w:left="320" w:top="1178" w:right="339" w:bottom="1440" w:gutter="0" w:footer="0" w:header="0"/>
        </w:sectPr>
      </w:pPr>
    </w:p>
    <w:bookmarkStart w:id="7" w:name="page8"/>
    <w:bookmarkEnd w:id="7"/>
    <w:p>
      <w:pPr>
        <w:spacing w:after="0" w:line="250" w:lineRule="auto"/>
        <w:rPr>
          <w:sz w:val="20"/>
          <w:szCs w:val="20"/>
          <w:color w:val="auto"/>
        </w:rPr>
      </w:pPr>
      <w:r>
        <w:rPr>
          <w:rFonts w:ascii="Arial" w:cs="Arial" w:eastAsia="Arial" w:hAnsi="Arial"/>
          <w:sz w:val="18"/>
          <w:szCs w:val="18"/>
          <w:i w:val="1"/>
          <w:iCs w:val="1"/>
          <w:color w:val="auto"/>
        </w:rPr>
        <w:t>1, 2026. The contract was awarded following a competitive auction process, operated by SEMO, and regulated by the Commission For Regulation of Utilities (CRU) and the Northern Ireland Authority for Utility Regulation (NIAUR).</w:t>
      </w:r>
    </w:p>
    <w:p>
      <w:pPr>
        <w:spacing w:after="0" w:line="2" w:lineRule="exact"/>
        <w:rPr>
          <w:sz w:val="20"/>
          <w:szCs w:val="20"/>
          <w:color w:val="auto"/>
        </w:rPr>
      </w:pPr>
    </w:p>
    <w:p>
      <w:pPr>
        <w:jc w:val="both"/>
        <w:ind w:firstLine="8"/>
        <w:spacing w:after="0" w:line="252" w:lineRule="auto"/>
        <w:tabs>
          <w:tab w:leader="none" w:pos="294"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The payment of dividends under the dividend policy will be made at the discretion of the Board and will be subject to the Board's final determination based on a number of factors, including, but not limited to, the Company's financial performance, its available cash resources, the terms of its indebtedness, its cash requirements, credit rating impacts, alternative uses of cash that the Board may conclude would represent an opportunity to generate a greater return on investment for the Company, and restrictions and other factors the Board deems relevant at the time it determines to declare such dividends. The dividend policy may be revised, suspended, or cancelled at the discretion of the Board at any time.</w:t>
      </w:r>
    </w:p>
    <w:p>
      <w:pPr>
        <w:spacing w:after="0" w:line="1" w:lineRule="exact"/>
        <w:rPr>
          <w:rFonts w:ascii="Arial" w:cs="Arial" w:eastAsia="Arial" w:hAnsi="Arial"/>
          <w:sz w:val="17"/>
          <w:szCs w:val="17"/>
          <w:i w:val="1"/>
          <w:iCs w:val="1"/>
          <w:color w:val="auto"/>
        </w:rPr>
      </w:pPr>
    </w:p>
    <w:p>
      <w:pPr>
        <w:ind w:firstLine="8"/>
        <w:spacing w:after="0" w:line="258" w:lineRule="auto"/>
        <w:tabs>
          <w:tab w:leader="none" w:pos="292"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Income” means Net Income as presented in the relevant Form 10-K or Form 10-Q for the relevant financial period as adjusted by non-cash impairment charges or losses on disposal of our assets.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will host a conference call on Tuesday, August 8, 2023 at 8:00 A.M. Eastern Time. The conference call may be accessed by dialing (888) 204-4368 (toll free from within the U.S.) or +1-323-994-2093 (from outside of the U.S.) fifteen minutes prior to the scheduled start of the call; please reference “NFE Second Quarter 2023 Earnings Call” or conference code 9499542.</w:t>
      </w:r>
    </w:p>
    <w:p>
      <w:pPr>
        <w:spacing w:after="0" w:line="256" w:lineRule="exact"/>
        <w:rPr>
          <w:sz w:val="20"/>
          <w:szCs w:val="20"/>
          <w:color w:val="auto"/>
        </w:rPr>
      </w:pPr>
    </w:p>
    <w:p>
      <w:pPr>
        <w:jc w:val="both"/>
        <w:ind w:right="140"/>
        <w:spacing w:after="0" w:line="285" w:lineRule="auto"/>
        <w:rPr>
          <w:sz w:val="20"/>
          <w:szCs w:val="20"/>
          <w:color w:val="auto"/>
        </w:rPr>
      </w:pPr>
      <w:r>
        <w:rPr>
          <w:rFonts w:ascii="Arial" w:cs="Arial" w:eastAsia="Arial" w:hAnsi="Arial"/>
          <w:sz w:val="16"/>
          <w:szCs w:val="16"/>
          <w:color w:val="auto"/>
        </w:rPr>
        <w:t>A simultaneous webcast of the conference call will be available to the public on a listen-only basis at www.newfortressenergy.com within the "Investors" tab under “Events &amp; Presentations.” Please allow extra time prior to the call to visit the website and download any necessary software required to listen to the internet broadcast. A replay of the conference call will be available at the same website location shortly after the conclusion of the live call.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1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illustrative financial metrics and other similar metrics, including goals, expected financial growth and margins, among others; ability to maintain our expected timelines; expectations regarding our ability to construct, complete and commission our projects on time and within budget; our ability to increase earnings and free cash flows and decrease capital expenditures; our ability to change our corporate strategy and to shift to cash generation, deleveraging and organic opportunities; the execution of definitive documents and their related terms and conditions, including without limitation the sales price of the La Paz power plant to CFE and the permitting and construction contract for our Ireland project; expectations regarding the funding of our projects and operations, including expectations of no additional NFE equity financings;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proposed transactions may not be completed in a timely manner</w:t>
      </w:r>
    </w:p>
    <w:p>
      <w:pPr>
        <w:sectPr>
          <w:pgSz w:w="11900" w:h="16838" w:orient="portrait"/>
          <w:cols w:equalWidth="0" w:num="1">
            <w:col w:w="11240"/>
          </w:cols>
          <w:pgMar w:left="320" w:top="935" w:right="339" w:bottom="1440" w:gutter="0" w:footer="0" w:header="0"/>
        </w:sectPr>
      </w:pPr>
    </w:p>
    <w:bookmarkStart w:id="8" w:name="page9"/>
    <w:bookmarkEnd w:id="8"/>
    <w:p>
      <w:pPr>
        <w:spacing w:after="0" w:line="239" w:lineRule="auto"/>
        <w:rPr>
          <w:sz w:val="20"/>
          <w:szCs w:val="20"/>
          <w:color w:val="auto"/>
        </w:rPr>
      </w:pPr>
      <w:r>
        <w:rPr>
          <w:rFonts w:ascii="Arial" w:cs="Arial" w:eastAsia="Arial" w:hAnsi="Arial"/>
          <w:sz w:val="17"/>
          <w:szCs w:val="17"/>
          <w:color w:val="auto"/>
        </w:rPr>
        <w:t>or at all;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adverse regional, national, or international economic conditions, adverse capital market conditions and adverse political developments; and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Chance Pipitone</w:t>
      </w:r>
    </w:p>
    <w:p>
      <w:pPr>
        <w:spacing w:after="0"/>
        <w:rPr>
          <w:sz w:val="20"/>
          <w:szCs w:val="20"/>
          <w:color w:val="auto"/>
        </w:rPr>
      </w:pPr>
      <w:r>
        <w:rPr>
          <w:rFonts w:ascii="Arial" w:cs="Arial" w:eastAsia="Arial" w:hAnsi="Arial"/>
          <w:sz w:val="18"/>
          <w:szCs w:val="18"/>
          <w:u w:val="single" w:color="auto"/>
          <w:color w:val="auto"/>
        </w:rPr>
        <w:t>ir@newfortressenergy.com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Relations: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Ben Porritt</w:t>
      </w:r>
    </w:p>
    <w:p>
      <w:pPr>
        <w:spacing w:after="0" w:line="234" w:lineRule="auto"/>
        <w:rPr>
          <w:sz w:val="20"/>
          <w:szCs w:val="20"/>
          <w:color w:val="auto"/>
        </w:rPr>
      </w:pPr>
      <w:r>
        <w:rPr>
          <w:rFonts w:ascii="Arial" w:cs="Arial" w:eastAsia="Arial" w:hAnsi="Arial"/>
          <w:sz w:val="18"/>
          <w:szCs w:val="18"/>
          <w:u w:val="single" w:color="auto"/>
          <w:color w:val="auto"/>
        </w:rPr>
        <w:t>press@newfortressenergy.com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(516) 268-7403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New Fortress Energy Inc.</w:t>
      </w:r>
    </w:p>
    <w:p>
      <w:pPr>
        <w:sectPr>
          <w:pgSz w:w="11900" w:h="16838" w:orient="portrait"/>
          <w:cols w:equalWidth="0" w:num="1">
            <w:col w:w="11140"/>
          </w:cols>
          <w:pgMar w:left="320" w:top="922"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Exhibits –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2023 and June 30, 2023</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Three Months Ended</w:t>
            </w:r>
          </w:p>
        </w:tc>
      </w:tr>
      <w:tr>
        <w:trPr>
          <w:trHeight w:val="34"/>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June 30, 2023</w:t>
            </w: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501,688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494,619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65,840</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63"/>
        </w:trPr>
        <w:tc>
          <w:tcPr>
            <w:tcW w:w="7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579,131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561,345</w:t>
            </w:r>
          </w:p>
        </w:tc>
      </w:tr>
      <w:tr>
        <w:trPr>
          <w:trHeight w:val="243"/>
        </w:trPr>
        <w:tc>
          <w:tcPr>
            <w:tcW w:w="7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225,768</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11,443</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33,697</w:t>
            </w: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52,138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55,803</w:t>
            </w: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5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42,115</w:t>
            </w:r>
          </w:p>
        </w:tc>
      </w:tr>
      <w:tr>
        <w:trPr>
          <w:trHeight w:val="283"/>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370,380</w:t>
            </w:r>
          </w:p>
        </w:tc>
      </w:tr>
      <w:tr>
        <w:trPr>
          <w:trHeight w:val="243"/>
        </w:trPr>
        <w:tc>
          <w:tcPr>
            <w:tcW w:w="7300" w:type="dxa"/>
            <w:vAlign w:val="bottom"/>
          </w:tcPr>
          <w:p>
            <w:pPr>
              <w:ind w:left="1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267,224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190,965</w:t>
            </w: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w:t>
            </w:r>
          </w:p>
        </w:tc>
      </w:tr>
      <w:tr>
        <w:trPr>
          <w:trHeight w:val="25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r>
      <w:tr>
        <w:trPr>
          <w:trHeight w:val="257"/>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Income before income from equity method investments and income taxes</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133,153</w:t>
            </w: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2,269</w:t>
            </w:r>
          </w:p>
        </w:tc>
      </w:tr>
      <w:tr>
        <w:trPr>
          <w:trHeight w:val="28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r>
      <w:tr>
        <w:trPr>
          <w:trHeight w:val="237"/>
        </w:trPr>
        <w:tc>
          <w:tcPr>
            <w:tcW w:w="730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151,566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120,100</w:t>
            </w:r>
          </w:p>
        </w:tc>
      </w:tr>
      <w:tr>
        <w:trPr>
          <w:trHeight w:val="27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56"/>
        </w:trPr>
        <w:tc>
          <w:tcPr>
            <w:tcW w:w="7300" w:type="dxa"/>
            <w:vAlign w:val="bottom"/>
          </w:tcPr>
          <w:p>
            <w:pPr>
              <w:ind w:left="140"/>
              <w:spacing w:after="0"/>
              <w:rPr>
                <w:sz w:val="20"/>
                <w:szCs w:val="20"/>
                <w:color w:val="auto"/>
              </w:rPr>
            </w:pPr>
            <w:r>
              <w:rPr>
                <w:rFonts w:ascii="Arial" w:cs="Arial" w:eastAsia="Arial" w:hAnsi="Arial"/>
                <w:sz w:val="18"/>
                <w:szCs w:val="18"/>
                <w:b w:val="1"/>
                <w:bCs w:val="1"/>
                <w:color w:val="auto"/>
              </w:rPr>
              <w:t>Net income attributable to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150,206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119,248</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0.72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8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208,707,385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205,045,121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209,325,619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205,711,467</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We calculate Adjusted EBITDA as net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transaction and integration costs, contract termination charges and loss on mitigations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our pro rata share of Adjusted EBITDA from certain unconsolidated entities,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impact of equity in earnings (losses) of certain unconsolidated entities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certain non-capitalizable contract acquisition costs.</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31" w:right="339" w:bottom="1440" w:gutter="0" w:footer="0" w:header="0"/>
        </w:sectPr>
      </w:pPr>
    </w:p>
    <w:bookmarkStart w:id="11" w:name="page12"/>
    <w:bookmarkEnd w:id="11"/>
    <w:p>
      <w:pPr>
        <w:spacing w:after="0" w:line="261" w:lineRule="auto"/>
        <w:rPr>
          <w:sz w:val="20"/>
          <w:szCs w:val="20"/>
          <w:color w:val="auto"/>
        </w:rPr>
      </w:pPr>
      <w:r>
        <w:rPr>
          <w:rFonts w:ascii="Arial" w:cs="Arial" w:eastAsia="Arial" w:hAnsi="Arial"/>
          <w:sz w:val="18"/>
          <w:szCs w:val="18"/>
          <w:color w:val="auto"/>
        </w:rPr>
        <w:t>The following table sets forth a reconciliation of net income to Adjusted EBITDA for the three months ended June 30, 2022, March 31, 2023, and June 30,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Three Months</w:t>
            </w:r>
          </w:p>
        </w:tc>
      </w:t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Ended</w:t>
            </w:r>
          </w:p>
        </w:tc>
      </w:tr>
      <w:tr>
        <w:trPr>
          <w:trHeight w:val="219"/>
        </w:trPr>
        <w:tc>
          <w:tcPr>
            <w:tcW w:w="612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June 30, 2022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March 31, 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0"/>
              </w:rPr>
              <w:t>June 30, 2023</w:t>
            </w:r>
          </w:p>
        </w:tc>
      </w:tr>
      <w:tr>
        <w:trPr>
          <w:trHeight w:val="21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Segment Operating Margin</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327,448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480,817</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293,834</w:t>
            </w:r>
          </w:p>
        </w:tc>
      </w:tr>
      <w:tr>
        <w:trPr>
          <w:trHeight w:val="190"/>
        </w:trPr>
        <w:tc>
          <w:tcPr>
            <w:tcW w:w="6120" w:type="dxa"/>
            <w:vAlign w:val="bottom"/>
          </w:tcPr>
          <w:p>
            <w:pPr>
              <w:ind w:left="20"/>
              <w:spacing w:after="0"/>
              <w:rPr>
                <w:sz w:val="20"/>
                <w:szCs w:val="20"/>
                <w:color w:val="auto"/>
              </w:rPr>
            </w:pPr>
            <w:r>
              <w:rPr>
                <w:rFonts w:ascii="Arial" w:cs="Arial" w:eastAsia="Arial" w:hAnsi="Arial"/>
                <w:sz w:val="14"/>
                <w:szCs w:val="14"/>
                <w:color w:val="auto"/>
              </w:rPr>
              <w:t>Less: Core SG&amp;A (see definition above)</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42,040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41,067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47,381</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Pro rata share Core SG&amp;A from unconsolidated entities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283,494</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b w:val="1"/>
                <w:bCs w:val="1"/>
                <w:color w:val="auto"/>
              </w:rPr>
              <w:t>439,736</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246,453</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(178,431)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151,566</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120,100</w:t>
            </w:r>
          </w:p>
        </w:tc>
      </w:tr>
      <w:tr>
        <w:trPr>
          <w:trHeight w:val="190"/>
        </w:trPr>
        <w:tc>
          <w:tcPr>
            <w:tcW w:w="61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47,840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71,673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64,396</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Tax (benefit) expense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(86,539)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28,960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15,322</w:t>
            </w:r>
          </w:p>
        </w:tc>
      </w:tr>
      <w:tr>
        <w:trPr>
          <w:trHeight w:val="190"/>
        </w:trPr>
        <w:tc>
          <w:tcPr>
            <w:tcW w:w="6120" w:type="dxa"/>
            <w:vAlign w:val="bottom"/>
          </w:tcPr>
          <w:p>
            <w:pPr>
              <w:ind w:left="20"/>
              <w:spacing w:after="0"/>
              <w:rPr>
                <w:sz w:val="20"/>
                <w:szCs w:val="20"/>
                <w:color w:val="auto"/>
              </w:rPr>
            </w:pPr>
            <w:r>
              <w:rPr>
                <w:rFonts w:ascii="Arial" w:cs="Arial" w:eastAsia="Arial" w:hAnsi="Arial"/>
                <w:sz w:val="14"/>
                <w:szCs w:val="14"/>
                <w:color w:val="auto"/>
              </w:rPr>
              <w:t>Add: Depreciation and amortization</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36,356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34,375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42,115</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Asset impairment expense</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6120" w:type="dxa"/>
            <w:vAlign w:val="bottom"/>
          </w:tcPr>
          <w:p>
            <w:pPr>
              <w:ind w:left="20"/>
              <w:spacing w:after="0"/>
              <w:rPr>
                <w:sz w:val="20"/>
                <w:szCs w:val="20"/>
                <w:color w:val="auto"/>
              </w:rPr>
            </w:pPr>
            <w:r>
              <w:rPr>
                <w:rFonts w:ascii="Arial" w:cs="Arial" w:eastAsia="Arial" w:hAnsi="Arial"/>
                <w:sz w:val="14"/>
                <w:szCs w:val="14"/>
                <w:color w:val="auto"/>
              </w:rPr>
              <w:t>Add: SG&amp;A items excluded from Core SG&amp;A</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8,270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11,071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8,422</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Transaction and integration costs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1,554</w:t>
            </w:r>
          </w:p>
        </w:tc>
      </w:tr>
      <w:tr>
        <w:trPr>
          <w:trHeight w:val="190"/>
        </w:trPr>
        <w:tc>
          <w:tcPr>
            <w:tcW w:w="6120" w:type="dxa"/>
            <w:vAlign w:val="bottom"/>
          </w:tcPr>
          <w:p>
            <w:pPr>
              <w:ind w:left="20"/>
              <w:spacing w:after="0"/>
              <w:rPr>
                <w:sz w:val="20"/>
                <w:szCs w:val="20"/>
                <w:color w:val="auto"/>
              </w:rPr>
            </w:pPr>
            <w:r>
              <w:rPr>
                <w:rFonts w:ascii="Arial" w:cs="Arial" w:eastAsia="Arial" w:hAnsi="Arial"/>
                <w:sz w:val="14"/>
                <w:szCs w:val="14"/>
                <w:color w:val="auto"/>
              </w:rPr>
              <w:t>Add: Other (income) expense, net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(22,102)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25,005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(6,584)</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 and contingent consideration</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111,140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(2,835)</w:t>
            </w:r>
          </w:p>
        </w:tc>
      </w:tr>
      <w:tr>
        <w:trPr>
          <w:trHeight w:val="190"/>
        </w:trPr>
        <w:tc>
          <w:tcPr>
            <w:tcW w:w="6120" w:type="dxa"/>
            <w:vAlign w:val="bottom"/>
          </w:tcPr>
          <w:p>
            <w:pPr>
              <w:ind w:left="20"/>
              <w:spacing w:after="0"/>
              <w:rPr>
                <w:sz w:val="20"/>
                <w:szCs w:val="20"/>
                <w:color w:val="auto"/>
              </w:rPr>
            </w:pPr>
            <w:r>
              <w:rPr>
                <w:rFonts w:ascii="Arial" w:cs="Arial" w:eastAsia="Arial" w:hAnsi="Arial"/>
                <w:sz w:val="14"/>
                <w:szCs w:val="14"/>
                <w:color w:val="auto"/>
              </w:rPr>
              <w:t>Add: Pro rata share of Adjusted EBITDA from unconsolidated entities</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49,951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15,432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Loss (income) from equity method investments</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372,927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Contract acquisition cost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6,232</w:t>
            </w:r>
          </w:p>
        </w:tc>
      </w:tr>
      <w:tr>
        <w:trPr>
          <w:trHeight w:val="19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283,494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439,736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246,453</w:t>
            </w:r>
          </w:p>
        </w:tc>
      </w:tr>
      <w:tr>
        <w:trPr>
          <w:trHeight w:val="39"/>
        </w:trPr>
        <w:tc>
          <w:tcPr>
            <w:tcW w:w="6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bl>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Operating Margin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interest expense, other (income) expense, loss on extinguishment of debt, net, (income) loss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Terminals and</w:t>
            </w:r>
          </w:p>
        </w:tc>
        <w:tc>
          <w:tcPr>
            <w:tcW w:w="320" w:type="dxa"/>
            <w:vAlign w:val="bottom"/>
          </w:tcPr>
          <w:p>
            <w:pPr>
              <w:spacing w:after="0"/>
              <w:rPr>
                <w:sz w:val="17"/>
                <w:szCs w:val="17"/>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Ships</w:t>
            </w:r>
          </w:p>
        </w:tc>
        <w:tc>
          <w:tcPr>
            <w:tcW w:w="260" w:type="dxa"/>
            <w:vAlign w:val="bottom"/>
          </w:tcPr>
          <w:p>
            <w:pPr>
              <w:spacing w:after="0"/>
              <w:rPr>
                <w:sz w:val="17"/>
                <w:szCs w:val="17"/>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Consolidation and</w:t>
            </w:r>
          </w:p>
        </w:tc>
        <w:tc>
          <w:tcPr>
            <w:tcW w:w="240" w:type="dxa"/>
            <w:vAlign w:val="bottom"/>
          </w:tcPr>
          <w:p>
            <w:pPr>
              <w:spacing w:after="0"/>
              <w:rPr>
                <w:sz w:val="17"/>
                <w:szCs w:val="17"/>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140"/>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560" w:type="dxa"/>
            <w:vAlign w:val="bottom"/>
          </w:tcPr>
          <w:p>
            <w:pPr>
              <w:spacing w:after="0"/>
              <w:rPr>
                <w:sz w:val="12"/>
                <w:szCs w:val="12"/>
                <w:color w:val="auto"/>
              </w:rPr>
            </w:pPr>
          </w:p>
        </w:tc>
        <w:tc>
          <w:tcPr>
            <w:tcW w:w="1480" w:type="dxa"/>
            <w:vAlign w:val="bottom"/>
            <w:vMerge w:val="restart"/>
          </w:tcPr>
          <w:p>
            <w:pPr>
              <w:jc w:val="center"/>
              <w:ind w:right="70"/>
              <w:spacing w:after="0" w:line="207" w:lineRule="exact"/>
              <w:rPr>
                <w:sz w:val="20"/>
                <w:szCs w:val="20"/>
                <w:color w:val="auto"/>
              </w:rPr>
            </w:pPr>
            <w:r>
              <w:rPr>
                <w:rFonts w:ascii="Arial" w:cs="Arial" w:eastAsia="Arial" w:hAnsi="Arial"/>
                <w:sz w:val="18"/>
                <w:szCs w:val="18"/>
                <w:b w:val="1"/>
                <w:bCs w:val="1"/>
                <w:color w:val="auto"/>
                <w:w w:val="96"/>
              </w:rPr>
              <w:t xml:space="preserve">Infrastructure </w:t>
            </w:r>
            <w:r>
              <w:rPr>
                <w:rFonts w:ascii="MS PGothic" w:cs="MS PGothic" w:eastAsia="MS PGothic" w:hAnsi="MS PGothic"/>
                <w:sz w:val="14"/>
                <w:szCs w:val="14"/>
                <w:color w:val="auto"/>
                <w:w w:val="96"/>
              </w:rPr>
              <w:t>⁽</w:t>
            </w:r>
            <w:r>
              <w:rPr>
                <w:rFonts w:ascii="Arial" w:cs="Arial" w:eastAsia="Arial" w:hAnsi="Arial"/>
                <w:sz w:val="9"/>
                <w:szCs w:val="9"/>
                <w:b w:val="1"/>
                <w:bCs w:val="1"/>
                <w:color w:val="auto"/>
                <w:w w:val="96"/>
              </w:rPr>
              <w:t>1</w:t>
            </w:r>
            <w:r>
              <w:rPr>
                <w:rFonts w:ascii="MS PGothic" w:cs="MS PGothic" w:eastAsia="MS PGothic" w:hAnsi="MS PGothic"/>
                <w:sz w:val="14"/>
                <w:szCs w:val="14"/>
                <w:color w:val="auto"/>
                <w:w w:val="96"/>
              </w:rPr>
              <w:t>⁾</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Segment</w:t>
            </w:r>
          </w:p>
        </w:tc>
        <w:tc>
          <w:tcPr>
            <w:tcW w:w="360" w:type="dxa"/>
            <w:vAlign w:val="bottom"/>
          </w:tcPr>
          <w:p>
            <w:pPr>
              <w:spacing w:after="0"/>
              <w:rPr>
                <w:sz w:val="12"/>
                <w:szCs w:val="12"/>
                <w:color w:val="auto"/>
              </w:rPr>
            </w:pPr>
          </w:p>
        </w:tc>
        <w:tc>
          <w:tcPr>
            <w:tcW w:w="1280" w:type="dxa"/>
            <w:vAlign w:val="bottom"/>
            <w:vMerge w:val="restart"/>
          </w:tcPr>
          <w:p>
            <w:pPr>
              <w:jc w:val="center"/>
              <w:ind w:right="190"/>
              <w:spacing w:after="0" w:line="207"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4"/>
                <w:szCs w:val="14"/>
                <w:color w:val="auto"/>
              </w:rPr>
              <w:t>⁽</w:t>
            </w:r>
            <w:r>
              <w:rPr>
                <w:rFonts w:ascii="Arial" w:cs="Arial" w:eastAsia="Arial" w:hAnsi="Arial"/>
                <w:sz w:val="9"/>
                <w:szCs w:val="9"/>
                <w:b w:val="1"/>
                <w:bCs w:val="1"/>
                <w:color w:val="auto"/>
              </w:rPr>
              <w:t>1</w:t>
            </w:r>
            <w:r>
              <w:rPr>
                <w:rFonts w:ascii="MS PGothic" w:cs="MS PGothic" w:eastAsia="MS PGothic" w:hAnsi="MS PGothic"/>
                <w:sz w:val="14"/>
                <w:szCs w:val="14"/>
                <w:color w:val="auto"/>
              </w:rPr>
              <w:t>⁾</w:t>
            </w: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52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239,436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54,398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293,834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290,437</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Less: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55,803</w:t>
            </w:r>
          </w:p>
        </w:tc>
        <w:tc>
          <w:tcPr>
            <w:tcW w:w="0" w:type="dxa"/>
            <w:vAlign w:val="bottom"/>
          </w:tcPr>
          <w:p>
            <w:pPr>
              <w:spacing w:after="0"/>
              <w:rPr>
                <w:sz w:val="1"/>
                <w:szCs w:val="1"/>
                <w:color w:val="auto"/>
              </w:rPr>
            </w:pP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64,396</w:t>
            </w:r>
          </w:p>
        </w:tc>
        <w:tc>
          <w:tcPr>
            <w:tcW w:w="0" w:type="dxa"/>
            <w:vAlign w:val="bottom"/>
          </w:tcPr>
          <w:p>
            <w:pPr>
              <w:spacing w:after="0"/>
              <w:rPr>
                <w:sz w:val="1"/>
                <w:szCs w:val="1"/>
                <w:color w:val="auto"/>
              </w:rPr>
            </w:pPr>
          </w:p>
        </w:tc>
      </w:tr>
      <w:tr>
        <w:trPr>
          <w:trHeight w:val="26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57"/>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5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-1790700</wp:posOffset>
            </wp:positionV>
            <wp:extent cx="97155" cy="74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155" cy="7493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-1790700</wp:posOffset>
            </wp:positionV>
            <wp:extent cx="97155" cy="74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40" w:right="20" w:hanging="332"/>
        <w:spacing w:after="0" w:line="230" w:lineRule="auto"/>
        <w:tabs>
          <w:tab w:leader="none" w:pos="3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Company has excluded contract acquisition costs that do not meet the criteria for capitalization from the segment measure. Contract acquisition costs of $6,232 for the three and six months ended June 30, 2023 reconcile Cost of sales in the segment measure to Cost of sales in the condensed consolidated statements of operations and comprehensive income (loss). Consolidation and Other also adjusts for the exclusion of the unrealized mark-to-market gain or loss on derivative instruments in our segment measure.</w:t>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ind w:left="80"/>
              <w:spacing w:after="0"/>
              <w:rPr>
                <w:sz w:val="20"/>
                <w:szCs w:val="20"/>
                <w:color w:val="auto"/>
              </w:rPr>
            </w:pPr>
            <w:r>
              <w:rPr>
                <w:rFonts w:ascii="Arial" w:cs="Arial" w:eastAsia="Arial" w:hAnsi="Arial"/>
                <w:sz w:val="18"/>
                <w:szCs w:val="18"/>
                <w:b w:val="1"/>
                <w:bCs w:val="1"/>
                <w:color w:val="auto"/>
              </w:rPr>
              <w:t>Terminals and</w:t>
            </w:r>
          </w:p>
        </w:tc>
        <w:tc>
          <w:tcPr>
            <w:tcW w:w="280" w:type="dxa"/>
            <w:vAlign w:val="bottom"/>
          </w:tcPr>
          <w:p>
            <w:pPr>
              <w:spacing w:after="0"/>
              <w:rPr>
                <w:sz w:val="18"/>
                <w:szCs w:val="18"/>
                <w:color w:val="auto"/>
              </w:rPr>
            </w:pPr>
          </w:p>
        </w:tc>
        <w:tc>
          <w:tcPr>
            <w:tcW w:w="960" w:type="dxa"/>
            <w:vAlign w:val="bottom"/>
            <w:vMerge w:val="restart"/>
          </w:tcPr>
          <w:p>
            <w:pPr>
              <w:jc w:val="right"/>
              <w:ind w:right="210"/>
              <w:spacing w:after="0" w:line="207" w:lineRule="exact"/>
              <w:rPr>
                <w:sz w:val="20"/>
                <w:szCs w:val="20"/>
                <w:color w:val="auto"/>
              </w:rPr>
            </w:pPr>
            <w:r>
              <w:rPr>
                <w:rFonts w:ascii="Arial" w:cs="Arial" w:eastAsia="Arial" w:hAnsi="Arial"/>
                <w:sz w:val="18"/>
                <w:szCs w:val="18"/>
                <w:b w:val="1"/>
                <w:bCs w:val="1"/>
                <w:color w:val="auto"/>
                <w:w w:val="98"/>
              </w:rPr>
              <w:t xml:space="preserve">Ships </w:t>
            </w:r>
            <w:r>
              <w:rPr>
                <w:rFonts w:ascii="MS PGothic" w:cs="MS PGothic" w:eastAsia="MS PGothic" w:hAnsi="MS PGothic"/>
                <w:sz w:val="14"/>
                <w:szCs w:val="14"/>
                <w:color w:val="auto"/>
                <w:w w:val="98"/>
              </w:rPr>
              <w:t>⁽</w:t>
            </w:r>
            <w:r>
              <w:rPr>
                <w:rFonts w:ascii="Arial" w:cs="Arial" w:eastAsia="Arial" w:hAnsi="Arial"/>
                <w:sz w:val="9"/>
                <w:szCs w:val="9"/>
                <w:b w:val="1"/>
                <w:bCs w:val="1"/>
                <w:color w:val="auto"/>
                <w:w w:val="98"/>
              </w:rPr>
              <w:t>1</w:t>
            </w:r>
            <w:r>
              <w:rPr>
                <w:rFonts w:ascii="MS PGothic" w:cs="MS PGothic" w:eastAsia="MS PGothic" w:hAnsi="MS PGothic"/>
                <w:sz w:val="14"/>
                <w:szCs w:val="14"/>
                <w:color w:val="auto"/>
                <w:w w:val="98"/>
              </w:rPr>
              <w:t>⁾</w:t>
            </w:r>
          </w:p>
        </w:tc>
        <w:tc>
          <w:tcPr>
            <w:tcW w:w="12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Consolidation and</w:t>
            </w:r>
          </w:p>
        </w:tc>
        <w:tc>
          <w:tcPr>
            <w:tcW w:w="240" w:type="dxa"/>
            <w:vAlign w:val="bottom"/>
          </w:tcPr>
          <w:p>
            <w:pPr>
              <w:spacing w:after="0"/>
              <w:rPr>
                <w:sz w:val="18"/>
                <w:szCs w:val="18"/>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5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6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Infrastructure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gridSpan w:val="2"/>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0"/>
              <w:spacing w:after="0" w:line="207" w:lineRule="exact"/>
              <w:rPr>
                <w:sz w:val="20"/>
                <w:szCs w:val="20"/>
                <w:color w:val="auto"/>
              </w:rPr>
            </w:pPr>
            <w:r>
              <w:rPr>
                <w:rFonts w:ascii="Arial" w:cs="Arial" w:eastAsia="Arial" w:hAnsi="Arial"/>
                <w:sz w:val="18"/>
                <w:szCs w:val="18"/>
                <w:b w:val="1"/>
                <w:bCs w:val="1"/>
                <w:color w:val="auto"/>
                <w:w w:val="96"/>
              </w:rPr>
              <w:t xml:space="preserve">Other </w:t>
            </w:r>
            <w:r>
              <w:rPr>
                <w:rFonts w:ascii="MS PGothic" w:cs="MS PGothic" w:eastAsia="MS PGothic" w:hAnsi="MS PGothic"/>
                <w:sz w:val="14"/>
                <w:szCs w:val="14"/>
                <w:color w:val="auto"/>
                <w:w w:val="96"/>
              </w:rPr>
              <w:t>⁽</w:t>
            </w:r>
            <w:r>
              <w:rPr>
                <w:rFonts w:ascii="Arial" w:cs="Arial" w:eastAsia="Arial" w:hAnsi="Arial"/>
                <w:sz w:val="9"/>
                <w:szCs w:val="9"/>
                <w:b w:val="1"/>
                <w:bCs w:val="1"/>
                <w:color w:val="auto"/>
                <w:w w:val="96"/>
              </w:rPr>
              <w:t>2</w:t>
            </w:r>
            <w:r>
              <w:rPr>
                <w:rFonts w:ascii="MS PGothic" w:cs="MS PGothic" w:eastAsia="MS PGothic" w:hAnsi="MS PGothic"/>
                <w:sz w:val="14"/>
                <w:szCs w:val="14"/>
                <w:color w:val="auto"/>
                <w:w w:val="96"/>
              </w:rPr>
              <w:t>⁾</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402,139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78,678</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480,817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354,231</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Less:</w:t>
            </w:r>
          </w:p>
        </w:tc>
        <w:tc>
          <w:tcPr>
            <w:tcW w:w="6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52,138</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6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6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0" w:type="dxa"/>
            <w:vAlign w:val="bottom"/>
          </w:tcPr>
          <w:p>
            <w:pPr>
              <w:spacing w:after="0"/>
              <w:rPr>
                <w:sz w:val="1"/>
                <w:szCs w:val="1"/>
                <w:color w:val="auto"/>
              </w:rPr>
            </w:pP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71,673</w:t>
            </w: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6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28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6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0" w:type="dxa"/>
            <w:vAlign w:val="bottom"/>
          </w:tcPr>
          <w:p>
            <w:pPr>
              <w:spacing w:after="0"/>
              <w:rPr>
                <w:sz w:val="1"/>
                <w:szCs w:val="1"/>
                <w:color w:val="auto"/>
              </w:rPr>
            </w:pPr>
          </w:p>
        </w:tc>
      </w:tr>
      <w:tr>
        <w:trPr>
          <w:trHeight w:val="237"/>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6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-1859280</wp:posOffset>
            </wp:positionV>
            <wp:extent cx="97155" cy="74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155" cy="7493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-1790700</wp:posOffset>
            </wp:positionV>
            <wp:extent cx="97155" cy="74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317" w:lineRule="exact"/>
        <w:rPr>
          <w:sz w:val="20"/>
          <w:szCs w:val="20"/>
          <w:color w:val="auto"/>
        </w:rPr>
      </w:pPr>
    </w:p>
    <w:p>
      <w:pPr>
        <w:ind w:left="340" w:right="100" w:hanging="332"/>
        <w:spacing w:after="0" w:line="236"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Ships includes our effective share of revenues, expenses and operating margin attributable to our 50% ownership of Hilli LLC, prior to the disposition of this investment. The earnings attributable to the investment of $5,986 for the three months ended March 31, 2023 are reported in income from equity method investments in the condensed consolidated statements of operations and comprehensive income.</w:t>
      </w:r>
    </w:p>
    <w:p>
      <w:pPr>
        <w:spacing w:after="0" w:line="2" w:lineRule="exact"/>
        <w:rPr>
          <w:rFonts w:ascii="Arial" w:cs="Arial" w:eastAsia="Arial" w:hAnsi="Arial"/>
          <w:sz w:val="22"/>
          <w:szCs w:val="22"/>
          <w:color w:val="auto"/>
          <w:vertAlign w:val="superscript"/>
        </w:rPr>
      </w:pPr>
    </w:p>
    <w:p>
      <w:pPr>
        <w:ind w:left="340" w:right="200" w:hanging="332"/>
        <w:spacing w:after="0" w:line="223"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Consolidation and Other adjusts for the inclusion of the effective share of revenues, expenses and operating margin attributable to 50% ownership of Hilli LLC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70"/>
              <w:spacing w:after="0" w:line="196" w:lineRule="exact"/>
              <w:rPr>
                <w:sz w:val="20"/>
                <w:szCs w:val="20"/>
                <w:color w:val="auto"/>
              </w:rPr>
            </w:pPr>
            <w:r>
              <w:rPr>
                <w:rFonts w:ascii="Arial" w:cs="Arial" w:eastAsia="Arial" w:hAnsi="Arial"/>
                <w:sz w:val="18"/>
                <w:szCs w:val="18"/>
                <w:b w:val="1"/>
                <w:bCs w:val="1"/>
                <w:color w:val="auto"/>
                <w:w w:val="90"/>
              </w:rPr>
              <w:t>Terminals and</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64"/>
              <w:spacing w:after="0"/>
              <w:rPr>
                <w:sz w:val="20"/>
                <w:szCs w:val="20"/>
                <w:color w:val="auto"/>
              </w:rPr>
            </w:pPr>
            <w:r>
              <w:rPr>
                <w:rFonts w:ascii="Arial" w:cs="Arial" w:eastAsia="Arial" w:hAnsi="Arial"/>
                <w:sz w:val="9"/>
                <w:szCs w:val="9"/>
                <w:b w:val="1"/>
                <w:bCs w:val="1"/>
                <w:color w:val="auto"/>
              </w:rPr>
              <w:t>2</w:t>
            </w: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89"/>
              </w:rPr>
              <w:t>Consolidation and</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5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70"/>
              <w:spacing w:after="0" w:line="243" w:lineRule="exact"/>
              <w:rPr>
                <w:sz w:val="20"/>
                <w:szCs w:val="20"/>
                <w:color w:val="auto"/>
              </w:rPr>
            </w:pPr>
            <w:r>
              <w:rPr>
                <w:rFonts w:ascii="Arial" w:cs="Arial" w:eastAsia="Arial" w:hAnsi="Arial"/>
                <w:sz w:val="18"/>
                <w:szCs w:val="18"/>
                <w:b w:val="1"/>
                <w:bCs w:val="1"/>
                <w:color w:val="auto"/>
                <w:w w:val="92"/>
              </w:rPr>
              <w:t xml:space="preserve">Infrastructure </w:t>
            </w:r>
            <w:r>
              <w:rPr>
                <w:rFonts w:ascii="Arial" w:cs="Arial" w:eastAsia="Arial" w:hAnsi="Arial"/>
                <w:sz w:val="23"/>
                <w:szCs w:val="23"/>
                <w:b w:val="1"/>
                <w:bCs w:val="1"/>
                <w:color w:val="auto"/>
                <w:w w:val="92"/>
                <w:vertAlign w:val="superscript"/>
              </w:rPr>
              <w:t>(1)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b w:val="1"/>
                <w:bCs w:val="1"/>
                <w:color w:val="auto"/>
              </w:rPr>
              <w:t xml:space="preserve">Ships </w:t>
            </w:r>
            <w:r>
              <w:rPr>
                <w:rFonts w:ascii="MS PGothic" w:cs="MS PGothic" w:eastAsia="MS PGothic" w:hAnsi="MS PGothic"/>
                <w:sz w:val="18"/>
                <w:szCs w:val="18"/>
                <w:color w:val="auto"/>
              </w:rPr>
              <w:t>⁽ ⁾</w:t>
            </w: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230"/>
              <w:spacing w:after="0" w:line="207" w:lineRule="exact"/>
              <w:rPr>
                <w:sz w:val="20"/>
                <w:szCs w:val="20"/>
                <w:color w:val="auto"/>
              </w:rPr>
            </w:pPr>
            <w:r>
              <w:rPr>
                <w:rFonts w:ascii="Arial" w:cs="Arial" w:eastAsia="Arial" w:hAnsi="Arial"/>
                <w:sz w:val="18"/>
                <w:szCs w:val="18"/>
                <w:b w:val="1"/>
                <w:bCs w:val="1"/>
                <w:color w:val="auto"/>
                <w:w w:val="96"/>
              </w:rPr>
              <w:t xml:space="preserve">Other </w:t>
            </w:r>
            <w:r>
              <w:rPr>
                <w:rFonts w:ascii="MS PGothic" w:cs="MS PGothic" w:eastAsia="MS PGothic" w:hAnsi="MS PGothic"/>
                <w:sz w:val="18"/>
                <w:szCs w:val="18"/>
                <w:color w:val="auto"/>
                <w:w w:val="96"/>
              </w:rPr>
              <w:t>⁽</w:t>
            </w:r>
            <w:r>
              <w:rPr>
                <w:rFonts w:ascii="Arial" w:cs="Arial" w:eastAsia="Arial" w:hAnsi="Arial"/>
                <w:sz w:val="18"/>
                <w:szCs w:val="18"/>
                <w:b w:val="1"/>
                <w:bCs w:val="1"/>
                <w:color w:val="auto"/>
                <w:w w:val="96"/>
              </w:rPr>
              <w:t>3</w:t>
            </w:r>
            <w:r>
              <w:rPr>
                <w:rFonts w:ascii="MS PGothic" w:cs="MS PGothic" w:eastAsia="MS PGothic" w:hAnsi="MS PGothic"/>
                <w:sz w:val="18"/>
                <w:szCs w:val="18"/>
                <w:color w:val="auto"/>
                <w:w w:val="96"/>
              </w:rPr>
              <w: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r>
      <w:tr>
        <w:trPr>
          <w:trHeight w:val="25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237,712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89,736</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327,448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273,336</w:t>
            </w: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50,310</w:t>
            </w: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4,866</w:t>
            </w:r>
          </w:p>
        </w:tc>
      </w:tr>
      <w:tr>
        <w:trPr>
          <w:trHeight w:val="26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36,356</w:t>
            </w: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48,109</w:t>
            </w:r>
          </w:p>
        </w:tc>
      </w:tr>
      <w:tr>
        <w:trPr>
          <w:trHeight w:val="26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w:t>
            </w: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(22,102)</w:t>
            </w: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372,927</w:t>
            </w:r>
          </w:p>
        </w:tc>
      </w:tr>
      <w:tr>
        <w:trPr>
          <w:trHeight w:val="27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provision</w:t>
            </w: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(86,539)</w:t>
            </w:r>
          </w:p>
        </w:tc>
      </w:tr>
      <w:tr>
        <w:trPr>
          <w:trHeight w:val="25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-2040255</wp:posOffset>
            </wp:positionV>
            <wp:extent cx="101600"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600" cy="8699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-1979930</wp:posOffset>
            </wp:positionV>
            <wp:extent cx="12890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86995"/>
                    </a:xfrm>
                    <a:prstGeom prst="rect">
                      <a:avLst/>
                    </a:prstGeom>
                    <a:noFill/>
                  </pic:spPr>
                </pic:pic>
              </a:graphicData>
            </a:graphic>
          </wp:anchor>
        </w:drawing>
      </w:r>
    </w:p>
    <w:p>
      <w:pPr>
        <w:spacing w:after="0" w:line="330" w:lineRule="exact"/>
        <w:rPr>
          <w:sz w:val="20"/>
          <w:szCs w:val="20"/>
          <w:color w:val="auto"/>
        </w:rPr>
      </w:pPr>
    </w:p>
    <w:p>
      <w:pPr>
        <w:ind w:right="40" w:firstLine="8"/>
        <w:spacing w:after="0" w:line="243" w:lineRule="auto"/>
        <w:tabs>
          <w:tab w:leader="none" w:pos="2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Terminals and Infrastructure included the Company's effective share of revenues, expenses and operating margin attributable to 50% ownership of CELSEPAR, prior to the disposition of this investment in the fourth quarter of 2022. The losses attributable to the investment of $389,996 for the three months ended June 30, 2022 are reported in (loss) income from equity method investments in the consolidated statements of operations and comprehensive income (loss).</w:t>
      </w:r>
    </w:p>
    <w:p>
      <w:pPr>
        <w:spacing w:after="0" w:line="1" w:lineRule="exact"/>
        <w:rPr>
          <w:rFonts w:ascii="Arial" w:cs="Arial" w:eastAsia="Arial" w:hAnsi="Arial"/>
          <w:sz w:val="18"/>
          <w:szCs w:val="18"/>
          <w:color w:val="auto"/>
        </w:rPr>
      </w:pPr>
    </w:p>
    <w:p>
      <w:pPr>
        <w:ind w:right="260" w:firstLine="8"/>
        <w:spacing w:after="0" w:line="238"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Ships included the Company's effective share of revenues, expenses and operating margin attributable to 50% ownership of the Hilli Common Units, prior to the disposition of this investment in the first quarter of 2023. The earnings attributable to the investment of $17,069 for the three months ended June 30, 2022 are reported in (loss) income from equity method investments in the condensed consolidated statements of operations and comprehensive income (loss).</w:t>
      </w:r>
    </w:p>
    <w:p>
      <w:pPr>
        <w:spacing w:after="0" w:line="2" w:lineRule="exact"/>
        <w:rPr>
          <w:rFonts w:ascii="Arial" w:cs="Arial" w:eastAsia="Arial" w:hAnsi="Arial"/>
          <w:sz w:val="18"/>
          <w:szCs w:val="18"/>
          <w:color w:val="auto"/>
        </w:rPr>
      </w:pPr>
    </w:p>
    <w:p>
      <w:pPr>
        <w:ind w:right="280" w:firstLine="8"/>
        <w:spacing w:after="0" w:line="321"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sets forth a reconciliation between net income attributable to stockholders and earnings per share adjusted for non-cash impairment charges and losses on disposals of assets.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Three months ended March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Three months ended June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34"/>
        </w:trPr>
        <w:tc>
          <w:tcPr>
            <w:tcW w:w="4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31, 2023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r>
      <w:tr>
        <w:trPr>
          <w:trHeight w:val="25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269,454</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Non-cash impairment charges, net of tax</w:t>
            </w:r>
          </w:p>
        </w:tc>
        <w:tc>
          <w:tcPr>
            <w:tcW w:w="4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investment in Hilli LLC</w:t>
            </w:r>
          </w:p>
        </w:tc>
        <w:tc>
          <w:tcPr>
            <w:tcW w:w="4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306,855</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209,325,619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205,711,467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207,534,174</w:t>
            </w:r>
          </w:p>
        </w:tc>
      </w:tr>
      <w:tr>
        <w:trPr>
          <w:trHeight w:val="270"/>
        </w:trPr>
        <w:tc>
          <w:tcPr>
            <w:tcW w:w="4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
        </w:trPr>
        <w:tc>
          <w:tcPr>
            <w:tcW w:w="4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320" w:top="931"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2023 and December 31,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104,342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675,492</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100,513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165,396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$805 and $884,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275,292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280,313</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128,411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39,070</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226,883</w:t>
            </w:r>
          </w:p>
        </w:tc>
        <w:tc>
          <w:tcPr>
            <w:tcW w:w="0" w:type="dxa"/>
            <w:vAlign w:val="bottom"/>
          </w:tcPr>
          <w:p>
            <w:pPr>
              <w:spacing w:after="0"/>
              <w:rPr>
                <w:sz w:val="1"/>
                <w:szCs w:val="1"/>
                <w:color w:val="auto"/>
              </w:rPr>
            </w:pPr>
          </w:p>
        </w:tc>
      </w:tr>
      <w:tr>
        <w:trPr>
          <w:trHeight w:val="197"/>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713,691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1,387,154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Construction in progress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4,593,132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2,418,608</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2,161,930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2,116,727</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Equity method investments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392,306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Right-of-use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504,299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377,877</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74,540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85,897</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8,074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141,679</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9,135,239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7,705,082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Current portion of long-term debt and short-term borrowings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366,945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64,820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602,759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80,387</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821,137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1,162,412</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133,431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48,741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52,878</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2,067,870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1,409,238</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5,064,188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4,476,865</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349,331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302,121</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49,010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7,584,364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6,263,223</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140"/>
              <w:spacing w:after="0"/>
              <w:rPr>
                <w:sz w:val="20"/>
                <w:szCs w:val="20"/>
                <w:color w:val="auto"/>
              </w:rPr>
            </w:pPr>
            <w:r>
              <w:rPr>
                <w:rFonts w:ascii="Arial" w:cs="Arial" w:eastAsia="Arial" w:hAnsi="Arial"/>
                <w:sz w:val="14"/>
                <w:szCs w:val="14"/>
                <w:color w:val="auto"/>
                <w:w w:val="93"/>
              </w:rPr>
              <w:t>Class A common stock, $0.01 par value, 750 million shares authorized, 205.0 million issued and outstanding as of June 30, 2023; 208.8</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280"/>
              <w:spacing w:after="0"/>
              <w:rPr>
                <w:sz w:val="20"/>
                <w:szCs w:val="20"/>
                <w:color w:val="auto"/>
              </w:rPr>
            </w:pPr>
            <w:r>
              <w:rPr>
                <w:rFonts w:ascii="Arial" w:cs="Arial" w:eastAsia="Arial" w:hAnsi="Arial"/>
                <w:sz w:val="14"/>
                <w:szCs w:val="14"/>
                <w:color w:val="auto"/>
              </w:rPr>
              <w:t>million issued and outstanding as of December 31, 2022</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1,039,201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1,170,254</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290,564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62,080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55,398</w:t>
            </w:r>
          </w:p>
        </w:tc>
        <w:tc>
          <w:tcPr>
            <w:tcW w:w="0" w:type="dxa"/>
            <w:vAlign w:val="bottom"/>
          </w:tcPr>
          <w:p>
            <w:pPr>
              <w:spacing w:after="0"/>
              <w:rPr>
                <w:sz w:val="1"/>
                <w:szCs w:val="1"/>
                <w:color w:val="auto"/>
              </w:rPr>
            </w:pPr>
          </w:p>
        </w:tc>
      </w:tr>
      <w:tr>
        <w:trPr>
          <w:trHeight w:val="178"/>
        </w:trPr>
        <w:tc>
          <w:tcPr>
            <w:tcW w:w="802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1,406,161</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1,289,820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1,550,875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1,441,859</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9,135,239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7,705,082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3"/>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494,619</w:t>
            </w:r>
          </w:p>
        </w:tc>
        <w:tc>
          <w:tcPr>
            <w:tcW w:w="4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497,240</w:t>
            </w:r>
          </w:p>
        </w:tc>
        <w:tc>
          <w:tcPr>
            <w:tcW w:w="4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996,307</w:t>
            </w:r>
          </w:p>
        </w:tc>
        <w:tc>
          <w:tcPr>
            <w:tcW w:w="4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897,315</w:t>
            </w:r>
          </w:p>
        </w:tc>
        <w:tc>
          <w:tcPr>
            <w:tcW w:w="0" w:type="dxa"/>
            <w:vAlign w:val="bottom"/>
          </w:tcPr>
          <w:p>
            <w:pPr>
              <w:spacing w:after="0"/>
              <w:rPr>
                <w:sz w:val="1"/>
                <w:szCs w:val="1"/>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4"/>
                <w:szCs w:val="14"/>
                <w:color w:val="auto"/>
              </w:rPr>
              <w:t>Vessel charter revenue</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65,840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142,364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167,554</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25,104</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561,345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1,140,476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1,089,973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225,768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272,401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410,706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480,699</w:t>
            </w:r>
          </w:p>
        </w:tc>
        <w:tc>
          <w:tcPr>
            <w:tcW w:w="0" w:type="dxa"/>
            <w:vAlign w:val="bottom"/>
          </w:tcPr>
          <w:p>
            <w:pPr>
              <w:spacing w:after="0"/>
              <w:rPr>
                <w:sz w:val="1"/>
                <w:szCs w:val="1"/>
                <w:color w:val="auto"/>
              </w:rPr>
            </w:pPr>
          </w:p>
        </w:tc>
      </w:tr>
      <w:tr>
        <w:trPr>
          <w:trHeight w:val="191"/>
        </w:trPr>
        <w:tc>
          <w:tcPr>
            <w:tcW w:w="5480" w:type="dxa"/>
            <w:vAlign w:val="bottom"/>
          </w:tcPr>
          <w:p>
            <w:pPr>
              <w:ind w:left="20"/>
              <w:spacing w:after="0"/>
              <w:rPr>
                <w:sz w:val="20"/>
                <w:szCs w:val="20"/>
                <w:color w:val="auto"/>
              </w:rPr>
            </w:pPr>
            <w:r>
              <w:rPr>
                <w:rFonts w:ascii="Arial" w:cs="Arial" w:eastAsia="Arial" w:hAnsi="Arial"/>
                <w:sz w:val="14"/>
                <w:szCs w:val="14"/>
                <w:color w:val="auto"/>
              </w:rPr>
              <w:t>Vessel operating expenses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18,628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41,592</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Operations and maintenance</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33,697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60,368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43,658</w:t>
            </w:r>
          </w:p>
        </w:tc>
        <w:tc>
          <w:tcPr>
            <w:tcW w:w="0" w:type="dxa"/>
            <w:vAlign w:val="bottom"/>
          </w:tcPr>
          <w:p>
            <w:pPr>
              <w:spacing w:after="0"/>
              <w:rPr>
                <w:sz w:val="1"/>
                <w:szCs w:val="1"/>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55,803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50,310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107,941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98,351</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and integration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76,490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70,646</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impairment expense</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0" w:type="dxa"/>
            <w:vAlign w:val="bottom"/>
          </w:tcPr>
          <w:p>
            <w:pPr>
              <w:spacing w:after="0"/>
              <w:rPr>
                <w:sz w:val="1"/>
                <w:szCs w:val="1"/>
                <w:color w:val="auto"/>
              </w:rPr>
            </w:pPr>
          </w:p>
        </w:tc>
      </w:tr>
      <w:tr>
        <w:trPr>
          <w:trHeight w:val="190"/>
        </w:trPr>
        <w:tc>
          <w:tcPr>
            <w:tcW w:w="548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370,380</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451,160</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682,287</w:t>
            </w: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789,822</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190,965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133,695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458,189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300,151</w:t>
            </w:r>
          </w:p>
        </w:tc>
        <w:tc>
          <w:tcPr>
            <w:tcW w:w="0" w:type="dxa"/>
            <w:vAlign w:val="bottom"/>
          </w:tcPr>
          <w:p>
            <w:pPr>
              <w:spacing w:after="0"/>
              <w:rPr>
                <w:sz w:val="1"/>
                <w:szCs w:val="1"/>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64,396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136,069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92,756</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(41,827)</w:t>
            </w:r>
          </w:p>
        </w:tc>
        <w:tc>
          <w:tcPr>
            <w:tcW w:w="0" w:type="dxa"/>
            <w:vAlign w:val="bottom"/>
          </w:tcPr>
          <w:p>
            <w:pPr>
              <w:spacing w:after="0"/>
              <w:rPr>
                <w:sz w:val="1"/>
                <w:szCs w:val="1"/>
                <w:color w:val="auto"/>
              </w:rPr>
            </w:pPr>
          </w:p>
        </w:tc>
      </w:tr>
      <w:tr>
        <w:trPr>
          <w:trHeight w:val="190"/>
        </w:trPr>
        <w:tc>
          <w:tcPr>
            <w:tcW w:w="5480" w:type="dxa"/>
            <w:vAlign w:val="bottom"/>
          </w:tcPr>
          <w:p>
            <w:pPr>
              <w:ind w:left="140"/>
              <w:spacing w:after="0"/>
              <w:rPr>
                <w:sz w:val="20"/>
                <w:szCs w:val="20"/>
                <w:color w:val="auto"/>
              </w:rPr>
            </w:pPr>
            <w:r>
              <w:rPr>
                <w:rFonts w:ascii="Arial" w:cs="Arial" w:eastAsia="Arial" w:hAnsi="Arial"/>
                <w:sz w:val="14"/>
                <w:szCs w:val="14"/>
                <w:b w:val="1"/>
                <w:bCs w:val="1"/>
                <w:color w:val="auto"/>
              </w:rPr>
              <w:t>Income before income from equity method investments and income taxes</w:t>
            </w: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133,153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107,957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303,699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249,222</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equity method investments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(372,927)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(322,692)</w:t>
            </w:r>
          </w:p>
        </w:tc>
        <w:tc>
          <w:tcPr>
            <w:tcW w:w="0" w:type="dxa"/>
            <w:vAlign w:val="bottom"/>
          </w:tcPr>
          <w:p>
            <w:pPr>
              <w:spacing w:after="0"/>
              <w:rPr>
                <w:sz w:val="1"/>
                <w:szCs w:val="1"/>
                <w:color w:val="auto"/>
              </w:rPr>
            </w:pPr>
          </w:p>
        </w:tc>
      </w:tr>
      <w:tr>
        <w:trPr>
          <w:trHeight w:val="197"/>
        </w:trPr>
        <w:tc>
          <w:tcPr>
            <w:tcW w:w="5480" w:type="dxa"/>
            <w:vAlign w:val="bottom"/>
          </w:tcPr>
          <w:p>
            <w:pPr>
              <w:ind w:left="20"/>
              <w:spacing w:after="0"/>
              <w:rPr>
                <w:sz w:val="20"/>
                <w:szCs w:val="20"/>
                <w:color w:val="auto"/>
              </w:rPr>
            </w:pPr>
            <w:r>
              <w:rPr>
                <w:rFonts w:ascii="Arial" w:cs="Arial" w:eastAsia="Arial" w:hAnsi="Arial"/>
                <w:sz w:val="14"/>
                <w:szCs w:val="14"/>
                <w:color w:val="auto"/>
              </w:rPr>
              <w:t>Tax provision (benefit)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(86,539)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(136,220)</w:t>
            </w:r>
          </w:p>
        </w:tc>
        <w:tc>
          <w:tcPr>
            <w:tcW w:w="0" w:type="dxa"/>
            <w:vAlign w:val="bottom"/>
          </w:tcPr>
          <w:p>
            <w:pPr>
              <w:spacing w:after="0"/>
              <w:rPr>
                <w:sz w:val="1"/>
                <w:szCs w:val="1"/>
                <w:color w:val="auto"/>
              </w:rPr>
            </w:pPr>
          </w:p>
        </w:tc>
      </w:tr>
      <w:tr>
        <w:trPr>
          <w:trHeight w:val="195"/>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120,100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(178,431)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271,666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62,750</w:t>
            </w:r>
          </w:p>
        </w:tc>
        <w:tc>
          <w:tcPr>
            <w:tcW w:w="0" w:type="dxa"/>
            <w:vAlign w:val="bottom"/>
          </w:tcPr>
          <w:p>
            <w:pPr>
              <w:spacing w:after="0"/>
              <w:rPr>
                <w:sz w:val="1"/>
                <w:szCs w:val="1"/>
                <w:color w:val="auto"/>
              </w:rPr>
            </w:pPr>
          </w:p>
        </w:tc>
      </w:tr>
      <w:tr>
        <w:trPr>
          <w:trHeight w:val="190"/>
        </w:trPr>
        <w:tc>
          <w:tcPr>
            <w:tcW w:w="54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5,754</w:t>
            </w:r>
          </w:p>
        </w:tc>
        <w:tc>
          <w:tcPr>
            <w:tcW w:w="0" w:type="dxa"/>
            <w:vAlign w:val="bottom"/>
          </w:tcPr>
          <w:p>
            <w:pPr>
              <w:spacing w:after="0"/>
              <w:rPr>
                <w:sz w:val="1"/>
                <w:szCs w:val="1"/>
                <w:color w:val="auto"/>
              </w:rPr>
            </w:pPr>
          </w:p>
        </w:tc>
      </w:tr>
      <w:tr>
        <w:trPr>
          <w:trHeight w:val="25"/>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 (loss) attributable to stockholders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269,454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 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80" w:type="dxa"/>
            <w:vAlign w:val="bottom"/>
          </w:tcPr>
          <w:p>
            <w:pPr>
              <w:ind w:left="20"/>
              <w:spacing w:after="0"/>
              <w:rPr>
                <w:sz w:val="20"/>
                <w:szCs w:val="20"/>
                <w:color w:val="auto"/>
              </w:rPr>
            </w:pPr>
            <w:r>
              <w:rPr>
                <w:rFonts w:ascii="Arial" w:cs="Arial" w:eastAsia="Arial" w:hAnsi="Arial"/>
                <w:sz w:val="14"/>
                <w:szCs w:val="14"/>
                <w:color w:val="auto"/>
              </w:rPr>
              <w:t>Net income (loss) per share – diluted</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 – basic</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205,045,121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209,669,188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206,867,828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209,797,133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 – diluted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205,711,467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209,669,188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207,534,174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209,810,647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3"/>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271,666</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62,750</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Adjustments for:</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76,949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71,172</w:t>
            </w:r>
          </w:p>
        </w:tc>
        <w:tc>
          <w:tcPr>
            <w:tcW w:w="0" w:type="dxa"/>
            <w:vAlign w:val="bottom"/>
          </w:tcPr>
          <w:p>
            <w:pPr>
              <w:spacing w:after="0"/>
              <w:rPr>
                <w:sz w:val="1"/>
                <w:szCs w:val="1"/>
                <w:color w:val="auto"/>
              </w:rPr>
            </w:pPr>
          </w:p>
        </w:tc>
      </w:tr>
      <w:tr>
        <w:trPr>
          <w:trHeight w:val="186"/>
        </w:trPr>
        <w:tc>
          <w:tcPr>
            <w:tcW w:w="8220" w:type="dxa"/>
            <w:vAlign w:val="bottom"/>
          </w:tcPr>
          <w:p>
            <w:pPr>
              <w:ind w:left="240"/>
              <w:spacing w:after="0"/>
              <w:rPr>
                <w:sz w:val="20"/>
                <w:szCs w:val="20"/>
                <w:color w:val="auto"/>
              </w:rPr>
            </w:pPr>
            <w:r>
              <w:rPr>
                <w:rFonts w:ascii="Arial" w:cs="Arial" w:eastAsia="Arial" w:hAnsi="Arial"/>
                <w:sz w:val="14"/>
                <w:szCs w:val="14"/>
                <w:color w:val="auto"/>
              </w:rPr>
              <w:t>(Earnings) losses of equity method investees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322,692</w:t>
            </w:r>
          </w:p>
        </w:tc>
        <w:tc>
          <w:tcPr>
            <w:tcW w:w="0" w:type="dxa"/>
            <w:vAlign w:val="bottom"/>
          </w:tcPr>
          <w:p>
            <w:pPr>
              <w:spacing w:after="0"/>
              <w:rPr>
                <w:sz w:val="1"/>
                <w:szCs w:val="1"/>
                <w:color w:val="auto"/>
              </w:rPr>
            </w:pPr>
          </w:p>
        </w:tc>
      </w:tr>
      <w:tr>
        <w:trPr>
          <w:trHeight w:val="186"/>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Drydocking expenditure</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(12,439)</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Dividends received from equity method investees</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5,830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14,859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market value of derivatives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Deferred taxes</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(178,109)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impairment expense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0" w:type="dxa"/>
            <w:vAlign w:val="bottom"/>
          </w:tcPr>
          <w:p>
            <w:pPr>
              <w:spacing w:after="0"/>
              <w:rPr>
                <w:sz w:val="1"/>
                <w:szCs w:val="1"/>
                <w:color w:val="auto"/>
              </w:rPr>
            </w:pPr>
          </w:p>
        </w:tc>
      </w:tr>
      <w:tr>
        <w:trPr>
          <w:trHeight w:val="182"/>
        </w:trPr>
        <w:tc>
          <w:tcPr>
            <w:tcW w:w="8220" w:type="dxa"/>
            <w:vAlign w:val="bottom"/>
          </w:tcPr>
          <w:p>
            <w:pPr>
              <w:ind w:left="240"/>
              <w:spacing w:after="0"/>
              <w:rPr>
                <w:sz w:val="20"/>
                <w:szCs w:val="20"/>
                <w:color w:val="auto"/>
              </w:rPr>
            </w:pPr>
            <w:r>
              <w:rPr>
                <w:rFonts w:ascii="Arial" w:cs="Arial" w:eastAsia="Arial" w:hAnsi="Arial"/>
                <w:sz w:val="14"/>
                <w:szCs w:val="14"/>
                <w:color w:val="auto"/>
              </w:rPr>
              <w:t>Earnings recognized from vessels chartered to third parties transferred to Energos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(71,536)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the disposal of equity method investment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37,401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20" w:type="dxa"/>
            <w:vAlign w:val="bottom"/>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12,435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6,808</w:t>
            </w:r>
          </w:p>
        </w:tc>
        <w:tc>
          <w:tcPr>
            <w:tcW w:w="0" w:type="dxa"/>
            <w:vAlign w:val="bottom"/>
          </w:tcPr>
          <w:p>
            <w:pPr>
              <w:spacing w:after="0"/>
              <w:rPr>
                <w:sz w:val="1"/>
                <w:szCs w:val="1"/>
                <w:color w:val="auto"/>
              </w:rPr>
            </w:pPr>
          </w:p>
        </w:tc>
      </w:tr>
      <w:tr>
        <w:trPr>
          <w:trHeight w:val="18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Decrease (increase) in receivables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(123,843)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in inventories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(35,167)</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Decrease (increase) in other assets</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63,576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(58,949)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right-of-use assets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40,655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35,265</w:t>
            </w:r>
          </w:p>
        </w:tc>
        <w:tc>
          <w:tcPr>
            <w:tcW w:w="0" w:type="dxa"/>
            <w:vAlign w:val="bottom"/>
          </w:tcPr>
          <w:p>
            <w:pPr>
              <w:spacing w:after="0"/>
              <w:rPr>
                <w:sz w:val="1"/>
                <w:szCs w:val="1"/>
                <w:color w:val="auto"/>
              </w:rPr>
            </w:pPr>
          </w:p>
        </w:tc>
      </w:tr>
      <w:tr>
        <w:trPr>
          <w:trHeight w:val="186"/>
        </w:trPr>
        <w:tc>
          <w:tcPr>
            <w:tcW w:w="8220" w:type="dxa"/>
            <w:vAlign w:val="bottom"/>
          </w:tcPr>
          <w:p>
            <w:pPr>
              <w:ind w:left="140"/>
              <w:spacing w:after="0"/>
              <w:rPr>
                <w:sz w:val="20"/>
                <w:szCs w:val="20"/>
                <w:color w:val="auto"/>
              </w:rPr>
            </w:pPr>
            <w:r>
              <w:rPr>
                <w:rFonts w:ascii="Arial" w:cs="Arial" w:eastAsia="Arial" w:hAnsi="Arial"/>
                <w:sz w:val="14"/>
                <w:szCs w:val="14"/>
                <w:color w:val="auto"/>
              </w:rPr>
              <w:t>Increase in accounts payable/accrued liabilities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75,746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71,603</w:t>
            </w:r>
          </w:p>
        </w:tc>
        <w:tc>
          <w:tcPr>
            <w:tcW w:w="0" w:type="dxa"/>
            <w:vAlign w:val="bottom"/>
          </w:tcPr>
          <w:p>
            <w:pPr>
              <w:spacing w:after="0"/>
              <w:rPr>
                <w:sz w:val="1"/>
                <w:szCs w:val="1"/>
                <w:color w:val="auto"/>
              </w:rPr>
            </w:pPr>
          </w:p>
        </w:tc>
      </w:tr>
      <w:tr>
        <w:trPr>
          <w:trHeight w:val="186"/>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lease liabilities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(31,352)</w:t>
            </w:r>
          </w:p>
        </w:tc>
        <w:tc>
          <w:tcPr>
            <w:tcW w:w="0" w:type="dxa"/>
            <w:vAlign w:val="bottom"/>
          </w:tcPr>
          <w:p>
            <w:pPr>
              <w:spacing w:after="0"/>
              <w:rPr>
                <w:sz w:val="1"/>
                <w:szCs w:val="1"/>
                <w:color w:val="auto"/>
              </w:rPr>
            </w:pPr>
          </w:p>
        </w:tc>
      </w:tr>
      <w:tr>
        <w:trPr>
          <w:trHeight w:val="197"/>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Increase (decrease) in other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116,959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(12,668)</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503,877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170,933</w:t>
            </w:r>
          </w:p>
        </w:tc>
        <w:tc>
          <w:tcPr>
            <w:tcW w:w="0" w:type="dxa"/>
            <w:vAlign w:val="bottom"/>
          </w:tcPr>
          <w:p>
            <w:pPr>
              <w:spacing w:after="0"/>
              <w:rPr>
                <w:sz w:val="1"/>
                <w:szCs w:val="1"/>
                <w:color w:val="auto"/>
              </w:rPr>
            </w:pPr>
          </w:p>
        </w:tc>
      </w:tr>
      <w:tr>
        <w:trPr>
          <w:trHeight w:val="145"/>
        </w:trPr>
        <w:tc>
          <w:tcPr>
            <w:tcW w:w="8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(1,465,642)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(441,708)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 of equity method investment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(1,367,092)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(441,708)</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Proceeds from borrowings of debt</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919,625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437,917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deferred financing costs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w:t>
            </w:r>
          </w:p>
        </w:tc>
        <w:tc>
          <w:tcPr>
            <w:tcW w:w="0" w:type="dxa"/>
            <w:vAlign w:val="bottom"/>
          </w:tcPr>
          <w:p>
            <w:pPr>
              <w:spacing w:after="0"/>
              <w:rPr>
                <w:sz w:val="1"/>
                <w:szCs w:val="1"/>
                <w:color w:val="auto"/>
              </w:rPr>
            </w:pPr>
          </w:p>
        </w:tc>
      </w:tr>
      <w:tr>
        <w:trPr>
          <w:trHeight w:val="182"/>
        </w:trPr>
        <w:tc>
          <w:tcPr>
            <w:tcW w:w="8220" w:type="dxa"/>
            <w:vAlign w:val="bottom"/>
          </w:tcPr>
          <w:p>
            <w:pPr>
              <w:ind w:left="140"/>
              <w:spacing w:after="0"/>
              <w:rPr>
                <w:sz w:val="20"/>
                <w:szCs w:val="20"/>
                <w:color w:val="auto"/>
              </w:rPr>
            </w:pPr>
            <w:r>
              <w:rPr>
                <w:rFonts w:ascii="Arial" w:cs="Arial" w:eastAsia="Arial" w:hAnsi="Arial"/>
                <w:sz w:val="14"/>
                <w:szCs w:val="14"/>
                <w:color w:val="auto"/>
              </w:rPr>
              <w:t>Repayment of debt</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(146,030)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withholdings for share-based compensation</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(13,054)</w:t>
            </w:r>
          </w:p>
        </w:tc>
        <w:tc>
          <w:tcPr>
            <w:tcW w:w="0" w:type="dxa"/>
            <w:vAlign w:val="bottom"/>
          </w:tcPr>
          <w:p>
            <w:pPr>
              <w:spacing w:after="0"/>
              <w:rPr>
                <w:sz w:val="1"/>
                <w:szCs w:val="1"/>
                <w:color w:val="auto"/>
              </w:rPr>
            </w:pPr>
          </w:p>
        </w:tc>
      </w:tr>
      <w:tr>
        <w:trPr>
          <w:trHeight w:val="186"/>
        </w:trPr>
        <w:tc>
          <w:tcPr>
            <w:tcW w:w="8220" w:type="dxa"/>
            <w:vAlign w:val="bottom"/>
          </w:tcPr>
          <w:p>
            <w:pPr>
              <w:ind w:left="140"/>
              <w:spacing w:after="0"/>
              <w:rPr>
                <w:sz w:val="20"/>
                <w:szCs w:val="20"/>
                <w:color w:val="auto"/>
              </w:rPr>
            </w:pPr>
            <w:r>
              <w:rPr>
                <w:rFonts w:ascii="Arial" w:cs="Arial" w:eastAsia="Arial" w:hAnsi="Arial"/>
                <w:sz w:val="14"/>
                <w:szCs w:val="14"/>
                <w:color w:val="auto"/>
              </w:rPr>
              <w:t>Payment of dividends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(676,918)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(47,374)</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20" w:type="dxa"/>
            <w:vAlign w:val="bottom"/>
          </w:tcPr>
          <w:p>
            <w:pPr>
              <w:ind w:left="240"/>
              <w:spacing w:after="0"/>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222,583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226,654</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changes in foreign exchange rates on cash and cash equivalents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94"/>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(639,024)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(46,139)</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855,083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264,030</w:t>
            </w:r>
          </w:p>
        </w:tc>
        <w:tc>
          <w:tcPr>
            <w:tcW w:w="0" w:type="dxa"/>
            <w:vAlign w:val="bottom"/>
          </w:tcPr>
          <w:p>
            <w:pPr>
              <w:spacing w:after="0"/>
              <w:rPr>
                <w:sz w:val="1"/>
                <w:szCs w:val="1"/>
                <w:color w:val="auto"/>
              </w:rPr>
            </w:pPr>
          </w:p>
        </w:tc>
      </w:tr>
      <w:tr>
        <w:trPr>
          <w:trHeight w:val="182"/>
        </w:trPr>
        <w:tc>
          <w:tcPr>
            <w:tcW w:w="822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Cash, cash equivalents and restricted cash –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216,059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217,891</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4" w:lineRule="exact"/>
        <w:rPr>
          <w:sz w:val="20"/>
          <w:szCs w:val="20"/>
          <w:color w:val="auto"/>
        </w:rPr>
      </w:pPr>
    </w:p>
    <w:p>
      <w:pPr>
        <w:ind w:right="720" w:firstLine="8"/>
        <w:spacing w:after="0" w:line="196" w:lineRule="auto"/>
        <w:tabs>
          <w:tab w:leader="none" w:pos="128"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Cash and cash equivalents includes $11,204, which has been classified as assets held for sale and included in the Other non-current assets on the condensed consolidated balance sheets.</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7"/>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1)"/>
      <w:numFmt w:val="decimal"/>
      <w:start w:val="15"/>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2023-08-08T06:30:34Z</dcterms:created>
  <dcterms:modified xsi:type="dcterms:W3CDTF">2023-08-08T06:30:34Z</dcterms:modified>
</cp:coreProperties>
</file>