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line="22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jc w:val="center"/>
        <w:ind w:right="-179"/>
        <w:spacing w:after="0" w:line="238" w:lineRule="auto"/>
        <w:rPr>
          <w:sz w:val="20"/>
          <w:szCs w:val="20"/>
          <w:color w:val="auto"/>
        </w:rPr>
      </w:pPr>
      <w:r>
        <w:rPr>
          <w:rFonts w:ascii="Arial" w:cs="Arial" w:eastAsia="Arial" w:hAnsi="Arial"/>
          <w:sz w:val="18"/>
          <w:szCs w:val="18"/>
          <w:b w:val="1"/>
          <w:bCs w:val="1"/>
          <w:color w:val="auto"/>
        </w:rPr>
        <w:t>CURRENT REPORT</w:t>
      </w:r>
    </w:p>
    <w:p>
      <w:pPr>
        <w:jc w:val="center"/>
        <w:ind w:right="-179"/>
        <w:spacing w:after="0" w:line="235" w:lineRule="auto"/>
        <w:rPr>
          <w:sz w:val="20"/>
          <w:szCs w:val="20"/>
          <w:color w:val="auto"/>
        </w:rPr>
      </w:pPr>
      <w:r>
        <w:rPr>
          <w:rFonts w:ascii="Arial" w:cs="Arial" w:eastAsia="Arial" w:hAnsi="Arial"/>
          <w:sz w:val="18"/>
          <w:szCs w:val="18"/>
          <w:b w:val="1"/>
          <w:bCs w:val="1"/>
          <w:color w:val="auto"/>
        </w:rPr>
        <w:t>PURSUANT TO SECTION 13 OR 15(D)</w:t>
      </w: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August 3, 2022</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New Fortress Energy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035" w:right="499" w:bottom="1440" w:gutter="0" w:footer="0" w:header="0"/>
        </w:sectPr>
      </w:pPr>
    </w:p>
    <w:p>
      <w:pPr>
        <w:spacing w:after="0" w:line="273"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001-38790</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72" w:lineRule="exact"/>
        <w:rPr>
          <w:sz w:val="24"/>
          <w:szCs w:val="24"/>
          <w:color w:val="auto"/>
        </w:rPr>
      </w:pPr>
    </w:p>
    <w:p>
      <w:pPr>
        <w:sectPr>
          <w:pgSz w:w="11900" w:h="16838" w:orient="portrait"/>
          <w:cols w:equalWidth="0" w:num="3">
            <w:col w:w="4620" w:space="720"/>
            <w:col w:w="2780" w:space="720"/>
            <w:col w:w="2240"/>
          </w:cols>
          <w:pgMar w:left="320" w:top="1035" w:right="499" w:bottom="1440" w:gutter="0" w:footer="0" w:header="0"/>
          <w:type w:val="continuous"/>
        </w:sectPr>
      </w:pPr>
    </w:p>
    <w:p>
      <w:pPr>
        <w:ind w:left="76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35" w:right="499" w:bottom="1440" w:gutter="0" w:footer="0" w:header="0"/>
          <w:type w:val="continuous"/>
        </w:sect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111 W. 19th Street, 8th Floor</w:t>
      </w:r>
    </w:p>
    <w:p>
      <w:pPr>
        <w:spacing w:after="0" w:line="3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10011</w:t>
      </w:r>
    </w:p>
    <w:p>
      <w:pPr>
        <w:spacing w:after="0" w:line="88" w:lineRule="exact"/>
        <w:rPr>
          <w:sz w:val="24"/>
          <w:szCs w:val="24"/>
          <w:color w:val="auto"/>
        </w:rPr>
      </w:pPr>
    </w:p>
    <w:p>
      <w:pPr>
        <w:sectPr>
          <w:pgSz w:w="11900" w:h="16838" w:orient="portrait"/>
          <w:cols w:equalWidth="0" w:num="2">
            <w:col w:w="8300" w:space="720"/>
            <w:col w:w="2060"/>
          </w:cols>
          <w:pgMar w:left="320" w:top="1035"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23" w:lineRule="exact"/>
        <w:rPr>
          <w:sz w:val="24"/>
          <w:szCs w:val="24"/>
          <w:color w:val="auto"/>
        </w:rPr>
      </w:pPr>
    </w:p>
    <w:p>
      <w:pPr>
        <w:sectPr>
          <w:pgSz w:w="11900" w:h="16838" w:orient="portrait"/>
          <w:cols w:equalWidth="0" w:num="2">
            <w:col w:w="8120" w:space="720"/>
            <w:col w:w="2240"/>
          </w:cols>
          <w:pgMar w:left="320" w:top="1035"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(516) 268-7400</w:t>
      </w:r>
    </w:p>
    <w:p>
      <w:pPr>
        <w:sectPr>
          <w:pgSz w:w="11900" w:h="16838" w:orient="portrait"/>
          <w:cols w:equalWidth="0" w:num="1">
            <w:col w:w="11080"/>
          </w:cols>
          <w:pgMar w:left="320" w:top="1035" w:right="49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5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322"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800"/>
              <w:spacing w:after="0"/>
              <w:rPr>
                <w:sz w:val="20"/>
                <w:szCs w:val="20"/>
                <w:color w:val="auto"/>
              </w:rPr>
            </w:pPr>
            <w:r>
              <w:rPr>
                <w:rFonts w:ascii="Arial" w:cs="Arial" w:eastAsia="Arial" w:hAnsi="Arial"/>
                <w:sz w:val="18"/>
                <w:szCs w:val="18"/>
                <w:color w:val="auto"/>
                <w:w w:val="91"/>
              </w:rPr>
              <w:t>Trading Symbol(s)</w:t>
            </w:r>
          </w:p>
        </w:tc>
        <w:tc>
          <w:tcPr>
            <w:tcW w:w="398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Arial" w:cs="Arial" w:eastAsia="Arial" w:hAnsi="Arial"/>
                <w:sz w:val="18"/>
                <w:szCs w:val="18"/>
                <w:b w:val="1"/>
                <w:bCs w:val="1"/>
                <w:color w:val="auto"/>
                <w:w w:val="87"/>
              </w:rPr>
              <w:t>Class A common stock</w:t>
            </w:r>
          </w:p>
        </w:tc>
        <w:tc>
          <w:tcPr>
            <w:tcW w:w="21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0" w:lineRule="exact"/>
        <w:rPr>
          <w:sz w:val="24"/>
          <w:szCs w:val="24"/>
          <w:color w:val="auto"/>
        </w:rPr>
      </w:pPr>
    </w:p>
    <w:p>
      <w:pPr>
        <w:spacing w:after="0" w:line="380" w:lineRule="exact"/>
        <w:rPr>
          <w:sz w:val="24"/>
          <w:szCs w:val="24"/>
          <w:color w:val="auto"/>
        </w:rPr>
      </w:pPr>
    </w:p>
    <w:p>
      <w:pPr>
        <w:ind w:right="3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5"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ind w:right="120" w:firstLine="486"/>
        <w:spacing w:after="0" w:line="248" w:lineRule="auto"/>
        <w:rPr>
          <w:sz w:val="20"/>
          <w:szCs w:val="20"/>
          <w:color w:val="auto"/>
        </w:rPr>
      </w:pPr>
      <w:r>
        <w:rPr>
          <w:rFonts w:ascii="Arial" w:cs="Arial" w:eastAsia="Arial" w:hAnsi="Arial"/>
          <w:sz w:val="18"/>
          <w:szCs w:val="18"/>
          <w:color w:val="auto"/>
        </w:rPr>
        <w:t>On August 3, 2022, New Fortress Energy Inc. (“NFE” or the “Company”) issued a press release announcing the Company’s financial and operating results for its fiscal quarter ended June 30, 2022. A copy of the Company’s press release is attached to this Current Report on Form 8-K (the “Current Report”) as Exhibit 99.1 and is incorporated herein solely for purposes of this Item 2.02 disclosure.</w:t>
      </w:r>
    </w:p>
    <w:p>
      <w:pPr>
        <w:spacing w:after="0" w:line="209" w:lineRule="exact"/>
        <w:rPr>
          <w:sz w:val="20"/>
          <w:szCs w:val="20"/>
          <w:color w:val="auto"/>
        </w:rPr>
      </w:pPr>
    </w:p>
    <w:p>
      <w:pPr>
        <w:ind w:right="240" w:firstLine="486"/>
        <w:spacing w:after="0" w:line="243" w:lineRule="auto"/>
        <w:rPr>
          <w:sz w:val="20"/>
          <w:szCs w:val="20"/>
          <w:color w:val="auto"/>
        </w:rPr>
      </w:pPr>
      <w:r>
        <w:rPr>
          <w:rFonts w:ascii="Arial" w:cs="Arial" w:eastAsia="Arial" w:hAnsi="Arial"/>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0" w:lineRule="exact"/>
        <w:rPr>
          <w:sz w:val="20"/>
          <w:szCs w:val="20"/>
          <w:color w:val="auto"/>
        </w:rPr>
      </w:pPr>
    </w:p>
    <w:p>
      <w:pPr>
        <w:spacing w:after="0" w:line="25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0260" w:type="dxa"/>
            <w:vAlign w:val="bottom"/>
          </w:tcPr>
          <w:p>
            <w:pPr>
              <w:spacing w:after="0"/>
              <w:rPr>
                <w:sz w:val="17"/>
                <w:szCs w:val="17"/>
                <w:color w:val="auto"/>
              </w:rPr>
            </w:pPr>
          </w:p>
        </w:tc>
      </w:tr>
      <w:tr>
        <w:trPr>
          <w:trHeight w:val="255"/>
        </w:trPr>
        <w:tc>
          <w:tcPr>
            <w:tcW w:w="280" w:type="dxa"/>
            <w:vAlign w:val="bottom"/>
          </w:tcPr>
          <w:p>
            <w:pPr>
              <w:spacing w:after="0"/>
              <w:rPr>
                <w:sz w:val="22"/>
                <w:szCs w:val="22"/>
                <w:color w:val="auto"/>
              </w:rPr>
            </w:pPr>
          </w:p>
        </w:tc>
        <w:tc>
          <w:tcPr>
            <w:tcW w:w="7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6"/>
              </w:rPr>
              <w:t>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Press Release, dated August 3, 2022, issued by New Fortress Energy Inc.</w:t>
            </w:r>
          </w:p>
        </w:tc>
      </w:tr>
      <w:tr>
        <w:trPr>
          <w:trHeight w:val="277"/>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7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8020" w:type="dxa"/>
            <w:vAlign w:val="bottom"/>
            <w:gridSpan w:val="2"/>
          </w:tcPr>
          <w:p>
            <w:pPr>
              <w:ind w:left="2060"/>
              <w:spacing w:after="0"/>
              <w:rPr>
                <w:sz w:val="20"/>
                <w:szCs w:val="20"/>
                <w:color w:val="auto"/>
              </w:rPr>
            </w:pPr>
            <w:r>
              <w:rPr>
                <w:rFonts w:ascii="Arial" w:cs="Arial" w:eastAsia="Arial" w:hAnsi="Arial"/>
                <w:sz w:val="18"/>
                <w:szCs w:val="18"/>
                <w:b w:val="1"/>
                <w:bCs w:val="1"/>
                <w:color w:val="auto"/>
              </w:rPr>
              <w:t>NEW FORTRESS ENERGY INC.</w:t>
            </w:r>
          </w:p>
        </w:tc>
      </w:tr>
      <w:tr>
        <w:trPr>
          <w:trHeight w:val="533"/>
        </w:trPr>
        <w:tc>
          <w:tcPr>
            <w:tcW w:w="3180" w:type="dxa"/>
            <w:vAlign w:val="bottom"/>
          </w:tcPr>
          <w:p>
            <w:pPr>
              <w:spacing w:after="0"/>
              <w:rPr>
                <w:sz w:val="20"/>
                <w:szCs w:val="20"/>
                <w:color w:val="auto"/>
              </w:rPr>
            </w:pPr>
            <w:r>
              <w:rPr>
                <w:rFonts w:ascii="Arial" w:cs="Arial" w:eastAsia="Arial" w:hAnsi="Arial"/>
                <w:sz w:val="18"/>
                <w:szCs w:val="18"/>
                <w:color w:val="auto"/>
              </w:rPr>
              <w:t>August 3, 2022</w:t>
            </w:r>
          </w:p>
        </w:tc>
        <w:tc>
          <w:tcPr>
            <w:tcW w:w="2780" w:type="dxa"/>
            <w:vAlign w:val="bottom"/>
          </w:tcPr>
          <w:p>
            <w:pPr>
              <w:ind w:left="20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S. Guinta</w:t>
            </w:r>
          </w:p>
        </w:tc>
      </w:tr>
      <w:tr>
        <w:trPr>
          <w:trHeight w:val="243"/>
        </w:trPr>
        <w:tc>
          <w:tcPr>
            <w:tcW w:w="3180" w:type="dxa"/>
            <w:vAlign w:val="bottom"/>
          </w:tcPr>
          <w:p>
            <w:pPr>
              <w:spacing w:after="0"/>
              <w:rPr>
                <w:sz w:val="21"/>
                <w:szCs w:val="21"/>
                <w:color w:val="auto"/>
              </w:rPr>
            </w:pPr>
          </w:p>
        </w:tc>
        <w:tc>
          <w:tcPr>
            <w:tcW w:w="2780" w:type="dxa"/>
            <w:vAlign w:val="bottom"/>
          </w:tcPr>
          <w:p>
            <w:pPr>
              <w:ind w:left="2060"/>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Christopher S. Guinta</w:t>
            </w:r>
          </w:p>
        </w:tc>
      </w:tr>
      <w:tr>
        <w:trPr>
          <w:trHeight w:val="257"/>
        </w:trPr>
        <w:tc>
          <w:tcPr>
            <w:tcW w:w="3180" w:type="dxa"/>
            <w:vAlign w:val="bottom"/>
          </w:tcPr>
          <w:p>
            <w:pPr>
              <w:spacing w:after="0"/>
              <w:rPr>
                <w:sz w:val="22"/>
                <w:szCs w:val="22"/>
                <w:color w:val="auto"/>
              </w:rPr>
            </w:pPr>
          </w:p>
        </w:tc>
        <w:tc>
          <w:tcPr>
            <w:tcW w:w="2780" w:type="dxa"/>
            <w:vAlign w:val="bottom"/>
          </w:tcPr>
          <w:p>
            <w:pPr>
              <w:ind w:left="206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93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jc w:val="right"/>
        <w:ind w:right="20"/>
        <w:spacing w:after="0" w:line="202" w:lineRule="auto"/>
        <w:rPr>
          <w:sz w:val="20"/>
          <w:szCs w:val="20"/>
          <w:color w:val="auto"/>
        </w:rPr>
      </w:pPr>
      <w:r>
        <w:rPr>
          <w:rFonts w:ascii="Arial" w:cs="Arial" w:eastAsia="Arial" w:hAnsi="Arial"/>
          <w:sz w:val="18"/>
          <w:szCs w:val="18"/>
          <w:color w:val="auto"/>
        </w:rPr>
        <w:t>111 W 19</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Street, 8</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-145415</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18"/>
          <w:szCs w:val="18"/>
          <w:color w:val="auto"/>
        </w:rPr>
        <w:t>New York, NY 10011</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Announces Second Quarter 2022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August 3, 2022</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NEW YORK -- New Fortress Energy Inc. (Nasdaq: NFE) (“NFE” or the “Company”) today reported its financial results for the second quarter of 2022.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Highlights</w:t>
      </w:r>
    </w:p>
    <w:p>
      <w:pPr>
        <w:spacing w:after="0" w:line="237" w:lineRule="exact"/>
        <w:rPr>
          <w:sz w:val="20"/>
          <w:szCs w:val="20"/>
          <w:color w:val="auto"/>
        </w:rPr>
      </w:pPr>
    </w:p>
    <w:p>
      <w:pPr>
        <w:ind w:left="260" w:hanging="252"/>
        <w:spacing w:after="0" w:line="22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Pleased to report Q2 2022 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$283 million and $1.05 billion over the trailing twelve months ended June 30, 2022. NFE's net (loss) income for Q2 2022 and trailing twelve months was $(178) million and $197 million, respectively.</w:t>
      </w:r>
    </w:p>
    <w:p>
      <w:pPr>
        <w:spacing w:after="0" w:line="80" w:lineRule="exact"/>
        <w:rPr>
          <w:rFonts w:ascii="Arial" w:cs="Arial" w:eastAsia="Arial" w:hAnsi="Arial"/>
          <w:sz w:val="18"/>
          <w:szCs w:val="18"/>
          <w:color w:val="auto"/>
        </w:rPr>
      </w:pPr>
    </w:p>
    <w:p>
      <w:pPr>
        <w:ind w:left="260" w:hanging="252"/>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EPS for the period was $0.69 per share on a fully diluted basis, or EPS of $(0.81) per share when including a non-cash impairment charge of $315 million resulting from an asset sale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announced in Q2.</w:t>
      </w:r>
    </w:p>
    <w:p>
      <w:pPr>
        <w:ind w:left="260" w:right="880" w:hanging="252"/>
        <w:spacing w:after="0" w:line="212"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track to achieve Illustrative Adjusted EBITDA Goal</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$1.0+ billion for 2022 and $1.5+ billion for 2023 before taking into account the contribution expected from Fast LNG (FLNG) during the year.</w:t>
      </w:r>
    </w:p>
    <w:p>
      <w:pPr>
        <w:spacing w:after="0" w:line="80" w:lineRule="exact"/>
        <w:rPr>
          <w:rFonts w:ascii="Arial" w:cs="Arial" w:eastAsia="Arial" w:hAnsi="Arial"/>
          <w:sz w:val="18"/>
          <w:szCs w:val="18"/>
          <w:color w:val="auto"/>
        </w:rPr>
      </w:pPr>
    </w:p>
    <w:p>
      <w:pPr>
        <w:ind w:left="740" w:hanging="327"/>
        <w:spacing w:after="0" w:line="261" w:lineRule="auto"/>
        <w:tabs>
          <w:tab w:leader="none" w:pos="736"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FLNG commercial and project and teams had a very busy and productive quarter, which we look forward to discussing on our Q2 earnings call.</w:t>
      </w:r>
    </w:p>
    <w:p>
      <w:pPr>
        <w:spacing w:after="0" w:line="3" w:lineRule="exact"/>
        <w:rPr>
          <w:rFonts w:ascii="Arial" w:cs="Arial" w:eastAsia="Arial" w:hAnsi="Arial"/>
          <w:sz w:val="18"/>
          <w:szCs w:val="18"/>
          <w:color w:val="auto"/>
        </w:rPr>
      </w:pPr>
    </w:p>
    <w:p>
      <w:pPr>
        <w:ind w:left="1060" w:hanging="323"/>
        <w:spacing w:after="0" w:line="263" w:lineRule="auto"/>
        <w:tabs>
          <w:tab w:leader="none" w:pos="1097" w:val="left"/>
        </w:tabs>
        <w:numPr>
          <w:ilvl w:val="3"/>
          <w:numId w:val="3"/>
        </w:numPr>
        <w:rPr>
          <w:rFonts w:ascii="Arial" w:cs="Arial" w:eastAsia="Arial" w:hAnsi="Arial"/>
          <w:sz w:val="18"/>
          <w:szCs w:val="18"/>
          <w:color w:val="auto"/>
        </w:rPr>
      </w:pPr>
      <w:r>
        <w:rPr>
          <w:rFonts w:ascii="Arial" w:cs="Arial" w:eastAsia="Arial" w:hAnsi="Arial"/>
          <w:sz w:val="18"/>
          <w:szCs w:val="18"/>
          <w:color w:val="auto"/>
        </w:rPr>
        <w:t>Increased FLNG deployment opportunities from one Gulf of Mexico location to three (offshore Louisiana, Altamira, and Lakach</w:t>
      </w:r>
      <w:r>
        <w:rPr>
          <w:rFonts w:ascii="Arial" w:cs="Arial" w:eastAsia="Arial" w:hAnsi="Arial"/>
          <w:sz w:val="23"/>
          <w:szCs w:val="23"/>
          <w:color w:val="auto"/>
          <w:vertAlign w:val="superscript"/>
        </w:rPr>
        <w:t>(5)</w:t>
      </w:r>
      <w:r>
        <w:rPr>
          <w:rFonts w:ascii="Arial" w:cs="Arial" w:eastAsia="Arial" w:hAnsi="Arial"/>
          <w:sz w:val="18"/>
          <w:szCs w:val="18"/>
          <w:color w:val="auto"/>
        </w:rPr>
        <w:t>) representing approximately 8 MTPA of capacity ramping from 1H23 through 2H24</w:t>
      </w:r>
      <w:r>
        <w:rPr>
          <w:rFonts w:ascii="Arial" w:cs="Arial" w:eastAsia="Arial" w:hAnsi="Arial"/>
          <w:sz w:val="23"/>
          <w:szCs w:val="23"/>
          <w:color w:val="auto"/>
          <w:vertAlign w:val="superscript"/>
        </w:rPr>
        <w:t>(7)</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commitment to our customers and commercial activities at our downstream terminals remains robust.</w:t>
      </w:r>
    </w:p>
    <w:p>
      <w:pPr>
        <w:spacing w:after="0" w:line="49" w:lineRule="exact"/>
        <w:rPr>
          <w:rFonts w:ascii="Arial" w:cs="Arial" w:eastAsia="Arial" w:hAnsi="Arial"/>
          <w:sz w:val="18"/>
          <w:szCs w:val="18"/>
          <w:color w:val="auto"/>
        </w:rPr>
      </w:pPr>
    </w:p>
    <w:p>
      <w:pPr>
        <w:ind w:left="740" w:hanging="327"/>
        <w:spacing w:after="0"/>
        <w:tabs>
          <w:tab w:leader="none" w:pos="740" w:val="left"/>
        </w:tabs>
        <w:numPr>
          <w:ilvl w:val="1"/>
          <w:numId w:val="3"/>
        </w:numPr>
        <w:rPr>
          <w:rFonts w:ascii="Arial" w:cs="Arial" w:eastAsia="Arial" w:hAnsi="Arial"/>
          <w:sz w:val="16"/>
          <w:szCs w:val="16"/>
          <w:color w:val="auto"/>
        </w:rPr>
      </w:pPr>
      <w:r>
        <w:rPr>
          <w:rFonts w:ascii="Arial" w:cs="Arial" w:eastAsia="Arial" w:hAnsi="Arial"/>
          <w:sz w:val="16"/>
          <w:szCs w:val="16"/>
          <w:color w:val="auto"/>
        </w:rPr>
        <w:t>In Brazil - nearing completion of our Barcarena and Santa Catarina terminals and began construction on the 605 MW Barcarena power plant.</w:t>
      </w:r>
    </w:p>
    <w:p>
      <w:pPr>
        <w:spacing w:after="0" w:line="67" w:lineRule="exact"/>
        <w:rPr>
          <w:rFonts w:ascii="Arial" w:cs="Arial" w:eastAsia="Arial" w:hAnsi="Arial"/>
          <w:sz w:val="16"/>
          <w:szCs w:val="16"/>
          <w:color w:val="auto"/>
        </w:rPr>
      </w:pPr>
    </w:p>
    <w:p>
      <w:pPr>
        <w:ind w:left="740" w:hanging="32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Mexico – signed an LOI to expand existing gas supply contract with CFE</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and extend term to 10 years.</w:t>
      </w:r>
    </w:p>
    <w:p>
      <w:pPr>
        <w:spacing w:after="0" w:line="13" w:lineRule="exact"/>
        <w:rPr>
          <w:rFonts w:ascii="Arial" w:cs="Arial" w:eastAsia="Arial" w:hAnsi="Arial"/>
          <w:sz w:val="18"/>
          <w:szCs w:val="18"/>
          <w:color w:val="auto"/>
        </w:rPr>
      </w:pPr>
    </w:p>
    <w:p>
      <w:pPr>
        <w:ind w:left="740" w:hanging="327"/>
        <w:spacing w:after="0" w:line="220" w:lineRule="auto"/>
        <w:tabs>
          <w:tab w:leader="none" w:pos="736"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Europe – made significant progress on permits in Ireland and leased one of our FSRUs to a new terminal in the Netherlands</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expected to start up Q3 2022</w:t>
      </w:r>
      <w:r>
        <w:rPr>
          <w:rFonts w:ascii="Arial" w:cs="Arial" w:eastAsia="Arial" w:hAnsi="Arial"/>
          <w:sz w:val="23"/>
          <w:szCs w:val="23"/>
          <w:color w:val="auto"/>
          <w:vertAlign w:val="superscript"/>
        </w:rPr>
        <w:t>(7)</w:t>
      </w:r>
      <w:r>
        <w:rPr>
          <w:rFonts w:ascii="Arial" w:cs="Arial" w:eastAsia="Arial" w:hAnsi="Arial"/>
          <w:sz w:val="18"/>
          <w:szCs w:val="18"/>
          <w:color w:val="auto"/>
        </w:rPr>
        <w:t>.</w:t>
      </w:r>
    </w:p>
    <w:p>
      <w:pPr>
        <w:spacing w:after="0" w:line="12" w:lineRule="exact"/>
        <w:rPr>
          <w:rFonts w:ascii="Arial" w:cs="Arial" w:eastAsia="Arial" w:hAnsi="Arial"/>
          <w:sz w:val="18"/>
          <w:szCs w:val="18"/>
          <w:color w:val="auto"/>
        </w:rPr>
      </w:pPr>
    </w:p>
    <w:p>
      <w:pPr>
        <w:ind w:left="260" w:hanging="252"/>
        <w:spacing w:after="0" w:line="241"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key balance sheet and liquidity objectives, securing over $2.0 billion of internally generated liquidity based on announcements and other activities to date</w:t>
      </w:r>
      <w:r>
        <w:rPr>
          <w:rFonts w:ascii="Arial" w:cs="Arial" w:eastAsia="Arial" w:hAnsi="Arial"/>
          <w:sz w:val="23"/>
          <w:szCs w:val="23"/>
          <w:color w:val="auto"/>
          <w:vertAlign w:val="superscript"/>
        </w:rPr>
        <w:t>(2)(4)</w:t>
      </w:r>
      <w:r>
        <w:rPr>
          <w:rFonts w:ascii="Arial" w:cs="Arial" w:eastAsia="Arial" w:hAnsi="Arial"/>
          <w:sz w:val="18"/>
          <w:szCs w:val="18"/>
          <w:color w:val="auto"/>
        </w:rPr>
        <w:t xml:space="preserve"> and upsized our LoC facility to $250 million.</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2"/>
          <w:numId w:val="3"/>
        </w:numPr>
        <w:rPr>
          <w:rFonts w:ascii="Arial" w:cs="Arial" w:eastAsia="Arial" w:hAnsi="Arial"/>
          <w:sz w:val="16"/>
          <w:szCs w:val="16"/>
          <w:color w:val="auto"/>
        </w:rPr>
      </w:pPr>
      <w:r>
        <w:rPr>
          <w:rFonts w:ascii="Arial" w:cs="Arial" w:eastAsia="Arial" w:hAnsi="Arial"/>
          <w:sz w:val="16"/>
          <w:szCs w:val="16"/>
          <w:color w:val="auto"/>
        </w:rPr>
        <w:t>Fully-funded on committed capital needs for Fast LNG, with additional developments capable of being funded through operating cash flow</w:t>
      </w:r>
      <w:r>
        <w:rPr>
          <w:rFonts w:ascii="Arial" w:cs="Arial" w:eastAsia="Arial" w:hAnsi="Arial"/>
          <w:sz w:val="20"/>
          <w:szCs w:val="20"/>
          <w:color w:val="auto"/>
          <w:vertAlign w:val="superscript"/>
        </w:rPr>
        <w:t>(9)</w:t>
      </w:r>
      <w:r>
        <w:rPr>
          <w:rFonts w:ascii="Arial" w:cs="Arial" w:eastAsia="Arial" w:hAnsi="Arial"/>
          <w:sz w:val="16"/>
          <w:szCs w:val="16"/>
          <w:color w:val="auto"/>
        </w:rPr>
        <w:t>.</w:t>
      </w:r>
    </w:p>
    <w:p>
      <w:pPr>
        <w:spacing w:after="0" w:line="64" w:lineRule="exact"/>
        <w:rPr>
          <w:rFonts w:ascii="Arial" w:cs="Arial" w:eastAsia="Arial" w:hAnsi="Arial"/>
          <w:sz w:val="16"/>
          <w:szCs w:val="16"/>
          <w:color w:val="auto"/>
        </w:rPr>
      </w:pPr>
    </w:p>
    <w:p>
      <w:pPr>
        <w:ind w:left="260" w:right="260" w:hanging="252"/>
        <w:spacing w:after="0" w:line="261"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to position Zero Parks hydrogen business favorably amid increasingly positive policy environment; expect to progress multiple industrial-scale green and blue hydrogen projects in the near future.</w:t>
      </w:r>
    </w:p>
    <w:p>
      <w:pPr>
        <w:spacing w:after="0" w:line="62"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NFE’s Board of Directors approved a dividend of $0.10 per share, with a record date of September 7, 2022 and a payment date of September 21, 2022.</w:t>
      </w:r>
    </w:p>
    <w:p>
      <w:pPr>
        <w:spacing w:after="0" w:line="1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Financial Highlights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5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 except Average Volumes)</w:t>
            </w: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March 31, 2022</w:t>
            </w: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June 30, 2022</w:t>
            </w:r>
          </w:p>
        </w:tc>
      </w:tr>
      <w:tr>
        <w:trPr>
          <w:trHeight w:val="25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505.1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241.2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(178.4)</w:t>
            </w:r>
          </w:p>
        </w:tc>
      </w:tr>
      <w:tr>
        <w:trPr>
          <w:trHeight w:val="26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57"/>
        </w:trPr>
        <w:tc>
          <w:tcPr>
            <w:tcW w:w="7720" w:type="dxa"/>
            <w:vAlign w:val="bottom"/>
          </w:tcPr>
          <w:p>
            <w:pPr>
              <w:ind w:left="140"/>
              <w:spacing w:after="0" w:line="256" w:lineRule="exact"/>
              <w:rPr>
                <w:sz w:val="20"/>
                <w:szCs w:val="20"/>
                <w:color w:val="auto"/>
              </w:rPr>
            </w:pPr>
            <w:r>
              <w:rPr>
                <w:rFonts w:ascii="Arial" w:cs="Arial" w:eastAsia="Arial" w:hAnsi="Arial"/>
                <w:sz w:val="18"/>
                <w:szCs w:val="18"/>
                <w:color w:val="auto"/>
              </w:rPr>
              <w:t>Terminals and Infrastructure Segment Operating Margin</w:t>
            </w:r>
            <w:r>
              <w:rPr>
                <w:rFonts w:ascii="Arial" w:cs="Arial" w:eastAsia="Arial" w:hAnsi="Arial"/>
                <w:sz w:val="23"/>
                <w:szCs w:val="23"/>
                <w:color w:val="auto"/>
                <w:vertAlign w:val="superscript"/>
              </w:rPr>
              <w:t>(6)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211.1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237.7</w:t>
            </w:r>
          </w:p>
        </w:tc>
      </w:tr>
      <w:tr>
        <w:trPr>
          <w:trHeight w:val="256"/>
        </w:trPr>
        <w:tc>
          <w:tcPr>
            <w:tcW w:w="772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Ships Segment Operating Margin</w:t>
            </w:r>
            <w:r>
              <w:rPr>
                <w:rFonts w:ascii="Arial" w:cs="Arial" w:eastAsia="Arial" w:hAnsi="Arial"/>
                <w:sz w:val="23"/>
                <w:szCs w:val="23"/>
                <w:color w:val="auto"/>
                <w:vertAlign w:val="superscript"/>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57"/>
        </w:trPr>
        <w:tc>
          <w:tcPr>
            <w:tcW w:w="7720" w:type="dxa"/>
            <w:vAlign w:val="bottom"/>
          </w:tcPr>
          <w:p>
            <w:pPr>
              <w:ind w:left="20"/>
              <w:spacing w:after="0" w:line="256" w:lineRule="exact"/>
              <w:rPr>
                <w:sz w:val="20"/>
                <w:szCs w:val="20"/>
                <w:color w:val="auto"/>
              </w:rPr>
            </w:pPr>
            <w:r>
              <w:rPr>
                <w:rFonts w:ascii="Arial" w:cs="Arial" w:eastAsia="Arial" w:hAnsi="Arial"/>
                <w:sz w:val="18"/>
                <w:szCs w:val="18"/>
                <w:color w:val="auto"/>
              </w:rPr>
              <w:t>Total Segment Operating Margin</w:t>
            </w:r>
            <w:r>
              <w:rPr>
                <w:rFonts w:ascii="Arial" w:cs="Arial" w:eastAsia="Arial" w:hAnsi="Arial"/>
                <w:sz w:val="23"/>
                <w:szCs w:val="23"/>
                <w:color w:val="auto"/>
                <w:vertAlign w:val="superscript"/>
              </w:rPr>
              <w:t>(6)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300.1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327.4</w:t>
            </w:r>
          </w:p>
        </w:tc>
      </w:tr>
      <w:tr>
        <w:trPr>
          <w:trHeight w:val="256"/>
        </w:trPr>
        <w:tc>
          <w:tcPr>
            <w:tcW w:w="772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257.7</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283.5</w:t>
            </w:r>
          </w:p>
        </w:tc>
      </w:tr>
    </w:tbl>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Please refer to our Q2 2022 Investor Presentation (the “Presentation”) for further information about the following terms: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1)“Adjusted EBITDA” see definition and reconciliation of this non-GAAP measure in the exhibits to this press release.</w:t>
      </w:r>
    </w:p>
    <w:p>
      <w:pPr>
        <w:jc w:val="both"/>
        <w:ind w:left="180" w:hanging="172"/>
        <w:spacing w:after="0" w:line="248" w:lineRule="auto"/>
        <w:tabs>
          <w:tab w:leader="none" w:pos="226"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Refers to the sale by NFE and Ebrasil Energia Ltda. and its shareholders (“Ebrasil”) to Eneva S.A. (“Eneva”) of 100% of the equity interests of the Porto de Sergipe Power Plant, including 100% of the shares of Centrais Elétricas de Sergipe Participações S.A. (“CELSEPAR”), which owns 100% of the equity interests of the Sergipe Power Plant, and Centrais Elétricas Barra dos Coqueiros S.A. (“CEBARRA”), which owns 1.7 GW of expansion rights adjacent to the Sergipe Power Plant. Closing of this transaction is subject to certain conditions precedent some of which are outside of our control. There can be no assurance that closing will be attained within the timeline that we expect or at all.</w:t>
      </w:r>
    </w:p>
    <w:p>
      <w:pPr>
        <w:spacing w:after="0" w:line="3" w:lineRule="exact"/>
        <w:rPr>
          <w:sz w:val="20"/>
          <w:szCs w:val="20"/>
          <w:color w:val="auto"/>
        </w:rPr>
      </w:pPr>
    </w:p>
    <w:p>
      <w:pPr>
        <w:jc w:val="both"/>
        <w:ind w:left="180" w:hanging="161"/>
        <w:spacing w:after="0" w:line="264" w:lineRule="auto"/>
        <w:rPr>
          <w:sz w:val="20"/>
          <w:szCs w:val="20"/>
          <w:color w:val="auto"/>
        </w:rPr>
      </w:pPr>
      <w:r>
        <w:rPr>
          <w:rFonts w:ascii="Arial" w:cs="Arial" w:eastAsia="Arial" w:hAnsi="Arial"/>
          <w:sz w:val="16"/>
          <w:szCs w:val="16"/>
          <w:i w:val="1"/>
          <w:iCs w:val="1"/>
          <w:color w:val="auto"/>
        </w:rPr>
        <w:t>3)“Illustrative Adjusted EBITDA Goal” is based on the "Illustrative Total Segment Operating Margin Goal" less illustrative Core SGA assumed to be at $172mm in 2022 and $145mm for all periods 2023 onward including the pro rata share of Core SG&amp;A from unconsolidated entities. “Illustrative Total Segment Operating Margin Goal,” or “Illustrative Future Goal” means our goal for Total Segment Operating Margin under certain illustrative conditions. Please refer to this explanation for all uses of this term. This goal reflects the volumes of LNG that it is our goal to sell under binding contracts multiplied by the average price per unit at which we expect to price LNG deliveries, including both fuel sales and capacity charges or other fixed fees, less the cost per unit at which we expect to purchase or produce and deliver such LNG or natural gas, including the cost to (i) purchase natural gas, liquefy it, and transport it to one of our terminals or purchase LNG in strip cargos or on the spot market, (ii) transfer the LNG into an appropriate ship and transport it to our terminals or facilities, (iii) deliver the LNG, regasify it to natural gas and deliver it to our customers or our power plants and (iv) maintain and operate our terminals, facilities and power plants.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There can be no assurance that the costs of purchasing or producing LNG, transporting the LNG and maintaining and operating our terminals and facilities will result in the Illustrative Total Segment Operating Margin Goal reflected. For the purpose of this presentation, we have assumed an average Total Segment Operating Margin between $7.42 and $19.75 per MMBtu for all downstream terminal economics, because we assume that (i) we purchase delivered gas at a weighted average of $17.30 in Q3-22, $12.74 in 2022, and $10.44 in 2023, (ii) our volumes increase over time, and (iii) we will have costs related to shipping, logistics and regasification similar to our current operations because the liquefaction facility and related infrastructure and supply chain to deliver LNG from Pennsylvania or Fast LNG (“FLNG”) does not exist, and those costs will be distributed over the larger volumes. For Hygo + Suape assets we assume an average delivered cost of gas of $17.61 in 2022, and $16.21 in 2023 based on industry averages in the region and the existing LNG contract at Sergipe. Hygo + Sergipe incremental assets include every terminal and power plant other than Sergipe, and we assume all are Operational and earning revenue through fuel sales and capacity charges or other fixed fees. This illustration reflects our effective share of operating margin from Sergipe Power Plant.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We assume an average Total Segment Operating Margin of up to $211k per day per vessel and our effective share of revenue and operating expense related to the existing tolling agreement for the Hilli FLNG going forward. For Fast LNG, this illustration reflects the difference between the delivered cost of open LNG and the delivered cost of open market LNG less Fast LNG production cost. Management is currently in multiple discussions with counterparties to supply feedstock gas at pricing between $4.31 per MMBtu to $6.17 per MMBtu, multiplied by the volumes for Fast LNG installation of 1.4 MTPA each per year. These costs do not include expenses and income that are required by GAAP to be recorded on our financial statements, including the return of or return on capital expenditures for the relevant project, and selling, general and administrative costs. Our current cost of natural gas per MMBtu are higher than the costs we would need to achieve Illustrative Total Segment Operating Margin Goal, and the primary drivers for reducing these costs are the reduced costs of purchasing gas and the increased sales volumes, which result in lower fixed costs being spread over a larger number of MMBtus sold. References to volumes, percentages of such volumes and the Illustrative Total Segment Operating Margin Goal related to such volumes (i) are not based on the Company’s historical operating results, which are limited, and (ii) do not purport to be an actual representation of our future economics. We cannot assure you if or when we will enter into contracts for sales of additional LNG, the price at which we will be able to sell such LNG, or our costs to produce and sell such LNG. Actual results could differ materially from the illustration and there can be no assurance we will achieve our goal.</w:t>
      </w:r>
    </w:p>
    <w:p>
      <w:pPr>
        <w:spacing w:after="0" w:line="206" w:lineRule="exact"/>
        <w:rPr>
          <w:sz w:val="20"/>
          <w:szCs w:val="20"/>
          <w:color w:val="auto"/>
        </w:rPr>
      </w:pPr>
    </w:p>
    <w:p>
      <w:pPr>
        <w:jc w:val="both"/>
        <w:ind w:left="180" w:hanging="172"/>
        <w:spacing w:after="0" w:line="234" w:lineRule="auto"/>
        <w:tabs>
          <w:tab w:leader="none" w:pos="221"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Refers to sale of 11 LNG infrastructure vessels owned by NFE to a newly formed joint venture between funds managed by Apollo and NFE. Closing of this transaction is subject to certain conditions precedent some of which are outside of our control. There can be no assurance that closing will be attained within the timeline that we expect or at all.</w:t>
      </w:r>
    </w:p>
    <w:p>
      <w:pPr>
        <w:spacing w:after="0" w:line="2" w:lineRule="exact"/>
        <w:rPr>
          <w:rFonts w:ascii="Arial" w:cs="Arial" w:eastAsia="Arial" w:hAnsi="Arial"/>
          <w:sz w:val="18"/>
          <w:szCs w:val="18"/>
          <w:i w:val="1"/>
          <w:iCs w:val="1"/>
          <w:color w:val="auto"/>
        </w:rPr>
      </w:pPr>
    </w:p>
    <w:p>
      <w:pPr>
        <w:jc w:val="both"/>
        <w:ind w:left="180" w:hanging="172"/>
        <w:spacing w:after="0" w:line="239" w:lineRule="auto"/>
        <w:tabs>
          <w:tab w:leader="none" w:pos="213"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 discussions with Petróleos Mexicanos (“Pemex”) to form a long-term strategic partnership for the joint development of the Lakach deepwater natural gas field and with Comisión Federal de Electricidad (“CFE”) to form a strategic alliance supported in connection with a new LNG hub off the coast of Altamira, Tamaulipas, with CFE. Represent letters</w:t>
      </w:r>
    </w:p>
    <w:p>
      <w:pPr>
        <w:sectPr>
          <w:pgSz w:w="11900" w:h="16838" w:orient="portrait"/>
          <w:cols w:equalWidth="0" w:num="1">
            <w:col w:w="11240"/>
          </w:cols>
          <w:pgMar w:left="320" w:top="1178" w:right="339" w:bottom="1440" w:gutter="0" w:footer="0" w:header="0"/>
        </w:sectPr>
      </w:pPr>
    </w:p>
    <w:bookmarkStart w:id="5" w:name="page6"/>
    <w:bookmarkEnd w:id="5"/>
    <w:p>
      <w:pPr>
        <w:ind w:left="180"/>
        <w:spacing w:after="0" w:line="244" w:lineRule="auto"/>
        <w:rPr>
          <w:sz w:val="20"/>
          <w:szCs w:val="20"/>
          <w:color w:val="auto"/>
        </w:rPr>
      </w:pPr>
      <w:r>
        <w:rPr>
          <w:rFonts w:ascii="Arial" w:cs="Arial" w:eastAsia="Arial" w:hAnsi="Arial"/>
          <w:sz w:val="18"/>
          <w:szCs w:val="18"/>
          <w:i w:val="1"/>
          <w:iCs w:val="1"/>
          <w:color w:val="auto"/>
        </w:rPr>
        <w:t>of intent, whether signed or under discussions. There can be no assurance that binding definitive agreements will be entered into related to such discussions or projects or the terms of any such agreements.</w:t>
      </w:r>
    </w:p>
    <w:p>
      <w:pPr>
        <w:jc w:val="both"/>
        <w:ind w:left="180" w:hanging="172"/>
        <w:spacing w:after="0" w:line="234" w:lineRule="auto"/>
        <w:tabs>
          <w:tab w:leader="none" w:pos="224"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“Total Segment Operating Margin” is the total of our Terminals and Infrastructure Segment Operating Margin and Ships Segment Operating Margin. Terminals and Infrastructure Segment Operating Margin includes our effective share of revenue, expenses and operating margin attributable to our 50% ownership of Centrais Elétricas de Sergipe Participações S.A. (“CELSEPAR”). Ships Segment Operating Margin includes our effective share of revenue, expenses and operating margin attributable to our ownership of 50% of the common units of Hilli LLC. Hilli LLC owns Golar Hilli Corporation (“Hilli Corp”), the disponent owner of the Hilli.</w:t>
      </w:r>
    </w:p>
    <w:p>
      <w:pPr>
        <w:spacing w:after="0" w:line="3" w:lineRule="exact"/>
        <w:rPr>
          <w:rFonts w:ascii="Arial" w:cs="Arial" w:eastAsia="Arial" w:hAnsi="Arial"/>
          <w:sz w:val="18"/>
          <w:szCs w:val="18"/>
          <w:i w:val="1"/>
          <w:iCs w:val="1"/>
          <w:color w:val="auto"/>
        </w:rPr>
      </w:pPr>
    </w:p>
    <w:p>
      <w:pPr>
        <w:jc w:val="both"/>
        <w:ind w:left="180" w:hanging="172"/>
        <w:spacing w:after="0" w:line="234" w:lineRule="auto"/>
        <w:tabs>
          <w:tab w:leader="none" w:pos="22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Lead times and expected development times used herein indicate our internal evaluations of a project’s expected timeline. They refer to us completing certain stages of projects within a timeframe and within a spectrum of budget parameters that, when taken as a whole, are substantially consistent with our business model. These timeframes include assumptions regarding items that are outside our control, including permitting, weather, and other potential sources of delay. To the extent that projects have not yet started or are currently under development, we can make no assurance that such projects are on track within the timeline parameters we establish. Additionally, the construction of facilities is inherently subject to the risks of cost overruns and delays. If we are unable to construct, commission and operate all of our facilities as expected, or, when and if constructed, they do not accomplish our goals, or if we experience delays or cost overruns in construction, estimates regarding timelines, budget and savings could be materially and adversely affected.</w:t>
      </w:r>
    </w:p>
    <w:p>
      <w:pPr>
        <w:spacing w:after="0" w:line="5" w:lineRule="exact"/>
        <w:rPr>
          <w:rFonts w:ascii="Arial" w:cs="Arial" w:eastAsia="Arial" w:hAnsi="Arial"/>
          <w:sz w:val="18"/>
          <w:szCs w:val="18"/>
          <w:i w:val="1"/>
          <w:iCs w:val="1"/>
          <w:color w:val="auto"/>
        </w:rPr>
      </w:pPr>
    </w:p>
    <w:p>
      <w:pPr>
        <w:jc w:val="both"/>
        <w:ind w:left="180" w:hanging="172"/>
        <w:spacing w:after="0" w:line="234" w:lineRule="auto"/>
        <w:tabs>
          <w:tab w:leader="none" w:pos="222"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Refers to binding agreement executed with N.V. Nederlandse Gasunie (“Gasunie”) for a five-year FSRU charter agreement will begin in Q3 2022 and provide storage and regasification capacity for Gasunie’s new LNG import terminal in the port Eemshaven, the Netherlands. The binding FSRU charter agreement is subject to the execution of definitive documentation. We cannot assure you if or when we will enter into binding definitive agreements, on time or on acceptable terms to us.</w:t>
      </w:r>
    </w:p>
    <w:p>
      <w:pPr>
        <w:spacing w:after="0" w:line="2" w:lineRule="exact"/>
        <w:rPr>
          <w:rFonts w:ascii="Arial" w:cs="Arial" w:eastAsia="Arial" w:hAnsi="Arial"/>
          <w:sz w:val="18"/>
          <w:szCs w:val="18"/>
          <w:i w:val="1"/>
          <w:iCs w:val="1"/>
          <w:color w:val="auto"/>
        </w:rPr>
      </w:pPr>
    </w:p>
    <w:p>
      <w:pPr>
        <w:jc w:val="both"/>
        <w:ind w:left="180" w:right="20" w:hanging="172"/>
        <w:spacing w:after="0" w:line="237" w:lineRule="auto"/>
        <w:tabs>
          <w:tab w:leader="none" w:pos="233"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management’s expectations regarding the funding of the committed expenditures reflected and the estimated expenditures. It assumes the Sergipe and Apollo transaction have closed and we have received the anticipated proceeds. There can be no assurance that closing will be attained within the timeline that we expect or at all. The estimated expenditures, including those related to project costs, are not based on generally accepted accounting principles and should not be relied upon for any reason. There is no guarantee that we will reach our goals for funding the estimated expenditures and actual results may differ from our expectations.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For additional information that management believes to be useful for investors, please refer to the presentation posted on the Investors section of New Fortress Energy’s website, www.newfortressenergy.com, and the Company’s most recent Annual Report on Form 10-K and Quarterly Report on Form 10-Q, which is available on the Company’s website. Nothing on our website is included or incorporated by reference herein.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Conference Call</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Management will host a conference call on Thursday, August 4, 2022 at 8:00 A.M. Eastern Time. The conference call may be accessed by dialing (888) 394-8218 (toll free from within the U.S.) or (323) 794-2588 (from outside of the U.S.) fifteen minutes prior to the scheduled start of the call; please reference “NFE Second-Quarter 2022 Earnings Call.”</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 simultaneous webcast of the conference call will be available to the public on a listen-only basis at https://event.webcasts.com/starthere.jsp?</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ei=1558536&amp;tp_key=f1cc0198ce and will be located on our company website at www.newfortressenergy.com within the "Investors" tab under “Events &amp; Presentations”. Please allow extra time prior to the call to visit the website and download any necessary software required to listen to the internet broadcast. A replay of the conference call will be available at the same website location shortly after the conclusion of the live call.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New Fortress Energy Inc.</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New Fortress Energy Inc. (NASDAQ: NFE) is a global energy infrastructure company founded to help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Certain statements contained in this press release constitute “forward-looking statements” including: our ability to close the transactions and receive funds within the expected timeline, in the amounts anticipated or at all; ability to maintain our expected development timelines; expectations regarding ability to construct, complete and commission our projects on time and within budget to derive expected goals and benefits; execution of definitive documentation; expected or illustrative financial metrics or goals; successful positioning of Zero Parks hydrogen in policy environment and development of green</w:t>
      </w:r>
    </w:p>
    <w:p>
      <w:pPr>
        <w:sectPr>
          <w:pgSz w:w="11900" w:h="16838" w:orient="portrait"/>
          <w:cols w:equalWidth="0" w:num="1">
            <w:col w:w="11240"/>
          </w:cols>
          <w:pgMar w:left="320" w:top="935" w:right="339" w:bottom="1440" w:gutter="0" w:footer="0" w:header="0"/>
        </w:sectPr>
      </w:pPr>
    </w:p>
    <w:bookmarkStart w:id="6" w:name="page7"/>
    <w:bookmarkEnd w:id="6"/>
    <w:p>
      <w:pPr>
        <w:jc w:val="both"/>
        <w:spacing w:after="0" w:line="267" w:lineRule="auto"/>
        <w:rPr>
          <w:sz w:val="20"/>
          <w:szCs w:val="20"/>
          <w:color w:val="auto"/>
        </w:rPr>
      </w:pPr>
      <w:r>
        <w:rPr>
          <w:rFonts w:ascii="Arial" w:cs="Arial" w:eastAsia="Arial" w:hAnsi="Arial"/>
          <w:sz w:val="16"/>
          <w:szCs w:val="16"/>
          <w:color w:val="auto"/>
        </w:rPr>
        <w:t>and blue hydrogen projects in the near future; and the implementation and success of our financing alternatives, including any asset sales.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illustrative financial metrics and other similar metrics, including goals and expected financial growth; our ability to execute definitive documentation in connection with letters of intent or similar instruments; expectations for taking FID on our projects; the development, construction, completion and operation of the facilities on time, within budget and within the expected specifications and design; ability to maintain our expected development timelines; our ability to close our Sergipe and Apollo transactions and receive funds within the expected timeline and in the amounts anticipated; funding of our projects using cash from the Sergipe and Apollo transactions and self-generated cash flows; development of hydrogen business and ability to implement conversion of natural gas into clean blue hydrogen; the risk that we fail to meet internal financial metrics or financial metrics posed by the market on us; the risk that the foregoing or other factors negatively impact our liquidity and our ability to capitalize our projects; and the risk that we may be unable to implement our financing strategy or to effectively leverage our assets. Accordingly, readers should not place undue reliance on forward-looking statements as a prediction of actual results.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4D4D4D"/>
        </w:rPr>
        <w:t>IR: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rPr>
          <w:sz w:val="20"/>
          <w:szCs w:val="20"/>
          <w:color w:val="auto"/>
        </w:rPr>
      </w:pPr>
      <w:r>
        <w:rPr>
          <w:rFonts w:ascii="Arial" w:cs="Arial" w:eastAsia="Arial" w:hAnsi="Arial"/>
          <w:sz w:val="18"/>
          <w:szCs w:val="18"/>
          <w:u w:val="single" w:color="auto"/>
          <w:color w:val="auto"/>
        </w:rPr>
        <w:t>bmagill@newfortressenergy.com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jsuski@newfortressenergy.com</w:t>
      </w:r>
    </w:p>
    <w:p>
      <w:pPr>
        <w:spacing w:after="0"/>
        <w:rPr>
          <w:sz w:val="20"/>
          <w:szCs w:val="20"/>
          <w:color w:val="auto"/>
        </w:rPr>
      </w:pPr>
      <w:r>
        <w:rPr>
          <w:rFonts w:ascii="Arial" w:cs="Arial" w:eastAsia="Arial" w:hAnsi="Arial"/>
          <w:sz w:val="18"/>
          <w:szCs w:val="18"/>
          <w:u w:val="single" w:color="auto"/>
          <w:color w:val="auto"/>
        </w:rPr>
        <w:t>(516) 268-7403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New Fortress Energy Inc.</w:t>
      </w:r>
    </w:p>
    <w:p>
      <w:pPr>
        <w:sectPr>
          <w:pgSz w:w="11900" w:h="16838" w:orient="portrait"/>
          <w:cols w:equalWidth="0" w:num="1">
            <w:col w:w="11240"/>
          </w:cols>
          <w:pgMar w:left="320" w:top="93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Exhibits –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4" w:lineRule="auto"/>
        <w:rPr>
          <w:sz w:val="20"/>
          <w:szCs w:val="20"/>
          <w:color w:val="auto"/>
        </w:rPr>
      </w:pPr>
      <w:r>
        <w:rPr>
          <w:rFonts w:ascii="Arial" w:cs="Arial" w:eastAsia="Arial" w:hAnsi="Arial"/>
          <w:sz w:val="18"/>
          <w:szCs w:val="18"/>
          <w:b w:val="1"/>
          <w:bCs w:val="1"/>
          <w:color w:val="auto"/>
        </w:rPr>
        <w:t>For the three months ended March 31, 2022 and June 30,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4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05"/>
        </w:trPr>
        <w:tc>
          <w:tcPr>
            <w:tcW w:w="7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400,075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497,240</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Vessel charter revenue</w:t>
            </w:r>
          </w:p>
        </w:tc>
        <w:tc>
          <w:tcPr>
            <w:tcW w:w="3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92,420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75,134</w:t>
            </w: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auto"/>
              </w:rPr>
              <w:t>Total revenues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505,118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584,855</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3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208,298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272,401</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Vessel operating expenses</w:t>
            </w:r>
          </w:p>
        </w:tc>
        <w:tc>
          <w:tcPr>
            <w:tcW w:w="3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22,964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18,628</w:t>
            </w: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Operations and maintenance</w:t>
            </w:r>
          </w:p>
        </w:tc>
        <w:tc>
          <w:tcPr>
            <w:tcW w:w="3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23,168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20,490</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3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48,041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50,310</w:t>
            </w: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and integration costs</w:t>
            </w:r>
          </w:p>
        </w:tc>
        <w:tc>
          <w:tcPr>
            <w:tcW w:w="3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1,901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4,866</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34,290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36,356</w:t>
            </w: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 expense</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0" w:type="dxa"/>
            <w:vAlign w:val="bottom"/>
          </w:tcPr>
          <w:p>
            <w:pPr>
              <w:spacing w:after="0"/>
              <w:rPr>
                <w:sz w:val="1"/>
                <w:szCs w:val="1"/>
                <w:color w:val="auto"/>
              </w:rPr>
            </w:pPr>
          </w:p>
        </w:tc>
      </w:tr>
      <w:tr>
        <w:trPr>
          <w:trHeight w:val="223"/>
        </w:trPr>
        <w:tc>
          <w:tcPr>
            <w:tcW w:w="7720" w:type="dxa"/>
            <w:vAlign w:val="bottom"/>
            <w:tcBorders>
              <w:top w:val="single" w:sz="8" w:color="CCEEFF"/>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338,662</w:t>
            </w:r>
          </w:p>
        </w:tc>
        <w:tc>
          <w:tcPr>
            <w:tcW w:w="100" w:type="dxa"/>
            <w:vAlign w:val="bottom"/>
            <w:tcBorders>
              <w:top w:val="single" w:sz="8" w:color="CCEEFF"/>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451,160</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Operating income</w:t>
            </w:r>
          </w:p>
        </w:tc>
        <w:tc>
          <w:tcPr>
            <w:tcW w:w="3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166,456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133,695</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44,916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47,840</w:t>
            </w:r>
          </w:p>
        </w:tc>
        <w:tc>
          <w:tcPr>
            <w:tcW w:w="0" w:type="dxa"/>
            <w:vAlign w:val="bottom"/>
          </w:tcPr>
          <w:p>
            <w:pPr>
              <w:spacing w:after="0"/>
              <w:rPr>
                <w:sz w:val="1"/>
                <w:szCs w:val="1"/>
                <w:color w:val="auto"/>
              </w:rPr>
            </w:pPr>
          </w:p>
        </w:tc>
      </w:tr>
      <w:tr>
        <w:trPr>
          <w:trHeight w:val="26"/>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(19,725)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Net income before income (loss) from equity method investments and income taxes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141,265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107,957</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from equity method investments</w:t>
            </w:r>
          </w:p>
        </w:tc>
        <w:tc>
          <w:tcPr>
            <w:tcW w:w="3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50,235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(372,927)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 benefit</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(86,539)</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241,181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(178,431)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income attributable to non-controlling interest</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8,666</w:t>
            </w:r>
          </w:p>
        </w:tc>
        <w:tc>
          <w:tcPr>
            <w:tcW w:w="0" w:type="dxa"/>
            <w:vAlign w:val="bottom"/>
          </w:tcPr>
          <w:p>
            <w:pPr>
              <w:spacing w:after="0"/>
              <w:rPr>
                <w:sz w:val="1"/>
                <w:szCs w:val="1"/>
                <w:color w:val="auto"/>
              </w:rPr>
            </w:pPr>
          </w:p>
        </w:tc>
      </w:tr>
      <w:tr>
        <w:trPr>
          <w:trHeight w:val="241"/>
        </w:trPr>
        <w:tc>
          <w:tcPr>
            <w:tcW w:w="7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Net income (loss) attributable to stockholders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238,269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(169,765)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per share – 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Net income (loss) per share – 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4"/>
                <w:szCs w:val="14"/>
                <w:color w:val="auto"/>
              </w:rPr>
              <w:t>Weighted average number of shares outstanding – basic</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209,928,070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209,669,188</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 – diluted</w:t>
            </w:r>
          </w:p>
        </w:tc>
        <w:tc>
          <w:tcPr>
            <w:tcW w:w="3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210,082,295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209,669,188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3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Adjusted EBITDA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2022</w:t>
      </w: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Adjusted EBITDA is not a measurement of financial performance under GAAP and should not be considered in isolation or as an alternative to income/(loss) from operations, net income/(loss),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the Company’s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We calculate Adjusted EBITDA as net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transaction and integration costs, contract termination charges and loss on mitigations sales, depreciation and amortization, asset impairment expense, interest expense, net, other (income),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w:t>
      </w:r>
      <w:r>
        <w:rPr>
          <w:rFonts w:ascii="Arial" w:cs="Arial" w:eastAsia="Arial" w:hAnsi="Arial"/>
          <w:sz w:val="17"/>
          <w:szCs w:val="17"/>
          <w:i w:val="1"/>
          <w:iCs w:val="1"/>
          <w:color w:val="auto"/>
        </w:rPr>
        <w:t>plus</w:t>
      </w:r>
      <w:r>
        <w:rPr>
          <w:rFonts w:ascii="Arial" w:cs="Arial" w:eastAsia="Arial" w:hAnsi="Arial"/>
          <w:sz w:val="17"/>
          <w:szCs w:val="17"/>
          <w:color w:val="auto"/>
        </w:rPr>
        <w:t xml:space="preserve"> our pro rata share of Adjusted EBITDA from unconsolidated entities,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impact of equity in earnings (losses) of unconsolidated entities.</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Adjusted EBITDA is mathematically equivalent to our Total Segment Operating Margin, as reported in the segment disclosures within our financial statements, minus Core SG&amp;A, including our pro rata share of such expenses of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income/(loss),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(loss) and diluted earnings (loss) per share attributable to New Fortress Energy, which are determined in accordance with GAAP.</w:t>
      </w:r>
    </w:p>
    <w:p>
      <w:pPr>
        <w:sectPr>
          <w:pgSz w:w="11900" w:h="16838" w:orient="portrait"/>
          <w:cols w:equalWidth="0" w:num="1">
            <w:col w:w="11240"/>
          </w:cols>
          <w:pgMar w:left="320" w:top="931" w:right="339" w:bottom="1440" w:gutter="0" w:footer="0" w:header="0"/>
        </w:sectPr>
      </w:pPr>
    </w:p>
    <w:bookmarkStart w:id="9" w:name="page10"/>
    <w:bookmarkEnd w:id="9"/>
    <w:p>
      <w:pPr>
        <w:spacing w:after="0" w:line="261" w:lineRule="auto"/>
        <w:rPr>
          <w:sz w:val="20"/>
          <w:szCs w:val="20"/>
          <w:color w:val="auto"/>
        </w:rPr>
      </w:pPr>
      <w:r>
        <w:rPr>
          <w:rFonts w:ascii="Arial" w:cs="Arial" w:eastAsia="Arial" w:hAnsi="Arial"/>
          <w:sz w:val="18"/>
          <w:szCs w:val="18"/>
          <w:color w:val="auto"/>
        </w:rPr>
        <w:t>The following table sets forth a reconciliation of net (loss) income to Adjusted EBITDA for the three months ended September 30, 2021, December 31, 2021, March 31, 2022 and June 30, 2022 and the twelve months ended June 30, 2022:</w:t>
      </w: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219"/>
        </w:trPr>
        <w:tc>
          <w:tcPr>
            <w:tcW w:w="3000" w:type="dxa"/>
            <w:vAlign w:val="bottom"/>
          </w:tcPr>
          <w:p>
            <w:pPr>
              <w:ind w:left="6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16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2021</w:t>
            </w: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March 31, 2022</w:t>
            </w:r>
          </w:p>
        </w:tc>
        <w:tc>
          <w:tcPr>
            <w:tcW w:w="22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2022</w:t>
            </w:r>
          </w:p>
        </w:tc>
        <w:tc>
          <w:tcPr>
            <w:tcW w:w="100" w:type="dxa"/>
            <w:vAlign w:val="bottom"/>
          </w:tcPr>
          <w:p>
            <w:pPr>
              <w:spacing w:after="0"/>
              <w:rPr>
                <w:sz w:val="19"/>
                <w:szCs w:val="19"/>
                <w:color w:val="auto"/>
              </w:rPr>
            </w:pPr>
          </w:p>
        </w:tc>
        <w:tc>
          <w:tcPr>
            <w:tcW w:w="148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Segment Operating Margin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210,478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373,150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300,083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327,448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1,211,159</w:t>
            </w: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Arial" w:cs="Arial" w:eastAsia="Arial" w:hAnsi="Arial"/>
                <w:sz w:val="14"/>
                <w:szCs w:val="14"/>
                <w:color w:val="auto"/>
              </w:rPr>
              <w:t>Less: Core SG&amp;A (see definition above)</w:t>
            </w:r>
          </w:p>
        </w:tc>
        <w:tc>
          <w:tcPr>
            <w:tcW w:w="14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38,496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38,033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40,960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42,040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159,529</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 rata share Core SG&amp;A from</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1,390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6,461</w:t>
            </w:r>
          </w:p>
        </w:tc>
        <w:tc>
          <w:tcPr>
            <w:tcW w:w="0" w:type="dxa"/>
            <w:vAlign w:val="bottom"/>
          </w:tcPr>
          <w:p>
            <w:pPr>
              <w:spacing w:after="0"/>
              <w:rPr>
                <w:sz w:val="1"/>
                <w:szCs w:val="1"/>
                <w:color w:val="auto"/>
              </w:rPr>
            </w:pPr>
          </w:p>
        </w:tc>
      </w:tr>
      <w:tr>
        <w:trPr>
          <w:trHeight w:val="208"/>
        </w:trPr>
        <w:tc>
          <w:tcPr>
            <w:tcW w:w="3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unconsolidated entities</w:t>
            </w: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2,047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169,935</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334,007</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257,733</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283,494</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1,045,169</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(17,769)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151,723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241,181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(178,431)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196,704</w:t>
            </w:r>
          </w:p>
        </w:tc>
        <w:tc>
          <w:tcPr>
            <w:tcW w:w="0" w:type="dxa"/>
            <w:vAlign w:val="bottom"/>
          </w:tcPr>
          <w:p>
            <w:pPr>
              <w:spacing w:after="0"/>
              <w:rPr>
                <w:sz w:val="1"/>
                <w:szCs w:val="1"/>
                <w:color w:val="auto"/>
              </w:rPr>
            </w:pPr>
          </w:p>
        </w:tc>
      </w:tr>
      <w:tr>
        <w:trPr>
          <w:trHeight w:val="190"/>
        </w:trPr>
        <w:tc>
          <w:tcPr>
            <w:tcW w:w="3000" w:type="dxa"/>
            <w:vAlign w:val="bottom"/>
          </w:tcPr>
          <w:p>
            <w:pPr>
              <w:ind w:left="20"/>
              <w:spacing w:after="0"/>
              <w:rPr>
                <w:sz w:val="20"/>
                <w:szCs w:val="20"/>
                <w:color w:val="auto"/>
              </w:rPr>
            </w:pPr>
            <w:r>
              <w:rPr>
                <w:rFonts w:ascii="Arial" w:cs="Arial" w:eastAsia="Arial" w:hAnsi="Arial"/>
                <w:sz w:val="14"/>
                <w:szCs w:val="14"/>
                <w:color w:val="auto"/>
              </w:rPr>
              <w:t>Add: Interest expense, net</w:t>
            </w:r>
          </w:p>
        </w:tc>
        <w:tc>
          <w:tcPr>
            <w:tcW w:w="14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57,595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46,567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44,916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47,840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196,918</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 Tax provision (benefit)</w:t>
            </w: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3,526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5,403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(49,681)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(86,539)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(127,291)</w:t>
            </w:r>
          </w:p>
        </w:tc>
        <w:tc>
          <w:tcPr>
            <w:tcW w:w="0" w:type="dxa"/>
            <w:vAlign w:val="bottom"/>
          </w:tcPr>
          <w:p>
            <w:pPr>
              <w:spacing w:after="0"/>
              <w:rPr>
                <w:sz w:val="1"/>
                <w:szCs w:val="1"/>
                <w:color w:val="auto"/>
              </w:rPr>
            </w:pPr>
          </w:p>
        </w:tc>
      </w:tr>
      <w:tr>
        <w:trPr>
          <w:trHeight w:val="191"/>
        </w:trPr>
        <w:tc>
          <w:tcPr>
            <w:tcW w:w="3000" w:type="dxa"/>
            <w:vAlign w:val="bottom"/>
          </w:tcPr>
          <w:p>
            <w:pPr>
              <w:ind w:left="20"/>
              <w:spacing w:after="0"/>
              <w:rPr>
                <w:sz w:val="20"/>
                <w:szCs w:val="20"/>
                <w:color w:val="auto"/>
              </w:rPr>
            </w:pPr>
            <w:r>
              <w:rPr>
                <w:rFonts w:ascii="Arial" w:cs="Arial" w:eastAsia="Arial" w:hAnsi="Arial"/>
                <w:sz w:val="14"/>
                <w:szCs w:val="14"/>
                <w:color w:val="auto"/>
              </w:rPr>
              <w:t>Add: Depreciation and amortization</w:t>
            </w:r>
          </w:p>
        </w:tc>
        <w:tc>
          <w:tcPr>
            <w:tcW w:w="14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31,194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30,297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34,290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36,356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132,137</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 Asset impairment expense</w:t>
            </w:r>
          </w:p>
        </w:tc>
        <w:tc>
          <w:tcPr>
            <w:tcW w:w="1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0" w:type="dxa"/>
            <w:vAlign w:val="bottom"/>
          </w:tcPr>
          <w:p>
            <w:pPr>
              <w:spacing w:after="0"/>
              <w:rPr>
                <w:sz w:val="1"/>
                <w:szCs w:val="1"/>
                <w:color w:val="auto"/>
              </w:rPr>
            </w:pPr>
          </w:p>
        </w:tc>
      </w:tr>
      <w:tr>
        <w:trPr>
          <w:trHeight w:val="170"/>
        </w:trPr>
        <w:tc>
          <w:tcPr>
            <w:tcW w:w="3000" w:type="dxa"/>
            <w:vAlign w:val="bottom"/>
          </w:tcPr>
          <w:p>
            <w:pPr>
              <w:ind w:left="20"/>
              <w:spacing w:after="0"/>
              <w:rPr>
                <w:sz w:val="20"/>
                <w:szCs w:val="20"/>
                <w:color w:val="auto"/>
              </w:rPr>
            </w:pPr>
            <w:r>
              <w:rPr>
                <w:rFonts w:ascii="Arial" w:cs="Arial" w:eastAsia="Arial" w:hAnsi="Arial"/>
                <w:sz w:val="14"/>
                <w:szCs w:val="14"/>
                <w:color w:val="auto"/>
              </w:rPr>
              <w:t>Add: SG&amp;A items excluded from Core SG&amp;A</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00" w:type="dxa"/>
            <w:vAlign w:val="bottom"/>
          </w:tcPr>
          <w:p>
            <w:pPr>
              <w:ind w:left="160"/>
              <w:spacing w:after="0"/>
              <w:rPr>
                <w:sz w:val="20"/>
                <w:szCs w:val="20"/>
                <w:color w:val="auto"/>
              </w:rPr>
            </w:pPr>
            <w:r>
              <w:rPr>
                <w:rFonts w:ascii="Arial" w:cs="Arial" w:eastAsia="Arial" w:hAnsi="Arial"/>
                <w:sz w:val="14"/>
                <w:szCs w:val="14"/>
                <w:color w:val="auto"/>
              </w:rPr>
              <w:t>(see definition above)</w:t>
            </w:r>
          </w:p>
        </w:tc>
        <w:tc>
          <w:tcPr>
            <w:tcW w:w="140" w:type="dxa"/>
            <w:vAlign w:val="bottom"/>
          </w:tcPr>
          <w:p>
            <w:pPr>
              <w:spacing w:after="0"/>
              <w:rPr>
                <w:sz w:val="15"/>
                <w:szCs w:val="15"/>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8,306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36,894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7,081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8,270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60,551</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 Transaction and integration costs</w:t>
            </w: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1,848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2,107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1,901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10,722</w:t>
            </w:r>
          </w:p>
        </w:tc>
        <w:tc>
          <w:tcPr>
            <w:tcW w:w="0" w:type="dxa"/>
            <w:vAlign w:val="bottom"/>
          </w:tcPr>
          <w:p>
            <w:pPr>
              <w:spacing w:after="0"/>
              <w:rPr>
                <w:sz w:val="1"/>
                <w:szCs w:val="1"/>
                <w:color w:val="auto"/>
              </w:rPr>
            </w:pPr>
          </w:p>
        </w:tc>
      </w:tr>
      <w:tr>
        <w:trPr>
          <w:trHeight w:val="190"/>
        </w:trPr>
        <w:tc>
          <w:tcPr>
            <w:tcW w:w="3000" w:type="dxa"/>
            <w:vAlign w:val="bottom"/>
          </w:tcPr>
          <w:p>
            <w:pPr>
              <w:ind w:left="20"/>
              <w:spacing w:after="0"/>
              <w:rPr>
                <w:sz w:val="20"/>
                <w:szCs w:val="20"/>
                <w:color w:val="auto"/>
              </w:rPr>
            </w:pPr>
            <w:r>
              <w:rPr>
                <w:rFonts w:ascii="Arial" w:cs="Arial" w:eastAsia="Arial" w:hAnsi="Arial"/>
                <w:sz w:val="14"/>
                <w:szCs w:val="14"/>
                <w:color w:val="auto"/>
              </w:rPr>
              <w:t>Add: Other (income), net</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(5,400)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(19,725)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(22,102)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(50,919)</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derivative instruments and contingent</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consideration</w:t>
            </w: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2,316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0" w:type="dxa"/>
            <w:vAlign w:val="bottom"/>
          </w:tcPr>
          <w:p>
            <w:pPr>
              <w:spacing w:after="0"/>
              <w:rPr>
                <w:sz w:val="1"/>
                <w:szCs w:val="1"/>
                <w:color w:val="auto"/>
              </w:rPr>
            </w:pPr>
          </w:p>
        </w:tc>
      </w:tr>
      <w:tr>
        <w:trPr>
          <w:trHeight w:val="190"/>
        </w:trPr>
        <w:tc>
          <w:tcPr>
            <w:tcW w:w="3000" w:type="dxa"/>
            <w:vAlign w:val="bottom"/>
          </w:tcPr>
          <w:p>
            <w:pPr>
              <w:ind w:left="20"/>
              <w:spacing w:after="0"/>
              <w:rPr>
                <w:sz w:val="20"/>
                <w:szCs w:val="20"/>
                <w:color w:val="auto"/>
              </w:rPr>
            </w:pPr>
            <w:r>
              <w:rPr>
                <w:rFonts w:ascii="Arial" w:cs="Arial" w:eastAsia="Arial" w:hAnsi="Arial"/>
                <w:sz w:val="14"/>
                <w:szCs w:val="14"/>
                <w:color w:val="auto"/>
              </w:rPr>
              <w:t>Add: Loss on extinguishment of debt, net</w:t>
            </w:r>
          </w:p>
        </w:tc>
        <w:tc>
          <w:tcPr>
            <w:tcW w:w="14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10,975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10,975</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 rata share of Adjusted EBITDA from</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unconsolidated entities</w:t>
            </w:r>
            <w:r>
              <w:rPr>
                <w:rFonts w:ascii="Arial" w:cs="Arial" w:eastAsia="Arial" w:hAnsi="Arial"/>
                <w:sz w:val="18"/>
                <w:szCs w:val="18"/>
                <w:color w:val="auto"/>
                <w:vertAlign w:val="superscript"/>
              </w:rPr>
              <w:t>(1)</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72,336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50,497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217,530</w:t>
            </w:r>
          </w:p>
        </w:tc>
        <w:tc>
          <w:tcPr>
            <w:tcW w:w="0" w:type="dxa"/>
            <w:vAlign w:val="bottom"/>
          </w:tcPr>
          <w:p>
            <w:pPr>
              <w:spacing w:after="0"/>
              <w:rPr>
                <w:sz w:val="1"/>
                <w:szCs w:val="1"/>
                <w:color w:val="auto"/>
              </w:rPr>
            </w:pPr>
          </w:p>
        </w:tc>
      </w:tr>
      <w:tr>
        <w:trPr>
          <w:trHeight w:val="170"/>
        </w:trPr>
        <w:tc>
          <w:tcPr>
            <w:tcW w:w="3000" w:type="dxa"/>
            <w:vAlign w:val="bottom"/>
          </w:tcPr>
          <w:p>
            <w:pPr>
              <w:ind w:left="20"/>
              <w:spacing w:after="0"/>
              <w:rPr>
                <w:sz w:val="20"/>
                <w:szCs w:val="20"/>
                <w:color w:val="auto"/>
              </w:rPr>
            </w:pPr>
            <w:r>
              <w:rPr>
                <w:rFonts w:ascii="Arial" w:cs="Arial" w:eastAsia="Arial" w:hAnsi="Arial"/>
                <w:sz w:val="14"/>
                <w:szCs w:val="14"/>
                <w:color w:val="auto"/>
              </w:rPr>
              <w:t>Less: Loss (income) from equity method</w:t>
            </w: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8,515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(50,235)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372,927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347,190</w:t>
            </w:r>
          </w:p>
        </w:tc>
        <w:tc>
          <w:tcPr>
            <w:tcW w:w="0" w:type="dxa"/>
            <w:vAlign w:val="bottom"/>
          </w:tcPr>
          <w:p>
            <w:pPr>
              <w:spacing w:after="0"/>
              <w:rPr>
                <w:sz w:val="1"/>
                <w:szCs w:val="1"/>
                <w:color w:val="auto"/>
              </w:rPr>
            </w:pPr>
          </w:p>
        </w:tc>
      </w:tr>
      <w:tr>
        <w:trPr>
          <w:trHeight w:val="201"/>
        </w:trPr>
        <w:tc>
          <w:tcPr>
            <w:tcW w:w="3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investments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15,983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169,935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334,007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257,733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283,494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1,045,169</w:t>
            </w:r>
          </w:p>
        </w:tc>
        <w:tc>
          <w:tcPr>
            <w:tcW w:w="0" w:type="dxa"/>
            <w:vAlign w:val="bottom"/>
          </w:tcPr>
          <w:p>
            <w:pPr>
              <w:spacing w:after="0"/>
              <w:rPr>
                <w:sz w:val="1"/>
                <w:szCs w:val="1"/>
                <w:color w:val="auto"/>
              </w:rPr>
            </w:pPr>
          </w:p>
        </w:tc>
      </w:tr>
      <w:tr>
        <w:trPr>
          <w:trHeight w:val="25"/>
        </w:trPr>
        <w:tc>
          <w:tcPr>
            <w:tcW w:w="3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right="280" w:hanging="332"/>
        <w:spacing w:after="0" w:line="227"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the Company’s effective share of Adjusted EBITDA of CELSEPAR of $52,179, $24,173, $30,207 and $30,813 for the three months ended September 30, 2021, December 31, 2021, March 31, 2022 and June 30, 2022, respectively, and the Company’s effective share of the Adjusted EBITDA of Hilli LLC of $20,157, $20,573, $20,291 and $19,138 for the three months ended September 30, 2021, December 31, 2021, March 31, 2022 and June 30, 2022, respectively.</w:t>
      </w:r>
    </w:p>
    <w:p>
      <w:pPr>
        <w:sectPr>
          <w:pgSz w:w="11900" w:h="16838" w:orient="portrait"/>
          <w:cols w:equalWidth="0" w:num="1">
            <w:col w:w="11240"/>
          </w:cols>
          <w:pgMar w:left="320" w:top="93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Segment Operating Margin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23"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(loss), adjusted for selling, general and administrative expense, transaction and integration costs, contract termination charges and loss on mitigation sales, depreciation and amortization, asset impairment expense, interest expense, other (income) expense, loss on extinguishment of debt, net, (loss) income from equity method investments and tax (benefit) expense. Consolidated Segment Operating Margin is mathematically equivalent to Revenue minus Cost of sales minus Operations and maintenance minus Vessel operating expenses, each as reported in our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3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740" w:type="dxa"/>
            <w:vAlign w:val="bottom"/>
          </w:tcPr>
          <w:p>
            <w:pPr>
              <w:spacing w:after="0"/>
              <w:rPr>
                <w:sz w:val="23"/>
                <w:szCs w:val="23"/>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Terminals and</w:t>
            </w:r>
          </w:p>
        </w:tc>
        <w:tc>
          <w:tcPr>
            <w:tcW w:w="260" w:type="dxa"/>
            <w:vAlign w:val="bottom"/>
          </w:tcPr>
          <w:p>
            <w:pPr>
              <w:spacing w:after="0"/>
              <w:rPr>
                <w:sz w:val="23"/>
                <w:szCs w:val="23"/>
                <w:color w:val="auto"/>
              </w:rPr>
            </w:pPr>
          </w:p>
        </w:tc>
        <w:tc>
          <w:tcPr>
            <w:tcW w:w="980" w:type="dxa"/>
            <w:vAlign w:val="bottom"/>
          </w:tcPr>
          <w:p>
            <w:pPr>
              <w:jc w:val="right"/>
              <w:ind w:right="210"/>
              <w:spacing w:after="0" w:line="207" w:lineRule="exact"/>
              <w:rPr>
                <w:sz w:val="20"/>
                <w:szCs w:val="20"/>
                <w:color w:val="auto"/>
              </w:rPr>
            </w:pPr>
            <w:r>
              <w:rPr>
                <w:rFonts w:ascii="Arial" w:cs="Arial" w:eastAsia="Arial" w:hAnsi="Arial"/>
                <w:sz w:val="18"/>
                <w:szCs w:val="18"/>
                <w:b w:val="1"/>
                <w:bCs w:val="1"/>
                <w:color w:val="auto"/>
                <w:w w:val="97"/>
              </w:rPr>
              <w:t xml:space="preserve">Ships </w:t>
            </w:r>
            <w:r>
              <w:rPr>
                <w:rFonts w:ascii="MS PGothic" w:cs="MS PGothic" w:eastAsia="MS PGothic" w:hAnsi="MS PGothic"/>
                <w:sz w:val="18"/>
                <w:szCs w:val="18"/>
                <w:color w:val="auto"/>
                <w:w w:val="97"/>
              </w:rPr>
              <w:t>⁽</w:t>
            </w:r>
            <w:r>
              <w:rPr>
                <w:rFonts w:ascii="Arial" w:cs="Arial" w:eastAsia="Arial" w:hAnsi="Arial"/>
                <w:sz w:val="18"/>
                <w:szCs w:val="18"/>
                <w:b w:val="1"/>
                <w:bCs w:val="1"/>
                <w:color w:val="auto"/>
                <w:w w:val="97"/>
              </w:rPr>
              <w:t>²</w:t>
            </w:r>
            <w:r>
              <w:rPr>
                <w:rFonts w:ascii="MS PGothic" w:cs="MS PGothic" w:eastAsia="MS PGothic" w:hAnsi="MS PGothic"/>
                <w:sz w:val="18"/>
                <w:szCs w:val="18"/>
                <w:color w:val="auto"/>
                <w:w w:val="97"/>
              </w:rPr>
              <w:t>⁾</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Total Segment</w:t>
            </w: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Consolidation and</w:t>
            </w:r>
          </w:p>
        </w:tc>
        <w:tc>
          <w:tcPr>
            <w:tcW w:w="22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183"/>
        </w:trPr>
        <w:tc>
          <w:tcPr>
            <w:tcW w:w="33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 xml:space="preserve">Infrastructure </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¹</w:t>
            </w:r>
            <w:r>
              <w:rPr>
                <w:rFonts w:ascii="MS PGothic" w:cs="MS PGothic" w:eastAsia="MS PGothic" w:hAnsi="MS PGothic"/>
                <w:sz w:val="18"/>
                <w:szCs w:val="18"/>
                <w:color w:val="auto"/>
                <w:w w:val="94"/>
              </w:rPr>
              <w: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70"/>
              <w:spacing w:after="0" w:line="176" w:lineRule="exact"/>
              <w:rPr>
                <w:sz w:val="20"/>
                <w:szCs w:val="20"/>
                <w:color w:val="auto"/>
              </w:rPr>
            </w:pPr>
            <w:r>
              <w:rPr>
                <w:rFonts w:ascii="Arial" w:cs="Arial" w:eastAsia="Arial" w:hAnsi="Arial"/>
                <w:sz w:val="18"/>
                <w:szCs w:val="18"/>
                <w:b w:val="1"/>
                <w:bCs w:val="1"/>
                <w:color w:val="auto"/>
              </w:rPr>
              <w:t xml:space="preserve">Other </w:t>
            </w:r>
            <w:r>
              <w:rPr>
                <w:rFonts w:ascii="MS PGothic" w:cs="MS PGothic" w:eastAsia="MS PGothic" w:hAnsi="MS PGothic"/>
                <w:sz w:val="18"/>
                <w:szCs w:val="18"/>
                <w:color w:val="auto"/>
              </w:rPr>
              <w:t>⁽</w:t>
            </w:r>
            <w:r>
              <w:rPr>
                <w:rFonts w:ascii="Arial" w:cs="Arial" w:eastAsia="Arial" w:hAnsi="Arial"/>
                <w:sz w:val="18"/>
                <w:szCs w:val="18"/>
                <w:b w:val="1"/>
                <w:bCs w:val="1"/>
                <w:color w:val="auto"/>
              </w:rPr>
              <w:t>³</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237,712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89,736</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327,448</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273,336</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Less:</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50,310</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6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36,356</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Asset impairment expense</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48,109</w:t>
            </w:r>
          </w:p>
        </w:tc>
        <w:tc>
          <w:tcPr>
            <w:tcW w:w="0" w:type="dxa"/>
            <w:vAlign w:val="bottom"/>
          </w:tcPr>
          <w:p>
            <w:pPr>
              <w:spacing w:after="0"/>
              <w:rPr>
                <w:sz w:val="1"/>
                <w:szCs w:val="1"/>
                <w:color w:val="auto"/>
              </w:rPr>
            </w:pPr>
          </w:p>
        </w:tc>
      </w:tr>
      <w:tr>
        <w:trPr>
          <w:trHeight w:val="26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47,840</w:t>
            </w:r>
          </w:p>
        </w:tc>
        <w:tc>
          <w:tcPr>
            <w:tcW w:w="0" w:type="dxa"/>
            <w:vAlign w:val="bottom"/>
          </w:tcPr>
          <w:p>
            <w:pPr>
              <w:spacing w:after="0"/>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(22,102)</w:t>
            </w:r>
          </w:p>
        </w:tc>
        <w:tc>
          <w:tcPr>
            <w:tcW w:w="0" w:type="dxa"/>
            <w:vAlign w:val="bottom"/>
          </w:tcPr>
          <w:p>
            <w:pPr>
              <w:spacing w:after="0"/>
              <w:rPr>
                <w:sz w:val="1"/>
                <w:szCs w:val="1"/>
                <w:color w:val="auto"/>
              </w:rPr>
            </w:pPr>
          </w:p>
        </w:tc>
      </w:tr>
      <w:tr>
        <w:trPr>
          <w:trHeight w:val="26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investments</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provision</w:t>
            </w:r>
          </w:p>
        </w:tc>
        <w:tc>
          <w:tcPr>
            <w:tcW w:w="7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(86,539)</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7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-1962785</wp:posOffset>
            </wp:positionV>
            <wp:extent cx="106045" cy="86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-2031365</wp:posOffset>
            </wp:positionV>
            <wp:extent cx="106045" cy="86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-1962785</wp:posOffset>
            </wp:positionV>
            <wp:extent cx="106045" cy="86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03" w:lineRule="exact"/>
        <w:rPr>
          <w:sz w:val="20"/>
          <w:szCs w:val="20"/>
          <w:color w:val="auto"/>
        </w:rPr>
      </w:pPr>
    </w:p>
    <w:p>
      <w:pPr>
        <w:ind w:left="340" w:right="100" w:hanging="332"/>
        <w:spacing w:after="0"/>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Terminals and Infrastructure includes the Company's effective share of revenues, expenses and operating margin attributable to 50% ownership of CELSEPAR. The losses attributable to the investment of $389,996 for the three months ended June 30, 2022 are reported in (loss) income from equity method investments in the consolidated statements of operations and comprehensive income (loss).</w:t>
      </w:r>
    </w:p>
    <w:p>
      <w:pPr>
        <w:spacing w:after="0" w:line="2" w:lineRule="exact"/>
        <w:rPr>
          <w:rFonts w:ascii="Arial" w:cs="Arial" w:eastAsia="Arial" w:hAnsi="Arial"/>
          <w:sz w:val="18"/>
          <w:szCs w:val="18"/>
          <w:color w:val="auto"/>
        </w:rPr>
      </w:pPr>
    </w:p>
    <w:p>
      <w:pPr>
        <w:ind w:left="340" w:right="220" w:hanging="332"/>
        <w:spacing w:after="0" w:line="248" w:lineRule="auto"/>
        <w:tabs>
          <w:tab w:leader="none" w:pos="332" w:val="left"/>
        </w:tabs>
        <w:numPr>
          <w:ilvl w:val="0"/>
          <w:numId w:val="8"/>
        </w:numPr>
        <w:rPr>
          <w:rFonts w:ascii="Arial" w:cs="Arial" w:eastAsia="Arial" w:hAnsi="Arial"/>
          <w:sz w:val="13"/>
          <w:szCs w:val="13"/>
          <w:color w:val="auto"/>
        </w:rPr>
      </w:pPr>
      <w:r>
        <w:rPr>
          <w:rFonts w:ascii="Arial" w:cs="Arial" w:eastAsia="Arial" w:hAnsi="Arial"/>
          <w:sz w:val="17"/>
          <w:szCs w:val="17"/>
          <w:color w:val="auto"/>
        </w:rPr>
        <w:t>Ships includes the Company's effective share of revenues, expenses and operating margin attributable to 50% ownership of the Hilli Common Units. The earnings attributable to the investment of $17,069 for the three months ended June 30, 2022 are reported in (loss) income from equity method investments in the condensed consolidated statements of operations and comprehensive income (loss).</w:t>
      </w:r>
    </w:p>
    <w:p>
      <w:pPr>
        <w:spacing w:after="0" w:line="1" w:lineRule="exact"/>
        <w:rPr>
          <w:rFonts w:ascii="Arial" w:cs="Arial" w:eastAsia="Arial" w:hAnsi="Arial"/>
          <w:sz w:val="13"/>
          <w:szCs w:val="13"/>
          <w:color w:val="auto"/>
        </w:rPr>
      </w:pPr>
    </w:p>
    <w:p>
      <w:pPr>
        <w:jc w:val="both"/>
        <w:ind w:left="340" w:right="180" w:hanging="332"/>
        <w:spacing w:after="0" w:line="303" w:lineRule="auto"/>
        <w:tabs>
          <w:tab w:leader="none" w:pos="332" w:val="left"/>
        </w:tabs>
        <w:numPr>
          <w:ilvl w:val="0"/>
          <w:numId w:val="8"/>
        </w:numPr>
        <w:rPr>
          <w:rFonts w:ascii="Arial" w:cs="Arial" w:eastAsia="Arial" w:hAnsi="Arial"/>
          <w:sz w:val="13"/>
          <w:szCs w:val="13"/>
          <w:color w:val="auto"/>
        </w:rPr>
      </w:pPr>
      <w:r>
        <w:rPr>
          <w:rFonts w:ascii="Arial" w:cs="Arial" w:eastAsia="Arial" w:hAnsi="Arial"/>
          <w:sz w:val="16"/>
          <w:szCs w:val="16"/>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3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Three Months Ended March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9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Terminals and</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90"/>
              <w:spacing w:after="0" w:line="207" w:lineRule="exact"/>
              <w:rPr>
                <w:sz w:val="20"/>
                <w:szCs w:val="20"/>
                <w:color w:val="auto"/>
              </w:rPr>
            </w:pPr>
            <w:r>
              <w:rPr>
                <w:rFonts w:ascii="Arial" w:cs="Arial" w:eastAsia="Arial" w:hAnsi="Arial"/>
                <w:sz w:val="18"/>
                <w:szCs w:val="18"/>
                <w:b w:val="1"/>
                <w:bCs w:val="1"/>
                <w:color w:val="auto"/>
                <w:w w:val="97"/>
              </w:rPr>
              <w:t xml:space="preserve">Ships </w:t>
            </w:r>
            <w:r>
              <w:rPr>
                <w:rFonts w:ascii="MS PGothic" w:cs="MS PGothic" w:eastAsia="MS PGothic" w:hAnsi="MS PGothic"/>
                <w:sz w:val="18"/>
                <w:szCs w:val="18"/>
                <w:color w:val="auto"/>
                <w:w w:val="97"/>
              </w:rPr>
              <w:t>⁽</w:t>
            </w:r>
            <w:r>
              <w:rPr>
                <w:rFonts w:ascii="Arial" w:cs="Arial" w:eastAsia="Arial" w:hAnsi="Arial"/>
                <w:sz w:val="18"/>
                <w:szCs w:val="18"/>
                <w:b w:val="1"/>
                <w:bCs w:val="1"/>
                <w:color w:val="auto"/>
                <w:w w:val="97"/>
              </w:rPr>
              <w:t>²</w:t>
            </w:r>
            <w:r>
              <w:rPr>
                <w:rFonts w:ascii="MS PGothic" w:cs="MS PGothic" w:eastAsia="MS PGothic" w:hAnsi="MS PGothic"/>
                <w:sz w:val="18"/>
                <w:szCs w:val="18"/>
                <w:color w:val="auto"/>
                <w:w w:val="97"/>
              </w:rPr>
              <w:t>⁾</w:t>
            </w:r>
          </w:p>
        </w:tc>
        <w:tc>
          <w:tcPr>
            <w:tcW w:w="12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1"/>
              </w:rPr>
              <w:t>Total Segment</w:t>
            </w:r>
          </w:p>
        </w:tc>
        <w:tc>
          <w:tcPr>
            <w:tcW w:w="16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4"/>
              </w:rPr>
              <w:t>Consolidation and</w:t>
            </w: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155"/>
        </w:trPr>
        <w:tc>
          <w:tcPr>
            <w:tcW w:w="39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2"/>
              <w:spacing w:after="0" w:line="149" w:lineRule="exact"/>
              <w:rPr>
                <w:sz w:val="20"/>
                <w:szCs w:val="20"/>
                <w:color w:val="auto"/>
              </w:rPr>
            </w:pPr>
            <w:r>
              <w:rPr>
                <w:rFonts w:ascii="Arial" w:cs="Arial" w:eastAsia="Arial" w:hAnsi="Arial"/>
                <w:sz w:val="17"/>
                <w:szCs w:val="17"/>
                <w:b w:val="1"/>
                <w:bCs w:val="1"/>
                <w:color w:val="auto"/>
              </w:rPr>
              <w:t xml:space="preserve">Infrastructure </w:t>
            </w:r>
            <w:r>
              <w:rPr>
                <w:rFonts w:ascii="MS PGothic" w:cs="MS PGothic" w:eastAsia="MS PGothic" w:hAnsi="MS PGothic"/>
                <w:sz w:val="17"/>
                <w:szCs w:val="17"/>
                <w:color w:val="auto"/>
              </w:rPr>
              <w:t>⁽</w:t>
            </w:r>
            <w:r>
              <w:rPr>
                <w:rFonts w:ascii="Arial" w:cs="Arial" w:eastAsia="Arial" w:hAnsi="Arial"/>
                <w:sz w:val="17"/>
                <w:szCs w:val="17"/>
                <w:b w:val="1"/>
                <w:bCs w:val="1"/>
                <w:color w:val="auto"/>
              </w:rPr>
              <w:t>¹</w:t>
            </w:r>
            <w:r>
              <w:rPr>
                <w:rFonts w:ascii="MS PGothic" w:cs="MS PGothic" w:eastAsia="MS PGothic" w:hAnsi="MS PGothic"/>
                <w:sz w:val="17"/>
                <w:szCs w:val="17"/>
                <w:color w:val="auto"/>
              </w:rPr>
              <w:t>⁾</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93"/>
              <w:spacing w:after="0" w:line="149" w:lineRule="exact"/>
              <w:rPr>
                <w:sz w:val="20"/>
                <w:szCs w:val="20"/>
                <w:color w:val="auto"/>
              </w:rPr>
            </w:pPr>
            <w:r>
              <w:rPr>
                <w:rFonts w:ascii="Arial" w:cs="Arial" w:eastAsia="Arial" w:hAnsi="Arial"/>
                <w:sz w:val="17"/>
                <w:szCs w:val="17"/>
                <w:b w:val="1"/>
                <w:bCs w:val="1"/>
                <w:color w:val="auto"/>
              </w:rPr>
              <w:t xml:space="preserve">Other </w:t>
            </w:r>
            <w:r>
              <w:rPr>
                <w:rFonts w:ascii="MS PGothic" w:cs="MS PGothic" w:eastAsia="MS PGothic" w:hAnsi="MS PGothic"/>
                <w:sz w:val="17"/>
                <w:szCs w:val="17"/>
                <w:color w:val="auto"/>
              </w:rPr>
              <w:t>⁽</w:t>
            </w:r>
            <w:r>
              <w:rPr>
                <w:rFonts w:ascii="Arial" w:cs="Arial" w:eastAsia="Arial" w:hAnsi="Arial"/>
                <w:sz w:val="17"/>
                <w:szCs w:val="17"/>
                <w:b w:val="1"/>
                <w:bCs w:val="1"/>
                <w:color w:val="auto"/>
              </w:rPr>
              <w:t>³</w:t>
            </w:r>
            <w:r>
              <w:rPr>
                <w:rFonts w:ascii="MS PGothic" w:cs="MS PGothic" w:eastAsia="MS PGothic" w:hAnsi="MS PGothic"/>
                <w:sz w:val="17"/>
                <w:szCs w:val="17"/>
                <w:color w:val="auto"/>
              </w:rPr>
              <w:t>⁾</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211,083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89,000</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300,083</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250,688</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48,041</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34,290</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44,916</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(Income) Loss from equity method investments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(50,235)</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 provision</w:t>
            </w:r>
          </w:p>
        </w:tc>
        <w:tc>
          <w:tcPr>
            <w:tcW w:w="1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(49,681)</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241,181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-1791335</wp:posOffset>
            </wp:positionV>
            <wp:extent cx="106045" cy="86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-1851660</wp:posOffset>
            </wp:positionV>
            <wp:extent cx="106045" cy="86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-1791335</wp:posOffset>
            </wp:positionV>
            <wp:extent cx="106045" cy="86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17" w:lineRule="exact"/>
        <w:rPr>
          <w:sz w:val="20"/>
          <w:szCs w:val="20"/>
          <w:color w:val="auto"/>
        </w:rPr>
      </w:pPr>
    </w:p>
    <w:p>
      <w:pPr>
        <w:jc w:val="both"/>
        <w:ind w:left="340" w:right="360" w:hanging="332"/>
        <w:spacing w:after="0" w:line="271" w:lineRule="auto"/>
        <w:tabs>
          <w:tab w:leader="none" w:pos="332" w:val="left"/>
        </w:tabs>
        <w:numPr>
          <w:ilvl w:val="0"/>
          <w:numId w:val="9"/>
        </w:numPr>
        <w:rPr>
          <w:rFonts w:ascii="Arial" w:cs="Arial" w:eastAsia="Arial" w:hAnsi="Arial"/>
          <w:sz w:val="13"/>
          <w:szCs w:val="13"/>
          <w:color w:val="auto"/>
        </w:rPr>
      </w:pPr>
      <w:r>
        <w:rPr>
          <w:rFonts w:ascii="Arial" w:cs="Arial" w:eastAsia="Arial" w:hAnsi="Arial"/>
          <w:sz w:val="16"/>
          <w:szCs w:val="16"/>
          <w:color w:val="auto"/>
        </w:rPr>
        <w:t>Terminals and Infrastructure includes the Company's effective share of revenues, expenses and operating margin attributable to 50% ownership of CELSEPAR. The earnings attributable to the investment of $36,680 for the three months ended March 31, 2022 are reported in (loss) income from equity method investments on the condensed consolidated statements of operations and comprehensive income (loss).</w:t>
      </w:r>
    </w:p>
    <w:p>
      <w:pPr>
        <w:jc w:val="both"/>
        <w:ind w:left="340" w:right="220" w:hanging="332"/>
        <w:spacing w:after="0" w:line="248" w:lineRule="auto"/>
        <w:tabs>
          <w:tab w:leader="none" w:pos="332" w:val="left"/>
        </w:tabs>
        <w:numPr>
          <w:ilvl w:val="0"/>
          <w:numId w:val="9"/>
        </w:numPr>
        <w:rPr>
          <w:rFonts w:ascii="Arial" w:cs="Arial" w:eastAsia="Arial" w:hAnsi="Arial"/>
          <w:sz w:val="13"/>
          <w:szCs w:val="13"/>
          <w:color w:val="auto"/>
        </w:rPr>
      </w:pPr>
      <w:r>
        <w:rPr>
          <w:rFonts w:ascii="Arial" w:cs="Arial" w:eastAsia="Arial" w:hAnsi="Arial"/>
          <w:sz w:val="17"/>
          <w:szCs w:val="17"/>
          <w:color w:val="auto"/>
        </w:rPr>
        <w:t>Ships includes the Company's effective share of revenues, expenses and operating margin attributable to 50% ownership of the Hilli Common Units. The earnings attributable to the investment of $13,555 for the three months ended March 31, 2022 are reported in (loss) income from equity method investments on the condensed consolidated statements of operations and comprehensive income (loss).</w:t>
      </w:r>
    </w:p>
    <w:p>
      <w:pPr>
        <w:spacing w:after="0" w:line="1" w:lineRule="exact"/>
        <w:rPr>
          <w:rFonts w:ascii="Arial" w:cs="Arial" w:eastAsia="Arial" w:hAnsi="Arial"/>
          <w:sz w:val="13"/>
          <w:szCs w:val="13"/>
          <w:color w:val="auto"/>
        </w:rPr>
      </w:pPr>
    </w:p>
    <w:p>
      <w:pPr>
        <w:jc w:val="both"/>
        <w:ind w:left="340" w:right="180" w:hanging="332"/>
        <w:spacing w:after="0" w:line="303" w:lineRule="auto"/>
        <w:tabs>
          <w:tab w:leader="none" w:pos="332" w:val="left"/>
        </w:tabs>
        <w:numPr>
          <w:ilvl w:val="0"/>
          <w:numId w:val="9"/>
        </w:numPr>
        <w:rPr>
          <w:rFonts w:ascii="Arial" w:cs="Arial" w:eastAsia="Arial" w:hAnsi="Arial"/>
          <w:sz w:val="13"/>
          <w:szCs w:val="13"/>
          <w:color w:val="auto"/>
        </w:rPr>
      </w:pPr>
      <w:r>
        <w:rPr>
          <w:rFonts w:ascii="Arial" w:cs="Arial" w:eastAsia="Arial" w:hAnsi="Arial"/>
          <w:sz w:val="16"/>
          <w:szCs w:val="16"/>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8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Three Months Ended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9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Terminals and</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90"/>
              <w:spacing w:after="0" w:line="207" w:lineRule="exact"/>
              <w:rPr>
                <w:sz w:val="20"/>
                <w:szCs w:val="20"/>
                <w:color w:val="auto"/>
              </w:rPr>
            </w:pPr>
            <w:r>
              <w:rPr>
                <w:rFonts w:ascii="Arial" w:cs="Arial" w:eastAsia="Arial" w:hAnsi="Arial"/>
                <w:sz w:val="18"/>
                <w:szCs w:val="18"/>
                <w:b w:val="1"/>
                <w:bCs w:val="1"/>
                <w:color w:val="auto"/>
                <w:w w:val="97"/>
              </w:rPr>
              <w:t xml:space="preserve">Ships </w:t>
            </w:r>
            <w:r>
              <w:rPr>
                <w:rFonts w:ascii="MS PGothic" w:cs="MS PGothic" w:eastAsia="MS PGothic" w:hAnsi="MS PGothic"/>
                <w:sz w:val="18"/>
                <w:szCs w:val="18"/>
                <w:color w:val="auto"/>
                <w:w w:val="97"/>
              </w:rPr>
              <w:t>⁽</w:t>
            </w:r>
            <w:r>
              <w:rPr>
                <w:rFonts w:ascii="Arial" w:cs="Arial" w:eastAsia="Arial" w:hAnsi="Arial"/>
                <w:sz w:val="18"/>
                <w:szCs w:val="18"/>
                <w:b w:val="1"/>
                <w:bCs w:val="1"/>
                <w:color w:val="auto"/>
                <w:w w:val="97"/>
              </w:rPr>
              <w:t>²</w:t>
            </w:r>
            <w:r>
              <w:rPr>
                <w:rFonts w:ascii="MS PGothic" w:cs="MS PGothic" w:eastAsia="MS PGothic" w:hAnsi="MS PGothic"/>
                <w:sz w:val="18"/>
                <w:szCs w:val="18"/>
                <w:color w:val="auto"/>
                <w:w w:val="97"/>
              </w:rPr>
              <w:t>⁾</w:t>
            </w:r>
          </w:p>
        </w:tc>
        <w:tc>
          <w:tcPr>
            <w:tcW w:w="12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1"/>
              </w:rPr>
              <w:t>Total Segment</w:t>
            </w:r>
          </w:p>
        </w:tc>
        <w:tc>
          <w:tcPr>
            <w:tcW w:w="16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4"/>
              </w:rPr>
              <w:t>Consolidation and</w:t>
            </w: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155"/>
        </w:trPr>
        <w:tc>
          <w:tcPr>
            <w:tcW w:w="39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2"/>
              <w:spacing w:after="0" w:line="149" w:lineRule="exact"/>
              <w:rPr>
                <w:sz w:val="20"/>
                <w:szCs w:val="20"/>
                <w:color w:val="auto"/>
              </w:rPr>
            </w:pPr>
            <w:r>
              <w:rPr>
                <w:rFonts w:ascii="Arial" w:cs="Arial" w:eastAsia="Arial" w:hAnsi="Arial"/>
                <w:sz w:val="17"/>
                <w:szCs w:val="17"/>
                <w:b w:val="1"/>
                <w:bCs w:val="1"/>
                <w:color w:val="auto"/>
              </w:rPr>
              <w:t xml:space="preserve">Infrastructure </w:t>
            </w:r>
            <w:r>
              <w:rPr>
                <w:rFonts w:ascii="MS PGothic" w:cs="MS PGothic" w:eastAsia="MS PGothic" w:hAnsi="MS PGothic"/>
                <w:sz w:val="17"/>
                <w:szCs w:val="17"/>
                <w:color w:val="auto"/>
              </w:rPr>
              <w:t>⁽</w:t>
            </w:r>
            <w:r>
              <w:rPr>
                <w:rFonts w:ascii="Arial" w:cs="Arial" w:eastAsia="Arial" w:hAnsi="Arial"/>
                <w:sz w:val="17"/>
                <w:szCs w:val="17"/>
                <w:b w:val="1"/>
                <w:bCs w:val="1"/>
                <w:color w:val="auto"/>
              </w:rPr>
              <w:t>¹</w:t>
            </w:r>
            <w:r>
              <w:rPr>
                <w:rFonts w:ascii="MS PGothic" w:cs="MS PGothic" w:eastAsia="MS PGothic" w:hAnsi="MS PGothic"/>
                <w:sz w:val="17"/>
                <w:szCs w:val="17"/>
                <w:color w:val="auto"/>
              </w:rPr>
              <w:t>⁾</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93"/>
              <w:spacing w:after="0" w:line="149" w:lineRule="exact"/>
              <w:rPr>
                <w:sz w:val="20"/>
                <w:szCs w:val="20"/>
                <w:color w:val="auto"/>
              </w:rPr>
            </w:pPr>
            <w:r>
              <w:rPr>
                <w:rFonts w:ascii="Arial" w:cs="Arial" w:eastAsia="Arial" w:hAnsi="Arial"/>
                <w:sz w:val="17"/>
                <w:szCs w:val="17"/>
                <w:b w:val="1"/>
                <w:bCs w:val="1"/>
                <w:color w:val="auto"/>
              </w:rPr>
              <w:t xml:space="preserve">Other </w:t>
            </w:r>
            <w:r>
              <w:rPr>
                <w:rFonts w:ascii="MS PGothic" w:cs="MS PGothic" w:eastAsia="MS PGothic" w:hAnsi="MS PGothic"/>
                <w:sz w:val="17"/>
                <w:szCs w:val="17"/>
                <w:color w:val="auto"/>
              </w:rPr>
              <w:t>⁽</w:t>
            </w:r>
            <w:r>
              <w:rPr>
                <w:rFonts w:ascii="Arial" w:cs="Arial" w:eastAsia="Arial" w:hAnsi="Arial"/>
                <w:sz w:val="17"/>
                <w:szCs w:val="17"/>
                <w:b w:val="1"/>
                <w:bCs w:val="1"/>
                <w:color w:val="auto"/>
              </w:rPr>
              <w:t>³</w:t>
            </w:r>
            <w:r>
              <w:rPr>
                <w:rFonts w:ascii="MS PGothic" w:cs="MS PGothic" w:eastAsia="MS PGothic" w:hAnsi="MS PGothic"/>
                <w:sz w:val="17"/>
                <w:szCs w:val="17"/>
                <w:color w:val="auto"/>
              </w:rPr>
              <w:t>⁾</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278,354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94,796</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373,150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326,822</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74,927</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30,297</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46,567</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Loss from extinguishment of debt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equity method investments</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6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 provision</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-1962785</wp:posOffset>
            </wp:positionV>
            <wp:extent cx="106045" cy="86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-2023110</wp:posOffset>
            </wp:positionV>
            <wp:extent cx="106045" cy="86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-1962785</wp:posOffset>
            </wp:positionV>
            <wp:extent cx="106045" cy="86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03" w:lineRule="exact"/>
        <w:rPr>
          <w:sz w:val="20"/>
          <w:szCs w:val="20"/>
          <w:color w:val="auto"/>
        </w:rPr>
      </w:pPr>
    </w:p>
    <w:p>
      <w:pPr>
        <w:ind w:left="340" w:right="260" w:hanging="332"/>
        <w:spacing w:after="0" w:line="255" w:lineRule="auto"/>
        <w:tabs>
          <w:tab w:leader="none" w:pos="33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Terminals and Infrastructure includes the Company's effective share of revenues, expenses and operating margin attributable to 50% ownership of CELSEPAR. The losses attributable to the investment of $18,580 for the three months ended December 31, 2021 are reported in (loss) income from equity method investments on the condensed consolidated statements of operations and comprehensive income (loss).</w:t>
      </w:r>
    </w:p>
    <w:p>
      <w:pPr>
        <w:ind w:left="340" w:right="220" w:hanging="332"/>
        <w:spacing w:after="0" w:line="248" w:lineRule="auto"/>
        <w:tabs>
          <w:tab w:leader="none" w:pos="334"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Ships includes the Company's effective share of revenues, expenses and operating margin attributable to 50% ownership of the Hilli Common Units. The earnings attributable to the investment of $10,065 for the three months ended December 31, 2021 are reported in (loss) income from equity method investments on the condensed consolidated statements of operations and comprehensive income (loss).</w:t>
      </w:r>
    </w:p>
    <w:p>
      <w:pPr>
        <w:spacing w:after="0" w:line="1" w:lineRule="exact"/>
        <w:rPr>
          <w:rFonts w:ascii="Arial" w:cs="Arial" w:eastAsia="Arial" w:hAnsi="Arial"/>
          <w:sz w:val="17"/>
          <w:szCs w:val="17"/>
          <w:color w:val="auto"/>
        </w:rPr>
      </w:pPr>
    </w:p>
    <w:p>
      <w:pPr>
        <w:jc w:val="both"/>
        <w:ind w:left="340" w:right="180" w:hanging="332"/>
        <w:spacing w:after="0" w:line="303" w:lineRule="auto"/>
        <w:tabs>
          <w:tab w:leader="none" w:pos="332" w:val="left"/>
        </w:tabs>
        <w:numPr>
          <w:ilvl w:val="0"/>
          <w:numId w:val="10"/>
        </w:numPr>
        <w:rPr>
          <w:rFonts w:ascii="Arial" w:cs="Arial" w:eastAsia="Arial" w:hAnsi="Arial"/>
          <w:sz w:val="13"/>
          <w:szCs w:val="13"/>
          <w:color w:val="auto"/>
        </w:rPr>
      </w:pPr>
      <w:r>
        <w:rPr>
          <w:rFonts w:ascii="Arial" w:cs="Arial" w:eastAsia="Arial" w:hAnsi="Arial"/>
          <w:sz w:val="16"/>
          <w:szCs w:val="16"/>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8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9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Terminals and</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90"/>
              <w:spacing w:after="0" w:line="207" w:lineRule="exact"/>
              <w:rPr>
                <w:sz w:val="20"/>
                <w:szCs w:val="20"/>
                <w:color w:val="auto"/>
              </w:rPr>
            </w:pPr>
            <w:r>
              <w:rPr>
                <w:rFonts w:ascii="Arial" w:cs="Arial" w:eastAsia="Arial" w:hAnsi="Arial"/>
                <w:sz w:val="18"/>
                <w:szCs w:val="18"/>
                <w:b w:val="1"/>
                <w:bCs w:val="1"/>
                <w:color w:val="auto"/>
                <w:w w:val="97"/>
              </w:rPr>
              <w:t xml:space="preserve">Ships </w:t>
            </w:r>
            <w:r>
              <w:rPr>
                <w:rFonts w:ascii="MS PGothic" w:cs="MS PGothic" w:eastAsia="MS PGothic" w:hAnsi="MS PGothic"/>
                <w:sz w:val="18"/>
                <w:szCs w:val="18"/>
                <w:color w:val="auto"/>
                <w:w w:val="97"/>
              </w:rPr>
              <w:t>⁽</w:t>
            </w:r>
            <w:r>
              <w:rPr>
                <w:rFonts w:ascii="Arial" w:cs="Arial" w:eastAsia="Arial" w:hAnsi="Arial"/>
                <w:sz w:val="18"/>
                <w:szCs w:val="18"/>
                <w:b w:val="1"/>
                <w:bCs w:val="1"/>
                <w:color w:val="auto"/>
                <w:w w:val="97"/>
              </w:rPr>
              <w:t>²</w:t>
            </w:r>
            <w:r>
              <w:rPr>
                <w:rFonts w:ascii="MS PGothic" w:cs="MS PGothic" w:eastAsia="MS PGothic" w:hAnsi="MS PGothic"/>
                <w:sz w:val="18"/>
                <w:szCs w:val="18"/>
                <w:color w:val="auto"/>
                <w:w w:val="97"/>
              </w:rPr>
              <w:t>⁾</w:t>
            </w:r>
          </w:p>
        </w:tc>
        <w:tc>
          <w:tcPr>
            <w:tcW w:w="12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1"/>
              </w:rPr>
              <w:t>Total Segment</w:t>
            </w:r>
          </w:p>
        </w:tc>
        <w:tc>
          <w:tcPr>
            <w:tcW w:w="16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4"/>
              </w:rPr>
              <w:t>Consolidation and</w:t>
            </w: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155"/>
        </w:trPr>
        <w:tc>
          <w:tcPr>
            <w:tcW w:w="39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2"/>
              <w:spacing w:after="0" w:line="149" w:lineRule="exact"/>
              <w:rPr>
                <w:sz w:val="20"/>
                <w:szCs w:val="20"/>
                <w:color w:val="auto"/>
              </w:rPr>
            </w:pPr>
            <w:r>
              <w:rPr>
                <w:rFonts w:ascii="Arial" w:cs="Arial" w:eastAsia="Arial" w:hAnsi="Arial"/>
                <w:sz w:val="17"/>
                <w:szCs w:val="17"/>
                <w:b w:val="1"/>
                <w:bCs w:val="1"/>
                <w:color w:val="auto"/>
              </w:rPr>
              <w:t xml:space="preserve">Infrastructure </w:t>
            </w:r>
            <w:r>
              <w:rPr>
                <w:rFonts w:ascii="MS PGothic" w:cs="MS PGothic" w:eastAsia="MS PGothic" w:hAnsi="MS PGothic"/>
                <w:sz w:val="17"/>
                <w:szCs w:val="17"/>
                <w:color w:val="auto"/>
              </w:rPr>
              <w:t>⁽</w:t>
            </w:r>
            <w:r>
              <w:rPr>
                <w:rFonts w:ascii="Arial" w:cs="Arial" w:eastAsia="Arial" w:hAnsi="Arial"/>
                <w:sz w:val="17"/>
                <w:szCs w:val="17"/>
                <w:b w:val="1"/>
                <w:bCs w:val="1"/>
                <w:color w:val="auto"/>
              </w:rPr>
              <w:t>¹</w:t>
            </w:r>
            <w:r>
              <w:rPr>
                <w:rFonts w:ascii="MS PGothic" w:cs="MS PGothic" w:eastAsia="MS PGothic" w:hAnsi="MS PGothic"/>
                <w:sz w:val="17"/>
                <w:szCs w:val="17"/>
                <w:color w:val="auto"/>
              </w:rPr>
              <w:t>⁾</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93"/>
              <w:spacing w:after="0" w:line="149" w:lineRule="exact"/>
              <w:rPr>
                <w:sz w:val="20"/>
                <w:szCs w:val="20"/>
                <w:color w:val="auto"/>
              </w:rPr>
            </w:pPr>
            <w:r>
              <w:rPr>
                <w:rFonts w:ascii="Arial" w:cs="Arial" w:eastAsia="Arial" w:hAnsi="Arial"/>
                <w:sz w:val="17"/>
                <w:szCs w:val="17"/>
                <w:b w:val="1"/>
                <w:bCs w:val="1"/>
                <w:color w:val="auto"/>
              </w:rPr>
              <w:t xml:space="preserve">Other </w:t>
            </w:r>
            <w:r>
              <w:rPr>
                <w:rFonts w:ascii="MS PGothic" w:cs="MS PGothic" w:eastAsia="MS PGothic" w:hAnsi="MS PGothic"/>
                <w:sz w:val="17"/>
                <w:szCs w:val="17"/>
                <w:color w:val="auto"/>
              </w:rPr>
              <w:t>⁽</w:t>
            </w:r>
            <w:r>
              <w:rPr>
                <w:rFonts w:ascii="Arial" w:cs="Arial" w:eastAsia="Arial" w:hAnsi="Arial"/>
                <w:sz w:val="17"/>
                <w:szCs w:val="17"/>
                <w:b w:val="1"/>
                <w:bCs w:val="1"/>
                <w:color w:val="auto"/>
              </w:rPr>
              <w:t>³</w:t>
            </w:r>
            <w:r>
              <w:rPr>
                <w:rFonts w:ascii="MS PGothic" w:cs="MS PGothic" w:eastAsia="MS PGothic" w:hAnsi="MS PGothic"/>
                <w:sz w:val="17"/>
                <w:szCs w:val="17"/>
                <w:color w:val="auto"/>
              </w:rPr>
              <w:t>⁾</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115,638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94,840</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210,478</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133,779</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46,802</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31,194</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57,595</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(Income) Loss from equity method investments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15,983</w:t>
            </w:r>
          </w:p>
        </w:tc>
        <w:tc>
          <w:tcPr>
            <w:tcW w:w="0" w:type="dxa"/>
            <w:vAlign w:val="bottom"/>
          </w:tcPr>
          <w:p>
            <w:pPr>
              <w:spacing w:after="0"/>
              <w:rPr>
                <w:sz w:val="1"/>
                <w:szCs w:val="1"/>
                <w:color w:val="auto"/>
              </w:rPr>
            </w:pPr>
          </w:p>
        </w:tc>
      </w:tr>
      <w:tr>
        <w:trPr>
          <w:trHeight w:val="270"/>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 provision</w:t>
            </w:r>
          </w:p>
        </w:tc>
        <w:tc>
          <w:tcPr>
            <w:tcW w:w="1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-1791335</wp:posOffset>
            </wp:positionV>
            <wp:extent cx="106045" cy="86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-1851660</wp:posOffset>
            </wp:positionV>
            <wp:extent cx="106045" cy="86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-1791335</wp:posOffset>
            </wp:positionV>
            <wp:extent cx="106045" cy="86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40" w:right="240" w:hanging="332"/>
        <w:spacing w:after="0" w:line="255" w:lineRule="auto"/>
        <w:tabs>
          <w:tab w:leader="none" w:pos="33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Terminals and Infrastructure includes the Company's effective share of revenues, expenses and operating margin attributable to 50% ownership of CELSEPAR. The losses attributable to the investment of $27,792 for the three months ended September 30, 2021 are reported in (loss) income from equity method investments on the condensed consolidated statements of operations and comprehensive income (loss).</w:t>
      </w:r>
    </w:p>
    <w:p>
      <w:pPr>
        <w:ind w:left="340" w:right="220" w:hanging="332"/>
        <w:spacing w:after="0" w:line="248" w:lineRule="auto"/>
        <w:tabs>
          <w:tab w:leader="none" w:pos="334"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Ships includes the Company's effective share of revenues, expenses and operating margin attributable to 50% ownership of the Hilli Common Units. The earnings attributable to the investment of $11,809 for the three months ended September 30, 2021 are reported in (loss) income from equity method investments on the condensed consolidated statements of operations and comprehensive income (loss).</w:t>
      </w:r>
    </w:p>
    <w:p>
      <w:pPr>
        <w:spacing w:after="0" w:line="1" w:lineRule="exact"/>
        <w:rPr>
          <w:rFonts w:ascii="Arial" w:cs="Arial" w:eastAsia="Arial" w:hAnsi="Arial"/>
          <w:sz w:val="17"/>
          <w:szCs w:val="17"/>
          <w:color w:val="auto"/>
        </w:rPr>
      </w:pPr>
    </w:p>
    <w:p>
      <w:pPr>
        <w:jc w:val="both"/>
        <w:ind w:left="340" w:right="180" w:hanging="332"/>
        <w:spacing w:after="0" w:line="303" w:lineRule="auto"/>
        <w:tabs>
          <w:tab w:leader="none" w:pos="332" w:val="left"/>
        </w:tabs>
        <w:numPr>
          <w:ilvl w:val="0"/>
          <w:numId w:val="11"/>
        </w:numPr>
        <w:rPr>
          <w:rFonts w:ascii="Arial" w:cs="Arial" w:eastAsia="Arial" w:hAnsi="Arial"/>
          <w:sz w:val="13"/>
          <w:szCs w:val="13"/>
          <w:color w:val="auto"/>
        </w:rPr>
      </w:pPr>
      <w:r>
        <w:rPr>
          <w:rFonts w:ascii="Arial" w:cs="Arial" w:eastAsia="Arial" w:hAnsi="Arial"/>
          <w:sz w:val="16"/>
          <w:szCs w:val="16"/>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Adjusted Net Income and Adjusted Earnings per Share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2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sets forth a reconciliation between net loss attributable to stockholders and earnings per share adjusted for non-cash impairment charges.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Three months ended June</w:t>
            </w:r>
          </w:p>
        </w:tc>
      </w:tr>
      <w:tr>
        <w:trPr>
          <w:trHeight w:val="230"/>
        </w:trPr>
        <w:tc>
          <w:tcPr>
            <w:tcW w:w="8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30, 2022</w:t>
            </w:r>
          </w:p>
        </w:tc>
      </w:tr>
      <w:tr>
        <w:trPr>
          <w:trHeight w:val="25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(169,765)</w:t>
            </w:r>
          </w:p>
        </w:tc>
      </w:tr>
      <w:tr>
        <w:trPr>
          <w:trHeight w:val="257"/>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impairment charges, net of tax</w:t>
            </w:r>
          </w:p>
        </w:tc>
        <w:tc>
          <w:tcPr>
            <w:tcW w:w="1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315,444</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120" w:type="dxa"/>
            <w:vAlign w:val="bottom"/>
            <w:tcBorders>
              <w:bottom w:val="single" w:sz="8" w:color="auto"/>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145,679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81"/>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diluted (QTD)</w:t>
            </w:r>
          </w:p>
        </w:tc>
        <w:tc>
          <w:tcPr>
            <w:tcW w:w="12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209,669,188</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5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2022 and December 31, 2021</w:t>
      </w: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33"/>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138,329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187,509</w:t>
            </w:r>
          </w:p>
        </w:tc>
        <w:tc>
          <w:tcPr>
            <w:tcW w:w="0" w:type="dxa"/>
            <w:vAlign w:val="bottom"/>
          </w:tcPr>
          <w:p>
            <w:pPr>
              <w:spacing w:after="0"/>
              <w:rPr>
                <w:sz w:val="1"/>
                <w:szCs w:val="1"/>
                <w:color w:val="auto"/>
              </w:rPr>
            </w:pPr>
          </w:p>
        </w:tc>
      </w:tr>
      <w:tr>
        <w:trPr>
          <w:trHeight w:val="191"/>
        </w:trPr>
        <w:tc>
          <w:tcPr>
            <w:tcW w:w="80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71,602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68,561</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Receivables, net of allowances of $164 and $164 respectively</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313,457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208,499</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72,152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37,182</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 net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141,092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83,115</w:t>
            </w:r>
          </w:p>
        </w:tc>
        <w:tc>
          <w:tcPr>
            <w:tcW w:w="0" w:type="dxa"/>
            <w:vAlign w:val="bottom"/>
          </w:tcPr>
          <w:p>
            <w:pPr>
              <w:spacing w:after="0"/>
              <w:rPr>
                <w:sz w:val="1"/>
                <w:szCs w:val="1"/>
                <w:color w:val="auto"/>
              </w:rPr>
            </w:pPr>
          </w:p>
        </w:tc>
      </w:tr>
      <w:tr>
        <w:trPr>
          <w:trHeight w:val="203"/>
        </w:trPr>
        <w:tc>
          <w:tcPr>
            <w:tcW w:w="8020" w:type="dxa"/>
            <w:vAlign w:val="bottom"/>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736,632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584,866</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7,960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7,960</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Construction in progress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1,401,468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1,043,883</w:t>
            </w:r>
          </w:p>
        </w:tc>
        <w:tc>
          <w:tcPr>
            <w:tcW w:w="0" w:type="dxa"/>
            <w:vAlign w:val="bottom"/>
          </w:tcPr>
          <w:p>
            <w:pPr>
              <w:spacing w:after="0"/>
              <w:rPr>
                <w:sz w:val="1"/>
                <w:szCs w:val="1"/>
                <w:color w:val="auto"/>
              </w:rPr>
            </w:pPr>
          </w:p>
        </w:tc>
      </w:tr>
      <w:tr>
        <w:trPr>
          <w:trHeight w:val="191"/>
        </w:trPr>
        <w:tc>
          <w:tcPr>
            <w:tcW w:w="802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2,156,431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2,137,936</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Equity method investments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939,738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1,182,013</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Right-of-use assets</w:t>
            </w:r>
          </w:p>
        </w:tc>
        <w:tc>
          <w:tcPr>
            <w:tcW w:w="2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407,689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309,663</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121,088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142,944</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Finance leases, net</w:t>
            </w:r>
          </w:p>
        </w:tc>
        <w:tc>
          <w:tcPr>
            <w:tcW w:w="2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600,885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602,675</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778,488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760,135</w:t>
            </w:r>
          </w:p>
        </w:tc>
        <w:tc>
          <w:tcPr>
            <w:tcW w:w="0" w:type="dxa"/>
            <w:vAlign w:val="bottom"/>
          </w:tcPr>
          <w:p>
            <w:pPr>
              <w:spacing w:after="0"/>
              <w:rPr>
                <w:sz w:val="1"/>
                <w:szCs w:val="1"/>
                <w:color w:val="auto"/>
              </w:rPr>
            </w:pPr>
          </w:p>
        </w:tc>
      </w:tr>
      <w:tr>
        <w:trPr>
          <w:trHeight w:val="191"/>
        </w:trPr>
        <w:tc>
          <w:tcPr>
            <w:tcW w:w="8020" w:type="dxa"/>
            <w:vAlign w:val="bottom"/>
          </w:tcPr>
          <w:p>
            <w:pPr>
              <w:ind w:left="140"/>
              <w:spacing w:after="0"/>
              <w:rPr>
                <w:sz w:val="20"/>
                <w:szCs w:val="20"/>
                <w:color w:val="auto"/>
              </w:rPr>
            </w:pPr>
            <w:r>
              <w:rPr>
                <w:rFonts w:ascii="Arial" w:cs="Arial" w:eastAsia="Arial" w:hAnsi="Arial"/>
                <w:sz w:val="14"/>
                <w:szCs w:val="14"/>
                <w:color w:val="auto"/>
              </w:rPr>
              <w:t>Deferred tax assets, net</w:t>
            </w:r>
          </w:p>
        </w:tc>
        <w:tc>
          <w:tcPr>
            <w:tcW w:w="2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5,628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5,999</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non-current assets,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95,369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98,418</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7,251,376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6,876,492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99,756</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97,251</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111,436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68,085</w:t>
            </w:r>
          </w:p>
        </w:tc>
        <w:tc>
          <w:tcPr>
            <w:tcW w:w="0" w:type="dxa"/>
            <w:vAlign w:val="bottom"/>
          </w:tcPr>
          <w:p>
            <w:pPr>
              <w:spacing w:after="0"/>
              <w:rPr>
                <w:sz w:val="1"/>
                <w:szCs w:val="1"/>
                <w:color w:val="auto"/>
              </w:rPr>
            </w:pPr>
          </w:p>
        </w:tc>
      </w:tr>
      <w:tr>
        <w:trPr>
          <w:trHeight w:val="191"/>
        </w:trPr>
        <w:tc>
          <w:tcPr>
            <w:tcW w:w="802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236,535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244,025</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lease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53,983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47,114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94,286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106,036</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595,996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562,511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4,051,756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3,757,879</w:t>
            </w:r>
          </w:p>
        </w:tc>
        <w:tc>
          <w:tcPr>
            <w:tcW w:w="0" w:type="dxa"/>
            <w:vAlign w:val="bottom"/>
          </w:tcPr>
          <w:p>
            <w:pPr>
              <w:spacing w:after="0"/>
              <w:rPr>
                <w:sz w:val="1"/>
                <w:szCs w:val="1"/>
                <w:color w:val="auto"/>
              </w:rPr>
            </w:pPr>
          </w:p>
        </w:tc>
      </w:tr>
      <w:tr>
        <w:trPr>
          <w:trHeight w:val="191"/>
        </w:trPr>
        <w:tc>
          <w:tcPr>
            <w:tcW w:w="8020" w:type="dxa"/>
            <w:vAlign w:val="bottom"/>
          </w:tcPr>
          <w:p>
            <w:pPr>
              <w:ind w:left="140"/>
              <w:spacing w:after="0"/>
              <w:rPr>
                <w:sz w:val="20"/>
                <w:szCs w:val="20"/>
                <w:color w:val="auto"/>
              </w:rPr>
            </w:pPr>
            <w:r>
              <w:rPr>
                <w:rFonts w:ascii="Arial" w:cs="Arial" w:eastAsia="Arial" w:hAnsi="Arial"/>
                <w:sz w:val="14"/>
                <w:szCs w:val="14"/>
                <w:color w:val="auto"/>
              </w:rPr>
              <w:t>Non-current lease liabilities</w:t>
            </w:r>
          </w:p>
        </w:tc>
        <w:tc>
          <w:tcPr>
            <w:tcW w:w="2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329,972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234,060</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liabilities, net</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140,289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269,513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60,835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58,475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5,178,848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4,882,438</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140"/>
              <w:spacing w:after="0"/>
              <w:rPr>
                <w:sz w:val="20"/>
                <w:szCs w:val="20"/>
                <w:color w:val="auto"/>
              </w:rPr>
            </w:pPr>
            <w:r>
              <w:rPr>
                <w:rFonts w:ascii="Arial" w:cs="Arial" w:eastAsia="Arial" w:hAnsi="Arial"/>
                <w:sz w:val="14"/>
                <w:szCs w:val="14"/>
                <w:color w:val="auto"/>
                <w:w w:val="96"/>
              </w:rPr>
              <w:t>Class A common stock, $0.01 par value, 750.0 million shares authorized, 207.6 million issued and outstanding as of June 30, 2022;</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280"/>
              <w:spacing w:after="0"/>
              <w:rPr>
                <w:sz w:val="20"/>
                <w:szCs w:val="20"/>
                <w:color w:val="auto"/>
              </w:rPr>
            </w:pPr>
            <w:r>
              <w:rPr>
                <w:rFonts w:ascii="Arial" w:cs="Arial" w:eastAsia="Arial" w:hAnsi="Arial"/>
                <w:sz w:val="14"/>
                <w:szCs w:val="14"/>
                <w:color w:val="auto"/>
              </w:rPr>
              <w:t>206.9 million issued and outstanding as of December 31, 2021</w:t>
            </w:r>
          </w:p>
        </w:tc>
        <w:tc>
          <w:tcPr>
            <w:tcW w:w="220" w:type="dxa"/>
            <w:vAlign w:val="bottom"/>
          </w:tcPr>
          <w:p>
            <w:pPr>
              <w:spacing w:after="0"/>
              <w:rPr>
                <w:sz w:val="15"/>
                <w:szCs w:val="15"/>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2,076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2,069</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1,868,618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1,923,990</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(63,895)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(132,399)</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78,232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(2,085)</w:t>
            </w:r>
          </w:p>
        </w:tc>
        <w:tc>
          <w:tcPr>
            <w:tcW w:w="0" w:type="dxa"/>
            <w:vAlign w:val="bottom"/>
          </w:tcPr>
          <w:p>
            <w:pPr>
              <w:spacing w:after="0"/>
              <w:rPr>
                <w:sz w:val="1"/>
                <w:szCs w:val="1"/>
                <w:color w:val="auto"/>
              </w:rPr>
            </w:pPr>
          </w:p>
        </w:tc>
      </w:tr>
      <w:tr>
        <w:trPr>
          <w:trHeight w:val="203"/>
        </w:trPr>
        <w:tc>
          <w:tcPr>
            <w:tcW w:w="8020" w:type="dxa"/>
            <w:vAlign w:val="bottom"/>
          </w:tcPr>
          <w:p>
            <w:pPr>
              <w:ind w:left="140"/>
              <w:spacing w:after="0"/>
              <w:rPr>
                <w:sz w:val="20"/>
                <w:szCs w:val="20"/>
                <w:color w:val="auto"/>
              </w:rPr>
            </w:pPr>
            <w:r>
              <w:rPr>
                <w:rFonts w:ascii="Arial" w:cs="Arial" w:eastAsia="Arial" w:hAnsi="Arial"/>
                <w:sz w:val="14"/>
                <w:szCs w:val="14"/>
                <w:b w:val="1"/>
                <w:bCs w:val="1"/>
                <w:color w:val="auto"/>
              </w:rPr>
              <w:t>Total stockholders' equity attributable to NFE</w:t>
            </w: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1,885,031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1,791,575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187,497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202,479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2,072,528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1,994,054</w:t>
            </w: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7,251,376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6,876,492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2022 and 2021</w:t>
      </w: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3"/>
        </w:trPr>
        <w:tc>
          <w:tcPr>
            <w:tcW w:w="5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497,240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897,315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194,032</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4"/>
                <w:szCs w:val="14"/>
                <w:color w:val="auto"/>
              </w:rPr>
              <w:t>Vessel charter revenue</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75,134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64,561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167,554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64,561</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56,442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25,104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110,930</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584,855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1,089,973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369,523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480,699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198,101</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4"/>
                <w:szCs w:val="14"/>
                <w:color w:val="auto"/>
              </w:rPr>
              <w:t>Vessel operating expenses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18,628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41,592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15,400</w:t>
            </w:r>
          </w:p>
        </w:tc>
        <w:tc>
          <w:tcPr>
            <w:tcW w:w="0" w:type="dxa"/>
            <w:vAlign w:val="bottom"/>
          </w:tcPr>
          <w:p>
            <w:pPr>
              <w:spacing w:after="0"/>
              <w:rPr>
                <w:sz w:val="1"/>
                <w:szCs w:val="1"/>
                <w:color w:val="auto"/>
              </w:rPr>
            </w:pPr>
          </w:p>
        </w:tc>
      </w:t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Operations and maintenance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34,816</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44,536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98,351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78,152</w:t>
            </w:r>
          </w:p>
        </w:tc>
        <w:tc>
          <w:tcPr>
            <w:tcW w:w="0" w:type="dxa"/>
            <w:vAlign w:val="bottom"/>
          </w:tcPr>
          <w:p>
            <w:pPr>
              <w:spacing w:after="0"/>
              <w:rPr>
                <w:sz w:val="1"/>
                <w:szCs w:val="1"/>
                <w:color w:val="auto"/>
              </w:rPr>
            </w:pPr>
          </w:p>
        </w:tc>
      </w:t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 and integration costs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40,716</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36,356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26,997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70,646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36,886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 expense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451,160</w:t>
            </w:r>
          </w:p>
        </w:tc>
        <w:tc>
          <w:tcPr>
            <w:tcW w:w="100" w:type="dxa"/>
            <w:vAlign w:val="bottom"/>
            <w:tcBorders>
              <w:top w:val="single" w:sz="8" w:color="CCEEFF"/>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236,080</w:t>
            </w:r>
          </w:p>
        </w:tc>
        <w:tc>
          <w:tcPr>
            <w:tcW w:w="100" w:type="dxa"/>
            <w:vAlign w:val="bottom"/>
            <w:tcBorders>
              <w:top w:val="single" w:sz="8" w:color="CCEEFF"/>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789,822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404,071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Operating income (loss)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(34,548)</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47,840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92,756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50,162</w:t>
            </w:r>
          </w:p>
        </w:tc>
        <w:tc>
          <w:tcPr>
            <w:tcW w:w="0" w:type="dxa"/>
            <w:vAlign w:val="bottom"/>
          </w:tcPr>
          <w:p>
            <w:pPr>
              <w:spacing w:after="0"/>
              <w:rPr>
                <w:sz w:val="1"/>
                <w:szCs w:val="1"/>
                <w:color w:val="auto"/>
              </w:rPr>
            </w:pPr>
          </w:p>
        </w:tc>
      </w:t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(41,827)</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(8,058)</w:t>
            </w:r>
          </w:p>
        </w:tc>
        <w:tc>
          <w:tcPr>
            <w:tcW w:w="0" w:type="dxa"/>
            <w:vAlign w:val="bottom"/>
          </w:tcPr>
          <w:p>
            <w:pPr>
              <w:spacing w:after="0"/>
              <w:rPr>
                <w:sz w:val="1"/>
                <w:szCs w:val="1"/>
                <w:color w:val="auto"/>
              </w:rPr>
            </w:pPr>
          </w:p>
        </w:tc>
      </w:tr>
      <w:tr>
        <w:trPr>
          <w:trHeight w:val="146"/>
        </w:trPr>
        <w:tc>
          <w:tcPr>
            <w:tcW w:w="5500" w:type="dxa"/>
            <w:vAlign w:val="bottom"/>
          </w:tcPr>
          <w:p>
            <w:pPr>
              <w:ind w:left="140"/>
              <w:spacing w:after="0" w:line="147" w:lineRule="exact"/>
              <w:rPr>
                <w:sz w:val="20"/>
                <w:szCs w:val="20"/>
                <w:color w:val="auto"/>
              </w:rPr>
            </w:pPr>
            <w:r>
              <w:rPr>
                <w:rFonts w:ascii="Arial" w:cs="Arial" w:eastAsia="Arial" w:hAnsi="Arial"/>
                <w:sz w:val="14"/>
                <w:szCs w:val="14"/>
                <w:b w:val="1"/>
                <w:bCs w:val="1"/>
                <w:color w:val="auto"/>
                <w:w w:val="95"/>
              </w:rPr>
              <w:t>Net income (loss) before (loss) income from equity method investments and income</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5500" w:type="dxa"/>
            <w:vAlign w:val="bottom"/>
          </w:tcPr>
          <w:p>
            <w:pPr>
              <w:ind w:left="140"/>
              <w:spacing w:after="0"/>
              <w:rPr>
                <w:sz w:val="20"/>
                <w:szCs w:val="20"/>
                <w:color w:val="auto"/>
              </w:rPr>
            </w:pPr>
            <w:r>
              <w:rPr>
                <w:rFonts w:ascii="Arial" w:cs="Arial" w:eastAsia="Arial" w:hAnsi="Arial"/>
                <w:sz w:val="14"/>
                <w:szCs w:val="14"/>
                <w:b w:val="1"/>
                <w:bCs w:val="1"/>
                <w:color w:val="auto"/>
              </w:rPr>
              <w:t>taxes</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107,957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(36,266)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249,222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(76,652)</w:t>
            </w:r>
          </w:p>
        </w:tc>
        <w:tc>
          <w:tcPr>
            <w:tcW w:w="0" w:type="dxa"/>
            <w:vAlign w:val="bottom"/>
          </w:tcPr>
          <w:p>
            <w:pPr>
              <w:spacing w:after="0"/>
              <w:rPr>
                <w:sz w:val="1"/>
                <w:szCs w:val="1"/>
                <w:color w:val="auto"/>
              </w:rPr>
            </w:pPr>
          </w:p>
        </w:tc>
      </w:tr>
      <w:tr>
        <w:trPr>
          <w:trHeight w:val="22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income from equity method investments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(372,927)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(322,692)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38,941</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 (benefit) provision</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(136,220)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3,532</w:t>
            </w:r>
          </w:p>
        </w:tc>
        <w:tc>
          <w:tcPr>
            <w:tcW w:w="0" w:type="dxa"/>
            <w:vAlign w:val="bottom"/>
          </w:tcPr>
          <w:p>
            <w:pPr>
              <w:spacing w:after="0"/>
              <w:rPr>
                <w:sz w:val="1"/>
                <w:szCs w:val="1"/>
                <w:color w:val="auto"/>
              </w:rPr>
            </w:pPr>
          </w:p>
        </w:tc>
      </w:tr>
      <w:tr>
        <w:trPr>
          <w:trHeight w:val="215"/>
        </w:trPr>
        <w:tc>
          <w:tcPr>
            <w:tcW w:w="55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Net (loss) income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(41,243)</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54"/>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Net (loss) income attributable to stockholders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(43,947)</w:t>
            </w:r>
          </w:p>
        </w:tc>
        <w:tc>
          <w:tcPr>
            <w:tcW w:w="0" w:type="dxa"/>
            <w:vAlign w:val="bottom"/>
          </w:tcPr>
          <w:p>
            <w:pPr>
              <w:spacing w:after="0"/>
              <w:rPr>
                <w:sz w:val="1"/>
                <w:szCs w:val="1"/>
                <w:color w:val="auto"/>
              </w:rPr>
            </w:pPr>
          </w:p>
        </w:tc>
      </w:tr>
      <w:tr>
        <w:trPr>
          <w:trHeight w:val="190"/>
        </w:trPr>
        <w:tc>
          <w:tcPr>
            <w:tcW w:w="550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 per share – basic</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4"/>
                <w:szCs w:val="14"/>
                <w:color w:val="auto"/>
              </w:rPr>
              <w:t>Net (loss) income per share – diluted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4"/>
                <w:szCs w:val="14"/>
                <w:color w:val="auto"/>
              </w:rPr>
              <w:t>Weighted average number of shares outstanding – basic</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209,669,188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202,331,304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209,797,133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189,885,473</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 – diluted</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209,669,188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202,331,304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209,810,647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189,885,473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2022 and 2021</w:t>
      </w: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5" w:lineRule="exact"/>
        <w:rPr>
          <w:sz w:val="20"/>
          <w:szCs w:val="20"/>
          <w:color w:val="auto"/>
        </w:rPr>
      </w:pPr>
    </w:p>
    <w:p>
      <w:pPr>
        <w:jc w:val="right"/>
        <w:ind w:right="6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32385</wp:posOffset>
            </wp:positionV>
            <wp:extent cx="19113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8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62,750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200" w:type="dxa"/>
            <w:vAlign w:val="bottom"/>
          </w:tcPr>
          <w:p>
            <w:pPr>
              <w:ind w:left="120"/>
              <w:spacing w:after="0"/>
              <w:rPr>
                <w:sz w:val="20"/>
                <w:szCs w:val="20"/>
                <w:color w:val="auto"/>
              </w:rPr>
            </w:pPr>
            <w:r>
              <w:rPr>
                <w:rFonts w:ascii="Arial" w:cs="Arial" w:eastAsia="Arial" w:hAnsi="Arial"/>
                <w:sz w:val="14"/>
                <w:szCs w:val="14"/>
                <w:color w:val="auto"/>
              </w:rPr>
              <w:t>Adjustments for:</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tcPr>
          <w:p>
            <w:pPr>
              <w:ind w:left="220"/>
              <w:spacing w:after="0"/>
              <w:rPr>
                <w:sz w:val="20"/>
                <w:szCs w:val="20"/>
                <w:color w:val="auto"/>
              </w:rPr>
            </w:pPr>
            <w:r>
              <w:rPr>
                <w:rFonts w:ascii="Arial" w:cs="Arial" w:eastAsia="Arial" w:hAnsi="Arial"/>
                <w:sz w:val="14"/>
                <w:szCs w:val="14"/>
                <w:color w:val="auto"/>
              </w:rPr>
              <w:t>Amortization of deferred financing costs and debt guarantee, net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2,383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71,172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0" w:type="dxa"/>
            <w:vAlign w:val="bottom"/>
          </w:tcPr>
          <w:p>
            <w:pPr>
              <w:ind w:left="220"/>
              <w:spacing w:after="0"/>
              <w:rPr>
                <w:sz w:val="20"/>
                <w:szCs w:val="20"/>
                <w:color w:val="auto"/>
              </w:rPr>
            </w:pPr>
            <w:r>
              <w:rPr>
                <w:rFonts w:ascii="Arial" w:cs="Arial" w:eastAsia="Arial" w:hAnsi="Arial"/>
                <w:sz w:val="14"/>
                <w:szCs w:val="14"/>
                <w:color w:val="auto"/>
              </w:rPr>
              <w:t>Loss (earnings) of equity method investees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322,692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0" w:type="dxa"/>
            <w:vAlign w:val="bottom"/>
          </w:tcPr>
          <w:p>
            <w:pPr>
              <w:ind w:left="220"/>
              <w:spacing w:after="0"/>
              <w:rPr>
                <w:sz w:val="20"/>
                <w:szCs w:val="20"/>
                <w:color w:val="auto"/>
              </w:rPr>
            </w:pPr>
            <w:r>
              <w:rPr>
                <w:rFonts w:ascii="Arial" w:cs="Arial" w:eastAsia="Arial" w:hAnsi="Arial"/>
                <w:sz w:val="14"/>
                <w:szCs w:val="14"/>
                <w:color w:val="auto"/>
              </w:rPr>
              <w:t>Drydocking expenditure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(12,439)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0" w:type="dxa"/>
            <w:vAlign w:val="bottom"/>
          </w:tcPr>
          <w:p>
            <w:pPr>
              <w:ind w:left="220"/>
              <w:spacing w:after="0"/>
              <w:rPr>
                <w:sz w:val="20"/>
                <w:szCs w:val="20"/>
                <w:color w:val="auto"/>
              </w:rPr>
            </w:pPr>
            <w:r>
              <w:rPr>
                <w:rFonts w:ascii="Arial" w:cs="Arial" w:eastAsia="Arial" w:hAnsi="Arial"/>
                <w:sz w:val="14"/>
                <w:szCs w:val="14"/>
                <w:color w:val="auto"/>
              </w:rPr>
              <w:t>Dividends received from equity method investees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14,859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0" w:type="dxa"/>
            <w:vAlign w:val="bottom"/>
          </w:tcPr>
          <w:p>
            <w:pPr>
              <w:ind w:left="220"/>
              <w:spacing w:after="0"/>
              <w:rPr>
                <w:sz w:val="20"/>
                <w:szCs w:val="20"/>
                <w:color w:val="auto"/>
              </w:rPr>
            </w:pPr>
            <w:r>
              <w:rPr>
                <w:rFonts w:ascii="Arial" w:cs="Arial" w:eastAsia="Arial" w:hAnsi="Arial"/>
                <w:sz w:val="14"/>
                <w:szCs w:val="14"/>
                <w:color w:val="auto"/>
              </w:rPr>
              <w:t>Sales-type lease payments received in excess of interest income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1,426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0" w:type="dxa"/>
            <w:vAlign w:val="bottom"/>
          </w:tcPr>
          <w:p>
            <w:pPr>
              <w:ind w:left="220"/>
              <w:spacing w:after="0"/>
              <w:rPr>
                <w:sz w:val="20"/>
                <w:szCs w:val="20"/>
                <w:color w:val="auto"/>
              </w:rPr>
            </w:pPr>
            <w:r>
              <w:rPr>
                <w:rFonts w:ascii="Arial" w:cs="Arial" w:eastAsia="Arial" w:hAnsi="Arial"/>
                <w:sz w:val="14"/>
                <w:szCs w:val="14"/>
                <w:color w:val="auto"/>
              </w:rPr>
              <w:t>Change in market value of derivatives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(9,798)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0" w:type="dxa"/>
            <w:vAlign w:val="bottom"/>
          </w:tcPr>
          <w:p>
            <w:pPr>
              <w:ind w:left="220"/>
              <w:spacing w:after="0"/>
              <w:rPr>
                <w:sz w:val="20"/>
                <w:szCs w:val="20"/>
                <w:color w:val="auto"/>
              </w:rPr>
            </w:pPr>
            <w:r>
              <w:rPr>
                <w:rFonts w:ascii="Arial" w:cs="Arial" w:eastAsia="Arial" w:hAnsi="Arial"/>
                <w:sz w:val="14"/>
                <w:szCs w:val="14"/>
                <w:color w:val="auto"/>
              </w:rPr>
              <w:t>Deferred taxes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(178,109)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0" w:type="dxa"/>
            <w:vAlign w:val="bottom"/>
          </w:tcPr>
          <w:p>
            <w:pPr>
              <w:ind w:left="220"/>
              <w:spacing w:after="0"/>
              <w:rPr>
                <w:sz w:val="20"/>
                <w:szCs w:val="20"/>
                <w:color w:val="auto"/>
              </w:rPr>
            </w:pPr>
            <w:r>
              <w:rPr>
                <w:rFonts w:ascii="Arial" w:cs="Arial" w:eastAsia="Arial" w:hAnsi="Arial"/>
                <w:sz w:val="14"/>
                <w:szCs w:val="14"/>
                <w:color w:val="auto"/>
              </w:rPr>
              <w:t>Change in value of investment of equity securities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0" w:type="dxa"/>
            <w:vAlign w:val="bottom"/>
          </w:tcPr>
          <w:p>
            <w:pPr>
              <w:ind w:left="220"/>
              <w:spacing w:after="0"/>
              <w:rPr>
                <w:sz w:val="20"/>
                <w:szCs w:val="20"/>
                <w:color w:val="auto"/>
              </w:rPr>
            </w:pPr>
            <w:r>
              <w:rPr>
                <w:rFonts w:ascii="Arial" w:cs="Arial" w:eastAsia="Arial" w:hAnsi="Arial"/>
                <w:sz w:val="14"/>
                <w:szCs w:val="14"/>
                <w:color w:val="auto"/>
              </w:rPr>
              <w:t>Share-based compensation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0" w:type="dxa"/>
            <w:vAlign w:val="bottom"/>
          </w:tcPr>
          <w:p>
            <w:pPr>
              <w:ind w:left="220"/>
              <w:spacing w:after="0"/>
              <w:rPr>
                <w:sz w:val="20"/>
                <w:szCs w:val="20"/>
                <w:color w:val="auto"/>
              </w:rPr>
            </w:pPr>
            <w:r>
              <w:rPr>
                <w:rFonts w:ascii="Arial" w:cs="Arial" w:eastAsia="Arial" w:hAnsi="Arial"/>
                <w:sz w:val="14"/>
                <w:szCs w:val="14"/>
                <w:color w:val="auto"/>
              </w:rPr>
              <w:t>Asset impairment expense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48,109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0" w:type="dxa"/>
            <w:vAlign w:val="bottom"/>
          </w:tcPr>
          <w:p>
            <w:pPr>
              <w:ind w:lef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4"/>
                <w:szCs w:val="14"/>
                <w:color w:val="auto"/>
              </w:rPr>
              <w:t>(Increase) in receivables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(123,843)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4"/>
                <w:szCs w:val="14"/>
                <w:color w:val="auto"/>
              </w:rPr>
              <w:t>(Increase) in inventories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(35,167)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4"/>
                <w:szCs w:val="14"/>
                <w:color w:val="auto"/>
              </w:rPr>
              <w:t>(Increase) Decrease in other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(58,949)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4"/>
                <w:szCs w:val="14"/>
                <w:color w:val="auto"/>
              </w:rPr>
              <w:t>Decrease in right-of-use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4"/>
                <w:szCs w:val="14"/>
                <w:color w:val="auto"/>
              </w:rPr>
              <w:t>Increase in accounts payable/accrued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71,603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4"/>
                <w:szCs w:val="14"/>
                <w:color w:val="auto"/>
              </w:rPr>
              <w:t>Increase (Decrease) in amounts due to affiliates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4"/>
                <w:szCs w:val="14"/>
                <w:color w:val="auto"/>
              </w:rPr>
              <w:t>(Decrease) Increase in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(31,352)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tcPr>
          <w:p>
            <w:pPr>
              <w:ind w:left="120"/>
              <w:spacing w:after="0"/>
              <w:rPr>
                <w:sz w:val="20"/>
                <w:szCs w:val="20"/>
                <w:color w:val="auto"/>
              </w:rPr>
            </w:pPr>
            <w:r>
              <w:rPr>
                <w:rFonts w:ascii="Arial" w:cs="Arial" w:eastAsia="Arial" w:hAnsi="Arial"/>
                <w:sz w:val="14"/>
                <w:szCs w:val="14"/>
                <w:color w:val="auto"/>
              </w:rPr>
              <w:t>Decrease in other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2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-3093720</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-2836545</wp:posOffset>
            </wp:positionV>
            <wp:extent cx="71323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-2596515</wp:posOffset>
            </wp:positionV>
            <wp:extent cx="71323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-2357120</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-1877060</wp:posOffset>
            </wp:positionV>
            <wp:extent cx="71323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32385</wp:posOffset>
            </wp:positionV>
            <wp:extent cx="9258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25830" cy="17145"/>
                    </a:xfrm>
                    <a:prstGeom prst="rect">
                      <a:avLst/>
                    </a:prstGeom>
                    <a:noFill/>
                  </pic:spPr>
                </pic:pic>
              </a:graphicData>
            </a:graphic>
          </wp:anchor>
        </w:drawing>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(41,243)</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(6,290)</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37,462</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(38,941)</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7,386</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2,388</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(7,073)</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2,447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(88)</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3,383</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275</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(38,018)</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(35,458)</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3,679</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2,072</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24,732</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(2,919)</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133</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20955</wp:posOffset>
            </wp:positionV>
            <wp:extent cx="9258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(111,352)</w:t>
      </w:r>
    </w:p>
    <w:p>
      <w:pPr>
        <w:spacing w:after="0" w:line="514" w:lineRule="exact"/>
        <w:rPr>
          <w:sz w:val="20"/>
          <w:szCs w:val="20"/>
          <w:color w:val="auto"/>
        </w:rPr>
      </w:pPr>
    </w:p>
    <w:p>
      <w:pPr>
        <w:sectPr>
          <w:pgSz w:w="11900" w:h="16838" w:orient="portrait"/>
          <w:cols w:equalWidth="0" w:num="2">
            <w:col w:w="9880" w:space="480"/>
            <w:col w:w="860"/>
          </w:cols>
          <w:pgMar w:left="320" w:top="931" w:right="359" w:bottom="1440" w:gutter="0" w:footer="0" w:header="0"/>
          <w:type w:val="continuous"/>
        </w:sectPr>
      </w:pPr>
    </w:p>
    <w:p>
      <w:pPr>
        <w:spacing w:after="0" w:line="1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Capital expenditures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paid for business combinations, net of cash acquired</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Entities acquired in asset 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borrowings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 of deferred financing costs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Repayment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 related to tax withholdings for share-based compensation</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Net cash provided by financing activities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2"/>
          <w:szCs w:val="12"/>
          <w:color w:val="auto"/>
        </w:rPr>
        <w:t>Effect of exchange rate changes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cash equivalents and restricted 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cash equivalents and restricted 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(441,708)</w:t>
            </w:r>
          </w:p>
        </w:tc>
        <w:tc>
          <w:tcPr>
            <w:tcW w:w="200" w:type="dxa"/>
            <w:vAlign w:val="bottom"/>
          </w:tcPr>
          <w:p>
            <w:pPr>
              <w:spacing w:after="0"/>
              <w:rPr>
                <w:sz w:val="15"/>
                <w:szCs w:val="15"/>
                <w:color w:val="auto"/>
              </w:rPr>
            </w:pPr>
          </w:p>
        </w:tc>
      </w:tr>
      <w:tr>
        <w:trPr>
          <w:trHeight w:val="203"/>
        </w:trPr>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r>
      <w:tr>
        <w:trPr>
          <w:trHeight w:val="189"/>
        </w:trPr>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r>
      <w:tr>
        <w:trPr>
          <w:trHeight w:val="195"/>
        </w:trPr>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r>
      <w:tr>
        <w:trPr>
          <w:trHeight w:val="190"/>
        </w:trPr>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(441,708)</w:t>
            </w:r>
          </w:p>
        </w:tc>
        <w:tc>
          <w:tcPr>
            <w:tcW w:w="200" w:type="dxa"/>
            <w:vAlign w:val="bottom"/>
          </w:tcPr>
          <w:p>
            <w:pPr>
              <w:spacing w:after="0"/>
              <w:rPr>
                <w:sz w:val="16"/>
                <w:szCs w:val="16"/>
                <w:color w:val="auto"/>
              </w:rPr>
            </w:pP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623"/>
        </w:trPr>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437,917</w:t>
            </w:r>
          </w:p>
        </w:tc>
        <w:tc>
          <w:tcPr>
            <w:tcW w:w="20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(4,805)</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(146,030)</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(13,054)</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(47,374)</w:t>
            </w:r>
          </w:p>
        </w:tc>
        <w:tc>
          <w:tcPr>
            <w:tcW w:w="200" w:type="dxa"/>
            <w:vAlign w:val="bottom"/>
          </w:tcPr>
          <w:p>
            <w:pPr>
              <w:spacing w:after="0"/>
              <w:rPr>
                <w:sz w:val="18"/>
                <w:szCs w:val="18"/>
                <w:color w:val="auto"/>
              </w:rPr>
            </w:pPr>
          </w:p>
        </w:tc>
      </w:tr>
      <w:tr>
        <w:trPr>
          <w:trHeight w:val="25"/>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4"/>
        </w:trPr>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226,654</w:t>
            </w:r>
          </w:p>
        </w:tc>
        <w:tc>
          <w:tcPr>
            <w:tcW w:w="200" w:type="dxa"/>
            <w:vAlign w:val="bottom"/>
          </w:tcPr>
          <w:p>
            <w:pPr>
              <w:spacing w:after="0"/>
              <w:rPr>
                <w:sz w:val="16"/>
                <w:szCs w:val="16"/>
                <w:color w:val="auto"/>
              </w:rPr>
            </w:pPr>
          </w:p>
        </w:tc>
      </w:tr>
      <w:tr>
        <w:trPr>
          <w:trHeight w:val="32"/>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1"/>
        </w:trPr>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(2,018)</w:t>
            </w:r>
          </w:p>
        </w:tc>
        <w:tc>
          <w:tcPr>
            <w:tcW w:w="20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(46,139)</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264,030</w:t>
            </w:r>
          </w:p>
        </w:tc>
        <w:tc>
          <w:tcPr>
            <w:tcW w:w="200" w:type="dxa"/>
            <w:vAlign w:val="bottom"/>
          </w:tcPr>
          <w:p>
            <w:pPr>
              <w:spacing w:after="0"/>
              <w:rPr>
                <w:sz w:val="18"/>
                <w:szCs w:val="18"/>
                <w:color w:val="auto"/>
              </w:rPr>
            </w:pP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1"/>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217,891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2"/>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(235,324)</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(1,586,042)</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(8,817)</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(750)</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(1,830,933)</w:t>
      </w:r>
    </w:p>
    <w:p>
      <w:pPr>
        <w:spacing w:after="0" w:line="200" w:lineRule="exact"/>
        <w:rPr>
          <w:sz w:val="20"/>
          <w:szCs w:val="20"/>
          <w:color w:val="auto"/>
        </w:rPr>
      </w:pPr>
    </w:p>
    <w:p>
      <w:pPr>
        <w:spacing w:after="0" w:line="33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1,652,500</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(20,989)</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(15,864)</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(29,717)</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(41,346)</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3"/>
          <w:szCs w:val="13"/>
          <w:color w:val="auto"/>
        </w:rPr>
        <w:t>1,544,584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28575</wp:posOffset>
            </wp:positionV>
            <wp:extent cx="9258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(1,317)</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(399,018)</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629,336</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230,318</w:t>
      </w:r>
    </w:p>
    <w:p>
      <w:pPr>
        <w:spacing w:after="0" w:line="273" w:lineRule="exact"/>
        <w:rPr>
          <w:sz w:val="20"/>
          <w:szCs w:val="20"/>
          <w:color w:val="auto"/>
        </w:rPr>
      </w:pPr>
    </w:p>
    <w:p>
      <w:pPr>
        <w:sectPr>
          <w:pgSz w:w="11900" w:h="16838" w:orient="portrait"/>
          <w:cols w:equalWidth="0" w:num="3">
            <w:col w:w="7500" w:space="720"/>
            <w:col w:w="1660" w:space="660"/>
            <w:col w:w="680"/>
          </w:cols>
          <w:pgMar w:left="320" w:top="931" w:right="359" w:bottom="144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p>
      <w:pPr>
        <w:spacing w:after="0" w:line="46" w:lineRule="exact"/>
        <w:rPr>
          <w:sz w:val="20"/>
          <w:szCs w:val="20"/>
          <w:color w:val="auto"/>
        </w:rPr>
      </w:pPr>
    </w:p>
    <w:p>
      <w:pPr>
        <w:ind w:left="20"/>
        <w:spacing w:after="0"/>
        <w:tabs>
          <w:tab w:leader="none" w:pos="8220" w:val="left"/>
          <w:tab w:leader="none" w:pos="9260" w:val="left"/>
          <w:tab w:leader="none" w:pos="9780" w:val="left"/>
        </w:tabs>
        <w:rPr>
          <w:sz w:val="20"/>
          <w:szCs w:val="20"/>
          <w:color w:val="auto"/>
        </w:rPr>
      </w:pPr>
      <w:r>
        <w:rPr>
          <w:rFonts w:ascii="Arial" w:cs="Arial" w:eastAsia="Arial" w:hAnsi="Arial"/>
          <w:sz w:val="13"/>
          <w:szCs w:val="13"/>
          <w:color w:val="auto"/>
        </w:rPr>
        <w:t>Changes in accounts payable and accrued liabilities associated with construction in progress and property, plant and equipment additions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5,302</w:t>
        <w:tab/>
        <w:t>$</w:t>
      </w:r>
    </w:p>
    <w:p>
      <w:pPr>
        <w:spacing w:after="0" w:line="42" w:lineRule="exact"/>
        <w:rPr>
          <w:sz w:val="20"/>
          <w:szCs w:val="20"/>
          <w:color w:val="auto"/>
        </w:rPr>
      </w:pPr>
    </w:p>
    <w:p>
      <w:pPr>
        <w:ind w:left="20"/>
        <w:spacing w:after="0"/>
        <w:tabs>
          <w:tab w:leader="none" w:pos="9440" w:val="left"/>
        </w:tabs>
        <w:rPr>
          <w:sz w:val="20"/>
          <w:szCs w:val="20"/>
          <w:color w:val="auto"/>
        </w:rPr>
      </w:pPr>
      <w:r>
        <w:rPr>
          <w:rFonts w:ascii="Arial" w:cs="Arial" w:eastAsia="Arial" w:hAnsi="Arial"/>
          <w:sz w:val="14"/>
          <w:szCs w:val="14"/>
          <w:color w:val="auto"/>
        </w:rPr>
        <w:t>Liabilities associated with consideration paid for entities acquired in asset acquisitions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9440" w:val="left"/>
        </w:tabs>
        <w:rPr>
          <w:sz w:val="20"/>
          <w:szCs w:val="20"/>
          <w:color w:val="auto"/>
        </w:rPr>
      </w:pPr>
      <w:r>
        <w:rPr>
          <w:rFonts w:ascii="Arial" w:cs="Arial" w:eastAsia="Arial" w:hAnsi="Arial"/>
          <w:sz w:val="14"/>
          <w:szCs w:val="14"/>
          <w:color w:val="auto"/>
        </w:rPr>
        <w:t>Consideration paid in shares for business combinations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85,513</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9,959</w:t>
      </w:r>
    </w:p>
    <w:p>
      <w:pPr>
        <w:spacing w:after="0" w:line="28" w:lineRule="exact"/>
        <w:rPr>
          <w:sz w:val="20"/>
          <w:szCs w:val="20"/>
          <w:color w:val="auto"/>
        </w:rPr>
      </w:pPr>
    </w:p>
    <w:p>
      <w:pPr>
        <w:jc w:val="right"/>
        <w:ind w:right="40"/>
        <w:spacing w:after="0"/>
        <w:rPr>
          <w:sz w:val="20"/>
          <w:szCs w:val="20"/>
          <w:color w:val="auto"/>
        </w:rPr>
      </w:pPr>
      <w:r>
        <w:rPr>
          <w:rFonts w:ascii="Arial" w:cs="Arial" w:eastAsia="Arial" w:hAnsi="Arial"/>
          <w:sz w:val="13"/>
          <w:szCs w:val="13"/>
          <w:color w:val="auto"/>
        </w:rPr>
        <w:t>1,400,784</w:t>
      </w:r>
    </w:p>
    <w:sectPr>
      <w:pgSz w:w="11900" w:h="16838" w:orient="portrait"/>
      <w:cols w:equalWidth="0" w:num="2">
        <w:col w:w="9880" w:space="720"/>
        <w:col w:w="620"/>
      </w:cols>
      <w:pgMar w:left="320" w:top="93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2022-08-04T05:19:02Z</dcterms:created>
  <dcterms:modified xsi:type="dcterms:W3CDTF">2022-08-04T05:19:02Z</dcterms:modified>
</cp:coreProperties>
</file>