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Guinta Christopher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New Fortress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04/03/2023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42,338</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225,066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04/05/2023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23,413</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28.99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201,653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of the Issuer acquired in connection with the vesting of performance-based restricted stock units ("PSUs") earned on April 3, 2023 upon certification by the Board of Directors of the Issuer that the related performance metrics were met.</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shares of Class A Common Stock were sold. Reflects withholding of shares to satisfy tax liability in connection with the delivery of shares made on April 5, 2023 in connection with the vesting and settlement of the PSUs described herein.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Christopher S. Guinta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31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Cameron D. MacDougall as</w:t>
        <w:tab/>
        <w:t>04/05/2023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4129"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2023-04-05T16:52:02Z</dcterms:created>
  <dcterms:modified xsi:type="dcterms:W3CDTF">2023-04-05T16:52:02Z</dcterms:modified>
</cp:coreProperties>
</file>