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219075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229870</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228600</wp:posOffset>
            </wp:positionV>
            <wp:extent cx="18097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NEW FORTRESS ENERGY LLC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227965</wp:posOffset>
            </wp:positionV>
            <wp:extent cx="18097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2380" w:type="dxa"/>
            <w:vAlign w:val="bottom"/>
          </w:tcPr>
          <w:p>
            <w:pPr>
              <w:jc w:val="center"/>
              <w:ind w:right="350"/>
              <w:spacing w:after="0"/>
              <w:rPr>
                <w:sz w:val="20"/>
                <w:szCs w:val="20"/>
                <w:color w:val="auto"/>
              </w:rPr>
            </w:pPr>
            <w:r>
              <w:rPr>
                <w:rFonts w:ascii="Arial" w:cs="Arial" w:eastAsia="Arial" w:hAnsi="Arial"/>
                <w:sz w:val="18"/>
                <w:szCs w:val="18"/>
                <w:b w:val="1"/>
                <w:bCs w:val="1"/>
                <w:color w:val="auto"/>
                <w:w w:val="93"/>
              </w:rPr>
              <w:t>Delaware</w:t>
            </w:r>
          </w:p>
        </w:tc>
        <w:tc>
          <w:tcPr>
            <w:tcW w:w="4980" w:type="dxa"/>
            <w:vAlign w:val="bottom"/>
          </w:tcPr>
          <w:p>
            <w:pPr>
              <w:jc w:val="right"/>
              <w:ind w:right="2090"/>
              <w:spacing w:after="0"/>
              <w:rPr>
                <w:sz w:val="20"/>
                <w:szCs w:val="20"/>
                <w:color w:val="auto"/>
              </w:rPr>
            </w:pPr>
            <w:r>
              <w:rPr>
                <w:rFonts w:ascii="Arial" w:cs="Arial" w:eastAsia="Arial" w:hAnsi="Arial"/>
                <w:sz w:val="18"/>
                <w:szCs w:val="18"/>
                <w:b w:val="1"/>
                <w:bCs w:val="1"/>
                <w:color w:val="auto"/>
              </w:rPr>
              <w:t>001-38790</w:t>
            </w:r>
          </w:p>
        </w:tc>
        <w:tc>
          <w:tcPr>
            <w:tcW w:w="1920" w:type="dxa"/>
            <w:vAlign w:val="bottom"/>
          </w:tcPr>
          <w:p>
            <w:pPr>
              <w:jc w:val="center"/>
              <w:ind w:left="510"/>
              <w:spacing w:after="0"/>
              <w:rPr>
                <w:sz w:val="20"/>
                <w:szCs w:val="20"/>
                <w:color w:val="auto"/>
              </w:rPr>
            </w:pPr>
            <w:r>
              <w:rPr>
                <w:rFonts w:ascii="Arial" w:cs="Arial" w:eastAsia="Arial" w:hAnsi="Arial"/>
                <w:sz w:val="18"/>
                <w:szCs w:val="18"/>
                <w:b w:val="1"/>
                <w:bCs w:val="1"/>
                <w:color w:val="auto"/>
                <w:w w:val="91"/>
              </w:rPr>
              <w:t>83-1482060</w:t>
            </w:r>
          </w:p>
        </w:tc>
      </w:tr>
      <w:tr>
        <w:trPr>
          <w:trHeight w:val="216"/>
        </w:trPr>
        <w:tc>
          <w:tcPr>
            <w:tcW w:w="2380" w:type="dxa"/>
            <w:vAlign w:val="bottom"/>
          </w:tcPr>
          <w:p>
            <w:pPr>
              <w:jc w:val="center"/>
              <w:ind w:right="350"/>
              <w:spacing w:after="0"/>
              <w:rPr>
                <w:sz w:val="20"/>
                <w:szCs w:val="20"/>
                <w:color w:val="auto"/>
              </w:rPr>
            </w:pPr>
            <w:r>
              <w:rPr>
                <w:rFonts w:ascii="Arial" w:cs="Arial" w:eastAsia="Arial" w:hAnsi="Arial"/>
                <w:sz w:val="18"/>
                <w:szCs w:val="18"/>
                <w:color w:val="auto"/>
                <w:w w:val="90"/>
              </w:rPr>
              <w:t>(State or Other Jurisdiction</w:t>
            </w:r>
          </w:p>
        </w:tc>
        <w:tc>
          <w:tcPr>
            <w:tcW w:w="4980" w:type="dxa"/>
            <w:vAlign w:val="bottom"/>
          </w:tcPr>
          <w:p>
            <w:pPr>
              <w:jc w:val="center"/>
              <w:ind w:right="70"/>
              <w:spacing w:after="0"/>
              <w:rPr>
                <w:sz w:val="20"/>
                <w:szCs w:val="20"/>
                <w:color w:val="auto"/>
              </w:rPr>
            </w:pPr>
            <w:r>
              <w:rPr>
                <w:rFonts w:ascii="Arial" w:cs="Arial" w:eastAsia="Arial" w:hAnsi="Arial"/>
                <w:sz w:val="18"/>
                <w:szCs w:val="18"/>
                <w:color w:val="auto"/>
                <w:w w:val="93"/>
              </w:rPr>
              <w:t>(Commission</w:t>
            </w:r>
          </w:p>
        </w:tc>
        <w:tc>
          <w:tcPr>
            <w:tcW w:w="1920" w:type="dxa"/>
            <w:vAlign w:val="bottom"/>
          </w:tcPr>
          <w:p>
            <w:pPr>
              <w:jc w:val="center"/>
              <w:ind w:left="490"/>
              <w:spacing w:after="0"/>
              <w:rPr>
                <w:sz w:val="20"/>
                <w:szCs w:val="20"/>
                <w:color w:val="auto"/>
              </w:rPr>
            </w:pPr>
            <w:r>
              <w:rPr>
                <w:rFonts w:ascii="Arial" w:cs="Arial" w:eastAsia="Arial" w:hAnsi="Arial"/>
                <w:sz w:val="18"/>
                <w:szCs w:val="18"/>
                <w:color w:val="auto"/>
                <w:w w:val="93"/>
              </w:rPr>
              <w:t>(IRS Employer</w:t>
            </w:r>
          </w:p>
        </w:tc>
      </w:tr>
      <w:tr>
        <w:trPr>
          <w:trHeight w:val="230"/>
        </w:trPr>
        <w:tc>
          <w:tcPr>
            <w:tcW w:w="2380" w:type="dxa"/>
            <w:vAlign w:val="bottom"/>
          </w:tcPr>
          <w:p>
            <w:pPr>
              <w:jc w:val="center"/>
              <w:ind w:right="350"/>
              <w:spacing w:after="0"/>
              <w:rPr>
                <w:sz w:val="20"/>
                <w:szCs w:val="20"/>
                <w:color w:val="auto"/>
              </w:rPr>
            </w:pPr>
            <w:r>
              <w:rPr>
                <w:rFonts w:ascii="Arial" w:cs="Arial" w:eastAsia="Arial" w:hAnsi="Arial"/>
                <w:sz w:val="18"/>
                <w:szCs w:val="18"/>
                <w:color w:val="auto"/>
                <w:w w:val="93"/>
              </w:rPr>
              <w:t>of Incorporation)</w:t>
            </w:r>
          </w:p>
        </w:tc>
        <w:tc>
          <w:tcPr>
            <w:tcW w:w="498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1920" w:type="dxa"/>
            <w:vAlign w:val="bottom"/>
          </w:tcPr>
          <w:p>
            <w:pPr>
              <w:jc w:val="center"/>
              <w:ind w:left="490"/>
              <w:spacing w:after="0"/>
              <w:rPr>
                <w:sz w:val="20"/>
                <w:szCs w:val="20"/>
                <w:color w:val="auto"/>
              </w:rPr>
            </w:pPr>
            <w:r>
              <w:rPr>
                <w:rFonts w:ascii="Arial" w:cs="Arial" w:eastAsia="Arial" w:hAnsi="Arial"/>
                <w:sz w:val="18"/>
                <w:szCs w:val="18"/>
                <w:color w:val="auto"/>
                <w:w w:val="95"/>
              </w:rPr>
              <w:t>Identification No.)</w:t>
            </w:r>
          </w:p>
        </w:tc>
      </w:tr>
      <w:tr>
        <w:trPr>
          <w:trHeight w:val="657"/>
        </w:trPr>
        <w:tc>
          <w:tcPr>
            <w:tcW w:w="2380" w:type="dxa"/>
            <w:vAlign w:val="bottom"/>
          </w:tcPr>
          <w:p>
            <w:pPr>
              <w:spacing w:after="0"/>
              <w:rPr>
                <w:sz w:val="24"/>
                <w:szCs w:val="24"/>
                <w:color w:val="auto"/>
              </w:rPr>
            </w:pPr>
          </w:p>
        </w:tc>
        <w:tc>
          <w:tcPr>
            <w:tcW w:w="49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111 W. 19</w:t>
            </w:r>
            <w:r>
              <w:rPr>
                <w:rFonts w:ascii="Arial" w:cs="Arial" w:eastAsia="Arial" w:hAnsi="Arial"/>
                <w:sz w:val="30"/>
                <w:szCs w:val="30"/>
                <w:b w:val="1"/>
                <w:bCs w:val="1"/>
                <w:color w:val="auto"/>
                <w:w w:val="87"/>
                <w:vertAlign w:val="superscript"/>
              </w:rPr>
              <w:t>th</w:t>
            </w:r>
            <w:r>
              <w:rPr>
                <w:rFonts w:ascii="Arial" w:cs="Arial" w:eastAsia="Arial" w:hAnsi="Arial"/>
                <w:sz w:val="18"/>
                <w:szCs w:val="18"/>
                <w:b w:val="1"/>
                <w:bCs w:val="1"/>
                <w:color w:val="auto"/>
                <w:w w:val="87"/>
              </w:rPr>
              <w:t xml:space="preserve"> Street, 8</w:t>
            </w:r>
            <w:r>
              <w:rPr>
                <w:rFonts w:ascii="Arial" w:cs="Arial" w:eastAsia="Arial" w:hAnsi="Arial"/>
                <w:sz w:val="30"/>
                <w:szCs w:val="30"/>
                <w:b w:val="1"/>
                <w:bCs w:val="1"/>
                <w:color w:val="auto"/>
                <w:w w:val="87"/>
                <w:vertAlign w:val="superscript"/>
              </w:rPr>
              <w:t>th</w:t>
            </w:r>
            <w:r>
              <w:rPr>
                <w:rFonts w:ascii="Arial" w:cs="Arial" w:eastAsia="Arial" w:hAnsi="Arial"/>
                <w:sz w:val="18"/>
                <w:szCs w:val="18"/>
                <w:b w:val="1"/>
                <w:bCs w:val="1"/>
                <w:color w:val="auto"/>
                <w:w w:val="87"/>
              </w:rPr>
              <w:t xml:space="preserve"> Floor</w:t>
            </w:r>
          </w:p>
        </w:tc>
        <w:tc>
          <w:tcPr>
            <w:tcW w:w="1920" w:type="dxa"/>
            <w:vAlign w:val="bottom"/>
          </w:tcPr>
          <w:p>
            <w:pPr>
              <w:spacing w:after="0"/>
              <w:rPr>
                <w:sz w:val="24"/>
                <w:szCs w:val="24"/>
                <w:color w:val="auto"/>
              </w:rPr>
            </w:pPr>
          </w:p>
        </w:tc>
      </w:tr>
      <w:tr>
        <w:trPr>
          <w:trHeight w:val="220"/>
        </w:trPr>
        <w:tc>
          <w:tcPr>
            <w:tcW w:w="2380" w:type="dxa"/>
            <w:vAlign w:val="bottom"/>
          </w:tcPr>
          <w:p>
            <w:pPr>
              <w:spacing w:after="0"/>
              <w:rPr>
                <w:sz w:val="19"/>
                <w:szCs w:val="19"/>
                <w:color w:val="auto"/>
              </w:rPr>
            </w:pPr>
          </w:p>
        </w:tc>
        <w:tc>
          <w:tcPr>
            <w:tcW w:w="49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New York, NY 10011</w:t>
            </w:r>
          </w:p>
        </w:tc>
        <w:tc>
          <w:tcPr>
            <w:tcW w:w="192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p>
        </w:tc>
        <w:tc>
          <w:tcPr>
            <w:tcW w:w="498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920" w:type="dxa"/>
            <w:vAlign w:val="bottom"/>
          </w:tcPr>
          <w:p>
            <w:pPr>
              <w:spacing w:after="0"/>
              <w:rPr>
                <w:sz w:val="20"/>
                <w:szCs w:val="20"/>
                <w:color w:val="auto"/>
              </w:rPr>
            </w:pPr>
          </w:p>
        </w:tc>
      </w:tr>
      <w:tr>
        <w:trPr>
          <w:trHeight w:val="445"/>
        </w:trPr>
        <w:tc>
          <w:tcPr>
            <w:tcW w:w="2380" w:type="dxa"/>
            <w:vAlign w:val="bottom"/>
          </w:tcPr>
          <w:p>
            <w:pPr>
              <w:spacing w:after="0"/>
              <w:rPr>
                <w:sz w:val="24"/>
                <w:szCs w:val="24"/>
                <w:color w:val="auto"/>
              </w:rPr>
            </w:pPr>
          </w:p>
        </w:tc>
        <w:tc>
          <w:tcPr>
            <w:tcW w:w="4980" w:type="dxa"/>
            <w:vAlign w:val="bottom"/>
          </w:tcPr>
          <w:p>
            <w:pPr>
              <w:jc w:val="right"/>
              <w:ind w:right="1910"/>
              <w:spacing w:after="0"/>
              <w:rPr>
                <w:sz w:val="20"/>
                <w:szCs w:val="20"/>
                <w:color w:val="auto"/>
              </w:rPr>
            </w:pPr>
            <w:r>
              <w:rPr>
                <w:rFonts w:ascii="Arial" w:cs="Arial" w:eastAsia="Arial" w:hAnsi="Arial"/>
                <w:sz w:val="18"/>
                <w:szCs w:val="18"/>
                <w:b w:val="1"/>
                <w:bCs w:val="1"/>
                <w:color w:val="auto"/>
              </w:rPr>
              <w:t>(516) 268-7400</w:t>
            </w:r>
          </w:p>
        </w:tc>
        <w:tc>
          <w:tcPr>
            <w:tcW w:w="192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498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9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222885</wp:posOffset>
            </wp:positionV>
            <wp:extent cx="18097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740" w:hanging="732"/>
        <w:spacing w:after="0"/>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45" w:lineRule="exact"/>
        <w:rPr>
          <w:rFonts w:ascii="MS PGothic" w:cs="MS PGothic" w:eastAsia="MS PGothic" w:hAnsi="MS PGothic"/>
          <w:sz w:val="22"/>
          <w:szCs w:val="22"/>
          <w:color w:val="auto"/>
        </w:rPr>
      </w:pPr>
    </w:p>
    <w:p>
      <w:pPr>
        <w:ind w:left="740" w:hanging="732"/>
        <w:spacing w:after="0"/>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45" w:lineRule="exact"/>
        <w:rPr>
          <w:rFonts w:ascii="MS PGothic" w:cs="MS PGothic" w:eastAsia="MS PGothic" w:hAnsi="MS PGothic"/>
          <w:sz w:val="22"/>
          <w:szCs w:val="22"/>
          <w:color w:val="auto"/>
        </w:rPr>
      </w:pPr>
    </w:p>
    <w:p>
      <w:pPr>
        <w:ind w:left="740" w:hanging="732"/>
        <w:spacing w:after="0"/>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45" w:lineRule="exact"/>
        <w:rPr>
          <w:rFonts w:ascii="MS PGothic" w:cs="MS PGothic" w:eastAsia="MS PGothic" w:hAnsi="MS PGothic"/>
          <w:sz w:val="22"/>
          <w:szCs w:val="22"/>
          <w:color w:val="auto"/>
        </w:rPr>
      </w:pPr>
    </w:p>
    <w:p>
      <w:pPr>
        <w:ind w:left="740" w:hanging="732"/>
        <w:spacing w:after="0"/>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35" w:right="299" w:bottom="1440" w:gutter="0" w:footer="0" w:header="0"/>
        </w:sectPr>
      </w:pPr>
    </w:p>
    <w:bookmarkStart w:id="1" w:name="page2"/>
    <w:bookmarkEnd w:id="1"/>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Cash Bonus Awards for Fiscal Year 2018</w:t>
      </w:r>
    </w:p>
    <w:p>
      <w:pPr>
        <w:spacing w:after="0" w:line="225"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color w:val="auto"/>
        </w:rPr>
        <w:t xml:space="preserve">On March 15, 2019, the compensation committee of New Fortress Energy LLC (the “Company”) determined annual bonus amounts for the fiscal year ended December 31, 2018 for the Company’s named executive officers identified in the Company’s </w:t>
      </w:r>
      <w:r>
        <w:rPr>
          <w:rFonts w:ascii="Arial" w:cs="Arial" w:eastAsia="Arial" w:hAnsi="Arial"/>
          <w:sz w:val="21"/>
          <w:szCs w:val="21"/>
          <w:color w:val="auto"/>
        </w:rPr>
        <w:t>prospectus, dated January 30, 2019 (the</w:t>
      </w:r>
      <w:r>
        <w:rPr>
          <w:rFonts w:ascii="Arial" w:cs="Arial" w:eastAsia="Arial" w:hAnsi="Arial"/>
          <w:sz w:val="18"/>
          <w:szCs w:val="18"/>
          <w:color w:val="auto"/>
        </w:rPr>
        <w:t xml:space="preserve"> </w:t>
      </w:r>
      <w:r>
        <w:rPr>
          <w:rFonts w:ascii="Arial" w:cs="Arial" w:eastAsia="Arial" w:hAnsi="Arial"/>
          <w:sz w:val="21"/>
          <w:szCs w:val="21"/>
          <w:color w:val="auto"/>
        </w:rPr>
        <w:t xml:space="preserve">“Prospectus”), filed with the Securities and Exchange Commission under Rule 424(b) of the Securities Act of 1933, as amended, relating to the Company’s registration statement on Form S-1, as amended (File No. 333-228339). </w:t>
      </w:r>
      <w:r>
        <w:rPr>
          <w:rFonts w:ascii="Arial" w:cs="Arial" w:eastAsia="Arial" w:hAnsi="Arial"/>
          <w:sz w:val="18"/>
          <w:szCs w:val="18"/>
          <w:color w:val="auto"/>
        </w:rPr>
        <w:t>All other compensation for the named</w:t>
      </w:r>
      <w:r>
        <w:rPr>
          <w:rFonts w:ascii="Arial" w:cs="Arial" w:eastAsia="Arial" w:hAnsi="Arial"/>
          <w:sz w:val="21"/>
          <w:szCs w:val="21"/>
          <w:color w:val="auto"/>
        </w:rPr>
        <w:t xml:space="preserve"> </w:t>
      </w:r>
      <w:r>
        <w:rPr>
          <w:rFonts w:ascii="Arial" w:cs="Arial" w:eastAsia="Arial" w:hAnsi="Arial"/>
          <w:sz w:val="18"/>
          <w:szCs w:val="18"/>
          <w:color w:val="auto"/>
        </w:rPr>
        <w:t>executive officers for fiscal year 2018 was previously reported by the Company in the 2018 Summary Compensation Table beginning on page 97 of the Prospectus. As of the filing of the Prospectus, the amounts of the cash bonus awards for fiscal year 2018 for the named executive officers had not been determined and, therefore, were omitted from the 2019 Summary Compensation Table included in the Company’s Prospectus pursuant to Instruction 1 to Item 402(c)(2)(iii) and (iv) of Regulation S-K. As described more fully in the Prospectus, Mr. Edens does not receive any compensation from any party for services rendered to us.</w:t>
      </w:r>
    </w:p>
    <w:p>
      <w:pPr>
        <w:spacing w:after="0" w:line="19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Pursuant to Item 5.02(f) of Form 8-K, the amounts of the cash bonus awards for fiscal year 2018 and the total compensation for fiscal year 2018 for the named executive officers, recalculated to include the cash bonus awards for fiscal year 2018, are set forth below.</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6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Bonus ($)</w:t>
            </w:r>
          </w:p>
        </w:tc>
        <w:tc>
          <w:tcPr>
            <w:tcW w:w="300" w:type="dxa"/>
            <w:vAlign w:val="bottom"/>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Total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Wesley R. Edens</w:t>
            </w: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Christopher S. Guinta</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650,000(1)</w:t>
            </w:r>
          </w:p>
        </w:tc>
        <w:tc>
          <w:tcPr>
            <w:tcW w:w="880" w:type="dxa"/>
            <w:vAlign w:val="bottom"/>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Michael J. Utsler</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300,000(2)</w:t>
            </w:r>
          </w:p>
        </w:tc>
        <w:tc>
          <w:tcPr>
            <w:tcW w:w="880" w:type="dxa"/>
            <w:vAlign w:val="bottom"/>
          </w:tcPr>
          <w:p>
            <w:pPr>
              <w:jc w:val="right"/>
              <w:spacing w:after="0"/>
              <w:rPr>
                <w:sz w:val="20"/>
                <w:szCs w:val="20"/>
                <w:color w:val="auto"/>
              </w:rPr>
            </w:pPr>
            <w:r>
              <w:rPr>
                <w:rFonts w:ascii="Arial" w:cs="Arial" w:eastAsia="Arial" w:hAnsi="Arial"/>
                <w:sz w:val="18"/>
                <w:szCs w:val="18"/>
                <w:color w:val="auto"/>
              </w:rPr>
              <w:t>575,899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4490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Reflects an annual bonus for services rendered in 2018, but paid in 2019.</w:t>
      </w:r>
    </w:p>
    <w:p>
      <w:pPr>
        <w:spacing w:after="0" w:line="23" w:lineRule="exact"/>
        <w:rPr>
          <w:rFonts w:ascii="Arial" w:cs="Arial" w:eastAsia="Arial" w:hAnsi="Arial"/>
          <w:sz w:val="18"/>
          <w:szCs w:val="18"/>
          <w:color w:val="auto"/>
        </w:rPr>
      </w:pPr>
    </w:p>
    <w:p>
      <w:pPr>
        <w:ind w:left="500" w:right="220" w:hanging="492"/>
        <w:spacing w:after="0" w:line="261"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(i) a $75,000 sign-on bonus paid to Mr. Utsler in connection with his appointment and (ii) an annual bonus for services rendered in 2018, but paid in 2019.</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21, 2019</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NEW FORTRESS ENERGY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02"/>
        </w:trPr>
        <w:tc>
          <w:tcPr>
            <w:tcW w:w="628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Christopher S. Guinta</w:t>
            </w:r>
          </w:p>
        </w:tc>
      </w:t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59"/>
        </w:trPr>
        <w:tc>
          <w:tcPr>
            <w:tcW w:w="628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5140" w:type="dxa"/>
            <w:vAlign w:val="bottom"/>
          </w:tcPr>
          <w:p>
            <w:pPr>
              <w:spacing w:after="0"/>
              <w:rPr>
                <w:sz w:val="24"/>
                <w:szCs w:val="24"/>
                <w:color w:val="auto"/>
              </w:rPr>
            </w:pPr>
          </w:p>
        </w:tc>
      </w:tr>
      <w:tr>
        <w:trPr>
          <w:trHeight w:val="115"/>
        </w:trPr>
        <w:tc>
          <w:tcPr>
            <w:tcW w:w="6280" w:type="dxa"/>
            <w:vAlign w:val="bottom"/>
            <w:tcBorders>
              <w:bottom w:val="single" w:sz="8" w:color="auto"/>
            </w:tcBorders>
          </w:tcPr>
          <w:p>
            <w:pPr>
              <w:spacing w:after="0"/>
              <w:rPr>
                <w:sz w:val="10"/>
                <w:szCs w:val="10"/>
                <w:color w:val="auto"/>
              </w:rPr>
            </w:pPr>
          </w:p>
        </w:tc>
        <w:tc>
          <w:tcPr>
            <w:tcW w:w="5140" w:type="dxa"/>
            <w:vAlign w:val="bottom"/>
            <w:tcBorders>
              <w:bottom w:val="single" w:sz="8" w:color="auto"/>
            </w:tcBorders>
          </w:tcPr>
          <w:p>
            <w:pPr>
              <w:spacing w:after="0"/>
              <w:rPr>
                <w:sz w:val="10"/>
                <w:szCs w:val="10"/>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2019-12-03T21:20:59Z</dcterms:created>
  <dcterms:modified xsi:type="dcterms:W3CDTF">2019-12-03T21:20:59Z</dcterms:modified>
</cp:coreProperties>
</file>