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0796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EDENS WESLEY R</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02/04/2019</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2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20" w:type="dxa"/>
            <w:vAlign w:val="bottom"/>
          </w:tcPr>
          <w:p>
            <w:pPr>
              <w:ind w:left="5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2"/>
        <w:spacing w:after="0"/>
        <w:rPr>
          <w:sz w:val="20"/>
          <w:szCs w:val="20"/>
          <w:color w:val="auto"/>
        </w:rPr>
      </w:pPr>
      <w:r>
        <w:rPr>
          <w:rFonts w:ascii="Arial" w:cs="Arial" w:eastAsia="Arial" w:hAnsi="Arial"/>
          <w:sz w:val="17"/>
          <w:szCs w:val="17"/>
          <w:color w:val="0000FF"/>
        </w:rPr>
        <w:t>Chief Executive Officer</w:t>
      </w:r>
    </w:p>
    <w:p>
      <w:pPr>
        <w:spacing w:after="0" w:line="265"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52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2"/>
                <w:szCs w:val="2"/>
                <w:color w:val="auto"/>
              </w:rPr>
            </w:pPr>
          </w:p>
        </w:tc>
        <w:tc>
          <w:tcPr>
            <w:tcW w:w="3700" w:type="dxa"/>
            <w:vAlign w:val="bottom"/>
            <w:gridSpan w:val="11"/>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7"/>
            <w:vMerge w:val="continue"/>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80" w:type="dxa"/>
            <w:vAlign w:val="bottom"/>
          </w:tcPr>
          <w:p>
            <w:pPr>
              <w:spacing w:after="0"/>
              <w:rPr>
                <w:sz w:val="20"/>
                <w:szCs w:val="20"/>
                <w:color w:val="auto"/>
              </w:rPr>
            </w:pPr>
            <w:r>
              <w:rPr>
                <w:rFonts w:ascii="Arial" w:cs="Arial" w:eastAsia="Arial" w:hAnsi="Arial"/>
                <w:sz w:val="17"/>
                <w:szCs w:val="17"/>
                <w:color w:val="0000FF"/>
              </w:rPr>
              <w:t>NY</w:t>
            </w:r>
          </w:p>
        </w:tc>
        <w:tc>
          <w:tcPr>
            <w:tcW w:w="10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10011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60" w:type="dxa"/>
            <w:vAlign w:val="bottom"/>
            <w:gridSpan w:val="8"/>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1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860" w:type="dxa"/>
            <w:vAlign w:val="bottom"/>
            <w:tcBorders>
              <w:bottom w:val="single" w:sz="8" w:color="2C2C2C"/>
            </w:tcBorders>
            <w:gridSpan w:val="5"/>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0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920" w:type="dxa"/>
            <w:vAlign w:val="bottom"/>
            <w:gridSpan w:val="2"/>
          </w:tcPr>
          <w:p>
            <w:pPr>
              <w:ind w:left="400"/>
              <w:spacing w:after="0" w:line="132"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2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02/04/2019</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11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2,500,000</w:t>
            </w:r>
            <w:r>
              <w:rPr>
                <w:rFonts w:ascii="Arial" w:cs="Arial" w:eastAsia="Arial" w:hAnsi="Arial"/>
                <w:sz w:val="21"/>
                <w:szCs w:val="21"/>
                <w:color w:val="008000"/>
                <w:vertAlign w:val="superscript"/>
              </w:rPr>
              <w:t>(1)</w:t>
            </w: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8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80"/>
              <w:spacing w:after="0"/>
              <w:rPr>
                <w:sz w:val="20"/>
                <w:szCs w:val="20"/>
                <w:color w:val="auto"/>
              </w:rPr>
            </w:pPr>
            <w:r>
              <w:rPr>
                <w:rFonts w:ascii="Arial" w:cs="Arial" w:eastAsia="Arial" w:hAnsi="Arial"/>
                <w:sz w:val="17"/>
                <w:szCs w:val="17"/>
                <w:color w:val="0000FF"/>
              </w:rPr>
              <w:t>2,500,000</w:t>
            </w:r>
            <w:r>
              <w:rPr>
                <w:rFonts w:ascii="Arial" w:cs="Arial" w:eastAsia="Arial" w:hAnsi="Arial"/>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w w:val="86"/>
              </w:rPr>
              <w:t>Class B shares</w:t>
            </w:r>
            <w:r>
              <w:rPr>
                <w:rFonts w:ascii="Arial" w:cs="Arial" w:eastAsia="Arial" w:hAnsi="Arial"/>
                <w:sz w:val="21"/>
                <w:szCs w:val="21"/>
                <w:color w:val="008000"/>
                <w:w w:val="86"/>
                <w:vertAlign w:val="superscript"/>
              </w:rPr>
              <w:t>(2)(3)</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6"/>
              </w:rPr>
              <w:t>147,058,824</w:t>
            </w:r>
            <w:r>
              <w:rPr>
                <w:rFonts w:ascii="Arial" w:cs="Arial" w:eastAsia="Arial" w:hAnsi="Arial"/>
                <w:sz w:val="21"/>
                <w:szCs w:val="21"/>
                <w:color w:val="008000"/>
                <w:w w:val="96"/>
                <w:vertAlign w:val="superscript"/>
              </w:rPr>
              <w:t>(3)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52"/>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180" w:type="dxa"/>
            <w:vAlign w:val="bottom"/>
          </w:tcPr>
          <w:p>
            <w:pPr>
              <w:spacing w:after="0"/>
              <w:rPr>
                <w:sz w:val="11"/>
                <w:szCs w:val="11"/>
                <w:color w:val="auto"/>
              </w:rPr>
            </w:pP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18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8"/>
              </w:rPr>
              <w:t>Reported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9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00" w:type="dxa"/>
            <w:vAlign w:val="bottom"/>
          </w:tcPr>
          <w:p>
            <w:pPr>
              <w:spacing w:after="0"/>
              <w:rPr>
                <w:sz w:val="20"/>
                <w:szCs w:val="20"/>
                <w:color w:val="auto"/>
              </w:rPr>
            </w:pPr>
            <w:r>
              <w:rPr>
                <w:rFonts w:ascii="Arial" w:cs="Arial" w:eastAsia="Arial" w:hAnsi="Arial"/>
                <w:sz w:val="12"/>
                <w:szCs w:val="12"/>
                <w:b w:val="1"/>
                <w:bCs w:val="1"/>
                <w:color w:val="auto"/>
                <w:w w:val="94"/>
              </w:rPr>
              <w:t>Shares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New</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Fortress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Class</w:t>
            </w:r>
          </w:p>
        </w:tc>
        <w:tc>
          <w:tcPr>
            <w:tcW w:w="940" w:type="dxa"/>
            <w:vAlign w:val="bottom"/>
            <w:gridSpan w:val="2"/>
            <w:vMerge w:val="restart"/>
          </w:tcPr>
          <w:p>
            <w:pPr>
              <w:spacing w:after="0"/>
              <w:rPr>
                <w:sz w:val="20"/>
                <w:szCs w:val="20"/>
                <w:color w:val="auto"/>
              </w:rPr>
            </w:pPr>
            <w:r>
              <w:rPr>
                <w:rFonts w:ascii="Arial" w:cs="Arial" w:eastAsia="Arial" w:hAnsi="Arial"/>
                <w:sz w:val="17"/>
                <w:szCs w:val="17"/>
                <w:color w:val="0000FF"/>
                <w:w w:val="97"/>
              </w:rPr>
              <w:t>147,058,824</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008000"/>
                <w:w w:val="88"/>
              </w:rPr>
              <w:t>(3)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w w:val="99"/>
              </w:rPr>
              <w:t>Intermediate</w:t>
            </w:r>
          </w:p>
        </w:tc>
        <w:tc>
          <w:tcPr>
            <w:tcW w:w="560" w:type="dxa"/>
            <w:vAlign w:val="bottom"/>
            <w:vMerge w:val="restart"/>
          </w:tcPr>
          <w:p>
            <w:pPr>
              <w:ind w:left="3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520" w:type="dxa"/>
            <w:vAlign w:val="bottom"/>
            <w:vMerge w:val="restart"/>
          </w:tcPr>
          <w:p>
            <w:pPr>
              <w:ind w:left="180"/>
              <w:spacing w:after="0" w:line="128" w:lineRule="exact"/>
              <w:rPr>
                <w:sz w:val="20"/>
                <w:szCs w:val="20"/>
                <w:color w:val="auto"/>
              </w:rPr>
            </w:pPr>
            <w:r>
              <w:rPr>
                <w:rFonts w:ascii="Arial" w:cs="Arial" w:eastAsia="Arial" w:hAnsi="Arial"/>
                <w:sz w:val="13"/>
                <w:szCs w:val="13"/>
                <w:color w:val="0000FF"/>
              </w:rPr>
              <w:t>A</w:t>
            </w:r>
          </w:p>
        </w:tc>
        <w:tc>
          <w:tcPr>
            <w:tcW w:w="9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restart"/>
          </w:tcPr>
          <w:p>
            <w:pPr>
              <w:ind w:left="60"/>
              <w:spacing w:after="0" w:line="128" w:lineRule="exact"/>
              <w:rPr>
                <w:sz w:val="20"/>
                <w:szCs w:val="20"/>
                <w:color w:val="auto"/>
              </w:rPr>
            </w:pPr>
            <w:r>
              <w:rPr>
                <w:rFonts w:ascii="Arial" w:cs="Arial" w:eastAsia="Arial" w:hAnsi="Arial"/>
                <w:sz w:val="13"/>
                <w:szCs w:val="13"/>
                <w:color w:val="0000FF"/>
                <w:w w:val="88"/>
              </w:rPr>
              <w:t>147,058,824</w:t>
            </w:r>
          </w:p>
        </w:tc>
        <w:tc>
          <w:tcPr>
            <w:tcW w:w="180" w:type="dxa"/>
            <w:vAlign w:val="bottom"/>
            <w:vMerge w:val="continue"/>
          </w:tcPr>
          <w:p>
            <w:pPr>
              <w:spacing w:after="0"/>
              <w:rPr>
                <w:sz w:val="5"/>
                <w:szCs w:val="5"/>
                <w:color w:val="auto"/>
              </w:rPr>
            </w:pP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6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tcPr>
          <w:p>
            <w:pPr>
              <w:ind w:left="40"/>
              <w:spacing w:after="0" w:line="67"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LLC</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Arial" w:cs="Arial" w:eastAsia="Arial" w:hAnsi="Arial"/>
                <w:sz w:val="13"/>
                <w:szCs w:val="13"/>
                <w:color w:val="0000FF"/>
              </w:rPr>
              <w:t>shares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2,500,000 Class A shares representing limited liability company interests in New Fortress Energy LLC (the "Issuer") were purchased in the Issuer's initial public offering.</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Class B shares represent limited liability company interests in the Issuer and have no economic right, but entitles its holder to one vote per Class B share on all matters to be voted on by shareholders generally.</w:t>
      </w:r>
    </w:p>
    <w:p>
      <w:pPr>
        <w:spacing w:after="0" w:line="59" w:lineRule="exact"/>
        <w:rPr>
          <w:rFonts w:ascii="Arial" w:cs="Arial" w:eastAsia="Arial" w:hAnsi="Arial"/>
          <w:sz w:val="12"/>
          <w:szCs w:val="12"/>
          <w:color w:val="008000"/>
        </w:rPr>
      </w:pPr>
    </w:p>
    <w:p>
      <w:pPr>
        <w:jc w:val="both"/>
        <w:ind w:left="40" w:right="220" w:firstLine="5"/>
        <w:spacing w:after="0" w:line="23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Class B shares and common units ("NFI LLC Units") of New Fortress Intermediate LLC ("NFI") are held directly by New Fortress Energy Holdings LLC ("New Fortress Energy Holdings"). New Fortress Energy Holdings is majority owned and controlled by Fortress Equity Partners (A) LP (the "Fortress Shareholder"). Fortress Shareholder is controlled by the reporting person. The reporting person exercises voting power over the shares held by New Fortress Energy Holdings and may be deemed to be the beneficial owner thereof. The reporting person has the right to acquire beneficial ownership of his pro rata portion of the Class B shares and corresponding NFI LLC Units held directly by New Fortress Energy Holdings at his election pursuant to the limited liability company agreement of NFI (the "NFI LLC Agreement") and may be deemed to share dispositive power over such Class B shares and NFI LLC Units.</w:t>
      </w:r>
    </w:p>
    <w:p>
      <w:pPr>
        <w:spacing w:after="0" w:line="33" w:lineRule="exact"/>
        <w:rPr>
          <w:rFonts w:ascii="Arial" w:cs="Arial" w:eastAsia="Arial" w:hAnsi="Arial"/>
          <w:sz w:val="13"/>
          <w:szCs w:val="13"/>
          <w:color w:val="008000"/>
        </w:rPr>
      </w:pPr>
    </w:p>
    <w:p>
      <w:pPr>
        <w:jc w:val="both"/>
        <w:ind w:left="40" w:right="26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NFI LLC Agreement provides certain holders of NFI LLC Units with certain rights to cause NFI to acquire all or a portion of the NFI LLC Units (the "Redemption Right") for, at NFI's election, (a) Class A shares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NFI LLC Units and the right to exercise the Redemption Right have no expiration date.</w:t>
      </w:r>
    </w:p>
    <w:p>
      <w:pPr>
        <w:spacing w:after="0" w:line="5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Wesley R. Edens,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1031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02/06/2019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731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4460"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2019-12-23T21:59:20Z</dcterms:created>
  <dcterms:modified xsi:type="dcterms:W3CDTF">2019-12-23T21:59:20Z</dcterms:modified>
</cp:coreProperties>
</file>