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November 7, 2024</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62" w:lineRule="exact"/>
        <w:rPr>
          <w:sz w:val="24"/>
          <w:szCs w:val="24"/>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On November 7, 2024, New Fortress Energy Inc. (“NFE” or the “Company”) issued a press release announcing the Company’s financial and operating results for its fiscal quarter ended September 30, 2024. A copy of the Company’s press release is attached to this Current Report on Form 8-K (the “Current Report”) as Exhibit 99.1 and is incorporated herein solely for purposes of this Item 2.02 disclosure.</w:t>
      </w:r>
    </w:p>
    <w:p>
      <w:pPr>
        <w:spacing w:after="0" w:line="196" w:lineRule="exact"/>
        <w:rPr>
          <w:sz w:val="20"/>
          <w:szCs w:val="20"/>
          <w:color w:val="auto"/>
        </w:rPr>
      </w:pPr>
    </w:p>
    <w:p>
      <w:pPr>
        <w:ind w:right="240" w:firstLine="486"/>
        <w:spacing w:after="0" w:line="250" w:lineRule="auto"/>
        <w:rPr>
          <w:sz w:val="20"/>
          <w:szCs w:val="20"/>
          <w:color w:val="auto"/>
        </w:rPr>
      </w:pPr>
      <w:r>
        <w:rPr>
          <w:rFonts w:ascii="Times New Roman" w:cs="Times New Roman" w:eastAsia="Times New Roman" w:hAnsi="Times New Roman"/>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1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tcPr>
          <w:p>
            <w:pPr>
              <w:spacing w:after="0"/>
              <w:rPr>
                <w:sz w:val="18"/>
                <w:szCs w:val="18"/>
                <w:color w:val="auto"/>
              </w:rPr>
            </w:pPr>
          </w:p>
        </w:tc>
      </w:tr>
      <w:tr>
        <w:trPr>
          <w:trHeight w:val="259"/>
        </w:trPr>
        <w:tc>
          <w:tcPr>
            <w:tcW w:w="280" w:type="dxa"/>
            <w:vAlign w:val="bottom"/>
          </w:tcPr>
          <w:p>
            <w:pPr>
              <w:spacing w:after="0"/>
              <w:rPr>
                <w:sz w:val="22"/>
                <w:szCs w:val="22"/>
                <w:color w:val="auto"/>
              </w:rPr>
            </w:pPr>
          </w:p>
        </w:tc>
        <w:tc>
          <w:tcPr>
            <w:tcW w:w="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Press Release, dated November 7, 2024, issued by New Fortress Energy Inc.</w:t>
            </w:r>
          </w:p>
        </w:tc>
      </w:tr>
      <w:tr>
        <w:trPr>
          <w:trHeight w:val="277"/>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76"/>
        </w:trPr>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2024</w:t>
            </w: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300" w:type="dxa"/>
            <w:vAlign w:val="bottom"/>
          </w:tcPr>
          <w:p>
            <w:pPr>
              <w:spacing w:after="0"/>
              <w:rPr>
                <w:sz w:val="21"/>
                <w:szCs w:val="21"/>
                <w:color w:val="auto"/>
              </w:rPr>
            </w:pP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300" w:type="dxa"/>
            <w:vAlign w:val="bottom"/>
          </w:tcPr>
          <w:p>
            <w:pPr>
              <w:spacing w:after="0"/>
              <w:rPr>
                <w:sz w:val="22"/>
                <w:szCs w:val="22"/>
                <w:color w:val="auto"/>
              </w:rPr>
            </w:pP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92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jc w:val="right"/>
        <w:ind w:right="20"/>
        <w:spacing w:after="0" w:line="215" w:lineRule="auto"/>
        <w:rPr>
          <w:sz w:val="20"/>
          <w:szCs w:val="20"/>
          <w:color w:val="auto"/>
        </w:rPr>
      </w:pPr>
      <w:r>
        <w:rPr>
          <w:rFonts w:ascii="Times New Roman" w:cs="Times New Roman" w:eastAsia="Times New Roman" w:hAnsi="Times New Roman"/>
          <w:sz w:val="18"/>
          <w:szCs w:val="18"/>
          <w:color w:val="auto"/>
        </w:rPr>
        <w:t>111 W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107124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26543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Announces Third Quarter 2024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 New Fortress Energy Inc. (Nasdaq: NFE) (“NFE” or the “Company”) today reported its financial results for the third quarter of 2024.</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Highlights</w:t>
      </w:r>
    </w:p>
    <w:p>
      <w:pPr>
        <w:spacing w:after="0" w:line="64"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$176 million in the third quarter of 2024</w:t>
      </w:r>
    </w:p>
    <w:p>
      <w:pPr>
        <w:spacing w:after="0" w:line="28"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$11 million in the third quarter of 2024</w:t>
      </w:r>
    </w:p>
    <w:p>
      <w:pPr>
        <w:spacing w:after="0" w:line="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$0.05 on a fully diluted basis in the third quarter of 2024</w:t>
      </w:r>
    </w:p>
    <w:p>
      <w:pPr>
        <w:spacing w:after="0" w:line="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 of $0.03 on a fully diluted basis in the third quarter of 2024</w:t>
      </w:r>
    </w:p>
    <w:p>
      <w:pPr>
        <w:spacing w:after="0" w:line="3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Illustrative Adjusted EBITDA Goal</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of $855 million in the full year 2024</w:t>
      </w:r>
    </w:p>
    <w:p>
      <w:pPr>
        <w:spacing w:after="0" w:line="238"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auto"/>
        </w:rPr>
        <w:t>"This has been a strong and steady third quarter for the company as we achieved Adjusted EBITDA of $176 million, matching our guidance of $175 million. This was largely the result of steady volume demand from our terminals and the addition of Fast LNG cargos in our supply portfolio as the liquefier reached nameplate production.</w:t>
      </w:r>
    </w:p>
    <w:p>
      <w:pPr>
        <w:spacing w:after="0" w:line="204"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"We announced a series of strategic financing transactions that are intended to increase the Company’s liquidity and financial flexibility. NFE is in the advanced stages of refinancing its corporate debt by exchanging $2.7 billion of senior secured notes, which, upon completion, will extend the company's debt maturities to 2029 and will also extend [$900 million] of its revolving credit facility over the next several years. Additionally, the Company has completed a $400 million equity raise, providing additional liquidity to the business and bridging the Company to positive free cash flow.</w:t>
      </w:r>
    </w:p>
    <w:p>
      <w:pPr>
        <w:spacing w:after="0" w:line="19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"Our strategic focus will now be to identify potential partners for financings, commercial ventures or asset sales for one or more of the Company’s primary businesses, including projects in Brazil, Puerto Rico, Jamaica, Mexico, Nicaragua and FLNG 1," said Wes Edens, Chairman and CEO of New Fortress Energy.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Detail</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98"/>
        </w:trPr>
        <w:tc>
          <w:tcPr>
            <w:tcW w:w="124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50"/>
        </w:trPr>
        <w:tc>
          <w:tcPr>
            <w:tcW w:w="5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56"/>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r>
      <w:tr>
        <w:trPr>
          <w:trHeight w:val="25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63"/>
        </w:trPr>
        <w:tc>
          <w:tcPr>
            <w:tcW w:w="5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57"/>
        </w:trPr>
        <w:tc>
          <w:tcPr>
            <w:tcW w:w="5440" w:type="dxa"/>
            <w:vAlign w:val="bottom"/>
            <w:gridSpan w:val="2"/>
          </w:tcPr>
          <w:p>
            <w:pPr>
              <w:ind w:left="40"/>
              <w:spacing w:after="0" w:line="256" w:lineRule="exact"/>
              <w:rPr>
                <w:sz w:val="20"/>
                <w:szCs w:val="20"/>
                <w:color w:val="auto"/>
              </w:rPr>
            </w:pPr>
            <w:r>
              <w:rPr>
                <w:rFonts w:ascii="Times New Roman" w:cs="Times New Roman" w:eastAsia="Times New Roman" w:hAnsi="Times New Roman"/>
                <w:sz w:val="18"/>
                <w:szCs w:val="18"/>
                <w:color w:val="auto"/>
              </w:rPr>
              <w:t>Adjusted net income (loss)</w:t>
            </w:r>
            <w:r>
              <w:rPr>
                <w:rFonts w:ascii="Times New Roman" w:cs="Times New Roman" w:eastAsia="Times New Roman" w:hAnsi="Times New Roman"/>
                <w:sz w:val="23"/>
                <w:szCs w:val="23"/>
                <w:color w:val="auto"/>
                <w:vertAlign w:val="superscript"/>
              </w:rPr>
              <w:t>(7)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57"/>
        </w:trPr>
        <w:tc>
          <w:tcPr>
            <w:tcW w:w="544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56"/>
        </w:trPr>
        <w:tc>
          <w:tcPr>
            <w:tcW w:w="5440" w:type="dxa"/>
            <w:vAlign w:val="bottom"/>
            <w:gridSpan w:val="2"/>
          </w:tcPr>
          <w:p>
            <w:pPr>
              <w:ind w:left="140"/>
              <w:spacing w:after="0" w:line="256" w:lineRule="exact"/>
              <w:rPr>
                <w:sz w:val="20"/>
                <w:szCs w:val="20"/>
                <w:color w:val="auto"/>
              </w:rPr>
            </w:pPr>
            <w:r>
              <w:rPr>
                <w:rFonts w:ascii="Times New Roman" w:cs="Times New Roman" w:eastAsia="Times New Roman" w:hAnsi="Times New Roman"/>
                <w:sz w:val="18"/>
                <w:szCs w:val="18"/>
                <w:color w:val="auto"/>
              </w:rPr>
              <w:t>Terminals and Infrastructure Segment Operating Margin</w:t>
            </w:r>
            <w:r>
              <w:rPr>
                <w:rFonts w:ascii="Times New Roman" w:cs="Times New Roman" w:eastAsia="Times New Roman" w:hAnsi="Times New Roman"/>
                <w:sz w:val="23"/>
                <w:szCs w:val="23"/>
                <w:color w:val="auto"/>
                <w:vertAlign w:val="superscript"/>
              </w:rPr>
              <w:t>(8)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57"/>
        </w:trPr>
        <w:tc>
          <w:tcPr>
            <w:tcW w:w="5440" w:type="dxa"/>
            <w:vAlign w:val="bottom"/>
            <w:gridSpan w:val="2"/>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Ships Segment Operating Margin</w:t>
            </w:r>
            <w:r>
              <w:rPr>
                <w:rFonts w:ascii="Times New Roman" w:cs="Times New Roman" w:eastAsia="Times New Roman" w:hAnsi="Times New Roman"/>
                <w:sz w:val="23"/>
                <w:szCs w:val="23"/>
                <w:color w:val="auto"/>
                <w:vertAlign w:val="superscript"/>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56"/>
        </w:trPr>
        <w:tc>
          <w:tcPr>
            <w:tcW w:w="544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Total Segment Operating Margin</w:t>
            </w:r>
            <w:r>
              <w:rPr>
                <w:rFonts w:ascii="Times New Roman" w:cs="Times New Roman" w:eastAsia="Times New Roman" w:hAnsi="Times New Roman"/>
                <w:sz w:val="23"/>
                <w:szCs w:val="23"/>
                <w:color w:val="auto"/>
                <w:vertAlign w:val="superscript"/>
              </w:rPr>
              <w:t>(8)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r>
      <w:tr>
        <w:trPr>
          <w:trHeight w:val="257"/>
        </w:trPr>
        <w:tc>
          <w:tcPr>
            <w:tcW w:w="5440" w:type="dxa"/>
            <w:vAlign w:val="bottom"/>
            <w:gridSpan w:val="2"/>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refer to our Q3 2024 Investor Presentation (the “Presentation”) for further information about the following terms: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1)“Adjusted EBITDA,” see definition and reconciliation of this non-GAAP measure in the exhibits to this press release.</w:t>
      </w:r>
    </w:p>
    <w:p>
      <w:pPr>
        <w:spacing w:after="0" w:line="7" w:lineRule="exact"/>
        <w:rPr>
          <w:sz w:val="20"/>
          <w:szCs w:val="20"/>
          <w:color w:val="auto"/>
        </w:rPr>
      </w:pPr>
    </w:p>
    <w:p>
      <w:pPr>
        <w:jc w:val="both"/>
        <w:ind w:firstLine="8"/>
        <w:spacing w:after="0" w:line="243" w:lineRule="auto"/>
        <w:tabs>
          <w:tab w:leader="none" w:pos="216"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EPS” is not a measurement of financial performance under GAAP and should not be considered in isolation or as an alternative to any measure of performance or liquidity derived in accordance with GAAP. We calculate Adjusted EPS as Adjusted Net Income (Note 7 below) divided by the weighted average shares outstanding on a fully diluted basis for the period indicated. We believe this non-GAAP measure, as we have defined it, offers a useful supplemental view of the overall evaluation of the Company in a manner that is consistent with metrics used for management’s evaluation of the</w:t>
      </w:r>
    </w:p>
    <w:p>
      <w:pPr>
        <w:sectPr>
          <w:pgSz w:w="11900" w:h="16838" w:orient="portrait"/>
          <w:cols w:equalWidth="0" w:num="1">
            <w:col w:w="11240"/>
          </w:cols>
          <w:pgMar w:left="320" w:top="927" w:right="339" w:bottom="1440" w:gutter="0" w:footer="0" w:header="0"/>
        </w:sectPr>
      </w:pPr>
    </w:p>
    <w:bookmarkStart w:id="4" w:name="page5"/>
    <w:bookmarkEnd w:id="4"/>
    <w:p>
      <w:pPr>
        <w:spacing w:after="0" w:line="247" w:lineRule="auto"/>
        <w:rPr>
          <w:sz w:val="20"/>
          <w:szCs w:val="20"/>
          <w:color w:val="auto"/>
        </w:rPr>
      </w:pPr>
      <w:r>
        <w:rPr>
          <w:rFonts w:ascii="Times New Roman" w:cs="Times New Roman" w:eastAsia="Times New Roman" w:hAnsi="Times New Roman"/>
          <w:sz w:val="18"/>
          <w:szCs w:val="18"/>
          <w:i w:val="1"/>
          <w:iCs w:val="1"/>
          <w:color w:val="auto"/>
        </w:rPr>
        <w:t>Company’s overall performance. Adjusted EPS does not have a standardized meaning, and different companies may use different definitions. Therefore, this term may not be necessarily comparable to similarly titled measures reported by other companies.</w:t>
      </w:r>
    </w:p>
    <w:p>
      <w:pPr>
        <w:ind w:left="200" w:hanging="192"/>
        <w:spacing w:after="0" w:line="235" w:lineRule="auto"/>
        <w:tabs>
          <w:tab w:leader="none" w:pos="20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Reserved</w:t>
      </w:r>
    </w:p>
    <w:p>
      <w:pPr>
        <w:jc w:val="both"/>
        <w:ind w:firstLine="8"/>
        <w:spacing w:after="0" w:line="246" w:lineRule="auto"/>
        <w:tabs>
          <w:tab w:leader="none" w:pos="206"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“Illustrative Adjusted EBITDA Goal” for the fourth quarter of 2024 and full year 2024 means our forward-looking goal for Adjusted EBITDA for the relevant period and is based on the "Illustrative Total Segment Operating Margin Goal" less illustrative Core SGA assumed to be at approximately $25 million for the fourth quarter of 2024, including the pro rata share of Core SG&amp;A from unconsolidated entities.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This presentation also assumes that (i) the Company engages in mitigation sales related to certain of its LNG contracts, (ii) the Company enters into a potential sale of a rechartering opportunity providing revenue of approximately $75 million to $100 million, (iii) the Company’s subsidiary, Genera PR LLC, receives quarterly incentive payments related to cost savings recognized by PREPA, (iv) the Company receives the revenues from the forward sales transactions entered into during the second quarter of 2024 and (iv) the Company continues to increase volumes related to its gas sales agreement with PREPA.</w:t>
      </w:r>
    </w:p>
    <w:p>
      <w:pPr>
        <w:spacing w:after="0" w:line="2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For the purpose of this presentation, we have assumed an average Total Segment Operating Margin between ($0.28) and $7.30 per MMBtu for all downstream terminal &amp; cargo sale economics in the fourth quarter of 2024 because we assume that (i) we purchase delivered gas at a weighted average of $8.28 in the fourth quarter of 2024 (ii) we will have costs related to shipping, logistics and regasification similar to our current operations which will be reduced when our First FLNG facility is in full production, and those costs will be distributed over the larger volumes. For Vessels chartered to third parties, this measure reflects the revenue from those charters, capacity and tolling arrangements, and other fixed fees, less the cost to operate and maintain each ship, in each case based on contracted amounts for ship charters, capacity and tolling fees, and industry standard costs for operation and maintenance. We assume an average Total Segment Operating Margin of up to $145k per day per vessel. For Fast LNG, this measure reflects the difference between the delivered cost of open LNG and the delivered cost of open market LNG less Fast LNG production cost. These costs do not include expenses and income that are required by GAAP to be recorded on our financial statements, including the return of or return on capital expenditures for the relevant project, and selling, general and administrative costs. Our current cost of natural gas per MMBtu is higher than the cost we would need to achieve Illustrative Total Segment Operating Margin Goal, and the primary drivers for reducing these costs are the reduced costs of purchasing gas and the increased sales volumes, which result in lower fixed costs being spread over a larger number of MMBtus sold. References to volumes, percentages of such volumes and the Illustrative Total Segment Operating Margin Goal related to such volumes (i) are not based on the Company’s historical operating results, which are limited, and (ii) do not purport to be an actual representation of our future economics. Actual circumstances could differ materially from the assumptions, and actual performance and results could differ materially from, and there can be no assurance that they will reflect, our corporate goal.</w:t>
      </w:r>
    </w:p>
    <w:p>
      <w:pPr>
        <w:spacing w:after="0" w:line="4" w:lineRule="exact"/>
        <w:rPr>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Reserved.</w:t>
      </w:r>
    </w:p>
    <w:p>
      <w:pPr>
        <w:ind w:left="200" w:hanging="192"/>
        <w:spacing w:after="0" w:line="234" w:lineRule="auto"/>
        <w:tabs>
          <w:tab w:leader="none" w:pos="20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Reserved.</w:t>
      </w:r>
    </w:p>
    <w:p>
      <w:pPr>
        <w:ind w:firstLine="8"/>
        <w:spacing w:after="0" w:line="219" w:lineRule="auto"/>
        <w:tabs>
          <w:tab w:leader="none" w:pos="202"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Net Income” means Net Income attributable to stockholders as presented in the relevant Form 10-K or Form 10-Q for the relevant financial period as adjusted by non-cash impairment charges and gains or losses on disposal of our assets.</w:t>
      </w:r>
    </w:p>
    <w:p>
      <w:pPr>
        <w:ind w:right="220" w:firstLine="8"/>
        <w:spacing w:after="0" w:line="233" w:lineRule="auto"/>
        <w:tabs>
          <w:tab w:leader="none" w:pos="19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Segment Operating Margin” is the total of our Terminals and Infrastructure Segment Operating Margin and Ships Segment Operating Margin. Our segment measure also excludes unrealized mark-to-market gains or losses on derivative instruments and certain contract acquisition costs.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that management believes to be useful for investors, please refer to the presentation posted on the Investors section of New Fortress Energy’s website, www.newfortressenergy.com, and the Company’s most recent Annual Report on Form 10-K, which is available on the Company’s website. Nothing on our website is included or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Conference Call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will host a conference call on Thursday, November 7, 2024 at 8:00 A.M. Eastern Time. The conference call may be accessed by dialing (888) 204-4368 (toll-free from within the U.S.) or +1-323-994-2093 (from outside of the U.S.) fifteen minutes prior to the scheduled start of the call; please reference “NFE Third-Quarter 2024 Earnings Call” or conference code 5050993.</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simultaneous webcast of the conference call will be available to the public on a listen-only basis at www.newfortressenergy.com under the Investors section within “Events &amp; Presentations.” Please allow time prior to the</w:t>
      </w:r>
    </w:p>
    <w:p>
      <w:pPr>
        <w:sectPr>
          <w:pgSz w:w="11900" w:h="16838" w:orient="portrait"/>
          <w:cols w:equalWidth="0" w:num="1">
            <w:col w:w="11240"/>
          </w:cols>
          <w:pgMar w:left="320" w:top="929" w:right="339" w:bottom="1440" w:gutter="0" w:footer="0" w:header="0"/>
        </w:sectPr>
      </w:pPr>
    </w:p>
    <w:bookmarkStart w:id="5" w:name="page6"/>
    <w:bookmarkEnd w:id="5"/>
    <w:p>
      <w:pPr>
        <w:ind w:right="80"/>
        <w:spacing w:after="0" w:line="282" w:lineRule="auto"/>
        <w:rPr>
          <w:sz w:val="20"/>
          <w:szCs w:val="20"/>
          <w:color w:val="auto"/>
        </w:rPr>
      </w:pPr>
      <w:r>
        <w:rPr>
          <w:rFonts w:ascii="Times New Roman" w:cs="Times New Roman" w:eastAsia="Times New Roman" w:hAnsi="Times New Roman"/>
          <w:sz w:val="18"/>
          <w:szCs w:val="18"/>
          <w:color w:val="auto"/>
        </w:rPr>
        <w:t>call to visit the site and download any necessary software required to listen to the internet broadcast. A replay of the conference call will be available at the same website location shortly after the conclusion of the live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New Fortress Energy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Fortress Energy Inc. (NASDAQ: NFE) is a global energy infrastructure company founded to help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Concerning Forward-Looking Statements</w:t>
      </w:r>
    </w:p>
    <w:p>
      <w:pPr>
        <w:spacing w:after="0" w:line="2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statements and information that may constitute “forward-looking statements” within the meaning of the Private Securities Litigation Reform Act of 1995. All statements contained in this press release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“can,” “could,” “should,” “predicts,” “intends,” “plans,” “estimates,” “anticipates,” “believes,” “schedules,” “progress,” “targets,” “budgets,” “outlook,” “trends,” “forecasts,” “projects,” “guidance,” “focus,” “on track,” “goals,” “objectives,” “strategies,” “opportunities,” “poised,” or the negative version of those words or other comparable words. Forward looking statements include: our expectation regarding our Illustrative Adjusted EBITDA Goals for 2024; our ability to successfully execute its refinancing transactions; our ability to explore with potential strategic partners financings, commercial ventures or asset sales for one or more of its primary businesses, including projects in Brazil, Puerto Rico, Jamaica, Mexico, Nicaragua and FLNG 1, and future strategic plans. These forward-looking statements are necessarily estimates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 to differ from those in the forward-looking statements include, but are not limited to: risks related to the development, construction, completion or commissioning schedule for the facilities; risks related to the operation and maintenance of our facilities and assets; failure of our third-party contractors, equipment manufacturers, suppliers and operators to perform their obligations for the development, construction and operation of our projects, vessels and assets; our ability to implement our business strategy; the risk that our proposed financing transactions may not be completed in a timely manner or at all, inability to successfully develop and implement our technological solutions, including our Fast LNG technology, or that we do not receive the benefits we expect from the Fast LNG technology; cyclical or other changes in the LNG and natural gas industries; competition in the energy industry; the receipt of permits, approvals and authorizations from governmental and regulatory agencies on a timely basis or at all; new or changes to existing governmental policies, laws, rules or regulations, or the administration thereof; failure to maintain sufficient working capital and to generate revenues, which could adversely affect our ability to fund our projects; adverse regional, national, or international economic conditions, adverse capital market conditions and adverse political developments; and the impact of public health crises, such as pandemics and epidemics and any related company or government policies and actions to protect the health and safety of individuals or government policies or actions to maintain the functioning of national or global economies and markets. These factors are not necessarily all of the important factors that could cause actual results to differ materially from those expressed in any of the Company’s forward-looking statements. Other known or unpredictable factors could also have material adverse effects on future results. Any forward-looking statement speaks only as of the date on which it is made, and we undertake no duty to update or revise any forward-looking statements, even though our situation may change in the future or we may become aware of new or updated information relating to such forward-looking statements. New factors emerge from time to time, and it is not possible for the Company to predict all such factors. When considering these forward-looking statements, you should keep in mind the risk factors and other cautionary statements included in New Fortress Energy Inc.’s annual and quarterly reports filed with the Securities and Exchange Commission, which could cause its actual results to differ materially from those contained in any forward-looking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ir@newfortressenergy.com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Media Relations: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Porritt</w:t>
      </w:r>
    </w:p>
    <w:p>
      <w:pPr>
        <w:sectPr>
          <w:pgSz w:w="11900" w:h="16838" w:orient="portrait"/>
          <w:cols w:equalWidth="0" w:num="1">
            <w:col w:w="11240"/>
          </w:cols>
          <w:pgMar w:left="320" w:top="11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press@newfortressenergy.com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(516) 268-7403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 New Fortress Energy Inc.</w:t>
      </w:r>
    </w:p>
    <w:p>
      <w:pPr>
        <w:sectPr>
          <w:pgSz w:w="11900" w:h="16838" w:orient="portrait"/>
          <w:cols w:equalWidth="0" w:num="1">
            <w:col w:w="10139"/>
          </w:cols>
          <w:pgMar w:left="320" w:top="93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Exhibits – Financial Statements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ind w:right="5260"/>
        <w:spacing w:after="0" w:line="273" w:lineRule="auto"/>
        <w:rPr>
          <w:sz w:val="20"/>
          <w:szCs w:val="20"/>
          <w:color w:val="auto"/>
        </w:rPr>
      </w:pPr>
      <w:r>
        <w:rPr>
          <w:rFonts w:ascii="Times New Roman" w:cs="Times New Roman" w:eastAsia="Times New Roman" w:hAnsi="Times New Roman"/>
          <w:sz w:val="17"/>
          <w:szCs w:val="17"/>
          <w:b w:val="1"/>
          <w:bCs w:val="1"/>
          <w:color w:val="auto"/>
        </w:rPr>
        <w:t>For the three months ended June 30, 2024 and September 30, 2024 (Unaudited, in thousands of U.S. dollars,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6"/>
        </w:trPr>
        <w:tc>
          <w:tcPr>
            <w:tcW w:w="7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446,048</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charter revenue</w:t>
            </w: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59,668</w:t>
            </w:r>
          </w:p>
        </w:tc>
      </w:tr>
      <w:tr>
        <w:trPr>
          <w:trHeight w:val="27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61,819</w:t>
            </w:r>
          </w:p>
        </w:tc>
      </w:tr>
      <w:tr>
        <w:trPr>
          <w:trHeight w:val="263"/>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428,006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567,535</w:t>
            </w:r>
          </w:p>
        </w:tc>
      </w:tr>
      <w:tr>
        <w:trPr>
          <w:trHeight w:val="243"/>
        </w:trPr>
        <w:tc>
          <w:tcPr>
            <w:tcW w:w="7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2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221,860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325,292</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32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32,062</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82,388</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2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35,364</w:t>
            </w:r>
          </w:p>
        </w:tc>
      </w:tr>
      <w:tr>
        <w:trPr>
          <w:trHeight w:val="27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3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64"/>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383,678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487,998</w:t>
            </w:r>
          </w:p>
        </w:tc>
      </w:tr>
      <w:tr>
        <w:trPr>
          <w:trHeight w:val="256"/>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79,537</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71,107</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r>
      <w:tr>
        <w:trPr>
          <w:trHeight w:val="243"/>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(loss) before income from equity method investments and income taxes</w:t>
            </w: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w:t>
            </w:r>
          </w:p>
        </w:tc>
      </w:tr>
      <w:tr>
        <w:trPr>
          <w:trHeight w:val="283"/>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32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37"/>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r>
      <w:tr>
        <w:trPr>
          <w:trHeight w:val="25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5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(loss) attributable to stockholders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(88,854)</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9"/>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82"/>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2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205,070,756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205,071,771</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205,851,364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208,880,044</w:t>
            </w:r>
          </w:p>
        </w:tc>
      </w:tr>
      <w:tr>
        <w:trPr>
          <w:trHeight w:val="20"/>
        </w:trPr>
        <w:tc>
          <w:tcPr>
            <w:tcW w:w="7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is not a measurement of financial performance under GAAP and should not be considered in isolation or as an alternative to income from operations, net income,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our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calculate Adjusted EBITDA as net income,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transaction and integration costs, contract termination charges and loss on mitigations sales, depreciation and amortization, asset impairment expense, loss on asset sales,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certain non-capitalizable contract acquisition costs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our pro rata share of Adjusted EBITDA from certain unconsolidated entities,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impact of equity in earnings (losses) of certain unconsolidated entities.</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is mathematically equivalent to our Total Segment Operating Margin, as reported in the segment disclosures within our financial statements, minus Core SG&amp;A, including our pro rata share of such expenses of certain unconsolidated entities, minus deferred earnings for which a prepayment was received.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and diluted earnings per share attributable to New Fortress Energy, which are determined in accordance with GAAP.</w:t>
      </w:r>
    </w:p>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income (loss) to Adjusted EBITDA for the three months ended September 30, 2023, June 30, 2024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80" w:type="dxa"/>
            <w:vAlign w:val="bottom"/>
          </w:tcPr>
          <w:p>
            <w:pPr>
              <w:spacing w:after="0"/>
              <w:rPr>
                <w:sz w:val="17"/>
                <w:szCs w:val="17"/>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03"/>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7"/>
                <w:szCs w:val="17"/>
                <w:color w:val="auto"/>
              </w:rPr>
            </w:pPr>
          </w:p>
        </w:tc>
        <w:tc>
          <w:tcPr>
            <w:tcW w:w="15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7"/>
                <w:szCs w:val="17"/>
                <w:color w:val="auto"/>
              </w:rPr>
            </w:pPr>
          </w:p>
        </w:tc>
        <w:tc>
          <w:tcPr>
            <w:tcW w:w="142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72"/>
        </w:trPr>
        <w:tc>
          <w:tcPr>
            <w:tcW w:w="62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160" w:type="dxa"/>
            <w:vAlign w:val="bottom"/>
          </w:tcPr>
          <w:p>
            <w:pPr>
              <w:spacing w:after="0"/>
              <w:rPr>
                <w:sz w:val="23"/>
                <w:szCs w:val="2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r>
      <w:tr>
        <w:trPr>
          <w:trHeight w:val="257"/>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Margin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249,687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248,351</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219,654</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Core SG&amp;A (see definition above)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25,723</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earnings from contracted sales</w:t>
            </w: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Revenue recognized from deferred earnings from cargo sales</w:t>
            </w:r>
          </w:p>
        </w:tc>
        <w:tc>
          <w:tcPr>
            <w:tcW w:w="18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(42,273)</w:t>
            </w:r>
          </w:p>
        </w:tc>
      </w:tr>
      <w:tr>
        <w:trPr>
          <w:trHeight w:val="257"/>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208,398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120,161</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176,204</w:t>
            </w:r>
          </w:p>
        </w:tc>
      </w:tr>
      <w:tr>
        <w:trPr>
          <w:trHeight w:val="256"/>
        </w:trPr>
        <w:tc>
          <w:tcPr>
            <w:tcW w:w="6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6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(86,860)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11,313</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Interest expense</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71,107</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Tax provision</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35,364</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Asset impairment expense</w:t>
            </w:r>
          </w:p>
        </w:tc>
        <w:tc>
          <w:tcPr>
            <w:tcW w:w="18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SG&amp;A items excluded from Core SG&amp;A (see definition above)</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56,665</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Transaction and integration costs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Other (income) expense, net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r>
      <w:tr>
        <w:trPr>
          <w:trHeight w:val="211"/>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Changes in fair value of non-hedge derivative instruments and contingent</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1"/>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consideration</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(Income) from equity method investments</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208,398</w:t>
            </w: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120,161</w:t>
            </w: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176,204</w:t>
            </w:r>
          </w:p>
        </w:tc>
      </w:tr>
    </w:tbl>
    <w:p>
      <w:pPr>
        <w:sectPr>
          <w:pgSz w:w="11900" w:h="16838" w:orient="portrait"/>
          <w:cols w:equalWidth="0" w:num="1">
            <w:col w:w="11240"/>
          </w:cols>
          <w:pgMar w:left="320" w:top="93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Segment Operating Margin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3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adjusted for selling, general and administrative expense, transaction and integration costs, contract termination charges and loss on mitigation sales, depreciation and amortization, asset impairment expense, loss on asset sales, interest expense, other (income) expense, loss on extinguishment of debt, net, (income) loss from equity method investments and tax (benefit) provision. Consolidated Segment Operating Margin is mathematically equivalent to Revenue minus Cost of sales minus Operations and maintenance minus Vessel operating expenses, each as reported in our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860" w:type="dxa"/>
            <w:vAlign w:val="bottom"/>
          </w:tcPr>
          <w:p>
            <w:pPr>
              <w:spacing w:after="0"/>
              <w:rPr>
                <w:sz w:val="24"/>
                <w:szCs w:val="24"/>
                <w:color w:val="auto"/>
              </w:rPr>
            </w:pPr>
          </w:p>
        </w:tc>
        <w:tc>
          <w:tcPr>
            <w:tcW w:w="14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Terminals and</w:t>
            </w:r>
          </w:p>
        </w:tc>
        <w:tc>
          <w:tcPr>
            <w:tcW w:w="300" w:type="dxa"/>
            <w:vAlign w:val="bottom"/>
          </w:tcPr>
          <w:p>
            <w:pPr>
              <w:spacing w:after="0"/>
              <w:rPr>
                <w:sz w:val="24"/>
                <w:szCs w:val="24"/>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4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2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2"/>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Infrastructure </w:t>
            </w:r>
            <w:r>
              <w:rPr>
                <w:rFonts w:ascii="Times New Roman" w:cs="Times New Roman" w:eastAsia="Times New Roman" w:hAnsi="Times New Roman"/>
                <w:sz w:val="20"/>
                <w:szCs w:val="20"/>
                <w:b w:val="1"/>
                <w:bCs w:val="1"/>
                <w:color w:val="auto"/>
                <w:vertAlign w:val="superscript"/>
              </w:rPr>
              <w:t>(1)</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70"/>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184,846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34,808</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219,654</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201,927</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82,388</w:t>
            </w:r>
          </w:p>
        </w:tc>
        <w:tc>
          <w:tcPr>
            <w:tcW w:w="0" w:type="dxa"/>
            <w:vAlign w:val="bottom"/>
          </w:tcPr>
          <w:p>
            <w:pPr>
              <w:spacing w:after="0"/>
              <w:rPr>
                <w:sz w:val="1"/>
                <w:szCs w:val="1"/>
                <w:color w:val="auto"/>
              </w:rPr>
            </w:pPr>
          </w:p>
        </w:tc>
      </w:tr>
      <w:tr>
        <w:trPr>
          <w:trHeight w:val="25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35,364</w:t>
            </w:r>
          </w:p>
        </w:tc>
        <w:tc>
          <w:tcPr>
            <w:tcW w:w="0" w:type="dxa"/>
            <w:vAlign w:val="bottom"/>
          </w:tcPr>
          <w:p>
            <w:pPr>
              <w:spacing w:after="0"/>
              <w:rPr>
                <w:sz w:val="1"/>
                <w:szCs w:val="1"/>
                <w:color w:val="auto"/>
              </w:rPr>
            </w:pPr>
          </w:p>
        </w:tc>
      </w:tr>
      <w:tr>
        <w:trPr>
          <w:trHeight w:val="25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8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71,107</w:t>
            </w:r>
          </w:p>
        </w:tc>
        <w:tc>
          <w:tcPr>
            <w:tcW w:w="0" w:type="dxa"/>
            <w:vAlign w:val="bottom"/>
          </w:tcPr>
          <w:p>
            <w:pPr>
              <w:spacing w:after="0"/>
              <w:rPr>
                <w:sz w:val="1"/>
                <w:szCs w:val="1"/>
                <w:color w:val="auto"/>
              </w:rPr>
            </w:pPr>
          </w:p>
        </w:tc>
      </w:tr>
      <w:tr>
        <w:trPr>
          <w:trHeight w:val="25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8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0" w:type="dxa"/>
            <w:vAlign w:val="bottom"/>
          </w:tcPr>
          <w:p>
            <w:pPr>
              <w:spacing w:after="0"/>
              <w:rPr>
                <w:sz w:val="1"/>
                <w:szCs w:val="1"/>
                <w:color w:val="auto"/>
              </w:rPr>
            </w:pPr>
          </w:p>
        </w:tc>
      </w:tr>
      <w:tr>
        <w:trPr>
          <w:trHeight w:val="884"/>
        </w:trPr>
        <w:tc>
          <w:tcPr>
            <w:tcW w:w="3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80" w:type="dxa"/>
            <w:vAlign w:val="bottom"/>
          </w:tcPr>
          <w:p>
            <w:pPr>
              <w:jc w:val="center"/>
              <w:ind w:right="92"/>
              <w:spacing w:after="0" w:line="189" w:lineRule="exact"/>
              <w:rPr>
                <w:sz w:val="20"/>
                <w:szCs w:val="20"/>
                <w:color w:val="auto"/>
              </w:rPr>
            </w:pPr>
            <w:r>
              <w:rPr>
                <w:rFonts w:ascii="Times New Roman" w:cs="Times New Roman" w:eastAsia="Times New Roman" w:hAnsi="Times New Roman"/>
                <w:sz w:val="18"/>
                <w:szCs w:val="18"/>
                <w:b w:val="1"/>
                <w:bCs w:val="1"/>
                <w:color w:val="auto"/>
                <w:w w:val="97"/>
              </w:rPr>
              <w:t>Terminals and</w:t>
            </w:r>
          </w:p>
        </w:tc>
        <w:tc>
          <w:tcPr>
            <w:tcW w:w="300" w:type="dxa"/>
            <w:vAlign w:val="bottom"/>
          </w:tcPr>
          <w:p>
            <w:pPr>
              <w:spacing w:after="0"/>
              <w:rPr>
                <w:sz w:val="16"/>
                <w:szCs w:val="16"/>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5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Consolidation and</w:t>
            </w:r>
          </w:p>
        </w:tc>
        <w:tc>
          <w:tcPr>
            <w:tcW w:w="240" w:type="dxa"/>
            <w:vAlign w:val="bottom"/>
          </w:tcPr>
          <w:p>
            <w:pPr>
              <w:spacing w:after="0"/>
              <w:rPr>
                <w:sz w:val="16"/>
                <w:szCs w:val="16"/>
                <w:color w:val="auto"/>
              </w:rPr>
            </w:pPr>
          </w:p>
        </w:tc>
        <w:tc>
          <w:tcPr>
            <w:tcW w:w="13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90"/>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 xml:space="preserve">Infrastructure </w:t>
            </w:r>
            <w:r>
              <w:rPr>
                <w:rFonts w:ascii="Times New Roman" w:cs="Times New Roman" w:eastAsia="Times New Roman" w:hAnsi="Times New Roman"/>
                <w:sz w:val="23"/>
                <w:szCs w:val="23"/>
                <w:b w:val="1"/>
                <w:bCs w:val="1"/>
                <w:color w:val="auto"/>
                <w:w w:val="97"/>
                <w:vertAlign w:val="superscript"/>
              </w:rPr>
              <w:t>(1)</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gridSpan w:val="2"/>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0"/>
              <w:spacing w:after="0" w:line="207" w:lineRule="exact"/>
              <w:rPr>
                <w:sz w:val="20"/>
                <w:szCs w:val="20"/>
                <w:color w:val="auto"/>
              </w:rPr>
            </w:pPr>
            <w:r>
              <w:rPr>
                <w:rFonts w:ascii="Times New Roman" w:cs="Times New Roman" w:eastAsia="Times New Roman" w:hAnsi="Times New Roman"/>
                <w:sz w:val="18"/>
                <w:szCs w:val="18"/>
                <w:b w:val="1"/>
                <w:bCs w:val="1"/>
                <w:color w:val="auto"/>
              </w:rPr>
              <w:t>Other</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214,276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34,075</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248,351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158,351</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70,578</w:t>
            </w:r>
          </w:p>
        </w:tc>
        <w:tc>
          <w:tcPr>
            <w:tcW w:w="0" w:type="dxa"/>
            <w:vAlign w:val="bottom"/>
          </w:tcPr>
          <w:p>
            <w:pPr>
              <w:spacing w:after="0"/>
              <w:rPr>
                <w:sz w:val="1"/>
                <w:szCs w:val="1"/>
                <w:color w:val="auto"/>
              </w:rPr>
            </w:pPr>
          </w:p>
        </w:tc>
      </w:tr>
      <w:tr>
        <w:trPr>
          <w:trHeight w:val="25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5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37,413</w:t>
            </w:r>
          </w:p>
        </w:tc>
        <w:tc>
          <w:tcPr>
            <w:tcW w:w="0" w:type="dxa"/>
            <w:vAlign w:val="bottom"/>
          </w:tcPr>
          <w:p>
            <w:pPr>
              <w:spacing w:after="0"/>
              <w:rPr>
                <w:sz w:val="1"/>
                <w:szCs w:val="1"/>
                <w:color w:val="auto"/>
              </w:rPr>
            </w:pPr>
          </w:p>
        </w:tc>
      </w:tr>
      <w:tr>
        <w:trPr>
          <w:trHeight w:val="25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80,399</w:t>
            </w:r>
          </w:p>
        </w:tc>
        <w:tc>
          <w:tcPr>
            <w:tcW w:w="0" w:type="dxa"/>
            <w:vAlign w:val="bottom"/>
          </w:tcPr>
          <w:p>
            <w:pPr>
              <w:spacing w:after="0"/>
              <w:rPr>
                <w:sz w:val="1"/>
                <w:szCs w:val="1"/>
                <w:color w:val="auto"/>
              </w:rPr>
            </w:pPr>
          </w:p>
        </w:tc>
      </w:tr>
      <w:tr>
        <w:trPr>
          <w:trHeight w:val="25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8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0" w:type="dxa"/>
            <w:vAlign w:val="bottom"/>
          </w:tcPr>
          <w:p>
            <w:pPr>
              <w:spacing w:after="0"/>
              <w:rPr>
                <w:sz w:val="1"/>
                <w:szCs w:val="1"/>
                <w:color w:val="auto"/>
              </w:rPr>
            </w:pPr>
          </w:p>
        </w:tc>
      </w:tr>
      <w:tr>
        <w:trPr>
          <w:trHeight w:val="25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8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-4320540</wp:posOffset>
            </wp:positionV>
            <wp:extent cx="106045" cy="86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-1800225</wp:posOffset>
            </wp:positionV>
            <wp:extent cx="106045" cy="86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99" w:lineRule="exact"/>
        <w:rPr>
          <w:sz w:val="20"/>
          <w:szCs w:val="20"/>
          <w:color w:val="auto"/>
        </w:rPr>
      </w:pPr>
    </w:p>
    <w:p>
      <w:pPr>
        <w:ind w:left="340" w:right="20" w:hanging="332"/>
        <w:spacing w:after="0" w:line="250" w:lineRule="auto"/>
        <w:tabs>
          <w:tab w:leader="none" w:pos="328" w:val="left"/>
        </w:tabs>
        <w:numPr>
          <w:ilvl w:val="0"/>
          <w:numId w:val="7"/>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Terminals and Infrastructure includes deferred earnings from contracted sales that were contracted in the current period, and prepayment for these sales was received. Revenue will be recognized in the Condensed Consolidated Statements of Operations and Comprehensive Income (Loss) when delivery under these forward sales transactions is completed in from the fourth quarter of 2024 through 2025. Consolidation and Other adjusts for the inclusion of deferred earnings from contracted sales in Total Segment Operating Margin of $60,000 and $90,000 for the three months ended September 30, 2024 and June 30, 2024, respectively. A portion of these deferred earnings of $42,273 were recognized upon delivery during the third quarter of 2024.</w:t>
      </w:r>
    </w:p>
    <w:p>
      <w:pPr>
        <w:sectPr>
          <w:pgSz w:w="11900" w:h="16838" w:orient="portrait"/>
          <w:cols w:equalWidth="0" w:num="1">
            <w:col w:w="11240"/>
          </w:cols>
          <w:pgMar w:left="320" w:top="92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20" w:type="dxa"/>
            <w:vAlign w:val="bottom"/>
          </w:tcPr>
          <w:p>
            <w:pPr>
              <w:spacing w:after="0"/>
              <w:rPr>
                <w:sz w:val="24"/>
                <w:szCs w:val="24"/>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Terminals and</w:t>
            </w:r>
          </w:p>
        </w:tc>
        <w:tc>
          <w:tcPr>
            <w:tcW w:w="32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2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Infrastructure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194,743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54,944</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249,687</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250,110</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49,107</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48,670</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64,822</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70"/>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25,194</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-1808480</wp:posOffset>
            </wp:positionV>
            <wp:extent cx="106045" cy="86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5779770</wp:posOffset>
            </wp:positionH>
            <wp:positionV relativeFrom="paragraph">
              <wp:posOffset>-1808480</wp:posOffset>
            </wp:positionV>
            <wp:extent cx="106045" cy="86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83"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Consolidation and Other also adjusts for the exclusion of unrealized mark-to-market gains or losses on derivative instruments in our segment measure.</w:t>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Earnings per Share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3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reconciliation between net income attributable to stockholders and earnings per share adjusted for non-cash impairment charges and losses on disposals of assets.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00" w:type="dxa"/>
            <w:vAlign w:val="bottom"/>
          </w:tcPr>
          <w:p>
            <w:pPr>
              <w:spacing w:after="0"/>
              <w:rPr>
                <w:sz w:val="17"/>
                <w:szCs w:val="17"/>
                <w:color w:val="auto"/>
              </w:rPr>
            </w:pP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100" w:type="dxa"/>
            <w:vAlign w:val="bottom"/>
          </w:tcPr>
          <w:p>
            <w:pPr>
              <w:spacing w:after="0"/>
              <w:rPr>
                <w:sz w:val="20"/>
                <w:szCs w:val="20"/>
                <w:color w:val="auto"/>
              </w:rPr>
            </w:pPr>
          </w:p>
        </w:tc>
        <w:tc>
          <w:tcPr>
            <w:tcW w:w="21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5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61,221</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w:t>
            </w: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impairment charges, net of tax</w:t>
            </w:r>
          </w:p>
        </w:tc>
        <w:tc>
          <w:tcPr>
            <w:tcW w:w="220" w:type="dxa"/>
            <w:vAlign w:val="bottom"/>
          </w:tcPr>
          <w:p>
            <w:pPr>
              <w:spacing w:after="0"/>
              <w:rPr>
                <w:sz w:val="22"/>
                <w:szCs w:val="22"/>
                <w:color w:val="auto"/>
              </w:rPr>
            </w:pP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assets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10,783</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37"/>
        </w:trPr>
        <w:tc>
          <w:tcPr>
            <w:tcW w:w="4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205,032,928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205,851,364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208,880,044</w:t>
            </w:r>
          </w:p>
        </w:tc>
      </w:tr>
      <w:tr>
        <w:trPr>
          <w:trHeight w:val="270"/>
        </w:trPr>
        <w:tc>
          <w:tcPr>
            <w:tcW w:w="4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4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0" w:lineRule="exact"/>
        <w:rPr>
          <w:sz w:val="20"/>
          <w:szCs w:val="20"/>
          <w:color w:val="auto"/>
        </w:rPr>
      </w:pPr>
    </w:p>
    <w:p>
      <w:pPr>
        <w:ind w:right="5260"/>
        <w:spacing w:after="0" w:line="288" w:lineRule="auto"/>
        <w:rPr>
          <w:sz w:val="20"/>
          <w:szCs w:val="20"/>
          <w:color w:val="auto"/>
        </w:rPr>
      </w:pPr>
      <w:r>
        <w:rPr>
          <w:rFonts w:ascii="Times New Roman" w:cs="Times New Roman" w:eastAsia="Times New Roman" w:hAnsi="Times New Roman"/>
          <w:sz w:val="17"/>
          <w:szCs w:val="17"/>
          <w:b w:val="1"/>
          <w:bCs w:val="1"/>
          <w:color w:val="auto"/>
        </w:rPr>
        <w:t>For the three and nine months ended September 30, 2024 and 2023 (Unaudited, in thousands of U.S. dollars,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0"/>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1,346,774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1,417,175</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charter revenue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209,651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567,535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1,685,862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1,654,938</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sales (exclusive of depreciation and amortization</w:t>
            </w: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shown separately below)</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776,269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602,626</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121,187</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125,160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487,998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1,377,493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1,047,155</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607,783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200,891</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462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b w:val="1"/>
                <w:bCs w:val="1"/>
                <w:color w:val="auto"/>
              </w:rPr>
              <w:t>Income before income from equity method investments</w:t>
            </w:r>
          </w:p>
        </w:tc>
        <w:tc>
          <w:tcPr>
            <w:tcW w:w="3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income taxes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390,742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12,738</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69,476</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334,004</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attributable to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330,675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205,071,771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205,032,928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205,068,178</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206,249,474</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208,880,044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205,032,928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206,836,683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206,804,833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2024-11-07T06:41:52Z</dcterms:created>
  <dcterms:modified xsi:type="dcterms:W3CDTF">2024-11-07T06:41:52Z</dcterms:modified>
</cp:coreProperties>
</file>