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New Fortress Energy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644393100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644393100</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BlackRock,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27,598,485.00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27,907,624.00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27,907,624.00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9900"/>
          </w:cols>
          <w:pgMar w:left="360" w:top="166" w:right="51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New Fortress Energy Inc.</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111 W. 19TH STREET, 8TH FLOOR NEW YORK NY 10011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BlackRock, Inc. In accordance with SEC Release No. 34-39538 (January 12, 1998), this Schedule 13G reflects the</w:t>
      </w:r>
    </w:p>
    <w:p>
      <w:pPr>
        <w:spacing w:after="0" w:line="26" w:lineRule="exact"/>
        <w:rPr>
          <w:sz w:val="20"/>
          <w:szCs w:val="20"/>
          <w:color w:val="auto"/>
        </w:rPr>
      </w:pPr>
    </w:p>
    <w:p>
      <w:pPr>
        <w:ind w:left="940" w:hanging="932"/>
        <w:spacing w:after="0" w:line="234" w:lineRule="auto"/>
        <w:tabs>
          <w:tab w:leader="none" w:pos="9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p>
      <w:pPr>
        <w:spacing w:after="0" w:line="1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BlackRock, Inc., 50 Hudson Yards New York, NY 10001</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40"/>
        <w:spacing w:after="0"/>
        <w:rPr>
          <w:sz w:val="20"/>
          <w:szCs w:val="20"/>
          <w:color w:val="auto"/>
        </w:rPr>
      </w:pPr>
      <w:r>
        <w:rPr>
          <w:rFonts w:ascii="Times New Roman" w:cs="Times New Roman" w:eastAsia="Times New Roman" w:hAnsi="Times New Roman"/>
          <w:sz w:val="22"/>
          <w:szCs w:val="22"/>
          <w:color w:val="auto"/>
        </w:rPr>
        <w:t>See Item 4 of Cover Page</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40"/>
        <w:spacing w:after="0"/>
        <w:rPr>
          <w:sz w:val="20"/>
          <w:szCs w:val="20"/>
          <w:color w:val="auto"/>
        </w:rPr>
      </w:pPr>
      <w:r>
        <w:rPr>
          <w:rFonts w:ascii="Times New Roman" w:cs="Times New Roman" w:eastAsia="Times New Roman" w:hAnsi="Times New Roman"/>
          <w:sz w:val="22"/>
          <w:szCs w:val="22"/>
          <w:color w:val="auto"/>
        </w:rPr>
        <w:t>Class A Stock</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jc w:val="right"/>
        <w:ind w:right="9100"/>
        <w:spacing w:after="0"/>
        <w:rPr>
          <w:sz w:val="20"/>
          <w:szCs w:val="20"/>
          <w:color w:val="auto"/>
        </w:rPr>
      </w:pPr>
      <w:r>
        <w:rPr>
          <w:rFonts w:ascii="Times New Roman" w:cs="Times New Roman" w:eastAsia="Times New Roman" w:hAnsi="Times New Roman"/>
          <w:sz w:val="22"/>
          <w:szCs w:val="22"/>
          <w:color w:val="auto"/>
        </w:rPr>
        <w:t>644393100</w:t>
      </w:r>
    </w:p>
    <w:p>
      <w:pPr>
        <w:spacing w:after="0" w:line="20" w:lineRule="exact"/>
        <w:rPr>
          <w:sz w:val="20"/>
          <w:szCs w:val="20"/>
          <w:color w:val="auto"/>
        </w:rPr>
      </w:pPr>
    </w:p>
    <w:p>
      <w:pPr>
        <w:jc w:val="right"/>
        <w:ind w:right="9140"/>
        <w:spacing w:after="0"/>
        <w:tabs>
          <w:tab w:leader="none" w:pos="1006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27907624</w:t>
      </w:r>
    </w:p>
    <w:p>
      <w:pPr>
        <w:spacing w:after="0" w:line="20" w:lineRule="exact"/>
        <w:rPr>
          <w:sz w:val="20"/>
          <w:szCs w:val="20"/>
          <w:color w:val="auto"/>
        </w:rPr>
      </w:pPr>
    </w:p>
    <w:p>
      <w:pPr>
        <w:ind w:left="940" w:hanging="932"/>
        <w:spacing w:after="0"/>
        <w:tabs>
          <w:tab w:leader="none" w:pos="9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ectPr>
          <w:pgSz w:w="11900" w:h="16838" w:orient="portrait"/>
          <w:cols w:equalWidth="0" w:num="1">
            <w:col w:w="11020"/>
          </w:cols>
          <w:pgMar w:left="360" w:top="166" w:right="519" w:bottom="0" w:gutter="0" w:footer="0" w:header="0"/>
          <w:type w:val="continuous"/>
        </w:sectPr>
      </w:pPr>
    </w:p>
    <w:bookmarkStart w:id="2" w:name="page3"/>
    <w:bookmarkEnd w:id="2"/>
    <w:p>
      <w:pPr>
        <w:ind w:left="940"/>
        <w:spacing w:after="0"/>
        <w:rPr>
          <w:sz w:val="20"/>
          <w:szCs w:val="20"/>
          <w:color w:val="auto"/>
        </w:rPr>
      </w:pPr>
      <w:r>
        <w:rPr>
          <w:rFonts w:ascii="Times New Roman" w:cs="Times New Roman" w:eastAsia="Times New Roman" w:hAnsi="Times New Roman"/>
          <w:sz w:val="22"/>
          <w:szCs w:val="22"/>
          <w:color w:val="auto"/>
        </w:rPr>
        <w:t>9.8 %</w:t>
      </w:r>
    </w:p>
    <w:p>
      <w:pPr>
        <w:spacing w:after="0" w:line="45" w:lineRule="exact"/>
        <w:rPr>
          <w:sz w:val="20"/>
          <w:szCs w:val="20"/>
          <w:color w:val="auto"/>
        </w:rPr>
      </w:pPr>
    </w:p>
    <w:p>
      <w:pPr>
        <w:ind w:left="940" w:hanging="932"/>
        <w:spacing w:after="0"/>
        <w:tabs>
          <w:tab w:leader="none" w:pos="94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ectPr>
          <w:pgSz w:w="11900" w:h="16838" w:orient="portrait"/>
          <w:cols w:equalWidth="0" w:num="1">
            <w:col w:w="11160"/>
          </w:cols>
          <w:pgMar w:left="360" w:top="111" w:right="3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ind w:right="6540"/>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27598485</w:t>
      </w:r>
    </w:p>
    <w:p>
      <w:pPr>
        <w:spacing w:after="0" w:line="1" w:lineRule="exact"/>
        <w:rPr>
          <w:rFonts w:ascii="Times New Roman" w:cs="Times New Roman" w:eastAsia="Times New Roman" w:hAnsi="Times New Roman"/>
          <w:sz w:val="22"/>
          <w:szCs w:val="22"/>
          <w:color w:val="auto"/>
        </w:rPr>
      </w:pPr>
    </w:p>
    <w:p>
      <w:pPr>
        <w:ind w:left="320" w:hanging="320"/>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27907624</w:t>
      </w:r>
    </w:p>
    <w:p>
      <w:pPr>
        <w:spacing w:after="0" w:line="1" w:lineRule="exact"/>
        <w:rPr>
          <w:rFonts w:ascii="Times New Roman" w:cs="Times New Roman" w:eastAsia="Times New Roman" w:hAnsi="Times New Roman"/>
          <w:sz w:val="22"/>
          <w:szCs w:val="22"/>
          <w:color w:val="auto"/>
        </w:rPr>
      </w:pPr>
    </w:p>
    <w:p>
      <w:pPr>
        <w:ind w:left="360" w:hanging="360"/>
        <w:spacing w:after="0"/>
        <w:tabs>
          <w:tab w:leader="none" w:pos="3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22"/>
          <w:szCs w:val="22"/>
          <w:color w:val="auto"/>
        </w:rPr>
        <w:t>The interest of 1 such person, iShares U.S. Infrastructure ETF, in the common stock of New Fortress Energy Inc. is more than five percent of the total outstanding common stock.</w:t>
      </w: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20"/>
            <w:col w:w="10220"/>
          </w:cols>
          <w:pgMar w:left="360" w:top="111" w:right="379" w:bottom="0" w:gutter="0" w:footer="0" w:header="0"/>
          <w:type w:val="continuous"/>
        </w:sectPr>
      </w:pPr>
    </w:p>
    <w:p>
      <w:pPr>
        <w:spacing w:after="0" w:line="25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See Exhibit 99</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6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BlackRock, Inc.</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Spencer Fleming</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01/21/2026</w:t>
      </w:r>
    </w:p>
    <w:p>
      <w:pPr>
        <w:spacing w:after="0" w:line="108"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ectPr>
          <w:pgSz w:w="11900" w:h="16838" w:orient="portrait"/>
          <w:cols w:equalWidth="0" w:num="1">
            <w:col w:w="11160"/>
          </w:cols>
          <w:pgMar w:left="360" w:top="111" w:right="379"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1"/>
          <w:szCs w:val="21"/>
          <w:color w:val="auto"/>
        </w:rPr>
        <w:t>Exhibit 24: Power of Attorney Exhibit 99: Item 7</w:t>
      </w:r>
    </w:p>
    <w:p>
      <w:pPr>
        <w:sectPr>
          <w:pgSz w:w="11900" w:h="16838" w:orient="portrait"/>
          <w:cols w:equalWidth="0" w:num="1">
            <w:col w:w="10099"/>
          </w:cols>
          <w:pgMar w:left="360" w:top="112"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jc w:val="both"/>
        <w:ind w:right="2439"/>
        <w:spacing w:after="0" w:line="282"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Eric Andruczyk, Richard Cundiff,</w:t>
      </w:r>
    </w:p>
    <w:p>
      <w:pPr>
        <w:spacing w:after="0" w:line="1" w:lineRule="exact"/>
        <w:rPr>
          <w:sz w:val="20"/>
          <w:szCs w:val="20"/>
          <w:color w:val="auto"/>
        </w:rPr>
      </w:pPr>
    </w:p>
    <w:p>
      <w:pPr>
        <w:ind w:right="2239"/>
        <w:spacing w:after="0" w:line="241" w:lineRule="auto"/>
        <w:rPr>
          <w:sz w:val="20"/>
          <w:szCs w:val="20"/>
          <w:color w:val="auto"/>
        </w:rPr>
      </w:pPr>
      <w:r>
        <w:rPr>
          <w:rFonts w:ascii="Courier New" w:cs="Courier New" w:eastAsia="Courier New" w:hAnsi="Courier New"/>
          <w:sz w:val="18"/>
          <w:szCs w:val="18"/>
          <w:color w:val="auto"/>
        </w:rPr>
        <w:t>R. Andrew Dickson, III, Spencer Fleming, Laura Hildner, David Maryles, Christopher Meade, Charles Park, James Raby, Daniel Riemer, David Rothenberg and Brenda Schulz, acting severally, as its true and lawful attorneys-in-fact, for the purpose of, from time to time, executing, in its name and on its behalf and on behalf of its direct and indirect subsidiaries and affiliates, any and all documents, certificates, instruments, statements, filings, agreements and amendments (collectively, "documents") determined by such person to be necessary or appropriate to comply with ownership or control-person reporting requirements imposed by any United States or non-United States governmental or regulatory authority, including, without limitation, Schedules 13D and 13G and Forms 3, 4, 5, 13F, 13H, SHO and N-PX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12" w:lineRule="exact"/>
        <w:rPr>
          <w:sz w:val="20"/>
          <w:szCs w:val="20"/>
          <w:color w:val="auto"/>
        </w:rPr>
      </w:pPr>
    </w:p>
    <w:p>
      <w:pPr>
        <w:ind w:right="243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April, 2023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21st day of January, 2025.</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11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Item 7</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6"/>
          <w:szCs w:val="16"/>
          <w:color w:val="auto"/>
        </w:rPr>
        <w:t>BlackRock Institutional Trust Company, National Association</w:t>
      </w:r>
    </w:p>
    <w:p>
      <w:pPr>
        <w:spacing w:after="0" w:line="2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Fund Managers Ltd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2"/>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2026-01-21T11:34:55Z</dcterms:created>
  <dcterms:modified xsi:type="dcterms:W3CDTF">2026-01-21T11:34:55Z</dcterms:modified>
</cp:coreProperties>
</file>