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1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CURRENT REPORT</w:t>
      </w: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7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June 18, 2025</w:t>
      </w:r>
    </w:p>
    <w:p>
      <w:pPr>
        <w:spacing w:after="0" w:line="16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4"/>
          <w:szCs w:val="34"/>
          <w:b w:val="1"/>
          <w:bCs w:val="1"/>
          <w:color w:val="auto"/>
        </w:rPr>
        <w:t>New Fortress Energy Inc.</w:t>
      </w:r>
    </w:p>
    <w:p>
      <w:pPr>
        <w:spacing w:after="0" w:line="4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060"/>
          </w:cols>
          <w:pgMar w:left="300" w:top="839" w:right="539" w:bottom="1440" w:gutter="0" w:footer="0" w:header="0"/>
        </w:sectPr>
      </w:pPr>
    </w:p>
    <w:p>
      <w:pPr>
        <w:spacing w:after="0" w:line="214"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3"/>
          <w:szCs w:val="13"/>
          <w:b w:val="1"/>
          <w:bCs w:val="1"/>
          <w:color w:val="auto"/>
        </w:rPr>
        <w:t>001-38790</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83-1482060</w:t>
      </w:r>
    </w:p>
    <w:p>
      <w:pPr>
        <w:spacing w:after="0" w:line="40" w:lineRule="exact"/>
        <w:rPr>
          <w:sz w:val="24"/>
          <w:szCs w:val="24"/>
          <w:color w:val="auto"/>
        </w:rPr>
      </w:pPr>
    </w:p>
    <w:p>
      <w:pPr>
        <w:sectPr>
          <w:pgSz w:w="11900" w:h="16838" w:orient="portrait"/>
          <w:cols w:equalWidth="0" w:num="3">
            <w:col w:w="4740" w:space="720"/>
            <w:col w:w="2800" w:space="720"/>
            <w:col w:w="2080"/>
          </w:cols>
          <w:pgMar w:left="300" w:top="839" w:right="539" w:bottom="1440" w:gutter="0" w:footer="0" w:header="0"/>
          <w:type w:val="continuous"/>
        </w:sectPr>
      </w:pPr>
    </w:p>
    <w:p>
      <w:pPr>
        <w:ind w:left="1060"/>
        <w:spacing w:after="0"/>
        <w:rPr>
          <w:sz w:val="20"/>
          <w:szCs w:val="20"/>
          <w:color w:val="auto"/>
        </w:rPr>
      </w:pPr>
      <w:r>
        <w:rPr>
          <w:rFonts w:ascii="Times New Roman" w:cs="Times New Roman" w:eastAsia="Times New Roman" w:hAnsi="Times New Roman"/>
          <w:sz w:val="11"/>
          <w:szCs w:val="1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44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(IRS Employer Identification No.)</w:t>
      </w:r>
    </w:p>
    <w:p>
      <w:pPr>
        <w:spacing w:after="0" w:line="200" w:lineRule="exact"/>
        <w:rPr>
          <w:sz w:val="24"/>
          <w:szCs w:val="24"/>
          <w:color w:val="auto"/>
        </w:rPr>
      </w:pPr>
    </w:p>
    <w:p>
      <w:pPr>
        <w:sectPr>
          <w:pgSz w:w="11900" w:h="16838" w:orient="portrait"/>
          <w:cols w:equalWidth="0" w:num="3">
            <w:col w:w="4420" w:space="720"/>
            <w:col w:w="2680" w:space="720"/>
            <w:col w:w="2520"/>
          </w:cols>
          <w:pgMar w:left="300" w:top="839" w:right="539" w:bottom="1440" w:gutter="0" w:footer="0" w:header="0"/>
          <w:type w:val="continuous"/>
        </w:sectPr>
      </w:pPr>
    </w:p>
    <w:p>
      <w:pPr>
        <w:spacing w:after="0" w:line="130"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3"/>
          <w:szCs w:val="13"/>
          <w:b w:val="1"/>
          <w:bCs w:val="1"/>
          <w:color w:val="auto"/>
        </w:rPr>
        <w:t>111 W. 19th Street, 8th Floor</w:t>
      </w:r>
    </w:p>
    <w:p>
      <w:pPr>
        <w:spacing w:after="0" w:line="28"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New York, NY</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10011</w:t>
      </w:r>
    </w:p>
    <w:p>
      <w:pPr>
        <w:spacing w:after="0" w:line="53" w:lineRule="exact"/>
        <w:rPr>
          <w:sz w:val="24"/>
          <w:szCs w:val="24"/>
          <w:color w:val="auto"/>
        </w:rPr>
      </w:pPr>
    </w:p>
    <w:p>
      <w:pPr>
        <w:sectPr>
          <w:pgSz w:w="11900" w:h="16838" w:orient="portrait"/>
          <w:cols w:equalWidth="0" w:num="2">
            <w:col w:w="8380" w:space="720"/>
            <w:col w:w="1960"/>
          </w:cols>
          <w:pgMar w:left="300" w:top="839" w:right="539" w:bottom="1440" w:gutter="0" w:footer="0" w:header="0"/>
          <w:type w:val="continuous"/>
        </w:sectPr>
      </w:pPr>
    </w:p>
    <w:p>
      <w:pPr>
        <w:ind w:left="244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92"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(516) 268-7400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452" w:lineRule="exact"/>
        <w:rPr>
          <w:sz w:val="24"/>
          <w:szCs w:val="24"/>
          <w:color w:val="auto"/>
        </w:rPr>
      </w:pPr>
    </w:p>
    <w:p>
      <w:pPr>
        <w:sectPr>
          <w:pgSz w:w="11900" w:h="16838" w:orient="portrait"/>
          <w:cols w:equalWidth="0" w:num="2">
            <w:col w:w="8240" w:space="720"/>
            <w:col w:w="2100"/>
          </w:cols>
          <w:pgMar w:left="300" w:top="839" w:right="539" w:bottom="1440" w:gutter="0" w:footer="0" w:header="0"/>
          <w:type w:val="continuous"/>
        </w:sectPr>
      </w:pP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232" w:lineRule="exact"/>
        <w:rPr>
          <w:sz w:val="24"/>
          <w:szCs w:val="2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36"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36"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25"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83" w:lineRule="exact"/>
        <w:rPr>
          <w:sz w:val="24"/>
          <w:szCs w:val="24"/>
          <w:color w:val="auto"/>
        </w:rPr>
      </w:pPr>
    </w:p>
    <w:tbl>
      <w:tblPr>
        <w:tblLayout w:type="fixed"/>
        <w:tblInd w:w="26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6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520" w:type="dxa"/>
            <w:vAlign w:val="bottom"/>
          </w:tcPr>
          <w:p>
            <w:pPr>
              <w:spacing w:after="0"/>
              <w:rPr>
                <w:sz w:val="16"/>
                <w:szCs w:val="16"/>
                <w:color w:val="auto"/>
              </w:rPr>
            </w:pPr>
          </w:p>
        </w:tc>
      </w:tr>
      <w:tr>
        <w:trPr>
          <w:trHeight w:val="552"/>
        </w:trPr>
        <w:tc>
          <w:tcPr>
            <w:tcW w:w="10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140" w:type="dxa"/>
            <w:vAlign w:val="bottom"/>
            <w:gridSpan w:val="2"/>
          </w:tcPr>
          <w:p>
            <w:pPr>
              <w:jc w:val="center"/>
              <w:ind w:right="2080"/>
              <w:spacing w:after="0"/>
              <w:rPr>
                <w:sz w:val="20"/>
                <w:szCs w:val="20"/>
                <w:color w:val="auto"/>
              </w:rPr>
            </w:pPr>
            <w:r>
              <w:rPr>
                <w:rFonts w:ascii="Times New Roman" w:cs="Times New Roman" w:eastAsia="Times New Roman" w:hAnsi="Times New Roman"/>
                <w:sz w:val="14"/>
                <w:szCs w:val="14"/>
                <w:color w:val="auto"/>
                <w:w w:val="99"/>
              </w:rPr>
              <w:t>Trading Symbol(s)</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10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r>
      <w:tr>
        <w:trPr>
          <w:trHeight w:val="213"/>
        </w:trPr>
        <w:tc>
          <w:tcPr>
            <w:tcW w:w="33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Class A Common Stock, par value $0.01 per share</w:t>
            </w:r>
          </w:p>
        </w:tc>
        <w:tc>
          <w:tcPr>
            <w:tcW w:w="920" w:type="dxa"/>
            <w:vAlign w:val="bottom"/>
          </w:tcPr>
          <w:p>
            <w:pPr>
              <w:spacing w:after="0"/>
              <w:rPr>
                <w:sz w:val="18"/>
                <w:szCs w:val="18"/>
                <w:color w:val="auto"/>
              </w:rPr>
            </w:pPr>
          </w:p>
        </w:tc>
        <w:tc>
          <w:tcPr>
            <w:tcW w:w="3140" w:type="dxa"/>
            <w:vAlign w:val="bottom"/>
            <w:gridSpan w:val="2"/>
          </w:tcPr>
          <w:p>
            <w:pPr>
              <w:jc w:val="center"/>
              <w:ind w:right="2080"/>
              <w:spacing w:after="0"/>
              <w:rPr>
                <w:sz w:val="20"/>
                <w:szCs w:val="20"/>
                <w:color w:val="auto"/>
              </w:rPr>
            </w:pPr>
            <w:r>
              <w:rPr>
                <w:rFonts w:ascii="Times New Roman" w:cs="Times New Roman" w:eastAsia="Times New Roman" w:hAnsi="Times New Roman"/>
                <w:sz w:val="14"/>
                <w:szCs w:val="14"/>
                <w:b w:val="1"/>
                <w:bCs w:val="1"/>
                <w:color w:val="auto"/>
                <w:w w:val="99"/>
              </w:rPr>
              <w:t>“NFE”</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bl>
    <w:p>
      <w:pPr>
        <w:spacing w:after="0" w:line="200" w:lineRule="exact"/>
        <w:rPr>
          <w:sz w:val="24"/>
          <w:szCs w:val="24"/>
          <w:color w:val="auto"/>
        </w:rPr>
      </w:pPr>
    </w:p>
    <w:p>
      <w:pPr>
        <w:spacing w:after="0" w:line="253" w:lineRule="exact"/>
        <w:rPr>
          <w:sz w:val="24"/>
          <w:szCs w:val="24"/>
          <w:color w:val="auto"/>
        </w:rPr>
      </w:pPr>
    </w:p>
    <w:p>
      <w:pPr>
        <w:ind w:right="360"/>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6" w:lineRule="exact"/>
        <w:rPr>
          <w:sz w:val="24"/>
          <w:szCs w:val="24"/>
          <w:color w:val="auto"/>
        </w:rPr>
      </w:pPr>
    </w:p>
    <w:p>
      <w:pPr>
        <w:ind w:left="160" w:hanging="155"/>
        <w:spacing w:after="0"/>
        <w:tabs>
          <w:tab w:leader="none" w:pos="1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Emerging growth company</w:t>
      </w:r>
    </w:p>
    <w:p>
      <w:pPr>
        <w:spacing w:after="0" w:line="189" w:lineRule="exact"/>
        <w:rPr>
          <w:sz w:val="24"/>
          <w:szCs w:val="24"/>
          <w:color w:val="auto"/>
        </w:rPr>
      </w:pPr>
    </w:p>
    <w:p>
      <w:pPr>
        <w:spacing w:after="0" w:line="18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431800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839" w:right="5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2.02. Results of Operations and Financial Condition.</w:t>
      </w:r>
    </w:p>
    <w:p>
      <w:pPr>
        <w:spacing w:after="0" w:line="191"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color w:val="auto"/>
        </w:rPr>
        <w:t>The unaudited condensed consolidated statements of cash flows and a narrative discussion and analysis of financial condition and results of operations of New Fortress Energy Inc. (the “Company”) for the three months ended March 31, 2025 are attached as Exhibit 99.1. Exhibit 99.1 is incorporated herein by reference.</w:t>
      </w:r>
    </w:p>
    <w:p>
      <w:pPr>
        <w:spacing w:after="0" w:line="14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The Company is furnishing the information in this Item 2.02 in order to maintain compliance with the reporting covenants under the Company’s various debt agreements. Under the Company’s debt agreements, the Company is required to provide the trustee, bondholders and lenders, as applicable, quarterly financial statements within the time period applicable to non-accelerated filers, subject to a cure period. As previously reported by the Company in its Notification of Late Filing on Form 12b-25, filed with the Securities and Exchange Commission (the “SEC”) on May 13, 2025, the Company was unable to file its Quarterly Report on Form 10-Q for the period ended March 31, 2025 (the “Quarterly Report”) within the prescribed period or the grace period provided by Rule 12b-25 under the Securities Exchange Act of 1934, as amended (the “Exchange Act”). The Company is furnishing the information in this Item 2.02 in order to provide the trustee, bondholders and lenders, as applicable, the information required pursuant to the Company’s debt agreements prior to the expiration of the applicable cure period under such agreements. The Company’s unaudited condensed consolidated financial statements of operations and condensed consolidated balance sheets as of and for the three months ended March 31, 2025 were furnished to the SEC in a Current Report on Form 8-K on May 14,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Cautionary Note Regarding Financial Information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financial results for the period ended March 31, 2025 and related comparisons to prior periods included in this Current Report on Form 8-K are based on information available to management as</w:t>
      </w:r>
    </w:p>
    <w:p>
      <w:pPr>
        <w:spacing w:after="0" w:line="3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4"/>
          <w:szCs w:val="14"/>
          <w:color w:val="auto"/>
        </w:rPr>
        <w:t>of the date of this Current Report on Form 8-K, have not been reviewed or audited by our independent registered accounting firm. Notwithstanding the foregoing, the Company does not expect these findings to result in any changes to the financial results in the Company’s previously reported financial statements or to impact the financial results in the Company’s unaudited financial statements for the period as of and ended March 31, 2025. The Company expects to file the Quarterly Report on Form 10-Q for the three months ended March 31, 2025 no later than June 27,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Forward Looking Statements</w:t>
      </w:r>
    </w:p>
    <w:p>
      <w:pPr>
        <w:spacing w:after="0" w:line="191"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4"/>
          <w:szCs w:val="14"/>
          <w:color w:val="auto"/>
        </w:rPr>
        <w:t>Any statements contained in this Current Report on Form 8-K that are not historical facts are forward-looking statements as defined in the Private Securities Litigation Reform Act of 1995, including statements regarding the Company’s previously reported financial statements and the expected timing of the filing of the Company’s Quarterly Report on Form 10-Q. Forward-looking statements generally are accompanied by words such as “may,” “will,” “anticipate,” “intend,” “expect” and similar expressions that predict or indicate future events or trends or that are not statements of historical matters. Forward-looking statements are based on the Company’s current expectations and are subject to inherent uncertainties, risks and assumptions that are difficult to predict. Further, certain forward-looking statements are based on assumptions as to future events that may not prove to be accurate. You should not place undue reliance on forward-looking statements because they involve known and unknown risks, uncertainties and other factors, which are, in some cases, beyond the Company’s control and which could materially affect results. Forward-looking statements contained in this report are made as of this date, and the Company undertakes no duty to update such information except as required under applicable law.</w:t>
      </w:r>
    </w:p>
    <w:p>
      <w:pPr>
        <w:spacing w:after="0" w:line="167" w:lineRule="exact"/>
        <w:rPr>
          <w:sz w:val="20"/>
          <w:szCs w:val="20"/>
          <w:color w:val="auto"/>
        </w:rPr>
      </w:pPr>
    </w:p>
    <w:p>
      <w:pPr>
        <w:jc w:val="both"/>
        <w:ind w:right="220"/>
        <w:spacing w:after="0" w:line="254" w:lineRule="auto"/>
        <w:rPr>
          <w:sz w:val="20"/>
          <w:szCs w:val="20"/>
          <w:color w:val="auto"/>
        </w:rPr>
      </w:pPr>
      <w:r>
        <w:rPr>
          <w:rFonts w:ascii="Times New Roman" w:cs="Times New Roman" w:eastAsia="Times New Roman" w:hAnsi="Times New Roman"/>
          <w:sz w:val="14"/>
          <w:szCs w:val="14"/>
          <w:color w:val="auto"/>
        </w:rPr>
        <w:t>The information contained in this Current Report on Form 8-K, including Exhibit 99.1 attached hereto, is being furnished and shall not be deemed filed for purposes of Section 18 of the Exchange Act or otherwise subject to the liabilities of Section 18. Furthermore, the information contained in this report shall not be deemed to be incorporated by reference into any registration statement or other document filed pursuant to the Securities Act of 1933, as amended.</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 Exhibits: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49"/>
        </w:trPr>
        <w:tc>
          <w:tcPr>
            <w:tcW w:w="84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color w:val="auto"/>
              </w:rPr>
              <w:t>99.</w:t>
            </w:r>
            <w:r>
              <w:rPr>
                <w:rFonts w:ascii="Times New Roman" w:cs="Times New Roman" w:eastAsia="Times New Roman" w:hAnsi="Times New Roman"/>
                <w:sz w:val="14"/>
                <w:szCs w:val="14"/>
                <w:u w:val="single" w:color="auto"/>
                <w:color w:val="auto"/>
              </w:rPr>
              <w:t>1</w:t>
            </w:r>
          </w:p>
        </w:tc>
        <w:tc>
          <w:tcPr>
            <w:tcW w:w="10440" w:type="dxa"/>
            <w:vAlign w:val="bottom"/>
          </w:tcPr>
          <w:p>
            <w:pPr>
              <w:ind w:left="140"/>
              <w:spacing w:after="0" w:line="129" w:lineRule="exact"/>
              <w:rPr>
                <w:sz w:val="20"/>
                <w:szCs w:val="20"/>
                <w:color w:val="auto"/>
              </w:rPr>
            </w:pPr>
            <w:r>
              <w:rPr>
                <w:rFonts w:ascii="Times New Roman" w:cs="Times New Roman" w:eastAsia="Times New Roman" w:hAnsi="Times New Roman"/>
                <w:sz w:val="14"/>
                <w:szCs w:val="14"/>
                <w:color w:val="auto"/>
              </w:rPr>
              <w:t>Supplemental Disclosure for the Period as of and Ended March 31, 2025</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40" w:type="dxa"/>
            <w:vAlign w:val="bottom"/>
          </w:tcPr>
          <w:p>
            <w:pPr>
              <w:spacing w:after="0" w:line="20" w:lineRule="exact"/>
              <w:rPr>
                <w:sz w:val="1"/>
                <w:szCs w:val="1"/>
                <w:color w:val="auto"/>
              </w:rPr>
            </w:pPr>
          </w:p>
        </w:tc>
      </w:tr>
      <w:tr>
        <w:trPr>
          <w:trHeight w:val="224"/>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580" w:type="dxa"/>
            <w:vAlign w:val="bottom"/>
          </w:tcPr>
          <w:p>
            <w:pPr>
              <w:spacing w:after="0"/>
              <w:rPr>
                <w:sz w:val="19"/>
                <w:szCs w:val="19"/>
                <w:color w:val="auto"/>
              </w:rPr>
            </w:pPr>
          </w:p>
        </w:tc>
        <w:tc>
          <w:tcPr>
            <w:tcW w:w="10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r>
        <w:trPr>
          <w:trHeight w:val="1190"/>
        </w:trPr>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40" w:right="31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3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6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NEW FORTRESS ENERGY INC.</w:t>
            </w:r>
          </w:p>
        </w:tc>
      </w:tr>
      <w:tr>
        <w:trPr>
          <w:trHeight w:val="213"/>
        </w:trPr>
        <w:tc>
          <w:tcPr>
            <w:tcW w:w="5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60" w:type="dxa"/>
            <w:vAlign w:val="bottom"/>
          </w:tcPr>
          <w:p>
            <w:pPr>
              <w:spacing w:after="0"/>
              <w:rPr>
                <w:sz w:val="18"/>
                <w:szCs w:val="18"/>
                <w:color w:val="auto"/>
              </w:rPr>
            </w:pPr>
          </w:p>
        </w:tc>
      </w:tr>
      <w:tr>
        <w:trPr>
          <w:trHeight w:val="203"/>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Date: June 18, 2025</w:t>
            </w: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By:</w:t>
            </w:r>
          </w:p>
        </w:tc>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 Christopher S. Guinta</w:t>
            </w:r>
          </w:p>
        </w:tc>
      </w:tr>
      <w:tr>
        <w:trPr>
          <w:trHeight w:val="191"/>
        </w:trPr>
        <w:tc>
          <w:tcPr>
            <w:tcW w:w="526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Christopher S. Guinta</w:t>
            </w:r>
          </w:p>
        </w:tc>
      </w:tr>
      <w:tr>
        <w:trPr>
          <w:trHeight w:val="202"/>
        </w:trPr>
        <w:tc>
          <w:tcPr>
            <w:tcW w:w="5260" w:type="dxa"/>
            <w:vAlign w:val="bottom"/>
          </w:tcPr>
          <w:p>
            <w:pPr>
              <w:spacing w:after="0"/>
              <w:rPr>
                <w:sz w:val="17"/>
                <w:szCs w:val="17"/>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ectPr>
          <w:pgSz w:w="11900" w:h="16838" w:orient="portrait"/>
          <w:cols w:equalWidth="0" w:num="1">
            <w:col w:w="11260"/>
          </w:cols>
          <w:pgMar w:left="300" w:top="759" w:right="3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2025-06-18T16:22:23Z</dcterms:created>
  <dcterms:modified xsi:type="dcterms:W3CDTF">2025-06-18T16:22:23Z</dcterms:modified>
</cp:coreProperties>
</file>