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March 15, 2021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40"/>
          </w:cols>
          <w:pgMar w:left="320" w:top="535" w:right="379" w:bottom="1440" w:gutter="0" w:footer="0" w:header="0"/>
          <w:type w:val="continuous"/>
        </w:sectPr>
      </w:pPr>
    </w:p>
    <w:p>
      <w:pPr>
        <w:spacing w:after="0" w:line="45"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2200"/>
        <w:spacing w:after="0"/>
        <w:tabs>
          <w:tab w:leader="none" w:pos="8260" w:val="left"/>
        </w:tabs>
        <w:rPr>
          <w:sz w:val="20"/>
          <w:szCs w:val="20"/>
          <w:color w:val="auto"/>
        </w:rPr>
      </w:pPr>
      <w:r>
        <w:rPr>
          <w:rFonts w:ascii="Arial" w:cs="Arial" w:eastAsia="Arial" w:hAnsi="Arial"/>
          <w:sz w:val="18"/>
          <w:szCs w:val="18"/>
          <w:b w:val="1"/>
          <w:bCs w:val="1"/>
          <w:color w:val="auto"/>
        </w:rPr>
        <w:t>New York, NY</w:t>
      </w:r>
      <w:r>
        <w:rPr>
          <w:sz w:val="20"/>
          <w:szCs w:val="20"/>
          <w:color w:val="auto"/>
        </w:rPr>
        <w:tab/>
      </w:r>
      <w:r>
        <w:rPr>
          <w:rFonts w:ascii="Arial" w:cs="Arial" w:eastAsia="Arial" w:hAnsi="Arial"/>
          <w:sz w:val="15"/>
          <w:szCs w:val="15"/>
          <w:b w:val="1"/>
          <w:bCs w:val="1"/>
          <w:color w:val="auto"/>
        </w:rPr>
        <w:t>10011</w:t>
      </w:r>
    </w:p>
    <w:p>
      <w:pPr>
        <w:spacing w:after="0" w:line="9" w:lineRule="exact"/>
        <w:rPr>
          <w:sz w:val="24"/>
          <w:szCs w:val="24"/>
          <w:color w:val="auto"/>
        </w:rPr>
      </w:pPr>
    </w:p>
    <w:p>
      <w:pPr>
        <w:ind w:left="1300"/>
        <w:spacing w:after="0"/>
        <w:tabs>
          <w:tab w:leader="none" w:pos="8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200"/>
          </w:cols>
          <w:pgMar w:left="320" w:top="535" w:right="379" w:bottom="1440" w:gutter="0" w:footer="0" w:header="0"/>
          <w:type w:val="continuous"/>
        </w:sect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40" w:type="dxa"/>
            <w:vAlign w:val="bottom"/>
          </w:tcPr>
          <w:p>
            <w:pPr>
              <w:spacing w:after="0"/>
              <w:rPr>
                <w:sz w:val="18"/>
                <w:szCs w:val="18"/>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Trading Symbol(s)</w:t>
            </w:r>
          </w:p>
        </w:tc>
        <w:tc>
          <w:tcPr>
            <w:tcW w:w="3920" w:type="dxa"/>
            <w:vAlign w:val="bottom"/>
            <w:gridSpan w:val="2"/>
          </w:tcPr>
          <w:p>
            <w:pPr>
              <w:ind w:left="74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6"/>
        </w:trPr>
        <w:tc>
          <w:tcPr>
            <w:tcW w:w="396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7"/>
              </w:rPr>
              <w:t>Class A common stock</w:t>
            </w: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“NFE”</w:t>
            </w:r>
          </w:p>
        </w:tc>
        <w:tc>
          <w:tcPr>
            <w:tcW w:w="740" w:type="dxa"/>
            <w:vAlign w:val="bottom"/>
          </w:tcPr>
          <w:p>
            <w:pPr>
              <w:spacing w:after="0"/>
              <w:rPr>
                <w:sz w:val="20"/>
                <w:szCs w:val="20"/>
                <w:color w:val="auto"/>
              </w:rPr>
            </w:pPr>
          </w:p>
        </w:tc>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2" w:lineRule="exact"/>
        <w:rPr>
          <w:sz w:val="24"/>
          <w:szCs w:val="24"/>
          <w:color w:val="auto"/>
        </w:rPr>
      </w:pPr>
    </w:p>
    <w:p>
      <w:pPr>
        <w:ind w:right="3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Emerging growth company</w:t>
      </w:r>
    </w:p>
    <w:p>
      <w:pPr>
        <w:spacing w:after="0" w:line="23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jc w:val="both"/>
        <w:ind w:right="20" w:firstLine="324"/>
        <w:spacing w:after="0" w:line="238" w:lineRule="auto"/>
        <w:rPr>
          <w:sz w:val="20"/>
          <w:szCs w:val="20"/>
          <w:color w:val="auto"/>
        </w:rPr>
      </w:pPr>
      <w:r>
        <w:rPr>
          <w:rFonts w:ascii="Arial" w:cs="Arial" w:eastAsia="Arial" w:hAnsi="Arial"/>
          <w:sz w:val="22"/>
          <w:szCs w:val="22"/>
          <w:color w:val="auto"/>
        </w:rPr>
        <w:t>On March 15, 2021, New Fortress Energy Inc. (“NFE” or the “Company”) issued a press release announcing the Company’s financial and operating results for its fiscal quarter and year ended December 31, 2020. A copy of the Company’s press release is attached to this Current Report on Form 8-K (the “Current Report”) as Exhibit 99.1 and is incorporated herein solely for purposes of this Item 2.02 disclosure.</w:t>
      </w:r>
    </w:p>
    <w:p>
      <w:pPr>
        <w:spacing w:after="0" w:line="212"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jc w:val="center"/>
              <w:spacing w:after="0"/>
              <w:rPr>
                <w:sz w:val="20"/>
                <w:szCs w:val="20"/>
                <w:color w:val="auto"/>
              </w:rPr>
            </w:pPr>
            <w:r>
              <w:rPr>
                <w:rFonts w:ascii="Arial" w:cs="Arial" w:eastAsia="Arial" w:hAnsi="Arial"/>
                <w:sz w:val="18"/>
                <w:szCs w:val="18"/>
                <w:color w:val="auto"/>
                <w:w w:val="96"/>
              </w:rPr>
              <w:t>(d)  Exhibits</w:t>
            </w:r>
          </w:p>
        </w:tc>
        <w:tc>
          <w:tcPr>
            <w:tcW w:w="120" w:type="dxa"/>
            <w:vAlign w:val="bottom"/>
          </w:tcPr>
          <w:p>
            <w:pPr>
              <w:spacing w:after="0"/>
              <w:rPr>
                <w:sz w:val="20"/>
                <w:szCs w:val="20"/>
                <w:color w:val="auto"/>
              </w:rPr>
            </w:pPr>
          </w:p>
        </w:tc>
        <w:tc>
          <w:tcPr>
            <w:tcW w:w="9540" w:type="dxa"/>
            <w:vAlign w:val="bottom"/>
          </w:tcPr>
          <w:p>
            <w:pPr>
              <w:spacing w:after="0"/>
              <w:rPr>
                <w:sz w:val="20"/>
                <w:szCs w:val="20"/>
                <w:color w:val="auto"/>
              </w:rPr>
            </w:pPr>
          </w:p>
        </w:tc>
      </w:tr>
      <w:tr>
        <w:trPr>
          <w:trHeight w:val="441"/>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4"/>
                <w:szCs w:val="24"/>
                <w:color w:val="auto"/>
              </w:rPr>
            </w:pPr>
          </w:p>
        </w:tc>
        <w:tc>
          <w:tcPr>
            <w:tcW w:w="9540" w:type="dxa"/>
            <w:vAlign w:val="bottom"/>
          </w:tcPr>
          <w:p>
            <w:pPr>
              <w:spacing w:after="0"/>
              <w:rPr>
                <w:sz w:val="24"/>
                <w:szCs w:val="24"/>
                <w:color w:val="auto"/>
              </w:rPr>
            </w:pPr>
          </w:p>
        </w:tc>
      </w:t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20" w:type="dxa"/>
            <w:vAlign w:val="bottom"/>
          </w:tcPr>
          <w:p>
            <w:pPr>
              <w:spacing w:after="0"/>
              <w:rPr>
                <w:sz w:val="20"/>
                <w:szCs w:val="20"/>
                <w:color w:val="auto"/>
              </w:rPr>
            </w:pPr>
          </w:p>
        </w:tc>
        <w:tc>
          <w:tcPr>
            <w:tcW w:w="9540" w:type="dxa"/>
            <w:vAlign w:val="bottom"/>
            <w:tcBorders>
              <w:bottom w:val="single" w:sz="8" w:color="auto"/>
            </w:tcBorders>
          </w:tcPr>
          <w:p>
            <w:pPr>
              <w:jc w:val="right"/>
              <w:ind w:right="423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580" w:type="dxa"/>
            <w:vAlign w:val="bottom"/>
          </w:tcPr>
          <w:p>
            <w:pPr>
              <w:jc w:val="cente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99.1</w:t>
              </w:r>
            </w:hyperlink>
          </w:p>
        </w:tc>
        <w:tc>
          <w:tcPr>
            <w:tcW w:w="120" w:type="dxa"/>
            <w:vAlign w:val="bottom"/>
          </w:tcPr>
          <w:p>
            <w:pPr>
              <w:spacing w:after="0"/>
              <w:rPr>
                <w:sz w:val="20"/>
                <w:szCs w:val="20"/>
                <w:color w:val="auto"/>
              </w:rPr>
            </w:pPr>
          </w:p>
        </w:tc>
        <w:tc>
          <w:tcPr>
            <w:tcW w:w="9540" w:type="dxa"/>
            <w:vAlign w:val="bottom"/>
          </w:tcPr>
          <w:p>
            <w:pPr>
              <w:jc w:val="right"/>
              <w:ind w:right="4150"/>
              <w:spacing w:after="0"/>
              <w:rPr>
                <w:sz w:val="20"/>
                <w:szCs w:val="20"/>
                <w:color w:val="auto"/>
              </w:rPr>
            </w:pPr>
            <w:r>
              <w:rPr>
                <w:rFonts w:ascii="Arial" w:cs="Arial" w:eastAsia="Arial" w:hAnsi="Arial"/>
                <w:sz w:val="18"/>
                <w:szCs w:val="18"/>
                <w:color w:val="auto"/>
                <w:w w:val="88"/>
              </w:rPr>
              <w:t>Press Release, dated March 15, 2021, issued by New Fortress Energy Inc.</w:t>
            </w:r>
          </w:p>
        </w:tc>
      </w:tr>
      <w:tr>
        <w:trPr>
          <w:trHeight w:val="568"/>
        </w:trPr>
        <w:tc>
          <w:tcPr>
            <w:tcW w:w="1580" w:type="dxa"/>
            <w:vAlign w:val="bottom"/>
          </w:tcPr>
          <w:p>
            <w:pPr>
              <w:spacing w:after="0"/>
              <w:rPr>
                <w:sz w:val="24"/>
                <w:szCs w:val="24"/>
                <w:color w:val="auto"/>
              </w:rPr>
            </w:pPr>
          </w:p>
        </w:tc>
        <w:tc>
          <w:tcPr>
            <w:tcW w:w="9660" w:type="dxa"/>
            <w:vAlign w:val="bottom"/>
            <w:gridSpan w:val="2"/>
          </w:tcPr>
          <w:p>
            <w:pPr>
              <w:jc w:val="right"/>
              <w:ind w:right="5490"/>
              <w:spacing w:after="0"/>
              <w:rPr>
                <w:sz w:val="20"/>
                <w:szCs w:val="20"/>
                <w:color w:val="auto"/>
              </w:rPr>
            </w:pPr>
            <w:r>
              <w:rPr>
                <w:rFonts w:ascii="Arial" w:cs="Arial" w:eastAsia="Arial" w:hAnsi="Arial"/>
                <w:sz w:val="14"/>
                <w:szCs w:val="14"/>
                <w:color w:val="auto"/>
              </w:rPr>
              <w:t>2</w:t>
            </w:r>
          </w:p>
        </w:tc>
      </w:tr>
      <w:tr>
        <w:trPr>
          <w:trHeight w:val="46"/>
        </w:trPr>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March 16, 2021</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80" w:type="dxa"/>
            <w:vAlign w:val="bottom"/>
          </w:tcPr>
          <w:p>
            <w:pPr>
              <w:spacing w:after="0"/>
              <w:rPr>
                <w:sz w:val="17"/>
                <w:szCs w:val="17"/>
                <w:color w:val="auto"/>
              </w:rPr>
            </w:pPr>
          </w:p>
        </w:tc>
        <w:tc>
          <w:tcPr>
            <w:tcW w:w="2820" w:type="dxa"/>
            <w:vAlign w:val="bottom"/>
          </w:tcPr>
          <w:p>
            <w:pPr>
              <w:ind w:left="22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380" w:type="dxa"/>
            <w:vAlign w:val="bottom"/>
          </w:tcPr>
          <w:p>
            <w:pPr>
              <w:spacing w:after="0"/>
              <w:rPr>
                <w:sz w:val="20"/>
                <w:szCs w:val="20"/>
                <w:color w:val="auto"/>
              </w:rPr>
            </w:pPr>
          </w:p>
        </w:tc>
        <w:tc>
          <w:tcPr>
            <w:tcW w:w="2820" w:type="dxa"/>
            <w:vAlign w:val="bottom"/>
          </w:tcPr>
          <w:p>
            <w:pPr>
              <w:ind w:left="22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9"/>
        </w:trPr>
        <w:tc>
          <w:tcPr>
            <w:tcW w:w="3380" w:type="dxa"/>
            <w:vAlign w:val="bottom"/>
          </w:tcPr>
          <w:p>
            <w:pPr>
              <w:spacing w:after="0"/>
              <w:rPr>
                <w:sz w:val="24"/>
                <w:szCs w:val="24"/>
                <w:color w:val="auto"/>
              </w:rPr>
            </w:pPr>
          </w:p>
        </w:tc>
        <w:tc>
          <w:tcPr>
            <w:tcW w:w="2820" w:type="dxa"/>
            <w:vAlign w:val="bottom"/>
          </w:tcPr>
          <w:p>
            <w:pPr>
              <w:ind w:left="2200"/>
              <w:spacing w:after="0"/>
              <w:rPr>
                <w:sz w:val="20"/>
                <w:szCs w:val="20"/>
                <w:color w:val="auto"/>
              </w:rPr>
            </w:pPr>
            <w:r>
              <w:rPr>
                <w:rFonts w:ascii="Arial" w:cs="Arial" w:eastAsia="Arial" w:hAnsi="Arial"/>
                <w:sz w:val="14"/>
                <w:szCs w:val="14"/>
                <w:color w:val="auto"/>
              </w:rPr>
              <w:t>3</w:t>
            </w:r>
          </w:p>
        </w:tc>
        <w:tc>
          <w:tcPr>
            <w:tcW w:w="5040" w:type="dxa"/>
            <w:vAlign w:val="bottom"/>
          </w:tcPr>
          <w:p>
            <w:pPr>
              <w:spacing w:after="0"/>
              <w:rPr>
                <w:sz w:val="24"/>
                <w:szCs w:val="24"/>
                <w:color w:val="auto"/>
              </w:rPr>
            </w:pPr>
          </w:p>
        </w:tc>
      </w:tr>
      <w:tr>
        <w:trPr>
          <w:trHeight w:val="100"/>
        </w:trPr>
        <w:tc>
          <w:tcPr>
            <w:tcW w:w="33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1885950"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574040"/>
                    </a:xfrm>
                    <a:prstGeom prst="rect">
                      <a:avLst/>
                    </a:prstGeom>
                    <a:noFill/>
                  </pic:spPr>
                </pic:pic>
              </a:graphicData>
            </a:graphic>
          </wp:anchor>
        </w:drawing>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jc w:val="right"/>
        <w:spacing w:after="0"/>
        <w:rPr>
          <w:sz w:val="20"/>
          <w:szCs w:val="20"/>
          <w:color w:val="auto"/>
        </w:rPr>
      </w:pPr>
      <w:r>
        <w:rPr>
          <w:rFonts w:ascii="Arial" w:cs="Arial" w:eastAsia="Arial" w:hAnsi="Arial"/>
          <w:sz w:val="18"/>
          <w:szCs w:val="18"/>
          <w:color w:val="auto"/>
        </w:rPr>
        <w:t>New York, NY 10011</w:t>
      </w:r>
    </w:p>
    <w:p>
      <w:pPr>
        <w:spacing w:after="0" w:line="200" w:lineRule="exact"/>
        <w:rPr>
          <w:sz w:val="20"/>
          <w:szCs w:val="20"/>
          <w:color w:val="auto"/>
        </w:rPr>
      </w:pPr>
    </w:p>
    <w:p>
      <w:pPr>
        <w:spacing w:after="0" w:line="275" w:lineRule="exact"/>
        <w:rPr>
          <w:sz w:val="20"/>
          <w:szCs w:val="20"/>
          <w:color w:val="auto"/>
        </w:rPr>
      </w:pPr>
    </w:p>
    <w:p>
      <w:pPr>
        <w:ind w:left="4540" w:right="320" w:hanging="3579"/>
        <w:spacing w:after="0" w:line="282" w:lineRule="auto"/>
        <w:rPr>
          <w:sz w:val="20"/>
          <w:szCs w:val="20"/>
          <w:color w:val="auto"/>
        </w:rPr>
      </w:pPr>
      <w:r>
        <w:rPr>
          <w:rFonts w:ascii="Arial" w:cs="Arial" w:eastAsia="Arial" w:hAnsi="Arial"/>
          <w:sz w:val="18"/>
          <w:szCs w:val="18"/>
          <w:b w:val="1"/>
          <w:bCs w:val="1"/>
          <w:color w:val="auto"/>
        </w:rPr>
        <w:t>New Fortress Energy Announces Fourth Quarter and Full Year 2020 Results; Final Investment Decision on “Fast LNG” Solution; Dividend of $0.10 per Class A common share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March 15, 2021</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 New Fortress Energy Inc. (NASDAQ: NFE) (“NFE” or the “Company”) today reported its financial results for the fourth quarter and full year ending December 31, 2020. NFE also announced today that its Board of Directors has declared a first quarter 2021 common stock dividend of $0.10 per Class A common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3 separate transactions for $5.1bn enterprise value</w:t>
      </w:r>
    </w:p>
    <w:p>
      <w:pPr>
        <w:spacing w:after="0" w:line="11" w:lineRule="exact"/>
        <w:rPr>
          <w:sz w:val="20"/>
          <w:szCs w:val="20"/>
          <w:color w:val="auto"/>
        </w:rPr>
      </w:pPr>
    </w:p>
    <w:p>
      <w:pPr>
        <w:ind w:left="1300" w:right="20" w:hanging="320"/>
        <w:spacing w:after="0" w:line="220"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Acquiring Hygo Energy Transition Ltd., which includes Brazil’s largest thermal power plant and 3 Operational</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or In Development</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terminals. These terminals are expected to be Operational within 12 months.</w:t>
      </w:r>
    </w:p>
    <w:p>
      <w:pPr>
        <w:spacing w:after="0" w:line="1" w:lineRule="exact"/>
        <w:rPr>
          <w:rFonts w:ascii="Arial" w:cs="Arial" w:eastAsia="Arial" w:hAnsi="Arial"/>
          <w:sz w:val="16"/>
          <w:szCs w:val="16"/>
          <w:color w:val="auto"/>
        </w:rPr>
      </w:pPr>
    </w:p>
    <w:p>
      <w:pPr>
        <w:ind w:left="1300" w:right="2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Acquiring Golar LNG Partners LP, which includes stable, contracted cash flows from 13 vessels. Once released from current contracts, these vessels will serve as NFE’s logistics backbone for terminal operations.</w:t>
      </w:r>
    </w:p>
    <w:p>
      <w:pPr>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Developing Suape Terminal – NFE acquired 288 MW of PPAs and is developing a terminal at the port of Suape that has material growth prospects and access to the TAG pipeline market.</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Transactions would bring NFE’s total Operational or In Development terminals from five to nine.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projects in Mexico and Nicaragua are expected to be Operational in Q2 2021</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were awarded a supply contract by CFE to supply ~250k gallons per day (“GPD”) of LNG replacing their high cost diesel; first gas is expected in Q2 2021.</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are finalizing a framework agreement for a terminal in Southeast Asia that is expected to begin operations in 2H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long-term fixed price LNG supply</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Acquiring 50% of the common units of Golar Hilli LLC, the disponent owner of the 2.4 MTPA floating liquefier, </w:t>
      </w:r>
      <w:r>
        <w:rPr>
          <w:rFonts w:ascii="Arial" w:cs="Arial" w:eastAsia="Arial" w:hAnsi="Arial"/>
          <w:sz w:val="18"/>
          <w:szCs w:val="18"/>
          <w:i w:val="1"/>
          <w:iCs w:val="1"/>
          <w:color w:val="auto"/>
        </w:rPr>
        <w:t>Hilli</w:t>
      </w:r>
      <w:r>
        <w:rPr>
          <w:rFonts w:ascii="Arial" w:cs="Arial" w:eastAsia="Arial" w:hAnsi="Arial"/>
          <w:sz w:val="18"/>
          <w:szCs w:val="18"/>
          <w:color w:val="auto"/>
        </w:rPr>
        <w:t>, through the GMLP acquisition.</w:t>
      </w:r>
    </w:p>
    <w:p>
      <w:pPr>
        <w:ind w:left="1300" w:hanging="320"/>
        <w:spacing w:after="0" w:line="1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Announcing FID</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on floating liquefaction solution (“Fast LNG”) that is expected to be Operational by end of 2022.</w:t>
      </w:r>
    </w:p>
    <w:p>
      <w:pPr>
        <w:ind w:left="660" w:hanging="328"/>
        <w:spacing w:after="0" w:line="18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Significant volume growth – over 5.1 million GPD Committed</w:t>
      </w:r>
      <w:r>
        <w:rPr>
          <w:rFonts w:ascii="Arial" w:cs="Arial" w:eastAsia="Arial" w:hAnsi="Arial"/>
          <w:sz w:val="25"/>
          <w:szCs w:val="25"/>
          <w:color w:val="auto"/>
          <w:vertAlign w:val="superscript"/>
        </w:rPr>
        <w:t>(4)</w:t>
      </w:r>
      <w:r>
        <w:rPr>
          <w:rFonts w:ascii="Arial" w:cs="Arial" w:eastAsia="Arial" w:hAnsi="Arial"/>
          <w:sz w:val="16"/>
          <w:szCs w:val="16"/>
          <w:color w:val="auto"/>
        </w:rPr>
        <w:t xml:space="preserve"> with over 15 million GPD of In Discussion Volumes</w:t>
      </w:r>
      <w:r>
        <w:rPr>
          <w:rFonts w:ascii="Arial" w:cs="Arial" w:eastAsia="Arial" w:hAnsi="Arial"/>
          <w:sz w:val="25"/>
          <w:szCs w:val="25"/>
          <w:color w:val="auto"/>
          <w:vertAlign w:val="superscript"/>
        </w:rPr>
        <w:t>(5)</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Board of Directors approved a dividend of $0.10 per share, with a record date of March 26, 2021 and a payment date of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Fast LNG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NFE announced that it has made a final investment decision (“FID”) on an innovative “Fast LNG” 1.4 million tonnes per annum capacity modular liquefaction facility to provide a low-cost supply of liquefied natural gas for its growing customer base. The “Fast LNG” design pairs the latest advancements in modular, midsize liquefaction technology with jack up rigs or similar floating infrastructure to enable a much lower cost and faster deployment schedule than today’s floating liquefaction vessels. A permanently moored FSU will serve as an LNG storage facility alongside the floating liquefaction infrastructure, which can be deployed anywhere there is abundant and stranded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“Our innovative Fast LNG liquefiers should allow us to produce LNG between an expected $3-4 MMBtu for our growing portfolio of terminals around the world,” said NFE CEO and Chairman Wes Edens. “This technology can be installed quickly and cheaply to access stranded, low-cost natural gas at a fixed price to meet the global demand for more affordable, reliable and cleaner energy. Alongside our terrific partners, we look forward to deploying one of the world’s lowest-cost LNG production facilities by 2022.”</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NFE has issued a limited notice to proceed to Fluor (NYSE:FLR), Chart Industries Inc. (NASDAQ:GTLS) and Baker Hughes Company (NYSE:BHGE) for the construction of the first “Fast LNG” project, which is anticipated to become Operational in an estimated 20 months.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140" w:type="dxa"/>
            <w:vAlign w:val="bottom"/>
          </w:tcPr>
          <w:p>
            <w:pPr>
              <w:spacing w:after="0"/>
              <w:rPr>
                <w:sz w:val="17"/>
                <w:szCs w:val="17"/>
                <w:color w:val="auto"/>
              </w:rPr>
            </w:pPr>
          </w:p>
        </w:tc>
        <w:tc>
          <w:tcPr>
            <w:tcW w:w="2460" w:type="dxa"/>
            <w:vAlign w:val="bottom"/>
            <w:gridSpan w:val="5"/>
            <w:vMerge w:val="restart"/>
          </w:tcPr>
          <w:p>
            <w:pPr>
              <w:jc w:val="right"/>
              <w:ind w:right="26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43"/>
        </w:trPr>
        <w:tc>
          <w:tcPr>
            <w:tcW w:w="1580" w:type="dxa"/>
            <w:vAlign w:val="bottom"/>
            <w:tcBorders>
              <w:top w:val="single" w:sz="8" w:color="auto"/>
            </w:tcBorders>
          </w:tcPr>
          <w:p>
            <w:pPr>
              <w:spacing w:after="0"/>
              <w:rPr>
                <w:sz w:val="21"/>
                <w:szCs w:val="21"/>
                <w:color w:val="auto"/>
              </w:rPr>
            </w:pPr>
          </w:p>
        </w:tc>
        <w:tc>
          <w:tcPr>
            <w:tcW w:w="7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36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4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Average Volumes (k GPD)</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 quarterly revenue of $145.7 million, increasing $8.8 million from Q3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was $0.5 million, as compared to the Q3 2020 net loss of $36.7 million</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Margin*</w:t>
      </w:r>
      <w:r>
        <w:rPr>
          <w:rFonts w:ascii="Arial" w:cs="Arial" w:eastAsia="Arial" w:hAnsi="Arial"/>
          <w:sz w:val="25"/>
          <w:szCs w:val="25"/>
          <w:color w:val="auto"/>
          <w:vertAlign w:val="superscript"/>
        </w:rPr>
        <w:t>(6)</w:t>
      </w:r>
      <w:r>
        <w:rPr>
          <w:rFonts w:ascii="Arial" w:cs="Arial" w:eastAsia="Arial" w:hAnsi="Arial"/>
          <w:sz w:val="16"/>
          <w:szCs w:val="16"/>
          <w:color w:val="auto"/>
        </w:rPr>
        <w:t xml:space="preserve"> was over $60 million, representing 42% of revenue in Q4 2020, improving from 38% of revenue in Q3 2020</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daily volumes sold in Q4 2020 were approximately 1.4 million GPD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2020, issued $250.0 million of 6.75% senior secured notes, at a premium for net proceeds of $259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5,882,352 shares of Class A common stock and received proceeds of $290.8 million</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*Operating Margin is a non-GAAP financial measure. For definitions and reconciliations of non-GAAP results please refer to the exhibit to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Please refer to our Q4 2020 Investor Presentation for further information about the following terms:</w:t>
      </w:r>
    </w:p>
    <w:p>
      <w:pPr>
        <w:spacing w:after="0" w:line="252" w:lineRule="exact"/>
        <w:rPr>
          <w:sz w:val="20"/>
          <w:szCs w:val="20"/>
          <w:color w:val="auto"/>
        </w:rPr>
      </w:pPr>
    </w:p>
    <w:p>
      <w:pPr>
        <w:jc w:val="both"/>
        <w:ind w:firstLine="8"/>
        <w:spacing w:after="0" w:line="268" w:lineRule="auto"/>
        <w:tabs>
          <w:tab w:leader="none" w:pos="196"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“Operational” with respect to a particular project means we expect gas to be made available within thirty (30)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date. We cannot assure you if or when such projects will reach full commercial operations. Actual results could differ materially from the illustrations reflected in this presentation and there can be no assurance we will achieve our goals.</w:t>
      </w:r>
    </w:p>
    <w:p>
      <w:pPr>
        <w:spacing w:after="0" w:line="2" w:lineRule="exact"/>
        <w:rPr>
          <w:rFonts w:ascii="Arial" w:cs="Arial" w:eastAsia="Arial" w:hAnsi="Arial"/>
          <w:sz w:val="17"/>
          <w:szCs w:val="17"/>
          <w:i w:val="1"/>
          <w:iCs w:val="1"/>
          <w:color w:val="auto"/>
        </w:rPr>
      </w:pPr>
    </w:p>
    <w:p>
      <w:pPr>
        <w:jc w:val="both"/>
        <w:ind w:firstLine="8"/>
        <w:spacing w:after="0" w:line="281" w:lineRule="auto"/>
        <w:tabs>
          <w:tab w:leader="none" w:pos="213"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 Development” or similar statuses means that we have taken steps and invested money to develop a facility, including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or that each development will be completed or enter full commercial operations. There can be no assurance that we will be able to enter into the contracts required for the development of these facilities on commercially favorable terms or at all.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 and these risks of delay are exacerbated by the COVID-19 pandemic. If we are unable to construct, commission and operate all of our facilities as expected, or, when and if constructed, they do not accomplish our goals, or if we experience delays or cost overruns in construction, our business, operating results, cash flows and liquidity could be materially and adversely affected.</w:t>
      </w:r>
    </w:p>
    <w:p>
      <w:pPr>
        <w:spacing w:after="0" w:line="5" w:lineRule="exact"/>
        <w:rPr>
          <w:rFonts w:ascii="Arial" w:cs="Arial" w:eastAsia="Arial" w:hAnsi="Arial"/>
          <w:sz w:val="16"/>
          <w:szCs w:val="16"/>
          <w:i w:val="1"/>
          <w:iCs w:val="1"/>
          <w:color w:val="auto"/>
        </w:rPr>
      </w:pPr>
    </w:p>
    <w:p>
      <w:pPr>
        <w:jc w:val="both"/>
        <w:ind w:firstLine="8"/>
        <w:spacing w:after="0" w:line="250" w:lineRule="auto"/>
        <w:tabs>
          <w:tab w:leader="none" w:pos="20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“FID” means management has made an internal commitment to commit resources (including capital) to a particular project. Our management has not made an FID decision on certain projects as of the date of this press release, and there can be no assurance that we will be willing or able to make any such decision, based on a particular project’s time, resource, capital and financing requirements.</w:t>
      </w:r>
    </w:p>
    <w:p>
      <w:pPr>
        <w:spacing w:after="0" w:line="1" w:lineRule="exact"/>
        <w:rPr>
          <w:rFonts w:ascii="Arial" w:cs="Arial" w:eastAsia="Arial" w:hAnsi="Arial"/>
          <w:sz w:val="18"/>
          <w:szCs w:val="18"/>
          <w:i w:val="1"/>
          <w:iCs w:val="1"/>
          <w:color w:val="auto"/>
        </w:rPr>
      </w:pPr>
    </w:p>
    <w:p>
      <w:pPr>
        <w:jc w:val="both"/>
        <w:ind w:firstLine="8"/>
        <w:spacing w:after="0" w:line="265" w:lineRule="auto"/>
        <w:tabs>
          <w:tab w:leader="none" w:pos="21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“Committed” means our expected volumes to be sold to customers under binding contracts, awards under requests for proposals, and the agreement being finalized in for our project in Southeast Asia as of the period specified in the press release. There can be no assurance that we will enter into binding agreements for the awards we have under requests for proposals or our project in Southeast Asia on a particular timeline or at all. Some, but not all, of our contracts contain minimum volume commitments, and our expected volumes to be sold to customers reflected in our “Committed Volumes” are substantially in excess of such minimum volume commitments. Our near-term ability to sell these volumes is dependent on our customers’ continued willingness and ability to continue purchasing these volumes and to perform their obligations under their respective contracts. If any of our customers fails to continue to make such purchases or fails to perform its obligations under its contract, our operating results, cash flow and liquidity could be materially and adversely affected. References to Committed Volumes in the future and percentages of these volumes in the future should not be viewed as guidance or management’s view of the Company’s projected earnings, is not based on the Company’s historical operating results, which are limited, and does not purport to be an actual representation of our future economics.</w:t>
      </w:r>
    </w:p>
    <w:p>
      <w:pPr>
        <w:spacing w:after="0" w:line="1" w:lineRule="exact"/>
        <w:rPr>
          <w:rFonts w:ascii="Arial" w:cs="Arial" w:eastAsia="Arial" w:hAnsi="Arial"/>
          <w:sz w:val="17"/>
          <w:szCs w:val="17"/>
          <w:i w:val="1"/>
          <w:iCs w:val="1"/>
          <w:color w:val="auto"/>
        </w:rPr>
      </w:pPr>
    </w:p>
    <w:p>
      <w:pPr>
        <w:jc w:val="both"/>
        <w:ind w:firstLine="8"/>
        <w:spacing w:after="0" w:line="250" w:lineRule="auto"/>
        <w:tabs>
          <w:tab w:leader="none" w:pos="202"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 Discussion” refers to potential customers (i) with whom we are in active negotiations, (ii) for whom there is a request for proposals or competitive bid process, or (iii) for whom we anticipate a request for proposals or competitive bid process will soon be announced based on our discussions with the potential customer as of date of this press release.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any volumes referenced is substantially in excess of potential minimum volume commitments. References to these volumes and percentages of these volumes should not be viewed as guidance or management’s view of the Company’s projected earnings, is not based on the Company’s historical operating results, which are limited, and does not purport to be an actual representation of our future economics.</w:t>
      </w:r>
    </w:p>
    <w:p>
      <w:pPr>
        <w:spacing w:after="0" w:line="3" w:lineRule="exact"/>
        <w:rPr>
          <w:rFonts w:ascii="Arial" w:cs="Arial" w:eastAsia="Arial" w:hAnsi="Arial"/>
          <w:sz w:val="18"/>
          <w:szCs w:val="18"/>
          <w:i w:val="1"/>
          <w:iCs w:val="1"/>
          <w:color w:val="auto"/>
        </w:rPr>
      </w:pPr>
    </w:p>
    <w:p>
      <w:pPr>
        <w:jc w:val="both"/>
        <w:ind w:firstLine="8"/>
        <w:spacing w:after="0" w:line="253" w:lineRule="auto"/>
        <w:tabs>
          <w:tab w:leader="none" w:pos="202"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Margin” means the sum of (i) Net income / (loss), (ii) Selling, general and administrative, (iii) Depreciation and amortization, (iv) Interest expense, (v) Other (income) expense, net (vi) Loss on extinguishment of debt, net, and (vii) Tax expense (benefit), each as reported on our financial statements. Operating Margin is mathematically equivalent to Revenue minus Cost of sales minus Operations and maintenance, each as reported in our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 Relations section of New Fortress Energy’s website, www.newfortressenergy.com, and the Company’s most recent Annual Report on Form 10-K, which will be available on the Company’s website. Nothing on our website is included or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will host a conference call on Tuesday, March 16, 2021 at 8:00 A.M. Eastern Time. The conference call may be accessed by dialing (866) 953-0778 (from within the U.S.) or (630) 652-5853 (from outside of the U.S.) fifteen minutes prior to the scheduled start of the call; please reference “NFE Fourth Quarter 2020 Earnings Call.”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replay of the conference call will also be available after 11:00 A.M. on Tuesday, March 16, 2021 through 11:00 A.M. on Tuesday, March 23, 2021 at (855) 859-2056 (from within the U.S.) or (404) 537-3406 (from outside of the U.S.), Passcode: 2548857.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regasification and power generation operations. This measure excludes items that have little or no significance on day-to-day performance of our current liquefaction, regasification and power generation operations, including our corporate SG&amp;A, contract termination charges and loss on mitigation sales, loss on extinguishment of debt, net, and other expense.</w:t>
      </w:r>
    </w:p>
    <w:p>
      <w:pPr>
        <w:spacing w:after="0" w:line="2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regasification and power generation operations.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statements contained in this press release constitute “forward-looking statements” including our expected volumes of LNG or production of power in particular jurisdictions; our expected volumes for Committed and In Discussion Volumes; the expectation that we will continue to take advantage of low LNG prices and develop our Fast LNG project for long-term LNG pricing; our expectations regarding our growth opportunities and the full capacity of our existing infrastructure, the key markets we may enter, and our expectations regarding our Fast LNG project, green hydrogen investment and pilot projects.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development, construction or commissioning schedules will take longer than we expect, the risk that the volumes we are able to sell are less than we expect due to decreased customer demand or our inability to supply, the risk that our expectations about the price at which we purchase LNG, the price at which we sell LNG, the cost at which we produce, ship and deliver LNG, and the margin that we receive for the LNG that we sell are not in line with our expectations, the risk that we may not develop our Fast LNG project on the timeline we expect or at all, or that we do not receive the benefits we expect from the Fast LNG project, risks that our operating or other costs will increase and our expected funding of projects may not be possible, the risk that the foregoing or other factors negatively impact our liquidity, the risk that our organic and inorganic growth opportunities do not materialize due to our inability to reach commercial arrangements on terms that are acceptable to us or at all, the risk that organic and inorganic growth opportunities do not offer the Operating Margin that we expect due to higher costs of LNG, higher costs of infrastructure for inorganic growth, competitive pressures on our pricing, or other factors, and the risk that our investment and pilot projects in green hydrogen do not advance NFE’s transition to zero emissions on the timeline we expect or at all. Accordingly, readers should not place undue reliance on forward-looking statements as a prediction of actual results.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9" w:lineRule="exact"/>
        <w:rPr>
          <w:sz w:val="20"/>
          <w:szCs w:val="20"/>
          <w:color w:val="auto"/>
        </w:rPr>
      </w:pPr>
    </w:p>
    <w:p>
      <w:pPr>
        <w:ind w:right="900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902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Exhibits –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0"/>
                <w:szCs w:val="20"/>
                <w:color w:val="auto"/>
              </w:rPr>
            </w:pPr>
            <w:r>
              <w:rPr>
                <w:rFonts w:ascii="Arial" w:cs="Arial" w:eastAsia="Arial" w:hAnsi="Arial"/>
                <w:sz w:val="18"/>
                <w:szCs w:val="18"/>
                <w:b w:val="1"/>
                <w:bCs w:val="1"/>
                <w:color w:val="auto"/>
              </w:rPr>
              <w:t>New Fortress Energy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2020 and December 31, 2020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94,769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50,927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136,858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68,987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32,869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125,805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127,665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(34,834)</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Tax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 attributable to stockholders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(36,358)</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 and 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09"/>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170,074,532</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170,855,679</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(36,670)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currency translation adjustment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(35,699)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Comprehensive (loss) income attributable to stockholders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(36,625)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Non-GAAP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define non-GAAP operating margin as GAAP net loss, adjusted for selling, general and administrative expense, loss on mitigation sales, depreciation and amortization, interest expense, other expense (income), loss on extinguishment of debt, net and tax expense (benefit).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For the three months ended,</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September 30, 2020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30,849</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32,869</w:t>
            </w:r>
          </w:p>
        </w:tc>
        <w:tc>
          <w:tcPr>
            <w:tcW w:w="226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10,013</w:t>
            </w:r>
          </w:p>
        </w:tc>
        <w:tc>
          <w:tcPr>
            <w:tcW w:w="22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19,813</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14,822</w:t>
            </w:r>
          </w:p>
        </w:tc>
        <w:tc>
          <w:tcPr>
            <w:tcW w:w="226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c>
          <w:tcPr>
            <w:tcW w:w="22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23,505</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Tax expense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1,836</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2,868</w:t>
            </w:r>
          </w:p>
        </w:tc>
        <w:tc>
          <w:tcPr>
            <w:tcW w:w="2260" w:type="dxa"/>
            <w:vAlign w:val="bottom"/>
          </w:tcPr>
          <w:p>
            <w:pPr>
              <w:spacing w:after="0"/>
              <w:rPr>
                <w:sz w:val="19"/>
                <w:szCs w:val="19"/>
                <w:color w:val="auto"/>
              </w:rPr>
            </w:pPr>
          </w:p>
        </w:tc>
      </w:tr>
      <w:tr>
        <w:trPr>
          <w:trHeight w:val="25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51,391</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60,913</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392"/>
        </w:trPr>
        <w:tc>
          <w:tcPr>
            <w:tcW w:w="5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2020 and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30,966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$98 and $0,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63,432</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39,734</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762,010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211,120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466,587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614,206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192,222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46,102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86,030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84,166</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1,908,091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35,481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affiliates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35,006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25,475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102,263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619,057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Non-current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84,323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15,641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14,929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1,533,005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Class A common stock, $0.01 par value, 750.0 million shares authorized, 174.6 million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issued and outstanding as of December 31, 2020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A shares, 0 shares issued and outstanding as of December 31, 2020; 23.6 million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as of December 31, 2019</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130,658</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Class B shares, 0 shares issued and outstanding as of December 31, 2020; 144.3 million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shares, issued and outstanding as of December 31, 2019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(229,503)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(45,823)</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366,959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84,805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387,324</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318,311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96,906</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43,625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15,395</w:t>
            </w: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451,650</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189,125</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112,301</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278,767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183,359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95,742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152,922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62,137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124,114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32,376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7,940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607,008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(155,358)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(187,275)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(58,488)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(2,807)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9,568</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(259,148)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(203,880)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(78,520)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(263,965)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(204,319)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(78,182)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(182,147)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(33,809)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(78,076)</w:t>
            </w: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106,654,918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20,862,555</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(263,965)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(204,319)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(78,182)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Unrealized (gain) loss on currency translation adjustment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investment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(261,960)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(204,538)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(80,859)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(181,935)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(33,839)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(80,753)</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(263,965)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(204,319)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(78,182)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33,303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contract termination charges and loss on mitigation sales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Loss on extinguishment of debt and financing expenses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37,090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41,205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receivables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Decrease (Increase) in inventories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23,230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(50,345)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(4,807)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other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(28,338)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Decrease in right-of-use assets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41,452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accounts payable/accrued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(Decrease) Increase in amounts due to affiliates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(1,272)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5,771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lease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Increase in other liabilities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10,714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(125,566)</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(234,261)</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(93,227)</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(156,995)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(377,051)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(181,151)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consolidated subsidiary</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(4,028)</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(376,164)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borrowings of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2,095,269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347,856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280,600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deferred financing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(1,490,002)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(76,520)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IPO</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issuance of Class A common 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291,992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related to tax withholdings for share-based compensation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 of dividends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(33,742)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contributed from Members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Collection of subscription receivable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stock issuance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819,498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602,607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260,204</w:t>
            </w: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536,301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(7,818)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(17,478)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118,331</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629,336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93,035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100,853</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 in accounts payable and accrued liabilities associated with</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 and property, plant and equipment additions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74,280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27,255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6,765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533"/>
        </w:trPr>
        <w:tc>
          <w:tcPr>
            <w:tcW w:w="7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516"/>
    </w:lvl>
  </w:abstractNum>
  <w:abstractNum w:abstractNumId="7">
    <w:nsid w:val="7545E146"/>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2021-03-16T05:32:12Z</dcterms:created>
  <dcterms:modified xsi:type="dcterms:W3CDTF">2021-03-16T05:32:12Z</dcterms:modified>
</cp:coreProperties>
</file>