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FIG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Fortress Operating Entity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FIG Blue LLC (f/k/a FIG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Fortress Investment Group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FINCO I Intermediate Holdco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13,399,317.00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13,399,317.00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FINCO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644393100</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FIG Parent,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Foundation Holdco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13,399,317.00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13,399,317.00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13,399,317.00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FIG Buyer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13,399,317.00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13,399,317.00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This statement is being jointly filed by each of the entities below pursuant to Rule 13d-1(k) promulgated by the Securities and Exchange Commission pursuant to Section 13 of the Act, all of whom together are referred to herein as the "Reporting Persons": (i) FIG LLC, a Delaware limited liability company, which directly holds Class A Common Stock of the Issuer; (ii) Fortress Operating Entity I LP, a Delaware limited partnership, which is the sole owner of FIG LLC; (iii) FIG Blue LLC, a Delaware limited liability company, which is the general partner of Fortress</w:t>
      </w:r>
    </w:p>
    <w:p>
      <w:pPr>
        <w:spacing w:after="0" w:line="1" w:lineRule="exact"/>
        <w:rPr>
          <w:sz w:val="20"/>
          <w:szCs w:val="20"/>
          <w:color w:val="auto"/>
        </w:rPr>
      </w:pPr>
    </w:p>
    <w:p>
      <w:pPr>
        <w:ind w:left="920" w:right="40" w:hanging="912"/>
        <w:spacing w:after="0" w:line="243"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Entity I LP; (iv) Fortress Investment Group LLC, a Delaware limited liability company, which is the sole member of FIG Blue LLC; (v) FINCO I Intermediate Holdco LLC, a Delaware limited liability company, which is the sole member of Fortress Investment Group LLC; (vi) FINCO I LLC, a Delaware limited liability company, which is the sole member of FINCO I Intermediate Holdco LLC; (vii) FIG Parent, LLC, a Delaware limited liability company, which is the sole member of FINCO I LLC; (viii) Foundation Holdco LP, a Delaware limited partnership, which is the sole member of FIG Parent, LLC; and (ix) FIG Buyer GP, LLC, a Delaware limited liability company, which is the general partner of Foundation Holdco LP. The Joint Filing Agreement among the Reporting Persons to file this Schedule 13G jointly in accordance with Rule 13d-1(k)(1) of the Act is attached as Exhibit A herein.</w:t>
      </w:r>
    </w:p>
    <w:p>
      <w:pPr>
        <w:sectPr>
          <w:pgSz w:w="11900" w:h="16838" w:orient="portrait"/>
          <w:cols w:equalWidth="0" w:num="1">
            <w:col w:w="11120"/>
          </w:cols>
          <w:pgMar w:left="360" w:top="355" w:right="41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as follows: c/o Fortress Investment Group LLC 1345 Avenue of the Americas, 46th Floor New York, New York 10105</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4 on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644393100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20"/>
          </w:cols>
          <w:pgMar w:left="360" w:top="355" w:right="419" w:bottom="0" w:gutter="0" w:footer="0" w:header="0"/>
          <w:type w:val="continuous"/>
        </w:sectPr>
      </w:pPr>
    </w:p>
    <w:bookmarkStart w:id="8" w:name="page9"/>
    <w:bookmarkEnd w:id="8"/>
    <w:p>
      <w:pPr>
        <w:spacing w:after="0" w:line="8"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See responses to Item 9 on each cover page. Pursuant to Rule 13d-1 of the Act, the Reporting Persons expressly declare that the filing of this statement shall not be construed as an admission that any such person is, for the purposes of Section 13(d) and/or Section 13(g) of the Act or otherwise, the beneficial owner of any securities covered by this statement held by any other person.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Item 11 on each cover page. All percentages of Class A Common Stock reported herein are based on 273,771,811 shares of Class A Common Stock outstanding as of February 28, 2025, as reported by the Issuer in its Annual Report on Form 10-K filed with the SEC on March 10,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7" w:orient="portrait"/>
          <w:cols w:equalWidth="0" w:num="1">
            <w:col w:w="11140"/>
          </w:cols>
          <w:pgMar w:left="360" w:top="355"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355"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B attached.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FIG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Fortress Operating Entity I LP</w:t>
      </w:r>
    </w:p>
    <w:p>
      <w:pPr>
        <w:sectPr>
          <w:pgSz w:w="11900" w:h="16847" w:orient="portrait"/>
          <w:cols w:equalWidth="0" w:num="1">
            <w:col w:w="11140"/>
          </w:cols>
          <w:pgMar w:left="360" w:top="355" w:right="399" w:bottom="0" w:gutter="0" w:footer="0" w:header="0"/>
          <w:type w:val="continuous"/>
        </w:sectPr>
      </w:pPr>
    </w:p>
    <w:bookmarkStart w:id="9" w:name="page10"/>
    <w:bookmarkEnd w:id="9"/>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FIG Blue LLC, its general partner By: David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Brooks/Secretary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FIG Blue LLC (f/k/a FIG Corp.)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Fortress Investment Group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FINCO I Intermediate Holdco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FINCO I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FIG Parent,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Foundation Holdco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FIG Buyer GP, LLC, its general partner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Brooks/Secretary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FIG Buyer GP,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Brooks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David Brooks/Secretary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A - Joint Filing Agreement Exhibit B - Identification and Classification of the Subsidiary Which Acquired the Security Being Reported on By the Parent Holding Company or Control Person</w:t>
      </w:r>
    </w:p>
    <w:p>
      <w:pPr>
        <w:sectPr>
          <w:pgSz w:w="11900" w:h="16838" w:orient="portrait"/>
          <w:cols w:equalWidth="0" w:num="1">
            <w:col w:w="10980"/>
          </w:cols>
          <w:pgMar w:left="360" w:top="220" w:right="5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In accordance with Rule 13d-1(k), the undersigned acknowledge and agree that the foregoing statement on Schedule 13G with respect to the Class A Common Stock, par value $0.01 per share, of New Fortress Energy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Dated this 4th day of April 2025.</w:t>
            </w:r>
          </w:p>
        </w:tc>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46"/>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w w:val="98"/>
              </w:rPr>
              <w:t>FIG LLC</w:t>
            </w:r>
          </w:p>
        </w:tc>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9"/>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c>
          <w:tcPr>
            <w:tcW w:w="320" w:type="dxa"/>
            <w:vAlign w:val="bottom"/>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c>
          <w:tcPr>
            <w:tcW w:w="320" w:type="dxa"/>
            <w:vAlign w:val="bottom"/>
          </w:tcPr>
          <w:p>
            <w:pPr>
              <w:spacing w:after="0"/>
              <w:rPr>
                <w:sz w:val="17"/>
                <w:szCs w:val="17"/>
                <w:color w:val="auto"/>
              </w:rPr>
            </w:pPr>
          </w:p>
        </w:tc>
      </w:tr>
      <w:tr>
        <w:trPr>
          <w:trHeight w:val="258"/>
        </w:trPr>
        <w:tc>
          <w:tcPr>
            <w:tcW w:w="638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c>
          <w:tcPr>
            <w:tcW w:w="320" w:type="dxa"/>
            <w:vAlign w:val="bottom"/>
          </w:tcPr>
          <w:p>
            <w:pPr>
              <w:spacing w:after="0"/>
              <w:rPr>
                <w:sz w:val="22"/>
                <w:szCs w:val="22"/>
                <w:color w:val="auto"/>
              </w:rPr>
            </w:pPr>
          </w:p>
        </w:tc>
      </w:tr>
      <w:tr>
        <w:trPr>
          <w:trHeight w:val="662"/>
        </w:trPr>
        <w:tc>
          <w:tcPr>
            <w:tcW w:w="10920" w:type="dxa"/>
            <w:vAlign w:val="bottom"/>
            <w:gridSpan w:val="2"/>
          </w:tcPr>
          <w:p>
            <w:pPr>
              <w:ind w:left="5620"/>
              <w:spacing w:after="0"/>
              <w:rPr>
                <w:sz w:val="20"/>
                <w:szCs w:val="20"/>
                <w:color w:val="auto"/>
              </w:rPr>
            </w:pPr>
            <w:r>
              <w:rPr>
                <w:rFonts w:ascii="Times New Roman" w:cs="Times New Roman" w:eastAsia="Times New Roman" w:hAnsi="Times New Roman"/>
                <w:sz w:val="20"/>
                <w:szCs w:val="20"/>
                <w:color w:val="auto"/>
              </w:rPr>
              <w:t>Fortress Operating Entity I LP</w:t>
            </w:r>
          </w:p>
        </w:tc>
        <w:tc>
          <w:tcPr>
            <w:tcW w:w="320" w:type="dxa"/>
            <w:vAlign w:val="bottom"/>
          </w:tcPr>
          <w:p>
            <w:pPr>
              <w:spacing w:after="0"/>
              <w:rPr>
                <w:sz w:val="24"/>
                <w:szCs w:val="24"/>
                <w:color w:val="auto"/>
              </w:rPr>
            </w:pPr>
          </w:p>
        </w:tc>
      </w:tr>
      <w:tr>
        <w:trPr>
          <w:trHeight w:val="446"/>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FIG Blue LLC, its general partner</w:t>
            </w:r>
          </w:p>
        </w:tc>
        <w:tc>
          <w:tcPr>
            <w:tcW w:w="320" w:type="dxa"/>
            <w:vAlign w:val="bottom"/>
          </w:tcPr>
          <w:p>
            <w:pPr>
              <w:spacing w:after="0"/>
              <w:rPr>
                <w:sz w:val="24"/>
                <w:szCs w:val="24"/>
                <w:color w:val="auto"/>
              </w:rPr>
            </w:pPr>
          </w:p>
        </w:tc>
      </w:tr>
      <w:tr>
        <w:trPr>
          <w:trHeight w:val="439"/>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c>
          <w:tcPr>
            <w:tcW w:w="320" w:type="dxa"/>
            <w:vAlign w:val="bottom"/>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c>
          <w:tcPr>
            <w:tcW w:w="320" w:type="dxa"/>
            <w:vAlign w:val="bottom"/>
          </w:tcPr>
          <w:p>
            <w:pPr>
              <w:spacing w:after="0"/>
              <w:rPr>
                <w:sz w:val="17"/>
                <w:szCs w:val="17"/>
                <w:color w:val="auto"/>
              </w:rPr>
            </w:pPr>
          </w:p>
        </w:tc>
      </w:tr>
      <w:tr>
        <w:trPr>
          <w:trHeight w:val="258"/>
        </w:trPr>
        <w:tc>
          <w:tcPr>
            <w:tcW w:w="638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c>
          <w:tcPr>
            <w:tcW w:w="320" w:type="dxa"/>
            <w:vAlign w:val="bottom"/>
          </w:tcPr>
          <w:p>
            <w:pPr>
              <w:spacing w:after="0"/>
              <w:rPr>
                <w:sz w:val="22"/>
                <w:szCs w:val="22"/>
                <w:color w:val="auto"/>
              </w:rPr>
            </w:pPr>
          </w:p>
        </w:tc>
      </w:tr>
      <w:tr>
        <w:trPr>
          <w:trHeight w:val="662"/>
        </w:trPr>
        <w:tc>
          <w:tcPr>
            <w:tcW w:w="10920" w:type="dxa"/>
            <w:vAlign w:val="bottom"/>
            <w:gridSpan w:val="2"/>
          </w:tcPr>
          <w:p>
            <w:pPr>
              <w:ind w:left="5620"/>
              <w:spacing w:after="0"/>
              <w:rPr>
                <w:sz w:val="20"/>
                <w:szCs w:val="20"/>
                <w:color w:val="auto"/>
              </w:rPr>
            </w:pPr>
            <w:r>
              <w:rPr>
                <w:rFonts w:ascii="Times New Roman" w:cs="Times New Roman" w:eastAsia="Times New Roman" w:hAnsi="Times New Roman"/>
                <w:sz w:val="20"/>
                <w:szCs w:val="20"/>
                <w:color w:val="auto"/>
              </w:rPr>
              <w:t>FIG Blue LLC</w:t>
            </w:r>
          </w:p>
        </w:tc>
        <w:tc>
          <w:tcPr>
            <w:tcW w:w="320" w:type="dxa"/>
            <w:vAlign w:val="bottom"/>
          </w:tcPr>
          <w:p>
            <w:pPr>
              <w:spacing w:after="0"/>
              <w:rPr>
                <w:sz w:val="24"/>
                <w:szCs w:val="24"/>
                <w:color w:val="auto"/>
              </w:rPr>
            </w:pPr>
          </w:p>
        </w:tc>
      </w:tr>
      <w:tr>
        <w:trPr>
          <w:trHeight w:val="439"/>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c>
          <w:tcPr>
            <w:tcW w:w="320" w:type="dxa"/>
            <w:vAlign w:val="bottom"/>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c>
          <w:tcPr>
            <w:tcW w:w="320" w:type="dxa"/>
            <w:vAlign w:val="bottom"/>
          </w:tcPr>
          <w:p>
            <w:pPr>
              <w:spacing w:after="0"/>
              <w:rPr>
                <w:sz w:val="17"/>
                <w:szCs w:val="17"/>
                <w:color w:val="auto"/>
              </w:rPr>
            </w:pPr>
          </w:p>
        </w:tc>
      </w:tr>
      <w:tr>
        <w:trPr>
          <w:trHeight w:val="258"/>
        </w:trPr>
        <w:tc>
          <w:tcPr>
            <w:tcW w:w="638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c>
          <w:tcPr>
            <w:tcW w:w="320" w:type="dxa"/>
            <w:vAlign w:val="bottom"/>
          </w:tcPr>
          <w:p>
            <w:pPr>
              <w:spacing w:after="0"/>
              <w:rPr>
                <w:sz w:val="22"/>
                <w:szCs w:val="22"/>
                <w:color w:val="auto"/>
              </w:rPr>
            </w:pPr>
          </w:p>
        </w:tc>
      </w:tr>
      <w:tr>
        <w:trPr>
          <w:trHeight w:val="661"/>
        </w:trPr>
        <w:tc>
          <w:tcPr>
            <w:tcW w:w="10920" w:type="dxa"/>
            <w:vAlign w:val="bottom"/>
            <w:gridSpan w:val="2"/>
          </w:tcPr>
          <w:p>
            <w:pPr>
              <w:ind w:left="5620"/>
              <w:spacing w:after="0"/>
              <w:rPr>
                <w:sz w:val="20"/>
                <w:szCs w:val="20"/>
                <w:color w:val="auto"/>
              </w:rPr>
            </w:pPr>
            <w:r>
              <w:rPr>
                <w:rFonts w:ascii="Times New Roman" w:cs="Times New Roman" w:eastAsia="Times New Roman" w:hAnsi="Times New Roman"/>
                <w:sz w:val="20"/>
                <w:szCs w:val="20"/>
                <w:color w:val="auto"/>
              </w:rPr>
              <w:t>Fortress Investment Group LLC</w:t>
            </w:r>
          </w:p>
        </w:tc>
        <w:tc>
          <w:tcPr>
            <w:tcW w:w="320" w:type="dxa"/>
            <w:vAlign w:val="bottom"/>
          </w:tcPr>
          <w:p>
            <w:pPr>
              <w:spacing w:after="0"/>
              <w:rPr>
                <w:sz w:val="24"/>
                <w:szCs w:val="24"/>
                <w:color w:val="auto"/>
              </w:rPr>
            </w:pPr>
          </w:p>
        </w:tc>
      </w:tr>
      <w:tr>
        <w:trPr>
          <w:trHeight w:val="440"/>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c>
          <w:tcPr>
            <w:tcW w:w="320" w:type="dxa"/>
            <w:vAlign w:val="bottom"/>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c>
          <w:tcPr>
            <w:tcW w:w="320" w:type="dxa"/>
            <w:vAlign w:val="bottom"/>
          </w:tcPr>
          <w:p>
            <w:pPr>
              <w:spacing w:after="0"/>
              <w:rPr>
                <w:sz w:val="17"/>
                <w:szCs w:val="17"/>
                <w:color w:val="auto"/>
              </w:rPr>
            </w:pPr>
          </w:p>
        </w:tc>
      </w:tr>
      <w:tr>
        <w:trPr>
          <w:trHeight w:val="258"/>
        </w:trPr>
        <w:tc>
          <w:tcPr>
            <w:tcW w:w="638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c>
          <w:tcPr>
            <w:tcW w:w="320" w:type="dxa"/>
            <w:vAlign w:val="bottom"/>
          </w:tcPr>
          <w:p>
            <w:pPr>
              <w:spacing w:after="0"/>
              <w:rPr>
                <w:sz w:val="22"/>
                <w:szCs w:val="22"/>
                <w:color w:val="auto"/>
              </w:rPr>
            </w:pPr>
          </w:p>
        </w:tc>
      </w:tr>
      <w:tr>
        <w:trPr>
          <w:trHeight w:val="662"/>
        </w:trPr>
        <w:tc>
          <w:tcPr>
            <w:tcW w:w="10920" w:type="dxa"/>
            <w:vAlign w:val="bottom"/>
            <w:gridSpan w:val="2"/>
          </w:tcPr>
          <w:p>
            <w:pPr>
              <w:ind w:left="5620"/>
              <w:spacing w:after="0"/>
              <w:rPr>
                <w:sz w:val="20"/>
                <w:szCs w:val="20"/>
                <w:color w:val="auto"/>
              </w:rPr>
            </w:pPr>
            <w:r>
              <w:rPr>
                <w:rFonts w:ascii="Times New Roman" w:cs="Times New Roman" w:eastAsia="Times New Roman" w:hAnsi="Times New Roman"/>
                <w:sz w:val="20"/>
                <w:szCs w:val="20"/>
                <w:color w:val="auto"/>
              </w:rPr>
              <w:t>FINCO I Intermediate Holdco LLC</w:t>
            </w:r>
          </w:p>
        </w:tc>
        <w:tc>
          <w:tcPr>
            <w:tcW w:w="320" w:type="dxa"/>
            <w:vAlign w:val="bottom"/>
          </w:tcPr>
          <w:p>
            <w:pPr>
              <w:spacing w:after="0"/>
              <w:rPr>
                <w:sz w:val="24"/>
                <w:szCs w:val="24"/>
                <w:color w:val="auto"/>
              </w:rPr>
            </w:pPr>
          </w:p>
        </w:tc>
      </w:tr>
      <w:tr>
        <w:trPr>
          <w:trHeight w:val="440"/>
        </w:trPr>
        <w:tc>
          <w:tcPr>
            <w:tcW w:w="638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c>
          <w:tcPr>
            <w:tcW w:w="320" w:type="dxa"/>
            <w:vAlign w:val="bottom"/>
          </w:tcPr>
          <w:p>
            <w:pPr>
              <w:spacing w:after="0"/>
              <w:rPr>
                <w:sz w:val="24"/>
                <w:szCs w:val="24"/>
                <w:color w:val="auto"/>
              </w:rPr>
            </w:pPr>
          </w:p>
        </w:tc>
      </w:tr>
      <w:tr>
        <w:trPr>
          <w:trHeight w:val="200"/>
        </w:trPr>
        <w:tc>
          <w:tcPr>
            <w:tcW w:w="638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c>
          <w:tcPr>
            <w:tcW w:w="320" w:type="dxa"/>
            <w:vAlign w:val="bottom"/>
          </w:tcPr>
          <w:p>
            <w:pPr>
              <w:spacing w:after="0"/>
              <w:rPr>
                <w:sz w:val="17"/>
                <w:szCs w:val="17"/>
                <w:color w:val="auto"/>
              </w:rPr>
            </w:pPr>
          </w:p>
        </w:tc>
      </w:tr>
      <w:tr>
        <w:trPr>
          <w:trHeight w:val="258"/>
        </w:trPr>
        <w:tc>
          <w:tcPr>
            <w:tcW w:w="638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c>
          <w:tcPr>
            <w:tcW w:w="320" w:type="dxa"/>
            <w:vAlign w:val="bottom"/>
          </w:tcPr>
          <w:p>
            <w:pPr>
              <w:spacing w:after="0"/>
              <w:rPr>
                <w:sz w:val="22"/>
                <w:szCs w:val="22"/>
                <w:color w:val="auto"/>
              </w:rPr>
            </w:pPr>
          </w:p>
        </w:tc>
      </w:tr>
      <w:tr>
        <w:trPr>
          <w:trHeight w:val="662"/>
        </w:trPr>
        <w:tc>
          <w:tcPr>
            <w:tcW w:w="6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11" w:name="page12"/>
    <w:bookmarkEnd w:id="11"/>
    <w:p>
      <w:pPr>
        <w:jc w:val="center"/>
        <w:ind w:right="-359"/>
        <w:spacing w:after="0"/>
        <w:rPr>
          <w:sz w:val="20"/>
          <w:szCs w:val="20"/>
          <w:color w:val="auto"/>
        </w:rPr>
      </w:pPr>
      <w:r>
        <w:rPr>
          <w:rFonts w:ascii="Times New Roman" w:cs="Times New Roman" w:eastAsia="Times New Roman" w:hAnsi="Times New Roman"/>
          <w:sz w:val="19"/>
          <w:szCs w:val="19"/>
          <w:color w:val="auto"/>
        </w:rPr>
        <w:t>FINCO I LLC</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r>
      <w:tr>
        <w:trPr>
          <w:trHeight w:val="200"/>
        </w:trPr>
        <w:tc>
          <w:tcPr>
            <w:tcW w:w="74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r>
      <w:tr>
        <w:trPr>
          <w:trHeight w:val="258"/>
        </w:trPr>
        <w:tc>
          <w:tcPr>
            <w:tcW w:w="74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r>
      <w:tr>
        <w:trPr>
          <w:trHeight w:val="445"/>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FIG Parent, LLC</w:t>
            </w:r>
          </w:p>
        </w:tc>
      </w:tr>
      <w:tr>
        <w:trPr>
          <w:trHeight w:val="44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r>
      <w:tr>
        <w:trPr>
          <w:trHeight w:val="200"/>
        </w:trPr>
        <w:tc>
          <w:tcPr>
            <w:tcW w:w="74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r>
      <w:tr>
        <w:trPr>
          <w:trHeight w:val="258"/>
        </w:trPr>
        <w:tc>
          <w:tcPr>
            <w:tcW w:w="74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r>
      <w:tr>
        <w:trPr>
          <w:trHeight w:val="417"/>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Foundation Holdco LP</w:t>
            </w: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FIG Buyer GP, LLC, its general partner</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r>
      <w:tr>
        <w:trPr>
          <w:trHeight w:val="200"/>
        </w:trPr>
        <w:tc>
          <w:tcPr>
            <w:tcW w:w="74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r>
      <w:tr>
        <w:trPr>
          <w:trHeight w:val="258"/>
        </w:trPr>
        <w:tc>
          <w:tcPr>
            <w:tcW w:w="74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r>
      <w:tr>
        <w:trPr>
          <w:trHeight w:val="446"/>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FIG Buyer GP, LLC</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Brooks</w:t>
            </w:r>
          </w:p>
        </w:tc>
      </w:tr>
      <w:tr>
        <w:trPr>
          <w:trHeight w:val="200"/>
        </w:trPr>
        <w:tc>
          <w:tcPr>
            <w:tcW w:w="740" w:type="dxa"/>
            <w:vAlign w:val="bottom"/>
          </w:tcPr>
          <w:p>
            <w:pPr>
              <w:spacing w:after="0"/>
              <w:rPr>
                <w:sz w:val="17"/>
                <w:szCs w:val="17"/>
                <w:color w:val="auto"/>
              </w:rPr>
            </w:pPr>
          </w:p>
        </w:tc>
        <w:tc>
          <w:tcPr>
            <w:tcW w:w="4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 David Brooks</w:t>
            </w:r>
          </w:p>
        </w:tc>
      </w:tr>
      <w:tr>
        <w:trPr>
          <w:trHeight w:val="258"/>
        </w:trPr>
        <w:tc>
          <w:tcPr>
            <w:tcW w:w="74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Title: Secretary</w:t>
            </w:r>
          </w:p>
        </w:tc>
      </w:tr>
    </w:tbl>
    <w:p>
      <w:pPr>
        <w:sectPr>
          <w:pgSz w:w="11900" w:h="16838" w:orient="portrait"/>
          <w:cols w:equalWidth="0" w:num="1">
            <w:col w:w="9800"/>
          </w:cols>
          <w:pgMar w:left="1440" w:top="549" w:right="6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FIG LLC is a registered investment adviser (IA). See Items 2(a) and 3 of the statement to which this exhibit is attached.</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2025-04-04T15:49:51Z</dcterms:created>
  <dcterms:modified xsi:type="dcterms:W3CDTF">2025-04-04T15:49:51Z</dcterms:modified>
</cp:coreProperties>
</file>