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New Fortress Energy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Class A 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644393100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April 15,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1120" w:hanging="302"/>
        <w:spacing w:after="0"/>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1120" w:hanging="302"/>
        <w:spacing w:after="0"/>
        <w:tabs>
          <w:tab w:leader="none" w:pos="11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1120" w:hanging="302"/>
        <w:spacing w:after="0"/>
        <w:tabs>
          <w:tab w:leader="none" w:pos="112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300"/>
              <w:spacing w:after="0"/>
              <w:rPr>
                <w:sz w:val="20"/>
                <w:szCs w:val="20"/>
                <w:color w:val="auto"/>
              </w:rPr>
            </w:pPr>
            <w:r>
              <w:rPr>
                <w:rFonts w:ascii="Arial" w:cs="Arial" w:eastAsia="Arial" w:hAnsi="Arial"/>
                <w:sz w:val="18"/>
                <w:szCs w:val="18"/>
                <w:color w:val="auto"/>
              </w:rPr>
              <w:t>SCHEDULE 13G</w:t>
            </w:r>
          </w:p>
        </w:tc>
        <w:tc>
          <w:tcPr>
            <w:tcW w:w="2120" w:type="dxa"/>
            <w:vAlign w:val="bottom"/>
          </w:tcPr>
          <w:p>
            <w:pPr>
              <w:ind w:left="760"/>
              <w:spacing w:after="0"/>
              <w:rPr>
                <w:sz w:val="20"/>
                <w:szCs w:val="20"/>
                <w:color w:val="auto"/>
              </w:rPr>
            </w:pPr>
            <w:r>
              <w:rPr>
                <w:rFonts w:ascii="Arial" w:cs="Arial" w:eastAsia="Arial" w:hAnsi="Arial"/>
                <w:sz w:val="18"/>
                <w:szCs w:val="18"/>
                <w:color w:val="auto"/>
                <w:w w:val="83"/>
              </w:rPr>
              <w:t>Page 2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Stonepeak Infrastructure Fund II Cayman (G) Ltd.</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12,745,098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20" w:type="dxa"/>
            <w:vAlign w:val="bottom"/>
            <w:tcBorders>
              <w:bottom w:val="single" w:sz="8" w:color="auto"/>
            </w:tcBorders>
            <w:gridSpan w:val="2"/>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300"/>
              <w:spacing w:after="0"/>
              <w:rPr>
                <w:sz w:val="20"/>
                <w:szCs w:val="20"/>
                <w:color w:val="auto"/>
              </w:rPr>
            </w:pPr>
            <w:r>
              <w:rPr>
                <w:rFonts w:ascii="Arial" w:cs="Arial" w:eastAsia="Arial" w:hAnsi="Arial"/>
                <w:sz w:val="18"/>
                <w:szCs w:val="18"/>
                <w:color w:val="auto"/>
              </w:rPr>
              <w:t>SCHEDULE 13G</w:t>
            </w:r>
          </w:p>
        </w:tc>
        <w:tc>
          <w:tcPr>
            <w:tcW w:w="2120" w:type="dxa"/>
            <w:vAlign w:val="bottom"/>
          </w:tcPr>
          <w:p>
            <w:pPr>
              <w:ind w:left="760"/>
              <w:spacing w:after="0"/>
              <w:rPr>
                <w:sz w:val="20"/>
                <w:szCs w:val="20"/>
                <w:color w:val="auto"/>
              </w:rPr>
            </w:pPr>
            <w:r>
              <w:rPr>
                <w:rFonts w:ascii="Arial" w:cs="Arial" w:eastAsia="Arial" w:hAnsi="Arial"/>
                <w:sz w:val="18"/>
                <w:szCs w:val="18"/>
                <w:color w:val="auto"/>
                <w:w w:val="83"/>
              </w:rPr>
              <w:t>Page 3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Stonepeak Golar Power Holdings (Delaware) LP</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12,745,098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20" w:type="dxa"/>
            <w:vAlign w:val="bottom"/>
            <w:tcBorders>
              <w:bottom w:val="single" w:sz="8" w:color="auto"/>
            </w:tcBorders>
            <w:gridSpan w:val="2"/>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300"/>
              <w:spacing w:after="0"/>
              <w:rPr>
                <w:sz w:val="20"/>
                <w:szCs w:val="20"/>
                <w:color w:val="auto"/>
              </w:rPr>
            </w:pPr>
            <w:r>
              <w:rPr>
                <w:rFonts w:ascii="Arial" w:cs="Arial" w:eastAsia="Arial" w:hAnsi="Arial"/>
                <w:sz w:val="18"/>
                <w:szCs w:val="18"/>
                <w:color w:val="auto"/>
              </w:rPr>
              <w:t>SCHEDULE 13G</w:t>
            </w:r>
          </w:p>
        </w:tc>
        <w:tc>
          <w:tcPr>
            <w:tcW w:w="2120" w:type="dxa"/>
            <w:vAlign w:val="bottom"/>
          </w:tcPr>
          <w:p>
            <w:pPr>
              <w:ind w:left="760"/>
              <w:spacing w:after="0"/>
              <w:rPr>
                <w:sz w:val="20"/>
                <w:szCs w:val="20"/>
                <w:color w:val="auto"/>
              </w:rPr>
            </w:pPr>
            <w:r>
              <w:rPr>
                <w:rFonts w:ascii="Arial" w:cs="Arial" w:eastAsia="Arial" w:hAnsi="Arial"/>
                <w:sz w:val="18"/>
                <w:szCs w:val="18"/>
                <w:color w:val="auto"/>
                <w:w w:val="83"/>
              </w:rPr>
              <w:t>Page 4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Stonepeak Infrastructure Fund II Cayman LP</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12,745,098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20" w:type="dxa"/>
            <w:vAlign w:val="bottom"/>
            <w:tcBorders>
              <w:bottom w:val="single" w:sz="8" w:color="auto"/>
            </w:tcBorders>
            <w:gridSpan w:val="2"/>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300"/>
              <w:spacing w:after="0"/>
              <w:rPr>
                <w:sz w:val="20"/>
                <w:szCs w:val="20"/>
                <w:color w:val="auto"/>
              </w:rPr>
            </w:pPr>
            <w:r>
              <w:rPr>
                <w:rFonts w:ascii="Arial" w:cs="Arial" w:eastAsia="Arial" w:hAnsi="Arial"/>
                <w:sz w:val="18"/>
                <w:szCs w:val="18"/>
                <w:color w:val="auto"/>
              </w:rPr>
              <w:t>SCHEDULE 13G</w:t>
            </w:r>
          </w:p>
        </w:tc>
        <w:tc>
          <w:tcPr>
            <w:tcW w:w="2120" w:type="dxa"/>
            <w:vAlign w:val="bottom"/>
          </w:tcPr>
          <w:p>
            <w:pPr>
              <w:ind w:left="760"/>
              <w:spacing w:after="0"/>
              <w:rPr>
                <w:sz w:val="20"/>
                <w:szCs w:val="20"/>
                <w:color w:val="auto"/>
              </w:rPr>
            </w:pPr>
            <w:r>
              <w:rPr>
                <w:rFonts w:ascii="Arial" w:cs="Arial" w:eastAsia="Arial" w:hAnsi="Arial"/>
                <w:sz w:val="18"/>
                <w:szCs w:val="18"/>
                <w:color w:val="auto"/>
                <w:w w:val="83"/>
              </w:rPr>
              <w:t>Page 5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Stonepeak Infrastructure Fund II Cayman Ltd.</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12,745,098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20" w:type="dxa"/>
            <w:vAlign w:val="bottom"/>
            <w:tcBorders>
              <w:bottom w:val="single" w:sz="8" w:color="auto"/>
            </w:tcBorders>
            <w:gridSpan w:val="2"/>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300"/>
              <w:spacing w:after="0"/>
              <w:rPr>
                <w:sz w:val="20"/>
                <w:szCs w:val="20"/>
                <w:color w:val="auto"/>
              </w:rPr>
            </w:pPr>
            <w:r>
              <w:rPr>
                <w:rFonts w:ascii="Arial" w:cs="Arial" w:eastAsia="Arial" w:hAnsi="Arial"/>
                <w:sz w:val="18"/>
                <w:szCs w:val="18"/>
                <w:color w:val="auto"/>
              </w:rPr>
              <w:t>SCHEDULE 13G</w:t>
            </w:r>
          </w:p>
        </w:tc>
        <w:tc>
          <w:tcPr>
            <w:tcW w:w="2120" w:type="dxa"/>
            <w:vAlign w:val="bottom"/>
          </w:tcPr>
          <w:p>
            <w:pPr>
              <w:ind w:left="760"/>
              <w:spacing w:after="0"/>
              <w:rPr>
                <w:sz w:val="20"/>
                <w:szCs w:val="20"/>
                <w:color w:val="auto"/>
              </w:rPr>
            </w:pPr>
            <w:r>
              <w:rPr>
                <w:rFonts w:ascii="Arial" w:cs="Arial" w:eastAsia="Arial" w:hAnsi="Arial"/>
                <w:sz w:val="18"/>
                <w:szCs w:val="18"/>
                <w:color w:val="auto"/>
                <w:w w:val="83"/>
              </w:rPr>
              <w:t>Page 6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MICHAEL DORRELL</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12,745,098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12,745,098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20" w:type="dxa"/>
            <w:vAlign w:val="bottom"/>
            <w:tcBorders>
              <w:bottom w:val="single" w:sz="8" w:color="auto"/>
            </w:tcBorders>
            <w:gridSpan w:val="2"/>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644393100</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7"/>
          <w:szCs w:val="17"/>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10 Pages</w:t>
      </w:r>
    </w:p>
    <w:p>
      <w:pPr>
        <w:spacing w:after="0" w:line="214" w:lineRule="exact"/>
        <w:rPr>
          <w:sz w:val="20"/>
          <w:szCs w:val="20"/>
          <w:color w:val="auto"/>
        </w:rPr>
      </w:pPr>
    </w:p>
    <w:p>
      <w:pPr>
        <w:sectPr>
          <w:pgSz w:w="11900" w:h="16838" w:orient="portrait"/>
          <w:cols w:equalWidth="0" w:num="3">
            <w:col w:w="4300" w:space="720"/>
            <w:col w:w="4140" w:space="720"/>
            <w:col w:w="1360"/>
          </w:cols>
          <w:pgMar w:left="320" w:top="125" w:right="339" w:bottom="1440" w:gutter="0" w:footer="0" w:header="0"/>
        </w:sect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Fortress Energy Inc. (the “Issuer”)</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 W. 19th Street, 8th Floor</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10011</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Statement is filed on behalf of each of the following persons (collectively, the “Reporting Persons”):</w:t>
      </w:r>
    </w:p>
    <w:p>
      <w:pPr>
        <w:spacing w:after="0" w:line="252" w:lineRule="exact"/>
        <w:rPr>
          <w:sz w:val="20"/>
          <w:szCs w:val="20"/>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Stonepeak Infrastructure Fund II Cayman (G) Ltd.;</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Stonepeak Golar Power Holdings (Delaware) LP;</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Stonepeak Infrastructure Fund II Cayman LP;</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Stonepeak Infrastructure Fund II Cayman Ltd.; and</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Michael Dorrell (“Mr. Dorrell”)</w:t>
      </w:r>
    </w:p>
    <w:p>
      <w:pPr>
        <w:spacing w:after="0" w:line="23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This Statement relates to Common Stock (as defined herein) held for the account of Stonepeak Infrastructure Fund</w:t>
      </w:r>
    </w:p>
    <w:p>
      <w:pPr>
        <w:spacing w:after="0" w:line="8" w:lineRule="exact"/>
        <w:rPr>
          <w:sz w:val="20"/>
          <w:szCs w:val="20"/>
          <w:color w:val="auto"/>
        </w:rPr>
      </w:pPr>
    </w:p>
    <w:p>
      <w:pPr>
        <w:ind w:right="120" w:firstLine="8"/>
        <w:spacing w:after="0" w:line="275" w:lineRule="auto"/>
        <w:tabs>
          <w:tab w:leader="none" w:pos="198" w:val="left"/>
        </w:tabs>
        <w:numPr>
          <w:ilvl w:val="0"/>
          <w:numId w:val="5"/>
        </w:numPr>
        <w:rPr>
          <w:rFonts w:ascii="Arial" w:cs="Arial" w:eastAsia="Arial" w:hAnsi="Arial"/>
          <w:sz w:val="19"/>
          <w:szCs w:val="19"/>
          <w:color w:val="auto"/>
        </w:rPr>
      </w:pPr>
      <w:r>
        <w:rPr>
          <w:rFonts w:ascii="Arial" w:cs="Arial" w:eastAsia="Arial" w:hAnsi="Arial"/>
          <w:sz w:val="19"/>
          <w:szCs w:val="19"/>
          <w:color w:val="auto"/>
        </w:rPr>
        <w:t>Cayman (G) Ltd. Stonepeak Golar Power Holdings (Delaware) LP is the sole shareholder of Stonepeak Infrastructure Fund II Cayman (G) Ltd. The general partner of Stonepeak Golar Power Holding (Delaware) LP is Stonepeak Infrastructure Fund II Cayman LP. The general partner of Stonepeak Infrastructure Fund II Cayman LP is Stonepeak Infrastructure Fund II Cayman Ltd., whose managing shareholder is Michael Dorrell. Accordingly, each of Stonepeak Golar Power Holdings (Delaware) LP, Stonepeak Infrastructure Fund II Cayman LP, Stonepeak Infrastructure Fund II Cayman Ltd. and Mr. Dorrell may be deemed to indirectly beneficially own the shares of Common Stock reported herein.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The address of the principal business office of each of the Reporting Persons is 55 Hudson Yards, 550 W. 34th Street, 48th Floor, New York, NY 10001.</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Each of Stonepeak Infrastructure Fund II Cayman (G) Ltd. and Stonepeak Infrastructure Fund II Cayman Ltd. is a Cayman Islands exempted company. Stonepeak Infrastructure Fund II Cayman LP is a Cayman Islands exempted limited partnership. Stonepeak Golar Power Holdings (Delaware) LP is a Delaware limited partnership. Mr. Dorrell is a citizen of the United States of America.</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 par value $0.01 per share (the “Common Stock”)</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644393100</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 644393100</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7"/>
          <w:szCs w:val="17"/>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10 Pages</w:t>
      </w:r>
    </w:p>
    <w:p>
      <w:pPr>
        <w:spacing w:after="0" w:line="214" w:lineRule="exact"/>
        <w:rPr>
          <w:sz w:val="20"/>
          <w:szCs w:val="20"/>
          <w:color w:val="auto"/>
        </w:rPr>
      </w:pPr>
    </w:p>
    <w:p>
      <w:pPr>
        <w:sectPr>
          <w:pgSz w:w="11900" w:h="16838" w:orient="portrait"/>
          <w:cols w:equalWidth="0" w:num="3">
            <w:col w:w="4300" w:space="720"/>
            <w:col w:w="4140" w:space="720"/>
            <w:col w:w="1360"/>
          </w:cols>
          <w:pgMar w:left="320" w:top="125" w:right="339" w:bottom="1440" w:gutter="0" w:footer="0" w:header="0"/>
        </w:sect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99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11"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line="60"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2"/>
          <w:szCs w:val="22"/>
          <w:color w:val="auto"/>
        </w:rPr>
        <w:t>As of April 15, 2021, each of the Reporting Persons may be deemed the beneficial owner of 12,745,098 shares of Common Stock. This amount includes 1,872,936 shares of Common Stock, subject to certain adjustments, which are to be transferred to certain individuals and entities that participate in Hygo Energy Transition Ltd.’s management incentive system in connection with the Issuer’s acquisition of Hygo Energy Transition Ltd. pursuant to a merger agreement that closed on April 15, 2021.</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49" w:lineRule="exact"/>
        <w:rPr>
          <w:sz w:val="20"/>
          <w:szCs w:val="20"/>
          <w:color w:val="auto"/>
        </w:rPr>
      </w:pPr>
    </w:p>
    <w:p>
      <w:pPr>
        <w:jc w:val="both"/>
        <w:ind w:right="180" w:firstLine="1296"/>
        <w:spacing w:after="0"/>
        <w:rPr>
          <w:sz w:val="20"/>
          <w:szCs w:val="20"/>
          <w:color w:val="auto"/>
        </w:rPr>
      </w:pPr>
      <w:r>
        <w:rPr>
          <w:rFonts w:ascii="Arial" w:cs="Arial" w:eastAsia="Arial" w:hAnsi="Arial"/>
          <w:sz w:val="22"/>
          <w:szCs w:val="22"/>
          <w:color w:val="auto"/>
        </w:rPr>
        <w:t>As of April 15, 2021, each of the Reporting Persons may be deemed the beneficial owner of approximately 6.2% of the shares of Common Stock outstanding. This calculation assumes 206,692,963 Common Stock outstanding as of April 21, 2021 based on information provided by the Issuer.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680" w:type="dxa"/>
            <w:vAlign w:val="bottom"/>
          </w:tcPr>
          <w:p>
            <w:pPr>
              <w:spacing w:after="0"/>
              <w:rPr>
                <w:sz w:val="20"/>
                <w:szCs w:val="20"/>
                <w:color w:val="auto"/>
              </w:rPr>
            </w:pPr>
          </w:p>
        </w:tc>
      </w:tr>
      <w:tr>
        <w:trPr>
          <w:trHeight w:val="445"/>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Each Reporting Person:</w:t>
            </w:r>
          </w:p>
        </w:tc>
        <w:tc>
          <w:tcPr>
            <w:tcW w:w="368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(i) Sole power to vote or direct the vote:</w:t>
            </w:r>
          </w:p>
        </w:tc>
        <w:tc>
          <w:tcPr>
            <w:tcW w:w="3680" w:type="dxa"/>
            <w:vAlign w:val="bottom"/>
          </w:tcPr>
          <w:p>
            <w:pPr>
              <w:jc w:val="right"/>
              <w:ind w:right="2310"/>
              <w:spacing w:after="0"/>
              <w:rPr>
                <w:sz w:val="20"/>
                <w:szCs w:val="20"/>
                <w:color w:val="auto"/>
              </w:rPr>
            </w:pPr>
            <w:r>
              <w:rPr>
                <w:rFonts w:ascii="Arial" w:cs="Arial" w:eastAsia="Arial" w:hAnsi="Arial"/>
                <w:sz w:val="18"/>
                <w:szCs w:val="18"/>
                <w:color w:val="auto"/>
              </w:rPr>
              <w:t>0</w:t>
            </w:r>
          </w:p>
        </w:tc>
      </w:tr>
      <w:tr>
        <w:trPr>
          <w:trHeight w:val="216"/>
        </w:trPr>
        <w:tc>
          <w:tcPr>
            <w:tcW w:w="100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(ii) Shared power to vote or direct the vote:</w:t>
            </w:r>
          </w:p>
        </w:tc>
        <w:tc>
          <w:tcPr>
            <w:tcW w:w="3680" w:type="dxa"/>
            <w:vAlign w:val="bottom"/>
          </w:tcPr>
          <w:p>
            <w:pPr>
              <w:jc w:val="right"/>
              <w:ind w:right="2310"/>
              <w:spacing w:after="0"/>
              <w:rPr>
                <w:sz w:val="20"/>
                <w:szCs w:val="20"/>
                <w:color w:val="auto"/>
              </w:rPr>
            </w:pPr>
            <w:r>
              <w:rPr>
                <w:rFonts w:ascii="Arial" w:cs="Arial" w:eastAsia="Arial" w:hAnsi="Arial"/>
                <w:sz w:val="18"/>
                <w:szCs w:val="18"/>
                <w:color w:val="auto"/>
              </w:rPr>
              <w:t>12,745,098</w:t>
            </w:r>
          </w:p>
        </w:tc>
      </w:tr>
      <w:tr>
        <w:trPr>
          <w:trHeight w:val="216"/>
        </w:trPr>
        <w:tc>
          <w:tcPr>
            <w:tcW w:w="100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(iii) Sole power to dispose or direct the disposition of:</w:t>
            </w:r>
          </w:p>
        </w:tc>
        <w:tc>
          <w:tcPr>
            <w:tcW w:w="3680" w:type="dxa"/>
            <w:vAlign w:val="bottom"/>
          </w:tcPr>
          <w:p>
            <w:pPr>
              <w:jc w:val="right"/>
              <w:ind w:right="2310"/>
              <w:spacing w:after="0"/>
              <w:rPr>
                <w:sz w:val="20"/>
                <w:szCs w:val="20"/>
                <w:color w:val="auto"/>
              </w:rPr>
            </w:pPr>
            <w:r>
              <w:rPr>
                <w:rFonts w:ascii="Arial" w:cs="Arial" w:eastAsia="Arial" w:hAnsi="Arial"/>
                <w:sz w:val="18"/>
                <w:szCs w:val="18"/>
                <w:color w:val="auto"/>
              </w:rPr>
              <w:t>0</w:t>
            </w:r>
          </w:p>
        </w:tc>
      </w:tr>
      <w:tr>
        <w:trPr>
          <w:trHeight w:val="230"/>
        </w:trPr>
        <w:tc>
          <w:tcPr>
            <w:tcW w:w="1000" w:type="dxa"/>
            <w:vAlign w:val="bottom"/>
          </w:tcPr>
          <w:p>
            <w:pPr>
              <w:spacing w:after="0"/>
              <w:rPr>
                <w:sz w:val="20"/>
                <w:szCs w:val="20"/>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(iv) Shared power to dispose or direct the disposition of:</w:t>
            </w:r>
          </w:p>
        </w:tc>
        <w:tc>
          <w:tcPr>
            <w:tcW w:w="3680" w:type="dxa"/>
            <w:vAlign w:val="bottom"/>
          </w:tcPr>
          <w:p>
            <w:pPr>
              <w:jc w:val="right"/>
              <w:ind w:right="2310"/>
              <w:spacing w:after="0"/>
              <w:rPr>
                <w:sz w:val="20"/>
                <w:szCs w:val="20"/>
                <w:color w:val="auto"/>
              </w:rPr>
            </w:pPr>
            <w:r>
              <w:rPr>
                <w:rFonts w:ascii="Arial" w:cs="Arial" w:eastAsia="Arial" w:hAnsi="Arial"/>
                <w:sz w:val="18"/>
                <w:szCs w:val="18"/>
                <w:color w:val="auto"/>
              </w:rPr>
              <w:t>12,745,098</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680" w:type="dxa"/>
            <w:vAlign w:val="bottom"/>
          </w:tcPr>
          <w:p>
            <w:pPr>
              <w:spacing w:after="0"/>
              <w:rPr>
                <w:sz w:val="24"/>
                <w:szCs w:val="24"/>
                <w:color w:val="auto"/>
              </w:rPr>
            </w:pPr>
          </w:p>
        </w:tc>
      </w:tr>
      <w:tr>
        <w:trPr>
          <w:trHeight w:val="496"/>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22"/>
                <w:szCs w:val="22"/>
                <w:color w:val="auto"/>
              </w:rPr>
              <w:t>This Item 5 is not applicable.</w:t>
            </w:r>
          </w:p>
        </w:tc>
        <w:tc>
          <w:tcPr>
            <w:tcW w:w="3680" w:type="dxa"/>
            <w:vAlign w:val="bottom"/>
          </w:tcPr>
          <w:p>
            <w:pPr>
              <w:spacing w:after="0"/>
              <w:rPr>
                <w:sz w:val="24"/>
                <w:szCs w:val="24"/>
                <w:color w:val="auto"/>
              </w:rPr>
            </w:pPr>
          </w:p>
        </w:tc>
      </w:tr>
      <w:tr>
        <w:trPr>
          <w:trHeight w:val="44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w w:val="98"/>
              </w:rPr>
              <w:t>Ownership of More than Five Percent on Behalf of Another Person:</w:t>
            </w:r>
          </w:p>
        </w:tc>
        <w:tc>
          <w:tcPr>
            <w:tcW w:w="3680" w:type="dxa"/>
            <w:vAlign w:val="bottom"/>
          </w:tcPr>
          <w:p>
            <w:pPr>
              <w:spacing w:after="0"/>
              <w:rPr>
                <w:sz w:val="24"/>
                <w:szCs w:val="24"/>
                <w:color w:val="auto"/>
              </w:rPr>
            </w:pPr>
          </w:p>
        </w:tc>
      </w:tr>
      <w:tr>
        <w:trPr>
          <w:trHeight w:val="496"/>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22"/>
                <w:szCs w:val="22"/>
                <w:color w:val="auto"/>
              </w:rPr>
              <w:t>This Item 6 is not applicable.</w:t>
            </w:r>
          </w:p>
        </w:tc>
        <w:tc>
          <w:tcPr>
            <w:tcW w:w="3680" w:type="dxa"/>
            <w:vAlign w:val="bottom"/>
          </w:tcPr>
          <w:p>
            <w:pPr>
              <w:spacing w:after="0"/>
              <w:rPr>
                <w:sz w:val="24"/>
                <w:szCs w:val="24"/>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66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w:t>
            </w:r>
          </w:p>
        </w:tc>
      </w:tr>
      <w:tr>
        <w:trPr>
          <w:trHeight w:val="234"/>
        </w:trPr>
        <w:tc>
          <w:tcPr>
            <w:tcW w:w="1000" w:type="dxa"/>
            <w:vAlign w:val="bottom"/>
          </w:tcPr>
          <w:p>
            <w:pPr>
              <w:spacing w:after="0"/>
              <w:rPr>
                <w:sz w:val="20"/>
                <w:szCs w:val="20"/>
                <w:color w:val="auto"/>
              </w:rPr>
            </w:pP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Company or Control Person:</w:t>
            </w:r>
          </w:p>
        </w:tc>
        <w:tc>
          <w:tcPr>
            <w:tcW w:w="3680" w:type="dxa"/>
            <w:vAlign w:val="bottom"/>
          </w:tcPr>
          <w:p>
            <w:pPr>
              <w:spacing w:after="0"/>
              <w:rPr>
                <w:sz w:val="20"/>
                <w:szCs w:val="20"/>
                <w:color w:val="auto"/>
              </w:rPr>
            </w:pPr>
          </w:p>
        </w:tc>
      </w:tr>
      <w:tr>
        <w:trPr>
          <w:trHeight w:val="496"/>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22"/>
                <w:szCs w:val="22"/>
                <w:color w:val="auto"/>
              </w:rPr>
              <w:t>See disclosure in Item 2 hereof.</w:t>
            </w:r>
          </w:p>
        </w:tc>
        <w:tc>
          <w:tcPr>
            <w:tcW w:w="3680" w:type="dxa"/>
            <w:vAlign w:val="bottom"/>
          </w:tcPr>
          <w:p>
            <w:pPr>
              <w:spacing w:after="0"/>
              <w:rPr>
                <w:sz w:val="24"/>
                <w:szCs w:val="24"/>
                <w:color w:val="auto"/>
              </w:rPr>
            </w:pPr>
          </w:p>
        </w:tc>
      </w:tr>
      <w:tr>
        <w:trPr>
          <w:trHeight w:val="44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680" w:type="dxa"/>
            <w:vAlign w:val="bottom"/>
          </w:tcPr>
          <w:p>
            <w:pPr>
              <w:spacing w:after="0"/>
              <w:rPr>
                <w:sz w:val="24"/>
                <w:szCs w:val="24"/>
                <w:color w:val="auto"/>
              </w:rPr>
            </w:pPr>
          </w:p>
        </w:tc>
      </w:tr>
      <w:tr>
        <w:trPr>
          <w:trHeight w:val="496"/>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22"/>
                <w:szCs w:val="22"/>
                <w:color w:val="auto"/>
              </w:rPr>
              <w:t>This Item 8 is not applicable.</w:t>
            </w:r>
          </w:p>
        </w:tc>
        <w:tc>
          <w:tcPr>
            <w:tcW w:w="3680" w:type="dxa"/>
            <w:vAlign w:val="bottom"/>
          </w:tcPr>
          <w:p>
            <w:pPr>
              <w:spacing w:after="0"/>
              <w:rPr>
                <w:sz w:val="24"/>
                <w:szCs w:val="24"/>
                <w:color w:val="auto"/>
              </w:rPr>
            </w:pPr>
          </w:p>
        </w:tc>
      </w:tr>
      <w:tr>
        <w:trPr>
          <w:trHeight w:val="44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Notice of Dissolution of Group:</w:t>
            </w:r>
          </w:p>
        </w:tc>
        <w:tc>
          <w:tcPr>
            <w:tcW w:w="3680" w:type="dxa"/>
            <w:vAlign w:val="bottom"/>
          </w:tcPr>
          <w:p>
            <w:pPr>
              <w:spacing w:after="0"/>
              <w:rPr>
                <w:sz w:val="24"/>
                <w:szCs w:val="24"/>
                <w:color w:val="auto"/>
              </w:rPr>
            </w:pPr>
          </w:p>
        </w:tc>
      </w:tr>
      <w:tr>
        <w:trPr>
          <w:trHeight w:val="496"/>
        </w:trPr>
        <w:tc>
          <w:tcPr>
            <w:tcW w:w="1000" w:type="dxa"/>
            <w:vAlign w:val="bottom"/>
          </w:tcPr>
          <w:p>
            <w:pPr>
              <w:spacing w:after="0"/>
              <w:rPr>
                <w:sz w:val="24"/>
                <w:szCs w:val="24"/>
                <w:color w:val="auto"/>
              </w:rPr>
            </w:pPr>
          </w:p>
        </w:tc>
        <w:tc>
          <w:tcPr>
            <w:tcW w:w="5980" w:type="dxa"/>
            <w:vAlign w:val="bottom"/>
          </w:tcPr>
          <w:p>
            <w:pPr>
              <w:ind w:left="300"/>
              <w:spacing w:after="0"/>
              <w:rPr>
                <w:sz w:val="20"/>
                <w:szCs w:val="20"/>
                <w:color w:val="auto"/>
              </w:rPr>
            </w:pPr>
            <w:r>
              <w:rPr>
                <w:rFonts w:ascii="Arial" w:cs="Arial" w:eastAsia="Arial" w:hAnsi="Arial"/>
                <w:sz w:val="22"/>
                <w:szCs w:val="22"/>
                <w:color w:val="auto"/>
              </w:rPr>
              <w:t>This Item 9 is not applicable.</w:t>
            </w:r>
          </w:p>
        </w:tc>
        <w:tc>
          <w:tcPr>
            <w:tcW w:w="3680" w:type="dxa"/>
            <w:vAlign w:val="bottom"/>
          </w:tcPr>
          <w:p>
            <w:pPr>
              <w:spacing w:after="0"/>
              <w:rPr>
                <w:sz w:val="24"/>
                <w:szCs w:val="24"/>
                <w:color w:val="auto"/>
              </w:rPr>
            </w:pPr>
          </w:p>
        </w:tc>
      </w:tr>
      <w:tr>
        <w:trPr>
          <w:trHeight w:val="44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Certification:</w:t>
            </w:r>
          </w:p>
        </w:tc>
        <w:tc>
          <w:tcPr>
            <w:tcW w:w="3680" w:type="dxa"/>
            <w:vAlign w:val="bottom"/>
          </w:tcPr>
          <w:p>
            <w:pPr>
              <w:spacing w:after="0"/>
              <w:rPr>
                <w:sz w:val="24"/>
                <w:szCs w:val="24"/>
                <w:color w:val="auto"/>
              </w:rPr>
            </w:pPr>
          </w:p>
        </w:tc>
      </w:tr>
    </w:tbl>
    <w:p>
      <w:pPr>
        <w:spacing w:after="0" w:line="222"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tabs>
          <w:tab w:leader="none" w:pos="5000" w:val="left"/>
          <w:tab w:leader="none" w:pos="9860" w:val="left"/>
        </w:tabs>
        <w:rPr>
          <w:sz w:val="20"/>
          <w:szCs w:val="20"/>
          <w:color w:val="auto"/>
        </w:rPr>
      </w:pPr>
      <w:r>
        <w:rPr>
          <w:rFonts w:ascii="Arial" w:cs="Arial" w:eastAsia="Arial" w:hAnsi="Arial"/>
          <w:sz w:val="18"/>
          <w:szCs w:val="18"/>
          <w:color w:val="auto"/>
        </w:rPr>
        <w:t>CUSIP No. 644393100</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10 Pages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(G) LTD.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Golar Power Holdings (Delaware) LP, its sole shareholder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GOLAR POWER HOLDINGS (DELAWARE)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Dorrell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5000" w:val="left"/>
          <w:tab w:leader="none" w:pos="9760" w:val="left"/>
        </w:tabs>
        <w:rPr>
          <w:sz w:val="20"/>
          <w:szCs w:val="20"/>
          <w:color w:val="auto"/>
        </w:rPr>
      </w:pPr>
      <w:r>
        <w:rPr>
          <w:rFonts w:ascii="Arial" w:cs="Arial" w:eastAsia="Arial" w:hAnsi="Arial"/>
          <w:sz w:val="18"/>
          <w:szCs w:val="18"/>
          <w:color w:val="auto"/>
        </w:rPr>
        <w:t>CUSIP No. 644393100</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10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undersigned hereby agree that the statement on Schedule 13G with respect to the Class A Common Stock, par value $0.01 per share, New Fortress Energy Inc., dated as of April 26, 2021, is, and any amendments thereto (including amendments on Schedule 13G) signed by each of the undersigned shall be, filed on behalf of each of us pursuant to and in accordance with the provisions of Rule 13d-1(k) under the Securities Exchange Act of 1934, as amended.</w:t>
      </w:r>
    </w:p>
    <w:p>
      <w:pPr>
        <w:spacing w:after="0" w:line="17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(G) LTD.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Golar Power Holdings (Delaware) LP, its sole shareholder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GOLAR POWER HOLDINGS (DELAWARE)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Stonepeak Infrastructure Fund II Cayman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Dorrell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upperLetter"/>
      <w:start w:val="35"/>
    </w:lvl>
  </w:abstractNum>
  <w:abstractNum w:abstractNumId="5">
    <w:nsid w:val="507ED7AB"/>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2021-04-26T16:23:59Z</dcterms:created>
  <dcterms:modified xsi:type="dcterms:W3CDTF">2021-04-26T16:23:59Z</dcterms:modified>
</cp:coreProperties>
</file>