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79"/>
        <w:spacing w:after="0" w:line="229"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1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14, 2025</w:t>
      </w:r>
    </w:p>
    <w:p>
      <w:pPr>
        <w:spacing w:after="0" w:line="20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New Fortress Energy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080"/>
          </w:cols>
          <w:pgMar w:left="320" w:top="1029" w:right="499" w:bottom="1440" w:gutter="0" w:footer="0" w:header="0"/>
        </w:sectPr>
      </w:pPr>
    </w:p>
    <w:p>
      <w:pPr>
        <w:spacing w:after="0" w:line="269"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7"/>
          <w:szCs w:val="17"/>
          <w:b w:val="1"/>
          <w:bCs w:val="1"/>
          <w:color w:val="auto"/>
        </w:rPr>
        <w:t>001-38790</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83-1482060</w:t>
      </w:r>
    </w:p>
    <w:p>
      <w:pPr>
        <w:spacing w:after="0" w:line="49" w:lineRule="exact"/>
        <w:rPr>
          <w:sz w:val="24"/>
          <w:szCs w:val="24"/>
          <w:color w:val="auto"/>
        </w:rPr>
      </w:pPr>
    </w:p>
    <w:p>
      <w:pPr>
        <w:sectPr>
          <w:pgSz w:w="11900" w:h="16838" w:orient="portrait"/>
          <w:cols w:equalWidth="0" w:num="3">
            <w:col w:w="4620" w:space="720"/>
            <w:col w:w="2780" w:space="720"/>
            <w:col w:w="2240"/>
          </w:cols>
          <w:pgMar w:left="320" w:top="1029" w:right="49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220" w:space="720"/>
            <w:col w:w="2640" w:space="720"/>
            <w:col w:w="2780"/>
          </w:cols>
          <w:pgMar w:left="320" w:top="1029" w:right="499" w:bottom="1440" w:gutter="0" w:footer="0" w:header="0"/>
          <w:type w:val="continuous"/>
        </w:sectPr>
      </w:pPr>
    </w:p>
    <w:p>
      <w:pPr>
        <w:spacing w:after="0" w:line="22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111 W. 19th Street, 8th Floor</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10011</w:t>
      </w:r>
    </w:p>
    <w:p>
      <w:pPr>
        <w:spacing w:after="0" w:line="64" w:lineRule="exact"/>
        <w:rPr>
          <w:sz w:val="24"/>
          <w:szCs w:val="24"/>
          <w:color w:val="auto"/>
        </w:rPr>
      </w:pPr>
    </w:p>
    <w:p>
      <w:pPr>
        <w:sectPr>
          <w:pgSz w:w="11900" w:h="16838" w:orient="portrait"/>
          <w:cols w:equalWidth="0" w:num="2">
            <w:col w:w="8300" w:space="720"/>
            <w:col w:w="2060"/>
          </w:cols>
          <w:pgMar w:left="320" w:top="1029" w:right="499" w:bottom="1440" w:gutter="0" w:footer="0" w:header="0"/>
          <w:type w:val="continuous"/>
        </w:sectPr>
      </w:pPr>
    </w:p>
    <w:p>
      <w:pPr>
        <w:ind w:left="2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113" w:lineRule="exact"/>
        <w:rPr>
          <w:sz w:val="24"/>
          <w:szCs w:val="24"/>
          <w:color w:val="auto"/>
        </w:rPr>
      </w:pPr>
    </w:p>
    <w:p>
      <w:pPr>
        <w:sectPr>
          <w:pgSz w:w="11900" w:h="16838" w:orient="portrait"/>
          <w:cols w:equalWidth="0" w:num="2">
            <w:col w:w="8120" w:space="720"/>
            <w:col w:w="2240"/>
          </w:cols>
          <w:pgMar w:left="320" w:top="1029" w:right="499" w:bottom="144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(516) 268-7400</w:t>
      </w:r>
    </w:p>
    <w:p>
      <w:pPr>
        <w:sectPr>
          <w:pgSz w:w="11900" w:h="16838" w:orient="portrait"/>
          <w:cols w:equalWidth="0" w:num="1">
            <w:col w:w="11080"/>
          </w:cols>
          <w:pgMar w:left="320" w:top="1029" w:right="499" w:bottom="1440" w:gutter="0" w:footer="0" w:header="0"/>
          <w:type w:val="continuous"/>
        </w:sectPr>
      </w:pPr>
    </w:p>
    <w:p>
      <w:pPr>
        <w:spacing w:after="0" w:line="200" w:lineRule="exact"/>
        <w:rPr>
          <w:sz w:val="24"/>
          <w:szCs w:val="24"/>
          <w:color w:val="auto"/>
        </w:rPr>
      </w:pPr>
    </w:p>
    <w:p>
      <w:pPr>
        <w:spacing w:after="0" w:line="297"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57"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0" w:lineRule="exact"/>
        <w:rPr>
          <w:sz w:val="24"/>
          <w:szCs w:val="24"/>
          <w:color w:val="auto"/>
        </w:rPr>
      </w:pPr>
    </w:p>
    <w:p>
      <w:pPr>
        <w:spacing w:after="0" w:line="340" w:lineRule="exact"/>
        <w:rPr>
          <w:sz w:val="24"/>
          <w:szCs w:val="24"/>
          <w:color w:val="auto"/>
        </w:rPr>
      </w:pPr>
    </w:p>
    <w:tbl>
      <w:tblPr>
        <w:tblLayout w:type="fixed"/>
        <w:tblInd w:w="60" w:type="dxa"/>
        <w:tblCellMar>
          <w:top w:w="0" w:type="dxa"/>
          <w:left w:w="0" w:type="dxa"/>
          <w:bottom w:w="0" w:type="dxa"/>
          <w:right w:w="0" w:type="dxa"/>
        </w:tblCellMar>
      </w:tblPr>
      <w:tr>
        <w:trPr>
          <w:trHeight w:val="207"/>
        </w:trPr>
        <w:tc>
          <w:tcPr>
            <w:tcW w:w="1040" w:type="dxa"/>
            <w:vAlign w:val="bottom"/>
          </w:tcPr>
          <w:p>
            <w:pPr>
              <w:spacing w:after="0"/>
              <w:rPr>
                <w:sz w:val="18"/>
                <w:szCs w:val="18"/>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98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0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23"/>
        </w:trPr>
        <w:tc>
          <w:tcPr>
            <w:tcW w:w="430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$0.01 per</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“NFE”</w:t>
            </w:r>
          </w:p>
        </w:tc>
        <w:tc>
          <w:tcPr>
            <w:tcW w:w="800" w:type="dxa"/>
            <w:vAlign w:val="bottom"/>
          </w:tcPr>
          <w:p>
            <w:pPr>
              <w:spacing w:after="0"/>
              <w:rPr>
                <w:sz w:val="19"/>
                <w:szCs w:val="19"/>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r>
        <w:trPr>
          <w:trHeight w:val="238"/>
        </w:trPr>
        <w:tc>
          <w:tcPr>
            <w:tcW w:w="1040" w:type="dxa"/>
            <w:vAlign w:val="bottom"/>
          </w:tcPr>
          <w:p>
            <w:pPr>
              <w:spacing w:after="0"/>
              <w:rPr>
                <w:sz w:val="20"/>
                <w:szCs w:val="20"/>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80" w:type="dxa"/>
            <w:vAlign w:val="bottom"/>
          </w:tcPr>
          <w:p>
            <w:pPr>
              <w:spacing w:after="0"/>
              <w:rPr>
                <w:sz w:val="20"/>
                <w:szCs w:val="20"/>
                <w:color w:val="auto"/>
              </w:rPr>
            </w:pPr>
          </w:p>
        </w:tc>
      </w:tr>
    </w:tbl>
    <w:p>
      <w:pPr>
        <w:spacing w:after="0" w:line="378"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39"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29"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43" w:lineRule="exact"/>
        <w:rPr>
          <w:sz w:val="20"/>
          <w:szCs w:val="20"/>
          <w:color w:val="auto"/>
        </w:rPr>
      </w:pPr>
    </w:p>
    <w:p>
      <w:pPr>
        <w:ind w:firstLine="324"/>
        <w:spacing w:after="0" w:line="236" w:lineRule="auto"/>
        <w:rPr>
          <w:sz w:val="20"/>
          <w:szCs w:val="20"/>
          <w:color w:val="auto"/>
        </w:rPr>
      </w:pPr>
      <w:r>
        <w:rPr>
          <w:rFonts w:ascii="Times New Roman" w:cs="Times New Roman" w:eastAsia="Times New Roman" w:hAnsi="Times New Roman"/>
          <w:sz w:val="18"/>
          <w:szCs w:val="18"/>
          <w:color w:val="auto"/>
        </w:rPr>
        <w:t>On November 14, 2025, New Fortress Energy Inc., a Delaware corporation (the "Company") entered into the Eleventh Amendment Agreement (the “Eleventh Amendment”), by and among the Company, as the borrower, the guarantors party thereto, Natixis, New York Branch, as administrative agent and collateral agent, and each of the other financial institutions party thereto, as lenders and issuing banks, which amends that certain Letter of Credit and Reimbursement Agreement, dated as of July 16, 2021 (as amended, restated, supplemented or otherwise modified from time to time, the “Letter of Credit Agreement”), by and among the Company, as the borrower, the guarantors from time to time party thereto, Natixis, New York Branch, as administrative agent and collateral agent, and each of the other financial institutions from time to time party thereto, as lenders and issuing banks, to, among other things,</w:t>
      </w:r>
    </w:p>
    <w:p>
      <w:pPr>
        <w:ind w:right="40" w:firstLine="8"/>
        <w:spacing w:after="0" w:line="236" w:lineRule="auto"/>
        <w:tabs>
          <w:tab w:leader="none" w:pos="24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maturity date of the Letter of Credit Agreement to March 31, 2026, (b) provide for a covenant holiday with respect to the consolidated first lien debt ratio and fixed charge coverage ratio covenants contained therein for the fiscal quarter ended September 30, 2025 and the fiscal quarter ending December 31, 2025, (c) remove the minimum liquidity requirement contained therein with respect to each fiscal quarter, (d) remove certain flexibility the Company had to pay dividends and other distributions, and (e) restrict the ability for the Company or any of its subsidiaries to make payments of principal or interest accruing on certain outstanding indebtedness, including the November 17, 2025 interest payment due under that certain Indenture, dated as of November 22, 2024 (as amended, restated, supplemented or otherwise modified from time to time, the “New 2029 Notes Indenture”), by and between NFE Financing LLC, a Delaware limited liability company and subsidiary of the Company (“NFE Financing”), as issuer, the guarantors from time to time party thereto and Wilmington Savings Fund Society, FSB, as trustee and notes collateral agent (“WSFS”).</w:t>
      </w:r>
    </w:p>
    <w:p>
      <w:pPr>
        <w:spacing w:after="0" w:line="20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Eleventh Amendment provides that if, among other things, NFE Financing fails to maintain that certain Forbearance and Waiver Agreement, dated as of November 17, 2025, by and among NFE Financing, NFE Brazil Investments LLC, a Delaware limited liability company and subsidiary of the Company, Bradford County Real Estate Partners LLC, a Delaware limited liability company and subsidiary of the Company, and the holders under the New 2029 Notes Indenture party thereto, in full force and effect or materially violates its terms, an event of default will occur under the Letter of Credit Agreement. If such event of default occurs, the issuing banks would have the right to require cash collateralization of all outstanding letters of credit issued pursuant to the Letter of Credit Agreement. If the issuing banks choose to exercise such rights under those facilities, substantially all of the Company’s outstanding indebtedness could be accelerated, and the Company may be required or compelled to pursue additional restructuring initiatives to preserve value and optionality, including possible out of court restructurings, or in-court relief, which could have a material and adverse impact on stockholders.</w:t>
      </w:r>
    </w:p>
    <w:p>
      <w:pPr>
        <w:spacing w:after="0" w:line="201" w:lineRule="exact"/>
        <w:rPr>
          <w:sz w:val="20"/>
          <w:szCs w:val="20"/>
          <w:color w:val="auto"/>
        </w:rPr>
      </w:pPr>
    </w:p>
    <w:p>
      <w:pPr>
        <w:ind w:right="3820"/>
        <w:spacing w:after="0" w:line="271" w:lineRule="auto"/>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under Item 1.01 is incorporated by reference into this Item 2.03.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 No.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7"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664845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86"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640" w:type="dxa"/>
            <w:vAlign w:val="bottom"/>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NEW FORTRESS ENERGY INC.</w:t>
            </w:r>
          </w:p>
        </w:tc>
      </w:tr>
      <w:tr>
        <w:trPr>
          <w:trHeight w:val="533"/>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20, 2025</w:t>
            </w:r>
          </w:p>
        </w:tc>
        <w:tc>
          <w:tcPr>
            <w:tcW w:w="240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S. Guinta</w:t>
            </w:r>
          </w:p>
        </w:tc>
      </w:tr>
      <w:tr>
        <w:trPr>
          <w:trHeight w:val="243"/>
        </w:trPr>
        <w:tc>
          <w:tcPr>
            <w:tcW w:w="3560" w:type="dxa"/>
            <w:vAlign w:val="bottom"/>
          </w:tcPr>
          <w:p>
            <w:pPr>
              <w:spacing w:after="0"/>
              <w:rPr>
                <w:sz w:val="21"/>
                <w:szCs w:val="21"/>
                <w:color w:val="auto"/>
              </w:rPr>
            </w:pPr>
          </w:p>
        </w:tc>
        <w:tc>
          <w:tcPr>
            <w:tcW w:w="240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Name: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S. Guinta</w:t>
            </w:r>
          </w:p>
        </w:tc>
      </w:tr>
      <w:tr>
        <w:trPr>
          <w:trHeight w:val="257"/>
        </w:trPr>
        <w:tc>
          <w:tcPr>
            <w:tcW w:w="3560" w:type="dxa"/>
            <w:vAlign w:val="bottom"/>
          </w:tcPr>
          <w:p>
            <w:pPr>
              <w:spacing w:after="0"/>
              <w:rPr>
                <w:sz w:val="22"/>
                <w:szCs w:val="22"/>
                <w:color w:val="auto"/>
              </w:rPr>
            </w:pPr>
          </w:p>
        </w:tc>
        <w:tc>
          <w:tcPr>
            <w:tcW w:w="240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Title: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20"/>
      </w:cols>
      <w:pgMar w:left="320" w:top="92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2025-11-20T16:27:34Z</dcterms:created>
  <dcterms:modified xsi:type="dcterms:W3CDTF">2025-11-20T16:27:34Z</dcterms:modified>
</cp:coreProperties>
</file>