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25"/>
          <w:szCs w:val="25"/>
          <w:b w:val="1"/>
          <w:bCs w:val="1"/>
          <w:color w:val="auto"/>
        </w:rPr>
        <w:t>UNITED STATES</w:t>
      </w:r>
    </w:p>
    <w:p>
      <w:pPr>
        <w:spacing w:after="0" w:line="24"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SECURITIES AND EXCHANGE COMMISSION</w:t>
      </w:r>
    </w:p>
    <w:p>
      <w:pPr>
        <w:jc w:val="center"/>
        <w:ind w:right="-159"/>
        <w:spacing w:after="0" w:line="229" w:lineRule="auto"/>
        <w:rPr>
          <w:sz w:val="20"/>
          <w:szCs w:val="20"/>
          <w:color w:val="auto"/>
        </w:rPr>
      </w:pPr>
      <w:r>
        <w:rPr>
          <w:rFonts w:ascii="Arial" w:cs="Arial" w:eastAsia="Arial" w:hAnsi="Arial"/>
          <w:sz w:val="22"/>
          <w:szCs w:val="22"/>
          <w:b w:val="1"/>
          <w:bCs w:val="1"/>
          <w:color w:val="auto"/>
        </w:rPr>
        <w:t>Washington, D.C. 20549</w:t>
      </w:r>
    </w:p>
    <w:p>
      <w:pPr>
        <w:spacing w:after="0" w:line="1"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FORM 8-K</w:t>
      </w:r>
    </w:p>
    <w:p>
      <w:pPr>
        <w:spacing w:after="0" w:line="12"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CURRENT REPORT</w:t>
      </w:r>
    </w:p>
    <w:p>
      <w:pPr>
        <w:jc w:val="center"/>
        <w:ind w:right="-159"/>
        <w:spacing w:after="0"/>
        <w:rPr>
          <w:sz w:val="20"/>
          <w:szCs w:val="20"/>
          <w:color w:val="auto"/>
        </w:rPr>
      </w:pPr>
      <w:r>
        <w:rPr>
          <w:rFonts w:ascii="Arial" w:cs="Arial" w:eastAsia="Arial" w:hAnsi="Arial"/>
          <w:sz w:val="18"/>
          <w:szCs w:val="18"/>
          <w:b w:val="1"/>
          <w:bCs w:val="1"/>
          <w:color w:val="auto"/>
        </w:rPr>
        <w:t>PURSUANT TO SECTION 13 OR 15(D)</w:t>
      </w:r>
    </w:p>
    <w:p>
      <w:pPr>
        <w:spacing w:after="0" w:line="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20"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Date of Report (Date of earliest event reported): May 22, 2023</w:t>
      </w:r>
    </w:p>
    <w:p>
      <w:pPr>
        <w:spacing w:after="0" w:line="213" w:lineRule="exact"/>
        <w:rPr>
          <w:sz w:val="24"/>
          <w:szCs w:val="24"/>
          <w:color w:val="auto"/>
        </w:rPr>
      </w:pPr>
    </w:p>
    <w:p>
      <w:pPr>
        <w:jc w:val="center"/>
        <w:ind w:right="-159"/>
        <w:spacing w:after="0"/>
        <w:rPr>
          <w:sz w:val="20"/>
          <w:szCs w:val="20"/>
          <w:color w:val="auto"/>
        </w:rPr>
      </w:pPr>
      <w:r>
        <w:rPr>
          <w:rFonts w:ascii="Arial" w:cs="Arial" w:eastAsia="Arial" w:hAnsi="Arial"/>
          <w:sz w:val="43"/>
          <w:szCs w:val="43"/>
          <w:b w:val="1"/>
          <w:bCs w:val="1"/>
          <w:color w:val="auto"/>
        </w:rPr>
        <w:t>New Fortress Energy Inc.</w:t>
      </w:r>
    </w:p>
    <w:p>
      <w:pPr>
        <w:spacing w:after="0" w:line="50"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080"/>
          </w:cols>
          <w:pgMar w:left="320" w:top="1035" w:right="499" w:bottom="1440" w:gutter="0" w:footer="0" w:header="0"/>
        </w:sectPr>
      </w:pPr>
    </w:p>
    <w:p>
      <w:pPr>
        <w:spacing w:after="0" w:line="273" w:lineRule="exact"/>
        <w:rPr>
          <w:sz w:val="24"/>
          <w:szCs w:val="24"/>
          <w:color w:val="auto"/>
        </w:rPr>
      </w:pPr>
    </w:p>
    <w:p>
      <w:pPr>
        <w:ind w:left="170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jc w:val="center"/>
        <w:ind w:right="2020"/>
        <w:spacing w:after="0"/>
        <w:rPr>
          <w:sz w:val="20"/>
          <w:szCs w:val="20"/>
          <w:color w:val="auto"/>
        </w:rPr>
      </w:pPr>
      <w:r>
        <w:rPr>
          <w:rFonts w:ascii="Arial" w:cs="Arial" w:eastAsia="Arial" w:hAnsi="Arial"/>
          <w:sz w:val="16"/>
          <w:szCs w:val="16"/>
          <w:b w:val="1"/>
          <w:bCs w:val="1"/>
          <w:color w:val="auto"/>
        </w:rPr>
        <w:t>001-38790</w:t>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83-1482060</w:t>
      </w:r>
    </w:p>
    <w:p>
      <w:pPr>
        <w:spacing w:after="0" w:line="86" w:lineRule="exact"/>
        <w:rPr>
          <w:sz w:val="24"/>
          <w:szCs w:val="24"/>
          <w:color w:val="auto"/>
        </w:rPr>
      </w:pPr>
    </w:p>
    <w:p>
      <w:pPr>
        <w:sectPr>
          <w:pgSz w:w="11900" w:h="16838" w:orient="portrait"/>
          <w:cols w:equalWidth="0" w:num="3">
            <w:col w:w="4620" w:space="720"/>
            <w:col w:w="2800" w:space="720"/>
            <w:col w:w="2220"/>
          </w:cols>
          <w:pgMar w:left="320" w:top="1035" w:right="499" w:bottom="1440" w:gutter="0" w:footer="0" w:header="0"/>
          <w:type w:val="continuous"/>
        </w:sectPr>
      </w:pPr>
    </w:p>
    <w:p>
      <w:pPr>
        <w:ind w:left="300"/>
        <w:spacing w:after="0"/>
        <w:rPr>
          <w:sz w:val="20"/>
          <w:szCs w:val="20"/>
          <w:color w:val="auto"/>
        </w:rPr>
      </w:pPr>
      <w:r>
        <w:rPr>
          <w:rFonts w:ascii="Arial" w:cs="Arial" w:eastAsia="Arial" w:hAnsi="Arial"/>
          <w:sz w:val="13"/>
          <w:szCs w:val="13"/>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(I.R.S. Employer Identification No.)</w:t>
      </w:r>
    </w:p>
    <w:p>
      <w:pPr>
        <w:spacing w:after="0" w:line="200" w:lineRule="exact"/>
        <w:rPr>
          <w:sz w:val="24"/>
          <w:szCs w:val="24"/>
          <w:color w:val="auto"/>
        </w:rPr>
      </w:pPr>
    </w:p>
    <w:p>
      <w:pPr>
        <w:sectPr>
          <w:pgSz w:w="11900" w:h="16838" w:orient="portrait"/>
          <w:cols w:equalWidth="0" w:num="3">
            <w:col w:w="4220" w:space="720"/>
            <w:col w:w="2580" w:space="720"/>
            <w:col w:w="2840"/>
          </w:cols>
          <w:pgMar w:left="320" w:top="1035" w:right="499" w:bottom="1440" w:gutter="0" w:footer="0" w:header="0"/>
          <w:type w:val="continuous"/>
        </w:sectPr>
      </w:pPr>
    </w:p>
    <w:p>
      <w:pPr>
        <w:spacing w:after="0" w:line="218" w:lineRule="exact"/>
        <w:rPr>
          <w:sz w:val="24"/>
          <w:szCs w:val="24"/>
          <w:color w:val="auto"/>
        </w:rPr>
      </w:pPr>
    </w:p>
    <w:p>
      <w:pPr>
        <w:jc w:val="center"/>
        <w:ind w:right="1120"/>
        <w:spacing w:after="0"/>
        <w:rPr>
          <w:sz w:val="20"/>
          <w:szCs w:val="20"/>
          <w:color w:val="auto"/>
        </w:rPr>
      </w:pPr>
      <w:r>
        <w:rPr>
          <w:rFonts w:ascii="Arial" w:cs="Arial" w:eastAsia="Arial" w:hAnsi="Arial"/>
          <w:sz w:val="16"/>
          <w:szCs w:val="16"/>
          <w:b w:val="1"/>
          <w:bCs w:val="1"/>
          <w:color w:val="auto"/>
        </w:rPr>
        <w:t>111 W. 19th Street, 8th Floor</w:t>
      </w:r>
    </w:p>
    <w:p>
      <w:pPr>
        <w:spacing w:after="0" w:line="50"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New York, NY</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4"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10011</w:t>
      </w:r>
    </w:p>
    <w:p>
      <w:pPr>
        <w:spacing w:after="0" w:line="87" w:lineRule="exact"/>
        <w:rPr>
          <w:sz w:val="24"/>
          <w:szCs w:val="24"/>
          <w:color w:val="auto"/>
        </w:rPr>
      </w:pPr>
    </w:p>
    <w:p>
      <w:pPr>
        <w:sectPr>
          <w:pgSz w:w="11900" w:h="16838" w:orient="portrait"/>
          <w:cols w:equalWidth="0" w:num="2">
            <w:col w:w="8300" w:space="720"/>
            <w:col w:w="2060"/>
          </w:cols>
          <w:pgMar w:left="320" w:top="1035" w:right="499" w:bottom="1440" w:gutter="0" w:footer="0" w:header="0"/>
          <w:type w:val="continuous"/>
        </w:sectPr>
      </w:pPr>
    </w:p>
    <w:p>
      <w:pPr>
        <w:ind w:left="216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(Zip Code)</w:t>
      </w:r>
    </w:p>
    <w:p>
      <w:pPr>
        <w:spacing w:after="0" w:line="136" w:lineRule="exact"/>
        <w:rPr>
          <w:sz w:val="24"/>
          <w:szCs w:val="24"/>
          <w:color w:val="auto"/>
        </w:rPr>
      </w:pPr>
    </w:p>
    <w:p>
      <w:pPr>
        <w:sectPr>
          <w:pgSz w:w="11900" w:h="16838" w:orient="portrait"/>
          <w:cols w:equalWidth="0" w:num="2">
            <w:col w:w="8120" w:space="720"/>
            <w:col w:w="2240"/>
          </w:cols>
          <w:pgMar w:left="320" w:top="1035" w:right="499" w:bottom="1440" w:gutter="0" w:footer="0" w:header="0"/>
          <w:type w:val="continuous"/>
        </w:sectPr>
      </w:pPr>
    </w:p>
    <w:p>
      <w:pPr>
        <w:jc w:val="center"/>
        <w:ind w:right="-159"/>
        <w:spacing w:after="0"/>
        <w:rPr>
          <w:sz w:val="20"/>
          <w:szCs w:val="20"/>
          <w:color w:val="auto"/>
        </w:rPr>
      </w:pPr>
      <w:r>
        <w:rPr>
          <w:rFonts w:ascii="Arial" w:cs="Arial" w:eastAsia="Arial" w:hAnsi="Arial"/>
          <w:sz w:val="16"/>
          <w:szCs w:val="16"/>
          <w:color w:val="auto"/>
        </w:rPr>
        <w:t xml:space="preserve">Registrant’s telephone number, including area code: </w:t>
      </w:r>
      <w:r>
        <w:rPr>
          <w:rFonts w:ascii="Arial" w:cs="Arial" w:eastAsia="Arial" w:hAnsi="Arial"/>
          <w:sz w:val="16"/>
          <w:szCs w:val="16"/>
          <w:b w:val="1"/>
          <w:bCs w:val="1"/>
          <w:color w:val="auto"/>
        </w:rPr>
        <w:t>(516) 268-7400</w:t>
      </w:r>
    </w:p>
    <w:p>
      <w:pPr>
        <w:sectPr>
          <w:pgSz w:w="11900" w:h="16838" w:orient="portrait"/>
          <w:cols w:equalWidth="0" w:num="1">
            <w:col w:w="11080"/>
          </w:cols>
          <w:pgMar w:left="320" w:top="1035" w:right="499" w:bottom="1440" w:gutter="0" w:footer="0" w:header="0"/>
          <w:type w:val="continuous"/>
        </w:sectPr>
      </w:pPr>
    </w:p>
    <w:p>
      <w:pPr>
        <w:spacing w:after="0" w:line="200" w:lineRule="exact"/>
        <w:rPr>
          <w:sz w:val="24"/>
          <w:szCs w:val="24"/>
          <w:color w:val="auto"/>
        </w:rPr>
      </w:pPr>
    </w:p>
    <w:p>
      <w:pPr>
        <w:spacing w:after="0" w:line="309"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38" w:lineRule="exact"/>
        <w:rPr>
          <w:sz w:val="24"/>
          <w:szCs w:val="24"/>
          <w:color w:val="auto"/>
        </w:rPr>
      </w:pPr>
    </w:p>
    <w:p>
      <w:pPr>
        <w:ind w:left="460" w:hanging="434"/>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71" w:lineRule="exact"/>
        <w:rPr>
          <w:rFonts w:ascii="MS PGothic" w:cs="MS PGothic" w:eastAsia="MS PGothic" w:hAnsi="MS PGothic"/>
          <w:sz w:val="18"/>
          <w:szCs w:val="18"/>
          <w:color w:val="auto"/>
        </w:rPr>
      </w:pPr>
    </w:p>
    <w:p>
      <w:pPr>
        <w:ind w:left="460" w:hanging="434"/>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71" w:lineRule="exact"/>
        <w:rPr>
          <w:rFonts w:ascii="MS PGothic" w:cs="MS PGothic" w:eastAsia="MS PGothic" w:hAnsi="MS PGothic"/>
          <w:sz w:val="18"/>
          <w:szCs w:val="18"/>
          <w:color w:val="auto"/>
        </w:rPr>
      </w:pPr>
    </w:p>
    <w:p>
      <w:pPr>
        <w:ind w:left="460" w:hanging="434"/>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71" w:lineRule="exact"/>
        <w:rPr>
          <w:rFonts w:ascii="MS PGothic" w:cs="MS PGothic" w:eastAsia="MS PGothic" w:hAnsi="MS PGothic"/>
          <w:sz w:val="18"/>
          <w:szCs w:val="18"/>
          <w:color w:val="auto"/>
        </w:rPr>
      </w:pPr>
    </w:p>
    <w:p>
      <w:pPr>
        <w:ind w:left="460" w:hanging="434"/>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343"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00" w:lineRule="exact"/>
        <w:rPr>
          <w:sz w:val="24"/>
          <w:szCs w:val="24"/>
          <w:color w:val="auto"/>
        </w:rPr>
      </w:pPr>
    </w:p>
    <w:p>
      <w:pPr>
        <w:spacing w:after="0" w:line="336" w:lineRule="exact"/>
        <w:rPr>
          <w:sz w:val="24"/>
          <w:szCs w:val="24"/>
          <w:color w:val="auto"/>
        </w:rPr>
      </w:pPr>
    </w:p>
    <w:tbl>
      <w:tblPr>
        <w:tblLayout w:type="fixed"/>
        <w:tblInd w:w="860" w:type="dxa"/>
        <w:tblCellMar>
          <w:top w:w="0" w:type="dxa"/>
          <w:left w:w="0" w:type="dxa"/>
          <w:bottom w:w="0" w:type="dxa"/>
          <w:right w:w="0" w:type="dxa"/>
        </w:tblCellMar>
      </w:tblPr>
      <w:tr>
        <w:trPr>
          <w:trHeight w:val="207"/>
        </w:trPr>
        <w:tc>
          <w:tcPr>
            <w:tcW w:w="260" w:type="dxa"/>
            <w:vAlign w:val="bottom"/>
          </w:tcPr>
          <w:p>
            <w:pPr>
              <w:spacing w:after="0"/>
              <w:rPr>
                <w:sz w:val="18"/>
                <w:szCs w:val="18"/>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1940" w:type="dxa"/>
            <w:vAlign w:val="bottom"/>
          </w:tcPr>
          <w:p>
            <w:pPr>
              <w:spacing w:after="0"/>
              <w:rPr>
                <w:sz w:val="18"/>
                <w:szCs w:val="18"/>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8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Name of exchange on which registered</w:t>
            </w:r>
          </w:p>
        </w:tc>
      </w:tr>
      <w:tr>
        <w:trPr>
          <w:trHeight w:val="277"/>
        </w:trPr>
        <w:tc>
          <w:tcPr>
            <w:tcW w:w="3500" w:type="dxa"/>
            <w:vAlign w:val="bottom"/>
            <w:gridSpan w:val="3"/>
          </w:tcPr>
          <w:p>
            <w:pPr>
              <w:jc w:val="center"/>
              <w:ind w:right="1700"/>
              <w:spacing w:after="0"/>
              <w:rPr>
                <w:sz w:val="20"/>
                <w:szCs w:val="20"/>
                <w:color w:val="auto"/>
              </w:rPr>
            </w:pPr>
            <w:r>
              <w:rPr>
                <w:rFonts w:ascii="Arial" w:cs="Arial" w:eastAsia="Arial" w:hAnsi="Arial"/>
                <w:sz w:val="18"/>
                <w:szCs w:val="18"/>
                <w:b w:val="1"/>
                <w:bCs w:val="1"/>
                <w:color w:val="auto"/>
                <w:w w:val="88"/>
              </w:rPr>
              <w:t>Class A Common Stock</w:t>
            </w:r>
          </w:p>
        </w:tc>
        <w:tc>
          <w:tcPr>
            <w:tcW w:w="2240" w:type="dxa"/>
            <w:vAlign w:val="bottom"/>
            <w:gridSpan w:val="2"/>
          </w:tcPr>
          <w:p>
            <w:pPr>
              <w:jc w:val="center"/>
              <w:ind w:right="880"/>
              <w:spacing w:after="0"/>
              <w:rPr>
                <w:sz w:val="20"/>
                <w:szCs w:val="20"/>
                <w:color w:val="auto"/>
              </w:rPr>
            </w:pPr>
            <w:r>
              <w:rPr>
                <w:rFonts w:ascii="Arial" w:cs="Arial" w:eastAsia="Arial" w:hAnsi="Arial"/>
                <w:sz w:val="18"/>
                <w:szCs w:val="18"/>
                <w:b w:val="1"/>
                <w:bCs w:val="1"/>
                <w:color w:val="auto"/>
                <w:w w:val="99"/>
              </w:rPr>
              <w:t>NFE</w:t>
            </w:r>
          </w:p>
        </w:tc>
        <w:tc>
          <w:tcPr>
            <w:tcW w:w="880" w:type="dxa"/>
            <w:vAlign w:val="bottom"/>
          </w:tcPr>
          <w:p>
            <w:pPr>
              <w:spacing w:after="0"/>
              <w:rPr>
                <w:sz w:val="24"/>
                <w:szCs w:val="24"/>
                <w:color w:val="auto"/>
              </w:rPr>
            </w:pPr>
          </w:p>
        </w:tc>
        <w:tc>
          <w:tcPr>
            <w:tcW w:w="2820" w:type="dxa"/>
            <w:vAlign w:val="bottom"/>
          </w:tcPr>
          <w:p>
            <w:pPr>
              <w:jc w:val="center"/>
              <w:spacing w:after="0"/>
              <w:rPr>
                <w:sz w:val="20"/>
                <w:szCs w:val="20"/>
                <w:color w:val="auto"/>
              </w:rPr>
            </w:pPr>
            <w:r>
              <w:rPr>
                <w:rFonts w:ascii="Arial" w:cs="Arial" w:eastAsia="Arial" w:hAnsi="Arial"/>
                <w:sz w:val="18"/>
                <w:szCs w:val="18"/>
                <w:b w:val="1"/>
                <w:bCs w:val="1"/>
                <w:color w:val="auto"/>
                <w:w w:val="91"/>
              </w:rPr>
              <w:t>Nasdaq Global Select Market</w:t>
            </w:r>
          </w:p>
        </w:tc>
      </w:tr>
    </w:tbl>
    <w:p>
      <w:pPr>
        <w:spacing w:after="0" w:line="337" w:lineRule="exact"/>
        <w:rPr>
          <w:sz w:val="24"/>
          <w:szCs w:val="24"/>
          <w:color w:val="auto"/>
        </w:rPr>
      </w:pPr>
    </w:p>
    <w:p>
      <w:pPr>
        <w:ind w:right="360"/>
        <w:spacing w:after="0" w:line="248"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Emerging growth company</w:t>
      </w:r>
    </w:p>
    <w:p>
      <w:pPr>
        <w:spacing w:after="0" w:line="2" w:lineRule="exact"/>
        <w:rPr>
          <w:sz w:val="24"/>
          <w:szCs w:val="24"/>
          <w:color w:val="auto"/>
        </w:rPr>
      </w:pPr>
    </w:p>
    <w:p>
      <w:pPr>
        <w:spacing w:after="0" w:line="222"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708025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035" w:right="499" w:bottom="1440" w:gutter="0" w:footer="0" w:header="0"/>
          <w:type w:val="continuous"/>
        </w:sectPr>
      </w:pPr>
    </w:p>
    <w:bookmarkStart w:id="1" w:name="page2"/>
    <w:bookmarkEnd w:id="1"/>
    <w:p>
      <w:pPr>
        <w:spacing w:after="0"/>
        <w:tabs>
          <w:tab w:leader="none" w:pos="980" w:val="left"/>
        </w:tabs>
        <w:rPr>
          <w:sz w:val="20"/>
          <w:szCs w:val="20"/>
          <w:color w:val="auto"/>
        </w:rPr>
      </w:pPr>
      <w:r>
        <w:rPr>
          <w:rFonts w:ascii="Arial" w:cs="Arial" w:eastAsia="Arial" w:hAnsi="Arial"/>
          <w:sz w:val="18"/>
          <w:szCs w:val="18"/>
          <w:b w:val="1"/>
          <w:bCs w:val="1"/>
          <w:color w:val="auto"/>
        </w:rPr>
        <w:t>Item 5.07.</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229" w:lineRule="exact"/>
        <w:rPr>
          <w:sz w:val="20"/>
          <w:szCs w:val="20"/>
          <w:color w:val="auto"/>
        </w:rPr>
      </w:pPr>
    </w:p>
    <w:p>
      <w:pPr>
        <w:ind w:right="440" w:firstLine="486"/>
        <w:spacing w:after="0" w:line="261" w:lineRule="auto"/>
        <w:rPr>
          <w:sz w:val="20"/>
          <w:szCs w:val="20"/>
          <w:color w:val="auto"/>
        </w:rPr>
      </w:pPr>
      <w:r>
        <w:rPr>
          <w:rFonts w:ascii="Arial" w:cs="Arial" w:eastAsia="Arial" w:hAnsi="Arial"/>
          <w:sz w:val="18"/>
          <w:szCs w:val="18"/>
          <w:color w:val="auto"/>
        </w:rPr>
        <w:t>At the 2023 Annual Meeting of Stockholders (the “Annual Meeting”) held on May 22, 2023, the stockholders of New Fortress Energy Inc. (the “Company”) voted on the matters described below:</w:t>
      </w:r>
    </w:p>
    <w:p>
      <w:pPr>
        <w:spacing w:after="0" w:line="198" w:lineRule="exact"/>
        <w:rPr>
          <w:sz w:val="20"/>
          <w:szCs w:val="20"/>
          <w:color w:val="auto"/>
        </w:rPr>
      </w:pPr>
    </w:p>
    <w:p>
      <w:pPr>
        <w:jc w:val="both"/>
        <w:ind w:left="660" w:right="60" w:hanging="328"/>
        <w:spacing w:after="0" w:line="243"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Company’s stockholders elected two Class I directors, who comprise all the directors of such class, to serve until the 2026 Annual Meeting of Stockholders and until their respective successors are duly elected or appointed and qualified. The numbers of shares that voted for the election of such directors, withheld authority to vote for such directors, and represented broker non-votes with respect to this proposal are summarized in the table below:</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20" w:type="dxa"/>
            <w:vAlign w:val="bottom"/>
          </w:tcPr>
          <w:p>
            <w:pPr>
              <w:ind w:left="20"/>
              <w:spacing w:after="0"/>
              <w:rPr>
                <w:sz w:val="20"/>
                <w:szCs w:val="20"/>
                <w:color w:val="auto"/>
              </w:rPr>
            </w:pPr>
            <w:r>
              <w:rPr>
                <w:rFonts w:ascii="Arial" w:cs="Arial" w:eastAsia="Arial" w:hAnsi="Arial"/>
                <w:sz w:val="18"/>
                <w:szCs w:val="18"/>
                <w:b w:val="1"/>
                <w:bCs w:val="1"/>
                <w:color w:val="auto"/>
              </w:rPr>
              <w:t>Director Nominee</w:t>
            </w:r>
          </w:p>
        </w:tc>
        <w:tc>
          <w:tcPr>
            <w:tcW w:w="120" w:type="dxa"/>
            <w:vAlign w:val="bottom"/>
          </w:tcPr>
          <w:p>
            <w:pPr>
              <w:spacing w:after="0"/>
              <w:rPr>
                <w:sz w:val="20"/>
                <w:szCs w:val="20"/>
                <w:color w:val="auto"/>
              </w:rPr>
            </w:pPr>
          </w:p>
        </w:tc>
        <w:tc>
          <w:tcPr>
            <w:tcW w:w="2380" w:type="dxa"/>
            <w:vAlign w:val="bottom"/>
          </w:tcPr>
          <w:p>
            <w:pPr>
              <w:jc w:val="center"/>
              <w:spacing w:after="0"/>
              <w:rPr>
                <w:sz w:val="20"/>
                <w:szCs w:val="20"/>
                <w:color w:val="auto"/>
              </w:rPr>
            </w:pPr>
            <w:r>
              <w:rPr>
                <w:rFonts w:ascii="Arial" w:cs="Arial" w:eastAsia="Arial" w:hAnsi="Arial"/>
                <w:sz w:val="18"/>
                <w:szCs w:val="18"/>
                <w:b w:val="1"/>
                <w:bCs w:val="1"/>
                <w:color w:val="auto"/>
                <w:w w:val="89"/>
              </w:rPr>
              <w:t>Votes For</w:t>
            </w:r>
          </w:p>
        </w:tc>
        <w:tc>
          <w:tcPr>
            <w:tcW w:w="120" w:type="dxa"/>
            <w:vAlign w:val="bottom"/>
          </w:tcPr>
          <w:p>
            <w:pPr>
              <w:spacing w:after="0"/>
              <w:rPr>
                <w:sz w:val="20"/>
                <w:szCs w:val="20"/>
                <w:color w:val="auto"/>
              </w:rPr>
            </w:pPr>
          </w:p>
        </w:tc>
        <w:tc>
          <w:tcPr>
            <w:tcW w:w="2380" w:type="dxa"/>
            <w:vAlign w:val="bottom"/>
          </w:tcPr>
          <w:p>
            <w:pPr>
              <w:jc w:val="center"/>
              <w:spacing w:after="0"/>
              <w:rPr>
                <w:sz w:val="20"/>
                <w:szCs w:val="20"/>
                <w:color w:val="auto"/>
              </w:rPr>
            </w:pPr>
            <w:r>
              <w:rPr>
                <w:rFonts w:ascii="Arial" w:cs="Arial" w:eastAsia="Arial" w:hAnsi="Arial"/>
                <w:sz w:val="18"/>
                <w:szCs w:val="18"/>
                <w:b w:val="1"/>
                <w:bCs w:val="1"/>
                <w:color w:val="auto"/>
                <w:w w:val="90"/>
              </w:rPr>
              <w:t>Votes Withheld</w:t>
            </w:r>
          </w:p>
        </w:tc>
        <w:tc>
          <w:tcPr>
            <w:tcW w:w="120" w:type="dxa"/>
            <w:vAlign w:val="bottom"/>
          </w:tcPr>
          <w:p>
            <w:pPr>
              <w:spacing w:after="0"/>
              <w:rPr>
                <w:sz w:val="20"/>
                <w:szCs w:val="20"/>
                <w:color w:val="auto"/>
              </w:rPr>
            </w:pPr>
          </w:p>
        </w:tc>
        <w:tc>
          <w:tcPr>
            <w:tcW w:w="2400" w:type="dxa"/>
            <w:vAlign w:val="bottom"/>
          </w:tcPr>
          <w:p>
            <w:pPr>
              <w:jc w:val="center"/>
              <w:spacing w:after="0"/>
              <w:rPr>
                <w:sz w:val="20"/>
                <w:szCs w:val="20"/>
                <w:color w:val="auto"/>
              </w:rPr>
            </w:pPr>
            <w:r>
              <w:rPr>
                <w:rFonts w:ascii="Arial" w:cs="Arial" w:eastAsia="Arial" w:hAnsi="Arial"/>
                <w:sz w:val="18"/>
                <w:szCs w:val="18"/>
                <w:b w:val="1"/>
                <w:bCs w:val="1"/>
                <w:color w:val="auto"/>
                <w:w w:val="92"/>
              </w:rPr>
              <w:t>Broker Non-Votes*</w:t>
            </w:r>
          </w:p>
        </w:tc>
      </w:tr>
      <w:tr>
        <w:trPr>
          <w:trHeight w:val="27"/>
        </w:trPr>
        <w:tc>
          <w:tcPr>
            <w:tcW w:w="3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r>
      <w:tr>
        <w:trPr>
          <w:trHeight w:val="230"/>
        </w:trPr>
        <w:tc>
          <w:tcPr>
            <w:tcW w:w="3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John J. Mack</w:t>
            </w:r>
          </w:p>
        </w:tc>
        <w:tc>
          <w:tcPr>
            <w:tcW w:w="120" w:type="dxa"/>
            <w:vAlign w:val="bottom"/>
            <w:tcBorders>
              <w:bottom w:val="single" w:sz="8" w:color="CCEEFF"/>
            </w:tcBorders>
            <w:shd w:val="clear" w:color="auto" w:fill="CCEEFF"/>
          </w:tcPr>
          <w:p>
            <w:pPr>
              <w:spacing w:after="0"/>
              <w:rPr>
                <w:sz w:val="20"/>
                <w:szCs w:val="20"/>
                <w:color w:val="auto"/>
              </w:rPr>
            </w:pPr>
          </w:p>
        </w:tc>
        <w:tc>
          <w:tcPr>
            <w:tcW w:w="2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151,780,422</w:t>
            </w:r>
          </w:p>
        </w:tc>
        <w:tc>
          <w:tcPr>
            <w:tcW w:w="120" w:type="dxa"/>
            <w:vAlign w:val="bottom"/>
            <w:tcBorders>
              <w:bottom w:val="single" w:sz="8" w:color="CCEEFF"/>
            </w:tcBorders>
            <w:shd w:val="clear" w:color="auto" w:fill="CCEEFF"/>
          </w:tcPr>
          <w:p>
            <w:pPr>
              <w:spacing w:after="0"/>
              <w:rPr>
                <w:sz w:val="20"/>
                <w:szCs w:val="20"/>
                <w:color w:val="auto"/>
              </w:rPr>
            </w:pPr>
          </w:p>
        </w:tc>
        <w:tc>
          <w:tcPr>
            <w:tcW w:w="2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23,319,442</w:t>
            </w:r>
          </w:p>
        </w:tc>
        <w:tc>
          <w:tcPr>
            <w:tcW w:w="120" w:type="dxa"/>
            <w:vAlign w:val="bottom"/>
            <w:tcBorders>
              <w:bottom w:val="single" w:sz="8" w:color="CCEEFF"/>
            </w:tcBorders>
            <w:shd w:val="clear" w:color="auto" w:fill="CCEEFF"/>
          </w:tcPr>
          <w:p>
            <w:pPr>
              <w:spacing w:after="0"/>
              <w:rPr>
                <w:sz w:val="20"/>
                <w:szCs w:val="20"/>
                <w:color w:val="auto"/>
              </w:rPr>
            </w:pPr>
          </w:p>
        </w:tc>
        <w:tc>
          <w:tcPr>
            <w:tcW w:w="2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6,773,510</w:t>
            </w:r>
          </w:p>
        </w:tc>
      </w:tr>
      <w:tr>
        <w:trPr>
          <w:trHeight w:val="230"/>
        </w:trPr>
        <w:tc>
          <w:tcPr>
            <w:tcW w:w="3720" w:type="dxa"/>
            <w:vAlign w:val="bottom"/>
          </w:tcPr>
          <w:p>
            <w:pPr>
              <w:ind w:left="20"/>
              <w:spacing w:after="0"/>
              <w:rPr>
                <w:sz w:val="20"/>
                <w:szCs w:val="20"/>
                <w:color w:val="auto"/>
              </w:rPr>
            </w:pPr>
            <w:r>
              <w:rPr>
                <w:rFonts w:ascii="Arial" w:cs="Arial" w:eastAsia="Arial" w:hAnsi="Arial"/>
                <w:sz w:val="18"/>
                <w:szCs w:val="18"/>
                <w:color w:val="auto"/>
              </w:rPr>
              <w:t>Katherine E. Wanner</w:t>
            </w:r>
          </w:p>
        </w:tc>
        <w:tc>
          <w:tcPr>
            <w:tcW w:w="250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157,968,142</w:t>
            </w:r>
          </w:p>
        </w:tc>
        <w:tc>
          <w:tcPr>
            <w:tcW w:w="2500" w:type="dxa"/>
            <w:vAlign w:val="bottom"/>
            <w:gridSpan w:val="2"/>
          </w:tcPr>
          <w:p>
            <w:pPr>
              <w:jc w:val="center"/>
              <w:ind w:left="30"/>
              <w:spacing w:after="0"/>
              <w:rPr>
                <w:sz w:val="20"/>
                <w:szCs w:val="20"/>
                <w:color w:val="auto"/>
              </w:rPr>
            </w:pPr>
            <w:r>
              <w:rPr>
                <w:rFonts w:ascii="Arial" w:cs="Arial" w:eastAsia="Arial" w:hAnsi="Arial"/>
                <w:sz w:val="18"/>
                <w:szCs w:val="18"/>
                <w:color w:val="auto"/>
                <w:w w:val="90"/>
              </w:rPr>
              <w:t>17,131,722</w:t>
            </w:r>
          </w:p>
        </w:tc>
        <w:tc>
          <w:tcPr>
            <w:tcW w:w="252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6,773,510</w:t>
            </w:r>
          </w:p>
        </w:tc>
      </w:tr>
    </w:tbl>
    <w:p>
      <w:pPr>
        <w:spacing w:after="0" w:line="200" w:lineRule="exact"/>
        <w:rPr>
          <w:sz w:val="20"/>
          <w:szCs w:val="20"/>
          <w:color w:val="auto"/>
        </w:rPr>
      </w:pPr>
    </w:p>
    <w:p>
      <w:pPr>
        <w:spacing w:after="0" w:line="365" w:lineRule="exact"/>
        <w:rPr>
          <w:sz w:val="20"/>
          <w:szCs w:val="20"/>
          <w:color w:val="auto"/>
        </w:rPr>
      </w:pPr>
    </w:p>
    <w:p>
      <w:pPr>
        <w:ind w:left="660" w:right="20" w:hanging="328"/>
        <w:spacing w:after="0" w:line="248"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Company’s stockholders ratified the appointment of Ernst &amp; Young LLP as the Company’s independent registered public accounting firm for the fiscal year ending December 31, 2023. The numbers of shares that voted for, against and abstained from voting for or against the ratification of the selection of Ernst &amp; Young LLP are summarized in the table below:</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jc w:val="center"/>
              <w:spacing w:after="0"/>
              <w:rPr>
                <w:sz w:val="20"/>
                <w:szCs w:val="20"/>
                <w:color w:val="auto"/>
              </w:rPr>
            </w:pPr>
            <w:r>
              <w:rPr>
                <w:rFonts w:ascii="Arial" w:cs="Arial" w:eastAsia="Arial" w:hAnsi="Arial"/>
                <w:sz w:val="18"/>
                <w:szCs w:val="18"/>
                <w:b w:val="1"/>
                <w:bCs w:val="1"/>
                <w:color w:val="auto"/>
                <w:w w:val="89"/>
              </w:rPr>
              <w:t>Votes For</w:t>
            </w:r>
          </w:p>
        </w:tc>
        <w:tc>
          <w:tcPr>
            <w:tcW w:w="120" w:type="dxa"/>
            <w:vAlign w:val="bottom"/>
          </w:tcPr>
          <w:p>
            <w:pPr>
              <w:spacing w:after="0"/>
              <w:rPr>
                <w:sz w:val="20"/>
                <w:szCs w:val="20"/>
                <w:color w:val="auto"/>
              </w:rPr>
            </w:pPr>
          </w:p>
        </w:tc>
        <w:tc>
          <w:tcPr>
            <w:tcW w:w="2520" w:type="dxa"/>
            <w:vAlign w:val="bottom"/>
          </w:tcPr>
          <w:p>
            <w:pPr>
              <w:jc w:val="center"/>
              <w:spacing w:after="0"/>
              <w:rPr>
                <w:sz w:val="20"/>
                <w:szCs w:val="20"/>
                <w:color w:val="auto"/>
              </w:rPr>
            </w:pPr>
            <w:r>
              <w:rPr>
                <w:rFonts w:ascii="Arial" w:cs="Arial" w:eastAsia="Arial" w:hAnsi="Arial"/>
                <w:sz w:val="18"/>
                <w:szCs w:val="18"/>
                <w:b w:val="1"/>
                <w:bCs w:val="1"/>
                <w:color w:val="auto"/>
                <w:w w:val="86"/>
              </w:rPr>
              <w:t>Votes Against</w:t>
            </w:r>
          </w:p>
        </w:tc>
        <w:tc>
          <w:tcPr>
            <w:tcW w:w="100" w:type="dxa"/>
            <w:vAlign w:val="bottom"/>
          </w:tcPr>
          <w:p>
            <w:pPr>
              <w:spacing w:after="0"/>
              <w:rPr>
                <w:sz w:val="20"/>
                <w:szCs w:val="20"/>
                <w:color w:val="auto"/>
              </w:rPr>
            </w:pPr>
          </w:p>
        </w:tc>
        <w:tc>
          <w:tcPr>
            <w:tcW w:w="2880" w:type="dxa"/>
            <w:vAlign w:val="bottom"/>
          </w:tcPr>
          <w:p>
            <w:pPr>
              <w:jc w:val="center"/>
              <w:spacing w:after="0"/>
              <w:rPr>
                <w:sz w:val="20"/>
                <w:szCs w:val="20"/>
                <w:color w:val="auto"/>
              </w:rPr>
            </w:pPr>
            <w:r>
              <w:rPr>
                <w:rFonts w:ascii="Arial" w:cs="Arial" w:eastAsia="Arial" w:hAnsi="Arial"/>
                <w:sz w:val="18"/>
                <w:szCs w:val="18"/>
                <w:b w:val="1"/>
                <w:bCs w:val="1"/>
                <w:color w:val="auto"/>
                <w:w w:val="86"/>
              </w:rPr>
              <w:t>Abstentions</w:t>
            </w:r>
          </w:p>
        </w:tc>
      </w:tr>
      <w:tr>
        <w:trPr>
          <w:trHeight w:val="27"/>
        </w:trPr>
        <w:tc>
          <w:tcPr>
            <w:tcW w:w="5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r>
      <w:tr>
        <w:trPr>
          <w:trHeight w:val="224"/>
        </w:trPr>
        <w:tc>
          <w:tcPr>
            <w:tcW w:w="5620" w:type="dxa"/>
            <w:vAlign w:val="bottom"/>
            <w:shd w:val="clear" w:color="auto" w:fill="CCEEFF"/>
          </w:tcPr>
          <w:p>
            <w:pPr>
              <w:jc w:val="right"/>
              <w:ind w:right="2270"/>
              <w:spacing w:after="0"/>
              <w:rPr>
                <w:sz w:val="20"/>
                <w:szCs w:val="20"/>
                <w:color w:val="auto"/>
              </w:rPr>
            </w:pPr>
            <w:r>
              <w:rPr>
                <w:rFonts w:ascii="Arial" w:cs="Arial" w:eastAsia="Arial" w:hAnsi="Arial"/>
                <w:sz w:val="18"/>
                <w:szCs w:val="18"/>
                <w:color w:val="auto"/>
              </w:rPr>
              <w:t>181,771,460</w:t>
            </w:r>
          </w:p>
        </w:tc>
        <w:tc>
          <w:tcPr>
            <w:tcW w:w="120" w:type="dxa"/>
            <w:vAlign w:val="bottom"/>
            <w:shd w:val="clear" w:color="auto" w:fill="CCEEFF"/>
          </w:tcPr>
          <w:p>
            <w:pPr>
              <w:spacing w:after="0"/>
              <w:rPr>
                <w:sz w:val="19"/>
                <w:szCs w:val="19"/>
                <w:color w:val="auto"/>
              </w:rPr>
            </w:pPr>
          </w:p>
        </w:tc>
        <w:tc>
          <w:tcPr>
            <w:tcW w:w="2520" w:type="dxa"/>
            <w:vAlign w:val="bottom"/>
            <w:shd w:val="clear" w:color="auto" w:fill="CCEEFF"/>
          </w:tcPr>
          <w:p>
            <w:pPr>
              <w:jc w:val="right"/>
              <w:ind w:right="930"/>
              <w:spacing w:after="0"/>
              <w:rPr>
                <w:sz w:val="20"/>
                <w:szCs w:val="20"/>
                <w:color w:val="auto"/>
              </w:rPr>
            </w:pPr>
            <w:r>
              <w:rPr>
                <w:rFonts w:ascii="Arial" w:cs="Arial" w:eastAsia="Arial" w:hAnsi="Arial"/>
                <w:sz w:val="18"/>
                <w:szCs w:val="18"/>
                <w:color w:val="auto"/>
              </w:rPr>
              <w:t>17,166</w:t>
            </w:r>
          </w:p>
        </w:tc>
        <w:tc>
          <w:tcPr>
            <w:tcW w:w="100" w:type="dxa"/>
            <w:vAlign w:val="bottom"/>
            <w:shd w:val="clear" w:color="auto" w:fill="CCEEFF"/>
          </w:tcPr>
          <w:p>
            <w:pPr>
              <w:spacing w:after="0"/>
              <w:rPr>
                <w:sz w:val="19"/>
                <w:szCs w:val="19"/>
                <w:color w:val="auto"/>
              </w:rPr>
            </w:pPr>
          </w:p>
        </w:tc>
        <w:tc>
          <w:tcPr>
            <w:tcW w:w="2880" w:type="dxa"/>
            <w:vAlign w:val="bottom"/>
            <w:shd w:val="clear" w:color="auto" w:fill="CCEEFF"/>
          </w:tcPr>
          <w:p>
            <w:pPr>
              <w:jc w:val="right"/>
              <w:ind w:right="1090"/>
              <w:spacing w:after="0"/>
              <w:rPr>
                <w:sz w:val="20"/>
                <w:szCs w:val="20"/>
                <w:color w:val="auto"/>
              </w:rPr>
            </w:pPr>
            <w:r>
              <w:rPr>
                <w:rFonts w:ascii="Arial" w:cs="Arial" w:eastAsia="Arial" w:hAnsi="Arial"/>
                <w:sz w:val="18"/>
                <w:szCs w:val="18"/>
                <w:color w:val="auto"/>
              </w:rPr>
              <w:t>84,748</w:t>
            </w:r>
          </w:p>
        </w:tc>
      </w:tr>
      <w:tr>
        <w:trPr>
          <w:trHeight w:val="26"/>
        </w:trPr>
        <w:tc>
          <w:tcPr>
            <w:tcW w:w="56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80" w:type="dxa"/>
            <w:vAlign w:val="bottom"/>
            <w:shd w:val="clear" w:color="auto" w:fill="CCEEFF"/>
          </w:tcPr>
          <w:p>
            <w:pPr>
              <w:spacing w:after="0"/>
              <w:rPr>
                <w:sz w:val="2"/>
                <w:szCs w:val="2"/>
                <w:color w:val="auto"/>
              </w:rPr>
            </w:pPr>
          </w:p>
        </w:tc>
      </w:tr>
    </w:tbl>
    <w:p>
      <w:pPr>
        <w:spacing w:after="0" w:line="310" w:lineRule="exact"/>
        <w:rPr>
          <w:sz w:val="20"/>
          <w:szCs w:val="20"/>
          <w:color w:val="auto"/>
        </w:rPr>
      </w:pPr>
    </w:p>
    <w:p>
      <w:pPr>
        <w:ind w:firstLine="8"/>
        <w:spacing w:after="0" w:line="255" w:lineRule="auto"/>
        <w:tabs>
          <w:tab w:leader="none" w:pos="135" w:val="left"/>
        </w:tabs>
        <w:numPr>
          <w:ilvl w:val="0"/>
          <w:numId w:val="5"/>
        </w:numPr>
        <w:rPr>
          <w:rFonts w:ascii="Arial" w:cs="Arial" w:eastAsia="Arial" w:hAnsi="Arial"/>
          <w:sz w:val="17"/>
          <w:szCs w:val="17"/>
          <w:color w:val="auto"/>
        </w:rPr>
      </w:pPr>
      <w:r>
        <w:rPr>
          <w:rFonts w:ascii="Arial" w:cs="Arial" w:eastAsia="Arial" w:hAnsi="Arial"/>
          <w:sz w:val="17"/>
          <w:szCs w:val="17"/>
          <w:color w:val="auto"/>
        </w:rPr>
        <w:t>Broker non-votes are instances where a broker holding shares of record for a beneficial owner does not vote the shares because it has not received voting instructions from the beneficial owner and therefore is precluded by stock exchange rules from voting on a particular matter. Under these rules, when a broker holding shares in “street name” does not receive voting instructions from a beneficial owner, the broker has discretionary authority to vote on certain routine matters but is prohibited from voting on non-routine matters. Brokers who do not receive instructions are not entitled to vote on the election of directors, but they are entitled to vote on the ratification of the appointment of the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716915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86" w:lineRule="exact"/>
        <w:rPr>
          <w:sz w:val="20"/>
          <w:szCs w:val="20"/>
          <w:color w:val="auto"/>
        </w:rPr>
      </w:pPr>
    </w:p>
    <w:p>
      <w:pPr>
        <w:ind w:right="460" w:firstLine="48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34"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340" w:type="dxa"/>
            <w:vAlign w:val="bottom"/>
          </w:tcPr>
          <w:p>
            <w:pPr>
              <w:spacing w:after="0"/>
              <w:rPr>
                <w:sz w:val="20"/>
                <w:szCs w:val="20"/>
                <w:color w:val="auto"/>
              </w:rPr>
            </w:pPr>
          </w:p>
        </w:tc>
        <w:tc>
          <w:tcPr>
            <w:tcW w:w="7860" w:type="dxa"/>
            <w:vAlign w:val="bottom"/>
            <w:gridSpan w:val="2"/>
          </w:tcPr>
          <w:p>
            <w:pPr>
              <w:ind w:left="1900"/>
              <w:spacing w:after="0"/>
              <w:rPr>
                <w:sz w:val="20"/>
                <w:szCs w:val="20"/>
                <w:color w:val="auto"/>
              </w:rPr>
            </w:pPr>
            <w:r>
              <w:rPr>
                <w:rFonts w:ascii="Arial" w:cs="Arial" w:eastAsia="Arial" w:hAnsi="Arial"/>
                <w:sz w:val="18"/>
                <w:szCs w:val="18"/>
                <w:b w:val="1"/>
                <w:bCs w:val="1"/>
                <w:color w:val="auto"/>
              </w:rPr>
              <w:t>NEW FORTRESS ENERGY INC.</w:t>
            </w:r>
          </w:p>
        </w:tc>
      </w:tr>
      <w:tr>
        <w:trPr>
          <w:trHeight w:val="547"/>
        </w:trPr>
        <w:tc>
          <w:tcPr>
            <w:tcW w:w="3340" w:type="dxa"/>
            <w:vAlign w:val="bottom"/>
          </w:tcPr>
          <w:p>
            <w:pPr>
              <w:spacing w:after="0"/>
              <w:rPr>
                <w:sz w:val="20"/>
                <w:szCs w:val="20"/>
                <w:color w:val="auto"/>
              </w:rPr>
            </w:pPr>
            <w:r>
              <w:rPr>
                <w:rFonts w:ascii="Arial" w:cs="Arial" w:eastAsia="Arial" w:hAnsi="Arial"/>
                <w:sz w:val="18"/>
                <w:szCs w:val="18"/>
                <w:color w:val="auto"/>
              </w:rPr>
              <w:t>Date: May 22, 2023</w:t>
            </w:r>
          </w:p>
        </w:tc>
        <w:tc>
          <w:tcPr>
            <w:tcW w:w="2620" w:type="dxa"/>
            <w:vAlign w:val="bottom"/>
          </w:tcPr>
          <w:p>
            <w:pPr>
              <w:ind w:left="1900"/>
              <w:spacing w:after="0"/>
              <w:rPr>
                <w:sz w:val="20"/>
                <w:szCs w:val="20"/>
                <w:color w:val="auto"/>
              </w:rPr>
            </w:pPr>
            <w:r>
              <w:rPr>
                <w:rFonts w:ascii="Arial" w:cs="Arial" w:eastAsia="Arial" w:hAnsi="Arial"/>
                <w:sz w:val="18"/>
                <w:szCs w:val="18"/>
                <w:color w:val="auto"/>
              </w:rPr>
              <w:t>By:</w:t>
            </w:r>
          </w:p>
        </w:tc>
        <w:tc>
          <w:tcPr>
            <w:tcW w:w="5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Christopher S. Guinta</w:t>
            </w:r>
          </w:p>
        </w:tc>
      </w:tr>
      <w:tr>
        <w:trPr>
          <w:trHeight w:val="243"/>
        </w:trPr>
        <w:tc>
          <w:tcPr>
            <w:tcW w:w="3340" w:type="dxa"/>
            <w:vAlign w:val="bottom"/>
          </w:tcPr>
          <w:p>
            <w:pPr>
              <w:spacing w:after="0"/>
              <w:rPr>
                <w:sz w:val="21"/>
                <w:szCs w:val="21"/>
                <w:color w:val="auto"/>
              </w:rPr>
            </w:pPr>
          </w:p>
        </w:tc>
        <w:tc>
          <w:tcPr>
            <w:tcW w:w="2620" w:type="dxa"/>
            <w:vAlign w:val="bottom"/>
          </w:tcPr>
          <w:p>
            <w:pPr>
              <w:ind w:left="1900"/>
              <w:spacing w:after="0"/>
              <w:rPr>
                <w:sz w:val="20"/>
                <w:szCs w:val="20"/>
                <w:color w:val="auto"/>
              </w:rPr>
            </w:pPr>
            <w:r>
              <w:rPr>
                <w:rFonts w:ascii="Arial" w:cs="Arial" w:eastAsia="Arial" w:hAnsi="Arial"/>
                <w:sz w:val="18"/>
                <w:szCs w:val="18"/>
                <w:color w:val="auto"/>
              </w:rPr>
              <w:t>Name:</w:t>
            </w:r>
          </w:p>
        </w:tc>
        <w:tc>
          <w:tcPr>
            <w:tcW w:w="5240" w:type="dxa"/>
            <w:vAlign w:val="bottom"/>
          </w:tcPr>
          <w:p>
            <w:pPr>
              <w:ind w:left="20"/>
              <w:spacing w:after="0"/>
              <w:rPr>
                <w:sz w:val="20"/>
                <w:szCs w:val="20"/>
                <w:color w:val="auto"/>
              </w:rPr>
            </w:pPr>
            <w:r>
              <w:rPr>
                <w:rFonts w:ascii="Arial" w:cs="Arial" w:eastAsia="Arial" w:hAnsi="Arial"/>
                <w:sz w:val="18"/>
                <w:szCs w:val="18"/>
                <w:color w:val="auto"/>
              </w:rPr>
              <w:t>Christopher S. Guinta</w:t>
            </w:r>
          </w:p>
        </w:tc>
      </w:tr>
      <w:tr>
        <w:trPr>
          <w:trHeight w:val="257"/>
        </w:trPr>
        <w:tc>
          <w:tcPr>
            <w:tcW w:w="3340" w:type="dxa"/>
            <w:vAlign w:val="bottom"/>
          </w:tcPr>
          <w:p>
            <w:pPr>
              <w:spacing w:after="0"/>
              <w:rPr>
                <w:sz w:val="22"/>
                <w:szCs w:val="22"/>
                <w:color w:val="auto"/>
              </w:rPr>
            </w:pPr>
          </w:p>
        </w:tc>
        <w:tc>
          <w:tcPr>
            <w:tcW w:w="2620" w:type="dxa"/>
            <w:vAlign w:val="bottom"/>
          </w:tcPr>
          <w:p>
            <w:pPr>
              <w:ind w:left="1900"/>
              <w:spacing w:after="0"/>
              <w:rPr>
                <w:sz w:val="20"/>
                <w:szCs w:val="20"/>
                <w:color w:val="auto"/>
              </w:rPr>
            </w:pPr>
            <w:r>
              <w:rPr>
                <w:rFonts w:ascii="Arial" w:cs="Arial" w:eastAsia="Arial" w:hAnsi="Arial"/>
                <w:sz w:val="18"/>
                <w:szCs w:val="18"/>
                <w:color w:val="auto"/>
              </w:rPr>
              <w:t>Title:</w:t>
            </w:r>
          </w:p>
        </w:tc>
        <w:tc>
          <w:tcPr>
            <w:tcW w:w="524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bl>
    <w:p>
      <w:pPr>
        <w:spacing w:after="0" w:line="1" w:lineRule="exact"/>
        <w:rPr>
          <w:sz w:val="20"/>
          <w:szCs w:val="20"/>
          <w:color w:val="auto"/>
        </w:rPr>
      </w:pPr>
    </w:p>
    <w:sectPr>
      <w:pgSz w:w="11900" w:h="16838" w:orient="portrait"/>
      <w:cols w:equalWidth="0" w:num="1">
        <w:col w:w="11220"/>
      </w:cols>
      <w:pgMar w:left="320" w:top="931"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1."/>
      <w:numFmt w:val="decimal"/>
      <w:start w:val="2"/>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2023-05-22T15:55:38Z</dcterms:created>
  <dcterms:modified xsi:type="dcterms:W3CDTF">2023-05-22T15:55:38Z</dcterms:modified>
</cp:coreProperties>
</file>