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149860</wp:posOffset>
            </wp:positionH>
            <wp:positionV relativeFrom="page">
              <wp:posOffset>149860</wp:posOffset>
            </wp:positionV>
            <wp:extent cx="7261860"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3048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256540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37"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2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726186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60" w:lineRule="exact"/>
        <w:rPr>
          <w:sz w:val="24"/>
          <w:szCs w:val="24"/>
          <w:color w:val="auto"/>
        </w:rPr>
      </w:pPr>
    </w:p>
    <w:p>
      <w:pPr>
        <w:jc w:val="center"/>
        <w:ind w:right="-23"/>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6186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207" w:lineRule="exact"/>
        <w:rPr>
          <w:sz w:val="24"/>
          <w:szCs w:val="24"/>
          <w:color w:val="auto"/>
        </w:rPr>
      </w:pPr>
    </w:p>
    <w:p>
      <w:pPr>
        <w:ind w:left="4104" w:right="2980" w:hanging="4104"/>
        <w:spacing w:after="0" w:line="532" w:lineRule="auto"/>
        <w:tabs>
          <w:tab w:leader="none" w:pos="28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2019</w:t>
      </w:r>
    </w:p>
    <w:p>
      <w:pPr>
        <w:spacing w:after="0" w:line="1" w:lineRule="exact"/>
        <w:rPr>
          <w:sz w:val="24"/>
          <w:szCs w:val="24"/>
          <w:color w:val="auto"/>
        </w:rPr>
      </w:pPr>
    </w:p>
    <w:p>
      <w:pPr>
        <w:jc w:val="center"/>
        <w:ind w:right="-23"/>
        <w:spacing w:after="0"/>
        <w:rPr>
          <w:sz w:val="20"/>
          <w:szCs w:val="20"/>
          <w:color w:val="auto"/>
        </w:rPr>
      </w:pPr>
      <w:r>
        <w:rPr>
          <w:rFonts w:ascii="Arial" w:cs="Arial" w:eastAsia="Arial" w:hAnsi="Arial"/>
          <w:sz w:val="16"/>
          <w:szCs w:val="16"/>
          <w:b w:val="1"/>
          <w:bCs w:val="1"/>
          <w:color w:val="auto"/>
        </w:rPr>
        <w:t>OR</w:t>
      </w:r>
    </w:p>
    <w:p>
      <w:pPr>
        <w:spacing w:after="0" w:line="224" w:lineRule="exact"/>
        <w:rPr>
          <w:sz w:val="24"/>
          <w:szCs w:val="24"/>
          <w:color w:val="auto"/>
        </w:rPr>
      </w:pPr>
    </w:p>
    <w:p>
      <w:pPr>
        <w:ind w:left="3784" w:right="2960" w:hanging="3784"/>
        <w:spacing w:after="0" w:line="568" w:lineRule="auto"/>
        <w:tabs>
          <w:tab w:leader="none" w:pos="296"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 For the transition period from __________ to__________</w:t>
      </w:r>
    </w:p>
    <w:p>
      <w:pPr>
        <w:ind w:left="4444"/>
        <w:spacing w:after="0"/>
        <w:rPr>
          <w:rFonts w:ascii="MS PGothic" w:cs="MS PGothic" w:eastAsia="MS PGothic" w:hAnsi="MS PGothic"/>
          <w:sz w:val="15"/>
          <w:szCs w:val="15"/>
          <w:color w:val="auto"/>
        </w:rPr>
      </w:pPr>
      <w:r>
        <w:rPr>
          <w:rFonts w:ascii="Arial" w:cs="Arial" w:eastAsia="Arial" w:hAnsi="Arial"/>
          <w:sz w:val="16"/>
          <w:szCs w:val="16"/>
          <w:b w:val="1"/>
          <w:bCs w:val="1"/>
          <w:color w:val="auto"/>
        </w:rPr>
        <w:t>Commission File Number: 001-38790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6186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83" w:lineRule="exact"/>
        <w:rPr>
          <w:sz w:val="24"/>
          <w:szCs w:val="24"/>
          <w:color w:val="auto"/>
        </w:rPr>
      </w:pPr>
    </w:p>
    <w:p>
      <w:pPr>
        <w:jc w:val="center"/>
        <w:ind w:right="-23"/>
        <w:spacing w:after="0"/>
        <w:rPr>
          <w:sz w:val="20"/>
          <w:szCs w:val="20"/>
          <w:color w:val="auto"/>
        </w:rPr>
      </w:pPr>
      <w:r>
        <w:rPr>
          <w:rFonts w:ascii="Arial" w:cs="Arial" w:eastAsia="Arial" w:hAnsi="Arial"/>
          <w:sz w:val="38"/>
          <w:szCs w:val="38"/>
          <w:b w:val="1"/>
          <w:bCs w:val="1"/>
          <w:color w:val="auto"/>
        </w:rPr>
        <w:t>New Fortress Energy LLC</w:t>
      </w:r>
    </w:p>
    <w:p>
      <w:pPr>
        <w:spacing w:after="0" w:line="47" w:lineRule="exact"/>
        <w:rPr>
          <w:sz w:val="24"/>
          <w:szCs w:val="24"/>
          <w:color w:val="auto"/>
        </w:rPr>
      </w:pPr>
    </w:p>
    <w:p>
      <w:pPr>
        <w:jc w:val="center"/>
        <w:ind w:right="-2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726186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86" w:lineRule="exact"/>
        <w:rPr>
          <w:sz w:val="24"/>
          <w:szCs w:val="24"/>
          <w:color w:val="auto"/>
        </w:rPr>
      </w:pPr>
    </w:p>
    <w:tbl>
      <w:tblPr>
        <w:tblLayout w:type="fixed"/>
        <w:tblInd w:w="1544" w:type="dxa"/>
        <w:tblCellMar>
          <w:top w:w="0" w:type="dxa"/>
          <w:left w:w="0" w:type="dxa"/>
          <w:bottom w:w="0" w:type="dxa"/>
          <w:right w:w="0" w:type="dxa"/>
        </w:tblCellMar>
      </w:tblPr>
      <w:tr>
        <w:trPr>
          <w:trHeight w:val="196"/>
        </w:trPr>
        <w:tc>
          <w:tcPr>
            <w:tcW w:w="6480" w:type="dxa"/>
            <w:vAlign w:val="bottom"/>
          </w:tcPr>
          <w:p>
            <w:pPr>
              <w:jc w:val="center"/>
              <w:ind w:right="3880"/>
              <w:spacing w:after="0"/>
              <w:rPr>
                <w:sz w:val="20"/>
                <w:szCs w:val="20"/>
                <w:color w:val="auto"/>
              </w:rPr>
            </w:pPr>
            <w:r>
              <w:rPr>
                <w:rFonts w:ascii="Arial" w:cs="Arial" w:eastAsia="Arial" w:hAnsi="Arial"/>
                <w:sz w:val="16"/>
                <w:szCs w:val="16"/>
                <w:b w:val="1"/>
                <w:bCs w:val="1"/>
                <w:color w:val="auto"/>
                <w:w w:val="91"/>
              </w:rPr>
              <w:t>Delaware</w:t>
            </w:r>
          </w:p>
        </w:tc>
        <w:tc>
          <w:tcPr>
            <w:tcW w:w="1200" w:type="dxa"/>
            <w:vAlign w:val="bottom"/>
          </w:tcPr>
          <w:p>
            <w:pPr>
              <w:jc w:val="right"/>
              <w:ind w:right="120"/>
              <w:spacing w:after="0"/>
              <w:rPr>
                <w:sz w:val="20"/>
                <w:szCs w:val="20"/>
                <w:color w:val="auto"/>
              </w:rPr>
            </w:pPr>
            <w:r>
              <w:rPr>
                <w:rFonts w:ascii="Arial" w:cs="Arial" w:eastAsia="Arial" w:hAnsi="Arial"/>
                <w:sz w:val="16"/>
                <w:szCs w:val="16"/>
                <w:b w:val="1"/>
                <w:bCs w:val="1"/>
                <w:color w:val="auto"/>
              </w:rPr>
              <w:t>83-1482060</w:t>
            </w:r>
          </w:p>
        </w:tc>
      </w:tr>
      <w:tr>
        <w:trPr>
          <w:trHeight w:val="192"/>
        </w:trPr>
        <w:tc>
          <w:tcPr>
            <w:tcW w:w="6480" w:type="dxa"/>
            <w:vAlign w:val="bottom"/>
          </w:tcPr>
          <w:p>
            <w:pPr>
              <w:jc w:val="center"/>
              <w:ind w:right="3860"/>
              <w:spacing w:after="0"/>
              <w:rPr>
                <w:sz w:val="20"/>
                <w:szCs w:val="20"/>
                <w:color w:val="auto"/>
              </w:rPr>
            </w:pPr>
            <w:r>
              <w:rPr>
                <w:rFonts w:ascii="Arial" w:cs="Arial" w:eastAsia="Arial" w:hAnsi="Arial"/>
                <w:sz w:val="16"/>
                <w:szCs w:val="16"/>
                <w:color w:val="auto"/>
                <w:w w:val="92"/>
              </w:rPr>
              <w:t>(State or other jurisdiction of</w:t>
            </w: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05"/>
        </w:trPr>
        <w:tc>
          <w:tcPr>
            <w:tcW w:w="6480" w:type="dxa"/>
            <w:vAlign w:val="bottom"/>
          </w:tcPr>
          <w:p>
            <w:pPr>
              <w:jc w:val="center"/>
              <w:ind w:right="3880"/>
              <w:spacing w:after="0"/>
              <w:rPr>
                <w:sz w:val="20"/>
                <w:szCs w:val="20"/>
                <w:color w:val="auto"/>
              </w:rPr>
            </w:pPr>
            <w:r>
              <w:rPr>
                <w:rFonts w:ascii="Arial" w:cs="Arial" w:eastAsia="Arial" w:hAnsi="Arial"/>
                <w:sz w:val="16"/>
                <w:szCs w:val="16"/>
                <w:color w:val="auto"/>
                <w:w w:val="92"/>
              </w:rPr>
              <w:t>incorporation or organization)</w:t>
            </w:r>
          </w:p>
        </w:tc>
        <w:tc>
          <w:tcPr>
            <w:tcW w:w="1200" w:type="dxa"/>
            <w:vAlign w:val="bottom"/>
          </w:tcPr>
          <w:p>
            <w:pPr>
              <w:jc w:val="center"/>
              <w:spacing w:after="0"/>
              <w:rPr>
                <w:sz w:val="20"/>
                <w:szCs w:val="20"/>
                <w:color w:val="auto"/>
              </w:rPr>
            </w:pPr>
            <w:r>
              <w:rPr>
                <w:rFonts w:ascii="Arial" w:cs="Arial" w:eastAsia="Arial" w:hAnsi="Arial"/>
                <w:sz w:val="16"/>
                <w:szCs w:val="16"/>
                <w:color w:val="auto"/>
                <w:w w:val="94"/>
              </w:rPr>
              <w:t>Identification No.)</w:t>
            </w:r>
          </w:p>
        </w:tc>
      </w:tr>
      <w:tr>
        <w:trPr>
          <w:trHeight w:val="392"/>
        </w:trPr>
        <w:tc>
          <w:tcPr>
            <w:tcW w:w="6480" w:type="dxa"/>
            <w:vAlign w:val="bottom"/>
          </w:tcPr>
          <w:p>
            <w:pPr>
              <w:jc w:val="center"/>
              <w:ind w:right="3880"/>
              <w:spacing w:after="0"/>
              <w:rPr>
                <w:sz w:val="20"/>
                <w:szCs w:val="20"/>
                <w:color w:val="auto"/>
              </w:rPr>
            </w:pPr>
            <w:r>
              <w:rPr>
                <w:rFonts w:ascii="Arial" w:cs="Arial" w:eastAsia="Arial" w:hAnsi="Arial"/>
                <w:sz w:val="16"/>
                <w:szCs w:val="16"/>
                <w:b w:val="1"/>
                <w:bCs w:val="1"/>
                <w:color w:val="auto"/>
                <w:w w:val="88"/>
              </w:rPr>
              <w:t>111 W. 19</w:t>
            </w:r>
            <w:r>
              <w:rPr>
                <w:rFonts w:ascii="Arial" w:cs="Arial" w:eastAsia="Arial" w:hAnsi="Arial"/>
                <w:sz w:val="26"/>
                <w:szCs w:val="26"/>
                <w:b w:val="1"/>
                <w:bCs w:val="1"/>
                <w:color w:val="auto"/>
                <w:w w:val="88"/>
                <w:vertAlign w:val="superscript"/>
              </w:rPr>
              <w:t>th</w:t>
            </w:r>
            <w:r>
              <w:rPr>
                <w:rFonts w:ascii="Arial" w:cs="Arial" w:eastAsia="Arial" w:hAnsi="Arial"/>
                <w:sz w:val="16"/>
                <w:szCs w:val="16"/>
                <w:b w:val="1"/>
                <w:bCs w:val="1"/>
                <w:color w:val="auto"/>
                <w:w w:val="88"/>
              </w:rPr>
              <w:t xml:space="preserve"> Street, 8</w:t>
            </w:r>
            <w:r>
              <w:rPr>
                <w:rFonts w:ascii="Arial" w:cs="Arial" w:eastAsia="Arial" w:hAnsi="Arial"/>
                <w:sz w:val="26"/>
                <w:szCs w:val="26"/>
                <w:b w:val="1"/>
                <w:bCs w:val="1"/>
                <w:color w:val="auto"/>
                <w:w w:val="88"/>
                <w:vertAlign w:val="superscript"/>
              </w:rPr>
              <w:t>th</w:t>
            </w:r>
            <w:r>
              <w:rPr>
                <w:rFonts w:ascii="Arial" w:cs="Arial" w:eastAsia="Arial" w:hAnsi="Arial"/>
                <w:sz w:val="16"/>
                <w:szCs w:val="16"/>
                <w:b w:val="1"/>
                <w:bCs w:val="1"/>
                <w:color w:val="auto"/>
                <w:w w:val="88"/>
              </w:rPr>
              <w:t xml:space="preserve"> Floor</w:t>
            </w:r>
          </w:p>
        </w:tc>
        <w:tc>
          <w:tcPr>
            <w:tcW w:w="1200" w:type="dxa"/>
            <w:vAlign w:val="bottom"/>
          </w:tcPr>
          <w:p>
            <w:pPr>
              <w:spacing w:after="0"/>
              <w:rPr>
                <w:sz w:val="24"/>
                <w:szCs w:val="24"/>
                <w:color w:val="auto"/>
              </w:rPr>
            </w:pPr>
          </w:p>
        </w:tc>
      </w:tr>
      <w:tr>
        <w:trPr>
          <w:trHeight w:val="196"/>
        </w:trPr>
        <w:tc>
          <w:tcPr>
            <w:tcW w:w="6480" w:type="dxa"/>
            <w:vAlign w:val="bottom"/>
          </w:tcPr>
          <w:p>
            <w:pPr>
              <w:jc w:val="center"/>
              <w:ind w:right="3880"/>
              <w:spacing w:after="0"/>
              <w:rPr>
                <w:sz w:val="20"/>
                <w:szCs w:val="20"/>
                <w:color w:val="auto"/>
              </w:rPr>
            </w:pPr>
            <w:r>
              <w:rPr>
                <w:rFonts w:ascii="Arial" w:cs="Arial" w:eastAsia="Arial" w:hAnsi="Arial"/>
                <w:sz w:val="16"/>
                <w:szCs w:val="16"/>
                <w:b w:val="1"/>
                <w:bCs w:val="1"/>
                <w:color w:val="auto"/>
                <w:w w:val="96"/>
              </w:rPr>
              <w:t>New York, NY</w:t>
            </w:r>
          </w:p>
        </w:tc>
        <w:tc>
          <w:tcPr>
            <w:tcW w:w="1200" w:type="dxa"/>
            <w:vAlign w:val="bottom"/>
          </w:tcPr>
          <w:p>
            <w:pPr>
              <w:jc w:val="right"/>
              <w:ind w:right="320"/>
              <w:spacing w:after="0"/>
              <w:rPr>
                <w:sz w:val="20"/>
                <w:szCs w:val="20"/>
                <w:color w:val="auto"/>
              </w:rPr>
            </w:pPr>
            <w:r>
              <w:rPr>
                <w:rFonts w:ascii="Arial" w:cs="Arial" w:eastAsia="Arial" w:hAnsi="Arial"/>
                <w:sz w:val="16"/>
                <w:szCs w:val="16"/>
                <w:b w:val="1"/>
                <w:bCs w:val="1"/>
                <w:color w:val="auto"/>
              </w:rPr>
              <w:t>10011</w:t>
            </w:r>
          </w:p>
        </w:tc>
      </w:tr>
      <w:tr>
        <w:trPr>
          <w:trHeight w:val="205"/>
        </w:trPr>
        <w:tc>
          <w:tcPr>
            <w:tcW w:w="6480" w:type="dxa"/>
            <w:vAlign w:val="bottom"/>
          </w:tcPr>
          <w:p>
            <w:pPr>
              <w:jc w:val="center"/>
              <w:ind w:right="3860"/>
              <w:spacing w:after="0"/>
              <w:rPr>
                <w:sz w:val="20"/>
                <w:szCs w:val="20"/>
                <w:color w:val="auto"/>
              </w:rPr>
            </w:pPr>
            <w:r>
              <w:rPr>
                <w:rFonts w:ascii="Arial" w:cs="Arial" w:eastAsia="Arial" w:hAnsi="Arial"/>
                <w:sz w:val="16"/>
                <w:szCs w:val="16"/>
                <w:color w:val="auto"/>
                <w:w w:val="92"/>
              </w:rPr>
              <w:t>(Address of principal executive offices)</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(Zip Code)</w:t>
            </w:r>
          </w:p>
        </w:tc>
      </w:tr>
      <w:tr>
        <w:trPr>
          <w:trHeight w:val="384"/>
        </w:trPr>
        <w:tc>
          <w:tcPr>
            <w:tcW w:w="6480" w:type="dxa"/>
            <w:vAlign w:val="bottom"/>
          </w:tcPr>
          <w:p>
            <w:pPr>
              <w:ind w:left="1880"/>
              <w:spacing w:after="0"/>
              <w:rPr>
                <w:sz w:val="20"/>
                <w:szCs w:val="20"/>
                <w:color w:val="auto"/>
              </w:rPr>
            </w:pPr>
            <w:r>
              <w:rPr>
                <w:rFonts w:ascii="Arial" w:cs="Arial" w:eastAsia="Arial" w:hAnsi="Arial"/>
                <w:sz w:val="16"/>
                <w:szCs w:val="16"/>
                <w:b w:val="1"/>
                <w:bCs w:val="1"/>
                <w:color w:val="auto"/>
                <w:w w:val="89"/>
              </w:rPr>
              <w:t>Registrant’s telephone number, including area code: (516) 268-7400</w:t>
            </w:r>
          </w:p>
        </w:tc>
        <w:tc>
          <w:tcPr>
            <w:tcW w:w="1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26186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376" w:lineRule="exact"/>
        <w:rPr>
          <w:sz w:val="24"/>
          <w:szCs w:val="24"/>
          <w:color w:val="auto"/>
        </w:rPr>
      </w:pPr>
    </w:p>
    <w:p>
      <w:pPr>
        <w:ind w:left="4" w:right="20" w:firstLine="288"/>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6" w:lineRule="exact"/>
        <w:rPr>
          <w:sz w:val="24"/>
          <w:szCs w:val="24"/>
          <w:color w:val="auto"/>
        </w:rPr>
      </w:pPr>
    </w:p>
    <w:p>
      <w:pPr>
        <w:ind w:left="4" w:right="240" w:firstLine="288"/>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7" w:lineRule="exact"/>
        <w:rPr>
          <w:sz w:val="24"/>
          <w:szCs w:val="24"/>
          <w:color w:val="auto"/>
        </w:rPr>
      </w:pPr>
    </w:p>
    <w:p>
      <w:pPr>
        <w:ind w:left="4" w:right="140" w:firstLine="288"/>
        <w:spacing w:after="0" w:line="35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4"/>
          </w:cols>
          <w:pgMar w:left="236" w:top="490" w:right="259" w:bottom="1440" w:gutter="0" w:footer="0" w:header="0"/>
        </w:sectPr>
      </w:pPr>
    </w:p>
    <w:p>
      <w:pPr>
        <w:spacing w:after="0" w:line="76" w:lineRule="exact"/>
        <w:rPr>
          <w:sz w:val="24"/>
          <w:szCs w:val="24"/>
          <w:color w:val="auto"/>
        </w:rPr>
      </w:pPr>
    </w:p>
    <w:p>
      <w:pPr>
        <w:ind w:left="584"/>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75" w:lineRule="exact"/>
        <w:rPr>
          <w:sz w:val="24"/>
          <w:szCs w:val="24"/>
          <w:color w:val="auto"/>
        </w:rPr>
      </w:pPr>
    </w:p>
    <w:p>
      <w:pPr>
        <w:ind w:left="584"/>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ind w:left="6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7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3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8204" w:space="720"/>
            <w:col w:w="2480"/>
          </w:cols>
          <w:pgMar w:left="236" w:top="490" w:right="259" w:bottom="1440" w:gutter="0" w:footer="0" w:header="0"/>
          <w:type w:val="continuous"/>
        </w:sectPr>
      </w:pPr>
    </w:p>
    <w:p>
      <w:pPr>
        <w:spacing w:after="0" w:line="9" w:lineRule="exact"/>
        <w:rPr>
          <w:sz w:val="24"/>
          <w:szCs w:val="24"/>
          <w:color w:val="auto"/>
        </w:rPr>
      </w:pPr>
    </w:p>
    <w:p>
      <w:pPr>
        <w:ind w:left="4" w:firstLine="28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7" w:lineRule="exact"/>
        <w:rPr>
          <w:sz w:val="24"/>
          <w:szCs w:val="24"/>
          <w:color w:val="auto"/>
        </w:rPr>
      </w:pPr>
    </w:p>
    <w:p>
      <w:pPr>
        <w:ind w:left="284"/>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0" w:lineRule="exact"/>
        <w:rPr>
          <w:sz w:val="24"/>
          <w:szCs w:val="24"/>
          <w:color w:val="auto"/>
        </w:rPr>
      </w:pPr>
    </w:p>
    <w:tbl>
      <w:tblPr>
        <w:tblLayout w:type="fixed"/>
        <w:tblInd w:w="784" w:type="dxa"/>
        <w:tblCellMar>
          <w:top w:w="0" w:type="dxa"/>
          <w:left w:w="0" w:type="dxa"/>
          <w:bottom w:w="0" w:type="dxa"/>
          <w:right w:w="0" w:type="dxa"/>
        </w:tblCellMar>
      </w:tblPr>
      <w:tr>
        <w:trPr>
          <w:trHeight w:val="209"/>
        </w:trPr>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60" w:type="dxa"/>
            <w:vAlign w:val="bottom"/>
            <w:gridSpan w:val="5"/>
          </w:tcPr>
          <w:p>
            <w:pPr>
              <w:jc w:val="center"/>
              <w:ind w:left="780"/>
              <w:spacing w:after="0"/>
              <w:rPr>
                <w:sz w:val="20"/>
                <w:szCs w:val="20"/>
                <w:color w:val="auto"/>
              </w:rPr>
            </w:pPr>
            <w:r>
              <w:rPr>
                <w:rFonts w:ascii="Arial" w:cs="Arial" w:eastAsia="Arial" w:hAnsi="Arial"/>
                <w:sz w:val="16"/>
                <w:szCs w:val="16"/>
                <w:b w:val="1"/>
                <w:bCs w:val="1"/>
                <w:color w:val="auto"/>
                <w:w w:val="89"/>
              </w:rPr>
              <w:t>Securities registered pursuant to Section 12(b) of the Act:</w:t>
            </w:r>
          </w:p>
        </w:tc>
        <w:tc>
          <w:tcPr>
            <w:tcW w:w="2840" w:type="dxa"/>
            <w:vAlign w:val="bottom"/>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72"/>
        </w:trPr>
        <w:tc>
          <w:tcPr>
            <w:tcW w:w="920" w:type="dxa"/>
            <w:vAlign w:val="bottom"/>
          </w:tcPr>
          <w:p>
            <w:pPr>
              <w:spacing w:after="0"/>
              <w:rPr>
                <w:sz w:val="24"/>
                <w:szCs w:val="24"/>
                <w:color w:val="auto"/>
              </w:rPr>
            </w:pPr>
          </w:p>
        </w:tc>
        <w:tc>
          <w:tcPr>
            <w:tcW w:w="2880" w:type="dxa"/>
            <w:vAlign w:val="bottom"/>
            <w:gridSpan w:val="2"/>
          </w:tcPr>
          <w:p>
            <w:pPr>
              <w:jc w:val="center"/>
              <w:ind w:right="1640"/>
              <w:spacing w:after="0"/>
              <w:rPr>
                <w:sz w:val="20"/>
                <w:szCs w:val="20"/>
                <w:color w:val="auto"/>
              </w:rPr>
            </w:pPr>
            <w:r>
              <w:rPr>
                <w:rFonts w:ascii="Arial" w:cs="Arial" w:eastAsia="Arial" w:hAnsi="Arial"/>
                <w:sz w:val="16"/>
                <w:szCs w:val="16"/>
                <w:color w:val="auto"/>
                <w:w w:val="90"/>
              </w:rPr>
              <w:t>Title of each class</w:t>
            </w:r>
          </w:p>
        </w:tc>
        <w:tc>
          <w:tcPr>
            <w:tcW w:w="3140" w:type="dxa"/>
            <w:vAlign w:val="bottom"/>
            <w:gridSpan w:val="4"/>
          </w:tcPr>
          <w:p>
            <w:pPr>
              <w:jc w:val="center"/>
              <w:ind w:right="880"/>
              <w:spacing w:after="0"/>
              <w:rPr>
                <w:sz w:val="20"/>
                <w:szCs w:val="20"/>
                <w:color w:val="auto"/>
              </w:rPr>
            </w:pPr>
            <w:r>
              <w:rPr>
                <w:rFonts w:ascii="Arial" w:cs="Arial" w:eastAsia="Arial" w:hAnsi="Arial"/>
                <w:sz w:val="16"/>
                <w:szCs w:val="16"/>
                <w:color w:val="auto"/>
                <w:w w:val="93"/>
              </w:rPr>
              <w:t>Trading Symbol(s)</w:t>
            </w:r>
          </w:p>
        </w:tc>
        <w:tc>
          <w:tcPr>
            <w:tcW w:w="2840" w:type="dxa"/>
            <w:vAlign w:val="bottom"/>
          </w:tcPr>
          <w:p>
            <w:pPr>
              <w:spacing w:after="0"/>
              <w:rPr>
                <w:sz w:val="20"/>
                <w:szCs w:val="20"/>
                <w:color w:val="auto"/>
              </w:rPr>
            </w:pPr>
            <w:r>
              <w:rPr>
                <w:rFonts w:ascii="Arial" w:cs="Arial" w:eastAsia="Arial" w:hAnsi="Arial"/>
                <w:sz w:val="16"/>
                <w:szCs w:val="16"/>
                <w:color w:val="auto"/>
                <w:w w:val="89"/>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r>
      <w:tr>
        <w:trPr>
          <w:trHeight w:val="192"/>
        </w:trPr>
        <w:tc>
          <w:tcPr>
            <w:tcW w:w="380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89"/>
              </w:rPr>
              <w:t>Class A shares, representing limited liability</w:t>
            </w:r>
          </w:p>
        </w:tc>
        <w:tc>
          <w:tcPr>
            <w:tcW w:w="520" w:type="dxa"/>
            <w:vAlign w:val="bottom"/>
          </w:tcPr>
          <w:p>
            <w:pPr>
              <w:spacing w:after="0"/>
              <w:rPr>
                <w:sz w:val="16"/>
                <w:szCs w:val="16"/>
                <w:color w:val="auto"/>
              </w:rPr>
            </w:pPr>
          </w:p>
        </w:tc>
        <w:tc>
          <w:tcPr>
            <w:tcW w:w="2620" w:type="dxa"/>
            <w:vAlign w:val="bottom"/>
            <w:gridSpan w:val="3"/>
          </w:tcPr>
          <w:p>
            <w:pPr>
              <w:jc w:val="center"/>
              <w:ind w:right="1420"/>
              <w:spacing w:after="0"/>
              <w:rPr>
                <w:sz w:val="20"/>
                <w:szCs w:val="20"/>
                <w:color w:val="auto"/>
              </w:rPr>
            </w:pPr>
            <w:r>
              <w:rPr>
                <w:rFonts w:ascii="Arial" w:cs="Arial" w:eastAsia="Arial" w:hAnsi="Arial"/>
                <w:sz w:val="16"/>
                <w:szCs w:val="16"/>
                <w:b w:val="1"/>
                <w:bCs w:val="1"/>
                <w:color w:val="auto"/>
                <w:w w:val="99"/>
              </w:rPr>
              <w:t>“NFE”</w:t>
            </w:r>
          </w:p>
        </w:tc>
        <w:tc>
          <w:tcPr>
            <w:tcW w:w="2840" w:type="dxa"/>
            <w:vAlign w:val="bottom"/>
          </w:tcPr>
          <w:p>
            <w:pPr>
              <w:ind w:left="400"/>
              <w:spacing w:after="0"/>
              <w:rPr>
                <w:sz w:val="20"/>
                <w:szCs w:val="20"/>
                <w:color w:val="auto"/>
              </w:rPr>
            </w:pPr>
            <w:r>
              <w:rPr>
                <w:rFonts w:ascii="Arial" w:cs="Arial" w:eastAsia="Arial" w:hAnsi="Arial"/>
                <w:sz w:val="16"/>
                <w:szCs w:val="16"/>
                <w:b w:val="1"/>
                <w:bCs w:val="1"/>
                <w:color w:val="auto"/>
              </w:rPr>
              <w:t>NASDAQ Global Select Market</w:t>
            </w:r>
          </w:p>
        </w:tc>
      </w:tr>
      <w:tr>
        <w:trPr>
          <w:trHeight w:val="209"/>
        </w:trPr>
        <w:tc>
          <w:tcPr>
            <w:tcW w:w="3800" w:type="dxa"/>
            <w:vAlign w:val="bottom"/>
            <w:gridSpan w:val="3"/>
          </w:tcPr>
          <w:p>
            <w:pPr>
              <w:jc w:val="center"/>
              <w:ind w:right="720"/>
              <w:spacing w:after="0"/>
              <w:rPr>
                <w:sz w:val="20"/>
                <w:szCs w:val="20"/>
                <w:color w:val="auto"/>
              </w:rPr>
            </w:pPr>
            <w:r>
              <w:rPr>
                <w:rFonts w:ascii="Arial" w:cs="Arial" w:eastAsia="Arial" w:hAnsi="Arial"/>
                <w:sz w:val="16"/>
                <w:szCs w:val="16"/>
                <w:b w:val="1"/>
                <w:bCs w:val="1"/>
                <w:color w:val="auto"/>
                <w:w w:val="87"/>
              </w:rPr>
              <w:t>company interests</w:t>
            </w: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40" w:type="dxa"/>
            <w:vAlign w:val="bottom"/>
          </w:tcPr>
          <w:p>
            <w:pPr>
              <w:spacing w:after="0"/>
              <w:rPr>
                <w:sz w:val="18"/>
                <w:szCs w:val="18"/>
                <w:color w:val="auto"/>
              </w:rPr>
            </w:pPr>
          </w:p>
        </w:tc>
      </w:tr>
    </w:tbl>
    <w:p>
      <w:pPr>
        <w:spacing w:after="0" w:line="200" w:lineRule="exact"/>
        <w:rPr>
          <w:sz w:val="24"/>
          <w:szCs w:val="24"/>
          <w:color w:val="auto"/>
        </w:rPr>
      </w:pPr>
    </w:p>
    <w:p>
      <w:pPr>
        <w:spacing w:after="0" w:line="220" w:lineRule="exact"/>
        <w:rPr>
          <w:sz w:val="24"/>
          <w:szCs w:val="24"/>
          <w:color w:val="auto"/>
        </w:rPr>
      </w:pPr>
    </w:p>
    <w:p>
      <w:pPr>
        <w:ind w:left="284"/>
        <w:spacing w:after="0"/>
        <w:rPr>
          <w:sz w:val="20"/>
          <w:szCs w:val="20"/>
          <w:color w:val="auto"/>
        </w:rPr>
      </w:pPr>
      <w:r>
        <w:rPr>
          <w:rFonts w:ascii="Arial" w:cs="Arial" w:eastAsia="Arial" w:hAnsi="Arial"/>
          <w:sz w:val="16"/>
          <w:szCs w:val="16"/>
          <w:color w:val="auto"/>
        </w:rPr>
        <w:t>As of May 9, 2019, the registrant had 20,837,272 Class A shares and 147,058,824 Class B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295275</wp:posOffset>
            </wp:positionV>
            <wp:extent cx="7261860" cy="30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30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424815</wp:posOffset>
            </wp:positionV>
            <wp:extent cx="726186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4"/>
          </w:cols>
          <w:pgMar w:left="236" w:top="490"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5"/>
          </w:tcPr>
          <w:p>
            <w:pPr>
              <w:ind w:left="1640"/>
              <w:spacing w:after="0"/>
              <w:rPr>
                <w:sz w:val="20"/>
                <w:szCs w:val="20"/>
                <w:color w:val="auto"/>
              </w:rPr>
            </w:pPr>
            <w:r>
              <w:rPr>
                <w:rFonts w:ascii="Arial" w:cs="Arial" w:eastAsia="Arial" w:hAnsi="Arial"/>
                <w:sz w:val="16"/>
                <w:szCs w:val="16"/>
                <w:b w:val="1"/>
                <w:bCs w:val="1"/>
                <w:color w:val="auto"/>
              </w:rPr>
              <w:t>TABLE OF CONTENTS</w:t>
            </w: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080" w:type="dxa"/>
            <w:vAlign w:val="bottom"/>
            <w:gridSpan w:val="17"/>
            <w:shd w:val="clear" w:color="auto" w:fill="CCEEFF"/>
          </w:tcPr>
          <w:p>
            <w:pPr>
              <w:spacing w:after="0" w:line="156" w:lineRule="exact"/>
              <w:rPr>
                <w:rFonts w:ascii="Arial" w:cs="Arial" w:eastAsia="Arial" w:hAnsi="Arial"/>
                <w:sz w:val="16"/>
                <w:szCs w:val="16"/>
                <w:color w:val="0000EE"/>
              </w:rPr>
            </w:pPr>
            <w:hyperlink w:anchor="page3">
              <w:r>
                <w:rPr>
                  <w:rFonts w:ascii="Arial" w:cs="Arial" w:eastAsia="Arial" w:hAnsi="Arial"/>
                  <w:sz w:val="16"/>
                  <w:szCs w:val="16"/>
                  <w:color w:val="0000EE"/>
                </w:rPr>
                <w:t>GLOSSARY OF TERMS</w:t>
              </w:r>
            </w:hyperlink>
          </w:p>
        </w:tc>
        <w:tc>
          <w:tcPr>
            <w:tcW w:w="23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ii</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gridSpan w:val="2"/>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080" w:type="dxa"/>
            <w:vAlign w:val="bottom"/>
            <w:gridSpan w:val="17"/>
            <w:shd w:val="clear" w:color="auto" w:fill="CCEEFF"/>
          </w:tcPr>
          <w:p>
            <w:pPr>
              <w:spacing w:after="0" w:line="156" w:lineRule="exact"/>
              <w:rPr>
                <w:rFonts w:ascii="Arial" w:cs="Arial" w:eastAsia="Arial" w:hAnsi="Arial"/>
                <w:sz w:val="16"/>
                <w:szCs w:val="16"/>
                <w:color w:val="0000EE"/>
              </w:rPr>
            </w:pPr>
            <w:hyperlink w:anchor="page4">
              <w:r>
                <w:rPr>
                  <w:rFonts w:ascii="Arial" w:cs="Arial" w:eastAsia="Arial" w:hAnsi="Arial"/>
                  <w:sz w:val="16"/>
                  <w:szCs w:val="16"/>
                  <w:color w:val="0000EE"/>
                </w:rPr>
                <w:t>CAUTIONARY STATEMENT ON FORWARD-LOOKING STATEMENTS</w:t>
              </w:r>
            </w:hyperlink>
          </w:p>
        </w:tc>
        <w:tc>
          <w:tcPr>
            <w:tcW w:w="23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iii</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gridSpan w:val="2"/>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700" w:type="dxa"/>
            <w:vAlign w:val="bottom"/>
            <w:tcBorders>
              <w:top w:val="single" w:sz="8" w:color="0000EE"/>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080" w:type="dxa"/>
            <w:vAlign w:val="bottom"/>
            <w:gridSpan w:val="17"/>
            <w:shd w:val="clear" w:color="auto" w:fill="CCEEFF"/>
          </w:tcPr>
          <w:p>
            <w:pPr>
              <w:spacing w:after="0" w:line="156" w:lineRule="exact"/>
              <w:rPr>
                <w:rFonts w:ascii="Arial" w:cs="Arial" w:eastAsia="Arial" w:hAnsi="Arial"/>
                <w:sz w:val="16"/>
                <w:szCs w:val="16"/>
                <w:color w:val="0000EE"/>
              </w:rPr>
            </w:pPr>
            <w:hyperlink w:anchor="page6">
              <w:r>
                <w:rPr>
                  <w:rFonts w:ascii="Arial" w:cs="Arial" w:eastAsia="Arial" w:hAnsi="Arial"/>
                  <w:sz w:val="16"/>
                  <w:szCs w:val="16"/>
                  <w:color w:val="0000EE"/>
                </w:rPr>
                <w:t>PART I FINANCIAL INFORMATION</w:t>
              </w:r>
            </w:hyperlink>
          </w:p>
        </w:tc>
        <w:tc>
          <w:tcPr>
            <w:tcW w:w="23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260"/>
              <w:spacing w:after="0" w:line="156" w:lineRule="exact"/>
              <w:rPr>
                <w:sz w:val="20"/>
                <w:szCs w:val="20"/>
                <w:color w:val="auto"/>
              </w:rPr>
            </w:pPr>
            <w:r>
              <w:rPr>
                <w:rFonts w:ascii="Arial" w:cs="Arial" w:eastAsia="Arial" w:hAnsi="Arial"/>
                <w:sz w:val="16"/>
                <w:szCs w:val="16"/>
                <w:color w:val="auto"/>
              </w:rPr>
              <w:t>Item 1.</w:t>
            </w:r>
          </w:p>
        </w:tc>
        <w:tc>
          <w:tcPr>
            <w:tcW w:w="8040" w:type="dxa"/>
            <w:vAlign w:val="bottom"/>
            <w:gridSpan w:val="15"/>
            <w:shd w:val="clear" w:color="auto" w:fill="CCEEFF"/>
          </w:tcPr>
          <w:p>
            <w:pPr>
              <w:ind w:left="80"/>
              <w:spacing w:after="0" w:line="156" w:lineRule="exact"/>
              <w:rPr>
                <w:rFonts w:ascii="Arial" w:cs="Arial" w:eastAsia="Arial" w:hAnsi="Arial"/>
                <w:sz w:val="16"/>
                <w:szCs w:val="16"/>
                <w:color w:val="0000EE"/>
              </w:rPr>
            </w:pPr>
            <w:hyperlink w:anchor="page6">
              <w:r>
                <w:rPr>
                  <w:rFonts w:ascii="Arial" w:cs="Arial" w:eastAsia="Arial" w:hAnsi="Arial"/>
                  <w:sz w:val="16"/>
                  <w:szCs w:val="16"/>
                  <w:color w:val="0000EE"/>
                </w:rPr>
                <w:t>Financial Statements.</w:t>
              </w:r>
            </w:hyperlink>
          </w:p>
        </w:tc>
        <w:tc>
          <w:tcPr>
            <w:tcW w:w="23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260"/>
              <w:spacing w:after="0" w:line="156" w:lineRule="exact"/>
              <w:rPr>
                <w:sz w:val="20"/>
                <w:szCs w:val="20"/>
                <w:color w:val="auto"/>
              </w:rPr>
            </w:pPr>
            <w:r>
              <w:rPr>
                <w:rFonts w:ascii="Arial" w:cs="Arial" w:eastAsia="Arial" w:hAnsi="Arial"/>
                <w:sz w:val="16"/>
                <w:szCs w:val="16"/>
                <w:color w:val="auto"/>
              </w:rPr>
              <w:t>Item 2.</w:t>
            </w:r>
          </w:p>
        </w:tc>
        <w:tc>
          <w:tcPr>
            <w:tcW w:w="8040" w:type="dxa"/>
            <w:vAlign w:val="bottom"/>
            <w:gridSpan w:val="15"/>
            <w:shd w:val="clear" w:color="auto" w:fill="CCEEFF"/>
          </w:tcPr>
          <w:p>
            <w:pPr>
              <w:ind w:left="80"/>
              <w:spacing w:after="0" w:line="156" w:lineRule="exact"/>
              <w:rPr>
                <w:rFonts w:ascii="Arial" w:cs="Arial" w:eastAsia="Arial" w:hAnsi="Arial"/>
                <w:sz w:val="16"/>
                <w:szCs w:val="16"/>
                <w:color w:val="0000EE"/>
              </w:rPr>
            </w:pPr>
            <w:hyperlink w:anchor="page25">
              <w:r>
                <w:rPr>
                  <w:rFonts w:ascii="Arial" w:cs="Arial" w:eastAsia="Arial" w:hAnsi="Arial"/>
                  <w:sz w:val="16"/>
                  <w:szCs w:val="16"/>
                  <w:color w:val="0000EE"/>
                </w:rPr>
                <w:t>Management’s Discussion and Analysis of Financial Condition and Results of Operations.</w:t>
              </w:r>
            </w:hyperlink>
          </w:p>
        </w:tc>
        <w:tc>
          <w:tcPr>
            <w:tcW w:w="23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20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7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20" w:type="dxa"/>
            <w:vAlign w:val="bottom"/>
            <w:tcBorders>
              <w:top w:val="single" w:sz="8" w:color="0000EE"/>
            </w:tcBorders>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260"/>
              <w:spacing w:after="0" w:line="156" w:lineRule="exact"/>
              <w:rPr>
                <w:sz w:val="20"/>
                <w:szCs w:val="20"/>
                <w:color w:val="auto"/>
              </w:rPr>
            </w:pPr>
            <w:r>
              <w:rPr>
                <w:rFonts w:ascii="Arial" w:cs="Arial" w:eastAsia="Arial" w:hAnsi="Arial"/>
                <w:sz w:val="16"/>
                <w:szCs w:val="16"/>
                <w:color w:val="auto"/>
              </w:rPr>
              <w:t>Item 3.</w:t>
            </w:r>
          </w:p>
        </w:tc>
        <w:tc>
          <w:tcPr>
            <w:tcW w:w="8040" w:type="dxa"/>
            <w:vAlign w:val="bottom"/>
            <w:gridSpan w:val="15"/>
            <w:shd w:val="clear" w:color="auto" w:fill="CCEEFF"/>
          </w:tcPr>
          <w:p>
            <w:pPr>
              <w:ind w:left="80"/>
              <w:spacing w:after="0" w:line="156" w:lineRule="exact"/>
              <w:rPr>
                <w:rFonts w:ascii="Arial" w:cs="Arial" w:eastAsia="Arial" w:hAnsi="Arial"/>
                <w:sz w:val="16"/>
                <w:szCs w:val="16"/>
                <w:color w:val="0000EE"/>
              </w:rPr>
            </w:pPr>
            <w:hyperlink w:anchor="page33">
              <w:r>
                <w:rPr>
                  <w:rFonts w:ascii="Arial" w:cs="Arial" w:eastAsia="Arial" w:hAnsi="Arial"/>
                  <w:sz w:val="16"/>
                  <w:szCs w:val="16"/>
                  <w:color w:val="0000EE"/>
                </w:rPr>
                <w:t>Quantitative and Qualitative Disclosures About Market Risks.</w:t>
              </w:r>
            </w:hyperlink>
          </w:p>
        </w:tc>
        <w:tc>
          <w:tcPr>
            <w:tcW w:w="23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28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7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260"/>
              <w:spacing w:after="0" w:line="156" w:lineRule="exact"/>
              <w:rPr>
                <w:sz w:val="20"/>
                <w:szCs w:val="20"/>
                <w:color w:val="auto"/>
              </w:rPr>
            </w:pPr>
            <w:r>
              <w:rPr>
                <w:rFonts w:ascii="Arial" w:cs="Arial" w:eastAsia="Arial" w:hAnsi="Arial"/>
                <w:sz w:val="16"/>
                <w:szCs w:val="16"/>
                <w:color w:val="auto"/>
              </w:rPr>
              <w:t>Item 4.</w:t>
            </w:r>
          </w:p>
        </w:tc>
        <w:tc>
          <w:tcPr>
            <w:tcW w:w="8040" w:type="dxa"/>
            <w:vAlign w:val="bottom"/>
            <w:gridSpan w:val="15"/>
            <w:shd w:val="clear" w:color="auto" w:fill="CCEEFF"/>
          </w:tcPr>
          <w:p>
            <w:pPr>
              <w:ind w:left="80"/>
              <w:spacing w:after="0" w:line="156" w:lineRule="exact"/>
              <w:rPr>
                <w:rFonts w:ascii="Arial" w:cs="Arial" w:eastAsia="Arial" w:hAnsi="Arial"/>
                <w:sz w:val="16"/>
                <w:szCs w:val="16"/>
                <w:color w:val="0000EE"/>
              </w:rPr>
            </w:pPr>
            <w:hyperlink w:anchor="page33">
              <w:r>
                <w:rPr>
                  <w:rFonts w:ascii="Arial" w:cs="Arial" w:eastAsia="Arial" w:hAnsi="Arial"/>
                  <w:sz w:val="16"/>
                  <w:szCs w:val="16"/>
                  <w:color w:val="0000EE"/>
                </w:rPr>
                <w:t>Controls and Procedures.</w:t>
              </w:r>
            </w:hyperlink>
          </w:p>
        </w:tc>
        <w:tc>
          <w:tcPr>
            <w:tcW w:w="23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28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gridSpan w:val="2"/>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080" w:type="dxa"/>
            <w:vAlign w:val="bottom"/>
            <w:gridSpan w:val="17"/>
            <w:shd w:val="clear" w:color="auto" w:fill="CCEEFF"/>
          </w:tcPr>
          <w:p>
            <w:pPr>
              <w:spacing w:after="0" w:line="156" w:lineRule="exact"/>
              <w:rPr>
                <w:rFonts w:ascii="Arial" w:cs="Arial" w:eastAsia="Arial" w:hAnsi="Arial"/>
                <w:sz w:val="16"/>
                <w:szCs w:val="16"/>
                <w:color w:val="0000EE"/>
              </w:rPr>
            </w:pPr>
            <w:hyperlink w:anchor="page34">
              <w:r>
                <w:rPr>
                  <w:rFonts w:ascii="Arial" w:cs="Arial" w:eastAsia="Arial" w:hAnsi="Arial"/>
                  <w:sz w:val="16"/>
                  <w:szCs w:val="16"/>
                  <w:color w:val="0000EE"/>
                </w:rPr>
                <w:t>PART II OTHER INFORMATION</w:t>
              </w:r>
            </w:hyperlink>
          </w:p>
        </w:tc>
        <w:tc>
          <w:tcPr>
            <w:tcW w:w="23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29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260"/>
              <w:spacing w:after="0" w:line="156" w:lineRule="exact"/>
              <w:rPr>
                <w:sz w:val="20"/>
                <w:szCs w:val="20"/>
                <w:color w:val="auto"/>
              </w:rPr>
            </w:pPr>
            <w:r>
              <w:rPr>
                <w:rFonts w:ascii="Arial" w:cs="Arial" w:eastAsia="Arial" w:hAnsi="Arial"/>
                <w:sz w:val="16"/>
                <w:szCs w:val="16"/>
                <w:color w:val="auto"/>
              </w:rPr>
              <w:t>Item 1.</w:t>
            </w:r>
          </w:p>
        </w:tc>
        <w:tc>
          <w:tcPr>
            <w:tcW w:w="8040" w:type="dxa"/>
            <w:vAlign w:val="bottom"/>
            <w:gridSpan w:val="15"/>
            <w:shd w:val="clear" w:color="auto" w:fill="CCEEFF"/>
          </w:tcPr>
          <w:p>
            <w:pPr>
              <w:ind w:left="80"/>
              <w:spacing w:after="0" w:line="156" w:lineRule="exact"/>
              <w:rPr>
                <w:rFonts w:ascii="Arial" w:cs="Arial" w:eastAsia="Arial" w:hAnsi="Arial"/>
                <w:sz w:val="16"/>
                <w:szCs w:val="16"/>
                <w:color w:val="0000EE"/>
              </w:rPr>
            </w:pPr>
            <w:hyperlink w:anchor="page34">
              <w:r>
                <w:rPr>
                  <w:rFonts w:ascii="Arial" w:cs="Arial" w:eastAsia="Arial" w:hAnsi="Arial"/>
                  <w:sz w:val="16"/>
                  <w:szCs w:val="16"/>
                  <w:color w:val="0000EE"/>
                </w:rPr>
                <w:t>Legal Proceedings.</w:t>
              </w:r>
            </w:hyperlink>
          </w:p>
        </w:tc>
        <w:tc>
          <w:tcPr>
            <w:tcW w:w="23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29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260"/>
              <w:spacing w:after="0" w:line="156" w:lineRule="exact"/>
              <w:rPr>
                <w:sz w:val="20"/>
                <w:szCs w:val="20"/>
                <w:color w:val="auto"/>
              </w:rPr>
            </w:pPr>
            <w:r>
              <w:rPr>
                <w:rFonts w:ascii="Arial" w:cs="Arial" w:eastAsia="Arial" w:hAnsi="Arial"/>
                <w:sz w:val="16"/>
                <w:szCs w:val="16"/>
                <w:color w:val="auto"/>
              </w:rPr>
              <w:t>Item 1A.</w:t>
            </w:r>
          </w:p>
        </w:tc>
        <w:tc>
          <w:tcPr>
            <w:tcW w:w="8040" w:type="dxa"/>
            <w:vAlign w:val="bottom"/>
            <w:gridSpan w:val="15"/>
            <w:shd w:val="clear" w:color="auto" w:fill="CCEEFF"/>
          </w:tcPr>
          <w:p>
            <w:pPr>
              <w:ind w:left="80"/>
              <w:spacing w:after="0" w:line="156" w:lineRule="exact"/>
              <w:rPr>
                <w:rFonts w:ascii="Arial" w:cs="Arial" w:eastAsia="Arial" w:hAnsi="Arial"/>
                <w:sz w:val="16"/>
                <w:szCs w:val="16"/>
                <w:color w:val="0000EE"/>
              </w:rPr>
            </w:pPr>
            <w:hyperlink w:anchor="page34">
              <w:r>
                <w:rPr>
                  <w:rFonts w:ascii="Arial" w:cs="Arial" w:eastAsia="Arial" w:hAnsi="Arial"/>
                  <w:sz w:val="16"/>
                  <w:szCs w:val="16"/>
                  <w:color w:val="0000EE"/>
                </w:rPr>
                <w:t>Risk Factors.</w:t>
              </w:r>
            </w:hyperlink>
          </w:p>
        </w:tc>
        <w:tc>
          <w:tcPr>
            <w:tcW w:w="23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29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260"/>
              <w:spacing w:after="0" w:line="156" w:lineRule="exact"/>
              <w:rPr>
                <w:sz w:val="20"/>
                <w:szCs w:val="20"/>
                <w:color w:val="auto"/>
              </w:rPr>
            </w:pPr>
            <w:r>
              <w:rPr>
                <w:rFonts w:ascii="Arial" w:cs="Arial" w:eastAsia="Arial" w:hAnsi="Arial"/>
                <w:sz w:val="16"/>
                <w:szCs w:val="16"/>
                <w:color w:val="auto"/>
              </w:rPr>
              <w:t>Item 2.</w:t>
            </w:r>
          </w:p>
        </w:tc>
        <w:tc>
          <w:tcPr>
            <w:tcW w:w="8040" w:type="dxa"/>
            <w:vAlign w:val="bottom"/>
            <w:gridSpan w:val="15"/>
            <w:shd w:val="clear" w:color="auto" w:fill="CCEEFF"/>
          </w:tcPr>
          <w:p>
            <w:pPr>
              <w:ind w:left="80"/>
              <w:spacing w:after="0" w:line="156" w:lineRule="exact"/>
              <w:rPr>
                <w:rFonts w:ascii="Arial" w:cs="Arial" w:eastAsia="Arial" w:hAnsi="Arial"/>
                <w:sz w:val="16"/>
                <w:szCs w:val="16"/>
                <w:color w:val="0000EE"/>
              </w:rPr>
            </w:pPr>
            <w:hyperlink w:anchor="page63">
              <w:r>
                <w:rPr>
                  <w:rFonts w:ascii="Arial" w:cs="Arial" w:eastAsia="Arial" w:hAnsi="Arial"/>
                  <w:sz w:val="16"/>
                  <w:szCs w:val="16"/>
                  <w:color w:val="0000EE"/>
                </w:rPr>
                <w:t>Unregistered Sales of Equity Securities and Use of Proceeds.</w:t>
              </w:r>
            </w:hyperlink>
          </w:p>
        </w:tc>
        <w:tc>
          <w:tcPr>
            <w:tcW w:w="23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58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7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260"/>
              <w:spacing w:after="0" w:line="156" w:lineRule="exact"/>
              <w:rPr>
                <w:sz w:val="20"/>
                <w:szCs w:val="20"/>
                <w:color w:val="auto"/>
              </w:rPr>
            </w:pPr>
            <w:r>
              <w:rPr>
                <w:rFonts w:ascii="Arial" w:cs="Arial" w:eastAsia="Arial" w:hAnsi="Arial"/>
                <w:sz w:val="16"/>
                <w:szCs w:val="16"/>
                <w:color w:val="auto"/>
              </w:rPr>
              <w:t>Item 3.</w:t>
            </w:r>
          </w:p>
        </w:tc>
        <w:tc>
          <w:tcPr>
            <w:tcW w:w="8040" w:type="dxa"/>
            <w:vAlign w:val="bottom"/>
            <w:gridSpan w:val="15"/>
            <w:shd w:val="clear" w:color="auto" w:fill="CCEEFF"/>
          </w:tcPr>
          <w:p>
            <w:pPr>
              <w:ind w:left="80"/>
              <w:spacing w:after="0" w:line="156" w:lineRule="exact"/>
              <w:rPr>
                <w:rFonts w:ascii="Arial" w:cs="Arial" w:eastAsia="Arial" w:hAnsi="Arial"/>
                <w:sz w:val="16"/>
                <w:szCs w:val="16"/>
                <w:color w:val="0000EE"/>
              </w:rPr>
            </w:pPr>
            <w:hyperlink w:anchor="page63">
              <w:r>
                <w:rPr>
                  <w:rFonts w:ascii="Arial" w:cs="Arial" w:eastAsia="Arial" w:hAnsi="Arial"/>
                  <w:sz w:val="16"/>
                  <w:szCs w:val="16"/>
                  <w:color w:val="0000EE"/>
                </w:rPr>
                <w:t>Defaults upon Senior Securities.</w:t>
              </w:r>
            </w:hyperlink>
          </w:p>
        </w:tc>
        <w:tc>
          <w:tcPr>
            <w:tcW w:w="23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58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260"/>
              <w:spacing w:after="0" w:line="156" w:lineRule="exact"/>
              <w:rPr>
                <w:sz w:val="20"/>
                <w:szCs w:val="20"/>
                <w:color w:val="auto"/>
              </w:rPr>
            </w:pPr>
            <w:r>
              <w:rPr>
                <w:rFonts w:ascii="Arial" w:cs="Arial" w:eastAsia="Arial" w:hAnsi="Arial"/>
                <w:sz w:val="16"/>
                <w:szCs w:val="16"/>
                <w:color w:val="auto"/>
              </w:rPr>
              <w:t>Item 4.</w:t>
            </w:r>
          </w:p>
        </w:tc>
        <w:tc>
          <w:tcPr>
            <w:tcW w:w="8040" w:type="dxa"/>
            <w:vAlign w:val="bottom"/>
            <w:gridSpan w:val="15"/>
            <w:shd w:val="clear" w:color="auto" w:fill="CCEEFF"/>
          </w:tcPr>
          <w:p>
            <w:pPr>
              <w:ind w:left="80"/>
              <w:spacing w:after="0" w:line="156" w:lineRule="exact"/>
              <w:rPr>
                <w:rFonts w:ascii="Arial" w:cs="Arial" w:eastAsia="Arial" w:hAnsi="Arial"/>
                <w:sz w:val="16"/>
                <w:szCs w:val="16"/>
                <w:color w:val="0000EE"/>
              </w:rPr>
            </w:pPr>
            <w:hyperlink w:anchor="page63">
              <w:r>
                <w:rPr>
                  <w:rFonts w:ascii="Arial" w:cs="Arial" w:eastAsia="Arial" w:hAnsi="Arial"/>
                  <w:sz w:val="16"/>
                  <w:szCs w:val="16"/>
                  <w:color w:val="0000EE"/>
                </w:rPr>
                <w:t>Mine Safety Disclosures.</w:t>
              </w:r>
            </w:hyperlink>
          </w:p>
        </w:tc>
        <w:tc>
          <w:tcPr>
            <w:tcW w:w="23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58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260"/>
              <w:spacing w:after="0" w:line="156" w:lineRule="exact"/>
              <w:rPr>
                <w:sz w:val="20"/>
                <w:szCs w:val="20"/>
                <w:color w:val="auto"/>
              </w:rPr>
            </w:pPr>
            <w:r>
              <w:rPr>
                <w:rFonts w:ascii="Arial" w:cs="Arial" w:eastAsia="Arial" w:hAnsi="Arial"/>
                <w:sz w:val="16"/>
                <w:szCs w:val="16"/>
                <w:color w:val="auto"/>
              </w:rPr>
              <w:t>Item 5.</w:t>
            </w:r>
          </w:p>
        </w:tc>
        <w:tc>
          <w:tcPr>
            <w:tcW w:w="8040" w:type="dxa"/>
            <w:vAlign w:val="bottom"/>
            <w:gridSpan w:val="15"/>
            <w:shd w:val="clear" w:color="auto" w:fill="CCEEFF"/>
          </w:tcPr>
          <w:p>
            <w:pPr>
              <w:ind w:left="80"/>
              <w:spacing w:after="0" w:line="156" w:lineRule="exact"/>
              <w:rPr>
                <w:rFonts w:ascii="Arial" w:cs="Arial" w:eastAsia="Arial" w:hAnsi="Arial"/>
                <w:sz w:val="16"/>
                <w:szCs w:val="16"/>
                <w:color w:val="0000EE"/>
              </w:rPr>
            </w:pPr>
            <w:hyperlink w:anchor="page63">
              <w:r>
                <w:rPr>
                  <w:rFonts w:ascii="Arial" w:cs="Arial" w:eastAsia="Arial" w:hAnsi="Arial"/>
                  <w:sz w:val="16"/>
                  <w:szCs w:val="16"/>
                  <w:color w:val="0000EE"/>
                </w:rPr>
                <w:t>Other Information.</w:t>
              </w:r>
            </w:hyperlink>
          </w:p>
        </w:tc>
        <w:tc>
          <w:tcPr>
            <w:tcW w:w="23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58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260"/>
              <w:spacing w:after="0" w:line="156" w:lineRule="exact"/>
              <w:rPr>
                <w:sz w:val="20"/>
                <w:szCs w:val="20"/>
                <w:color w:val="auto"/>
              </w:rPr>
            </w:pPr>
            <w:r>
              <w:rPr>
                <w:rFonts w:ascii="Arial" w:cs="Arial" w:eastAsia="Arial" w:hAnsi="Arial"/>
                <w:sz w:val="16"/>
                <w:szCs w:val="16"/>
                <w:color w:val="auto"/>
              </w:rPr>
              <w:t>Item 6.</w:t>
            </w:r>
          </w:p>
        </w:tc>
        <w:tc>
          <w:tcPr>
            <w:tcW w:w="8040" w:type="dxa"/>
            <w:vAlign w:val="bottom"/>
            <w:gridSpan w:val="15"/>
            <w:shd w:val="clear" w:color="auto" w:fill="CCEEFF"/>
          </w:tcPr>
          <w:p>
            <w:pPr>
              <w:ind w:left="80"/>
              <w:spacing w:after="0" w:line="156" w:lineRule="exact"/>
              <w:rPr>
                <w:rFonts w:ascii="Arial" w:cs="Arial" w:eastAsia="Arial" w:hAnsi="Arial"/>
                <w:sz w:val="16"/>
                <w:szCs w:val="16"/>
                <w:color w:val="0000EE"/>
              </w:rPr>
            </w:pPr>
            <w:hyperlink w:anchor="page64">
              <w:r>
                <w:rPr>
                  <w:rFonts w:ascii="Arial" w:cs="Arial" w:eastAsia="Arial" w:hAnsi="Arial"/>
                  <w:sz w:val="16"/>
                  <w:szCs w:val="16"/>
                  <w:color w:val="0000EE"/>
                </w:rPr>
                <w:t>Exhibits.</w:t>
              </w:r>
            </w:hyperlink>
          </w:p>
        </w:tc>
        <w:tc>
          <w:tcPr>
            <w:tcW w:w="23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59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60" w:type="dxa"/>
            <w:vAlign w:val="bottom"/>
            <w:tcBorders>
              <w:bottom w:val="single" w:sz="8" w:color="0000EE"/>
            </w:tcBorders>
            <w:shd w:val="clear" w:color="auto" w:fill="CCEEFF"/>
          </w:tcPr>
          <w:p>
            <w:pPr>
              <w:spacing w:after="0" w:line="156" w:lineRule="exact"/>
              <w:rPr>
                <w:rFonts w:ascii="Arial" w:cs="Arial" w:eastAsia="Arial" w:hAnsi="Arial"/>
                <w:sz w:val="16"/>
                <w:szCs w:val="16"/>
                <w:color w:val="0000EE"/>
                <w:w w:val="90"/>
              </w:rPr>
            </w:pPr>
            <w:hyperlink w:anchor="page66">
              <w:r>
                <w:rPr>
                  <w:rFonts w:ascii="Arial" w:cs="Arial" w:eastAsia="Arial" w:hAnsi="Arial"/>
                  <w:sz w:val="16"/>
                  <w:szCs w:val="16"/>
                  <w:color w:val="0000EE"/>
                  <w:w w:val="90"/>
                </w:rPr>
                <w:t>SIGNATURES</w:t>
              </w:r>
            </w:hyperlink>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234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6"/>
                <w:szCs w:val="16"/>
                <w:color w:val="auto"/>
              </w:rPr>
              <w:t>61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 w:name="page3"/>
    <w:bookmarkEnd w:id="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GLOSSARY OF TERMS</w:t>
      </w:r>
    </w:p>
    <w:p>
      <w:pPr>
        <w:spacing w:after="0" w:line="228" w:lineRule="exact"/>
        <w:rPr>
          <w:sz w:val="20"/>
          <w:szCs w:val="20"/>
          <w:color w:val="auto"/>
        </w:rPr>
      </w:pPr>
    </w:p>
    <w:p>
      <w:pPr>
        <w:ind w:right="320" w:firstLine="288"/>
        <w:spacing w:after="0" w:line="277" w:lineRule="auto"/>
        <w:rPr>
          <w:sz w:val="20"/>
          <w:szCs w:val="20"/>
          <w:color w:val="auto"/>
        </w:rPr>
      </w:pPr>
      <w:r>
        <w:rPr>
          <w:rFonts w:ascii="Arial" w:cs="Arial" w:eastAsia="Arial" w:hAnsi="Arial"/>
          <w:sz w:val="16"/>
          <w:szCs w:val="16"/>
          <w:color w:val="auto"/>
        </w:rPr>
        <w:t>As commonly used in the liquefied natural gas industry, to the extent applicable and as used in this Quarterly Report on Form 10-Q (“Quarterly Report”), the terms listed below have the following meanings: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Btu</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w w:val="96"/>
              </w:rPr>
              <w:t>the amount of heat required to raise the temperature of one avoirdupois pound of pure water from 59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w w:val="88"/>
              </w:rPr>
              <w:t>degrees Fahrenheit to 60 degrees Fahrenheit at an absolute pressure of 14.696 pounds per square inch gage</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CAA</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Clean Air Act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CERCLA</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Comprehensive Environmental Response, Compensation and Liability Act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CWA</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Clean Water Act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DOE</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U.S. Department of Energy</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FERC</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Federal Energy Regulatory Commission</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GAAP</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generally accepted accounting principles in the United States</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GHG</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greenhouse gases</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GSA</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gas sales agreement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8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Henry Hub</w:t>
            </w:r>
          </w:p>
        </w:tc>
        <w:tc>
          <w:tcPr>
            <w:tcW w:w="8560" w:type="dxa"/>
            <w:vAlign w:val="bottom"/>
            <w:shd w:val="clear" w:color="auto" w:fill="CCEEFF"/>
          </w:tcPr>
          <w:p>
            <w:pPr>
              <w:ind w:left="1700"/>
              <w:spacing w:after="0" w:line="180" w:lineRule="exact"/>
              <w:rPr>
                <w:sz w:val="20"/>
                <w:szCs w:val="20"/>
                <w:color w:val="auto"/>
              </w:rPr>
            </w:pPr>
            <w:r>
              <w:rPr>
                <w:rFonts w:ascii="Arial" w:cs="Arial" w:eastAsia="Arial" w:hAnsi="Arial"/>
                <w:sz w:val="16"/>
                <w:szCs w:val="16"/>
                <w:color w:val="auto"/>
                <w:w w:val="94"/>
              </w:rPr>
              <w:t>a natural gas pipeline located in Erath, Louisiana that serves as the official delivery location for futures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contracts on the New York Mercantile Exchange</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ISO container</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International Organization of Standardization, an intermodal container</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LNG</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natural gas in its liquid state at or below its boiling point at or near atmospheric pressure</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MMBtu</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one million Btus, which corresponds to approximately 12.1 LNG gallons</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MW</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megawatt. We estimate 2,500 LNG gallons would be required to produce one megawatt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NGA</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Natural Gas Act of 1938, as amended</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8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non-FTA countries</w:t>
            </w:r>
          </w:p>
        </w:tc>
        <w:tc>
          <w:tcPr>
            <w:tcW w:w="8560" w:type="dxa"/>
            <w:vAlign w:val="bottom"/>
            <w:shd w:val="clear" w:color="auto" w:fill="CCEEFF"/>
          </w:tcPr>
          <w:p>
            <w:pPr>
              <w:ind w:left="1700"/>
              <w:spacing w:after="0" w:line="180" w:lineRule="exact"/>
              <w:rPr>
                <w:sz w:val="20"/>
                <w:szCs w:val="20"/>
                <w:color w:val="auto"/>
              </w:rPr>
            </w:pPr>
            <w:r>
              <w:rPr>
                <w:rFonts w:ascii="Arial" w:cs="Arial" w:eastAsia="Arial" w:hAnsi="Arial"/>
                <w:sz w:val="16"/>
                <w:szCs w:val="16"/>
                <w:color w:val="auto"/>
                <w:w w:val="92"/>
              </w:rPr>
              <w:t>countries without a free trade agreement with the United States providing for national treatment for trade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in natural gas and with which trade is permitted</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OPA</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Oil Pollution Act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OUR</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Office of Utilities Regulation (Jamaica)</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PHMSA</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Pipeline and Hazardous Materials Safety Administration</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PPA</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power purchase agreement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SSA</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steam supply agreement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TBtu</w:t>
            </w:r>
          </w:p>
        </w:tc>
        <w:tc>
          <w:tcPr>
            <w:tcW w:w="856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one trillion Btus, which corresponds to approximately 12,100,000 LNG gallons</w:t>
            </w: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560" w:type="dxa"/>
            <w:vAlign w:val="bottom"/>
          </w:tcPr>
          <w:p>
            <w:pPr>
              <w:ind w:left="2800"/>
              <w:spacing w:after="0"/>
              <w:rPr>
                <w:sz w:val="20"/>
                <w:szCs w:val="20"/>
                <w:color w:val="auto"/>
              </w:rPr>
            </w:pPr>
            <w:r>
              <w:rPr>
                <w:rFonts w:ascii="Arial" w:cs="Arial" w:eastAsia="Arial" w:hAnsi="Arial"/>
                <w:sz w:val="13"/>
                <w:szCs w:val="13"/>
                <w:color w:val="auto"/>
              </w:rPr>
              <w:t>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8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4" w:right="219" w:bottom="1440" w:gutter="0" w:footer="0" w:header="0"/>
        </w:sectPr>
      </w:pPr>
    </w:p>
    <w:bookmarkStart w:id="3" w:name="page4"/>
    <w:bookmarkEnd w:id="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CAUTIONARY STATEMENT ON FORWARD-LOOKING STATEMENTS</w:t>
      </w:r>
    </w:p>
    <w:p>
      <w:pPr>
        <w:spacing w:after="0" w:line="228" w:lineRule="exact"/>
        <w:rPr>
          <w:sz w:val="20"/>
          <w:szCs w:val="20"/>
          <w:color w:val="auto"/>
        </w:rPr>
      </w:pPr>
    </w:p>
    <w:p>
      <w:pPr>
        <w:ind w:firstLine="288"/>
        <w:spacing w:after="0" w:line="274" w:lineRule="auto"/>
        <w:rPr>
          <w:sz w:val="20"/>
          <w:szCs w:val="20"/>
          <w:color w:val="auto"/>
        </w:rPr>
      </w:pPr>
      <w:r>
        <w:rPr>
          <w:rFonts w:ascii="Arial" w:cs="Arial" w:eastAsia="Arial" w:hAnsi="Arial"/>
          <w:sz w:val="15"/>
          <w:szCs w:val="15"/>
          <w:color w:val="auto"/>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83" w:lineRule="exact"/>
        <w:rPr>
          <w:sz w:val="20"/>
          <w:szCs w:val="20"/>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limited operating history;</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 of one or more of our customers;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procure LNG on a fixed-price basis, or otherwise to manage LNG price risks, including hedging arrangements;</w:t>
      </w:r>
    </w:p>
    <w:p>
      <w:pPr>
        <w:spacing w:after="0" w:line="224" w:lineRule="exact"/>
        <w:rPr>
          <w:rFonts w:ascii="Arial" w:cs="Arial" w:eastAsia="Arial" w:hAnsi="Arial"/>
          <w:sz w:val="16"/>
          <w:szCs w:val="16"/>
          <w:color w:val="auto"/>
        </w:rPr>
      </w:pPr>
    </w:p>
    <w:p>
      <w:pPr>
        <w:ind w:left="580" w:right="280" w:hanging="296"/>
        <w:spacing w:after="0" w:line="27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completion of construction on our LNG terminals, power plants or Liquefaction Facilities (as defined herein) and the terms of our construction contracts for the completion of these assets;</w:t>
      </w:r>
    </w:p>
    <w:p>
      <w:pPr>
        <w:spacing w:after="0" w:line="175" w:lineRule="exact"/>
        <w:rPr>
          <w:rFonts w:ascii="Arial" w:cs="Arial" w:eastAsia="Arial" w:hAnsi="Arial"/>
          <w:sz w:val="16"/>
          <w:szCs w:val="16"/>
          <w:color w:val="auto"/>
        </w:rPr>
      </w:pPr>
    </w:p>
    <w:p>
      <w:pPr>
        <w:ind w:left="580" w:right="140" w:hanging="296"/>
        <w:spacing w:after="0" w:line="27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cost overruns and delays in the completion of one or more of our LNG terminals, power plants or Liquefaction Facilities, as well as difficulties in obtaining sufficient financing to pay for such costs and delays;</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additional financing to effect our strategy;</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produce or purchase sufficient amounts of LNG or natural gas at favorable prices to meet customer demand;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hurricanes or other natural or manmade disasters;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obtain and maintain approvals and permits from governmental and regulatory agencies;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operational, regulatory, environmental, political, legal and economic risks pertaining to the construction and operation of our facilities;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contract with suppliers and tankers to facilitate the delivery of LNG on their chartered LNG tankers;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cyclical or other changes in the demand for and price of LNG and natural gas;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of natural gas to be a competitive source of energy in the markets in which we operate, and seek to operate;</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from third parties in our business;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re-finance our outstanding indebtedness or implement our financing plans;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to environmental and similar laws and governmental regulations that are adverse to our operations;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enter into favorable agreements and obtain necessary regulatory approvals;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tax treatment of us or of an investment in our Class A shares;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major health and safety incident relating to our business;</w:t>
      </w: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20"/>
          </w:cols>
          <w:pgMar w:left="240" w:top="124" w:right="339" w:bottom="1440" w:gutter="0" w:footer="0" w:header="0"/>
        </w:sectPr>
      </w:pPr>
    </w:p>
    <w:bookmarkStart w:id="4" w:name="page5"/>
    <w:bookmarkEnd w:id="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580" w:hanging="296"/>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labor costs, and the unavailability of skilled workers or our failure to attract and retain qualified personnel; and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related to the jurisdictions in which we do, or seek to do, business, particularly Florida, Puerto Rico, Jamaica, and other jurisdictions in the Caribbean.</w:t>
      </w:r>
    </w:p>
    <w:p>
      <w:pPr>
        <w:spacing w:after="0" w:line="236" w:lineRule="exact"/>
        <w:rPr>
          <w:sz w:val="20"/>
          <w:szCs w:val="20"/>
          <w:color w:val="auto"/>
        </w:rPr>
      </w:pPr>
    </w:p>
    <w:p>
      <w:pPr>
        <w:jc w:val="both"/>
        <w:ind w:firstLine="288"/>
        <w:spacing w:after="0" w:line="256" w:lineRule="auto"/>
        <w:rPr>
          <w:sz w:val="20"/>
          <w:szCs w:val="20"/>
          <w:color w:val="auto"/>
        </w:rPr>
      </w:pPr>
      <w:r>
        <w:rPr>
          <w:rFonts w:ascii="Arial" w:cs="Arial" w:eastAsia="Arial" w:hAnsi="Arial"/>
          <w:sz w:val="16"/>
          <w:szCs w:val="16"/>
          <w:color w:val="auto"/>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2018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 w:name="page6"/>
    <w:bookmarkEnd w:id="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Item 1.</w:t>
            </w:r>
          </w:p>
        </w:tc>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Financial Statements.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New Fortress Energy LLC</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As of March 31, 2019 and December 31, 2018</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(Unaudited, in thousands of U.S. dollars, except share amounts)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Assets</w:t>
            </w:r>
          </w:p>
        </w:tc>
        <w:tc>
          <w:tcPr>
            <w:tcW w:w="8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359,450</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78,301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Receivables, net of allowances of $727 and $257, respectively</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31,647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28,530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Finance leases, net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w:t>
            </w:r>
          </w:p>
        </w:tc>
        <w:tc>
          <w:tcPr>
            <w:tcW w:w="8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27,002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15,959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12,380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30,017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Total current assets</w:t>
            </w: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431,502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153,780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Investment in equity securities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3,656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57,521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22,522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Construction in progress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343,963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254,700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102,012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94,040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Finance leases, net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91,910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92,207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Deferred tax asset, net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Intangibles, net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42,297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43,057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Other non-current assets</w:t>
            </w: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42,784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35,255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84"/>
              </w:rPr>
              <w:t>Total assets</w:t>
            </w:r>
          </w:p>
        </w:tc>
        <w:tc>
          <w:tcPr>
            <w:tcW w:w="8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1,116,619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699,402</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0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8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Term loan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488,331</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272,192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28,223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43,177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Accrued liabilities</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53,921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67,512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Due to affiliates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7,598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4,481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16,672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17,393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 current liabilities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594,745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404,755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Deferred tax liability, net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long-term liabilities</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12,378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12,000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607,217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416,755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gridSpan w:val="2"/>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b w:val="1"/>
                <w:bCs w:val="1"/>
                <w:color w:val="auto"/>
              </w:rPr>
              <w:t>Commitments and contingences (Note 18)</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1"/>
              </w:rPr>
              <w:t>Members’ capital, no par value, 500,000,000 shares authorized, 67,983,095 shares issued and outstanding as of December 31, 2018</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426,741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0" w:type="dxa"/>
            <w:vAlign w:val="bottom"/>
            <w:gridSpan w:val="2"/>
          </w:tcPr>
          <w:p>
            <w:pPr>
              <w:ind w:left="120"/>
              <w:spacing w:after="0" w:line="180" w:lineRule="exact"/>
              <w:rPr>
                <w:sz w:val="20"/>
                <w:szCs w:val="20"/>
                <w:color w:val="auto"/>
              </w:rPr>
            </w:pPr>
            <w:r>
              <w:rPr>
                <w:rFonts w:ascii="Arial" w:cs="Arial" w:eastAsia="Arial" w:hAnsi="Arial"/>
                <w:sz w:val="16"/>
                <w:szCs w:val="16"/>
                <w:color w:val="auto"/>
                <w:w w:val="90"/>
              </w:rPr>
              <w:t>Class A shares, 20,837,272 shares issued and outstanding as of March 31, 2019; 0 shares issued and outstanding as of December 31,</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20" w:type="dxa"/>
            <w:vAlign w:val="bottom"/>
            <w:gridSpan w:val="2"/>
          </w:tcPr>
          <w:p>
            <w:pPr>
              <w:ind w:left="260"/>
              <w:spacing w:after="0"/>
              <w:rPr>
                <w:sz w:val="20"/>
                <w:szCs w:val="20"/>
                <w:color w:val="auto"/>
              </w:rPr>
            </w:pPr>
            <w:r>
              <w:rPr>
                <w:rFonts w:ascii="Arial" w:cs="Arial" w:eastAsia="Arial" w:hAnsi="Arial"/>
                <w:sz w:val="16"/>
                <w:szCs w:val="16"/>
                <w:color w:val="auto"/>
              </w:rPr>
              <w:t>2018</w:t>
            </w:r>
          </w:p>
        </w:tc>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102,265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0" w:type="dxa"/>
            <w:vAlign w:val="bottom"/>
            <w:gridSpan w:val="2"/>
            <w:shd w:val="clear" w:color="auto" w:fill="CCEEFF"/>
          </w:tcPr>
          <w:p>
            <w:pPr>
              <w:ind w:left="120"/>
              <w:spacing w:after="0" w:line="180" w:lineRule="exact"/>
              <w:rPr>
                <w:sz w:val="20"/>
                <w:szCs w:val="20"/>
                <w:color w:val="auto"/>
              </w:rPr>
            </w:pPr>
            <w:r>
              <w:rPr>
                <w:rFonts w:ascii="Arial" w:cs="Arial" w:eastAsia="Arial" w:hAnsi="Arial"/>
                <w:sz w:val="16"/>
                <w:szCs w:val="16"/>
                <w:color w:val="auto"/>
                <w:w w:val="89"/>
              </w:rPr>
              <w:t>Class B shares, 147,058,824 shares issued and outstanding as of March 31, 2019; 0 shares issued and outstanding as of December 31,</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2018</w:t>
            </w:r>
          </w:p>
        </w:tc>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(25,571)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(158,423)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 stockholders’ equity attributable to NFE</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76,694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268,307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Non-controlling interest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432,708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14,340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 stockholders’ equity</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509,402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282,647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8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1,116,619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699,402</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900" w:type="dxa"/>
            <w:vAlign w:val="bottom"/>
            <w:tcBorders>
              <w:bottom w:val="single" w:sz="8" w:color="0000EE"/>
            </w:tcBorders>
            <w:gridSpan w:val="2"/>
          </w:tcPr>
          <w:p>
            <w:pPr>
              <w:spacing w:after="0"/>
              <w:rPr>
                <w:rFonts w:ascii="Arial" w:cs="Arial" w:eastAsia="Arial" w:hAnsi="Arial"/>
                <w:sz w:val="13"/>
                <w:szCs w:val="13"/>
                <w:i w:val="1"/>
                <w:iCs w:val="1"/>
                <w:color w:val="0000EE"/>
                <w:w w:val="85"/>
              </w:rPr>
            </w:pPr>
            <w:hyperlink w:anchor="page2">
              <w:r>
                <w:rPr>
                  <w:rFonts w:ascii="Arial" w:cs="Arial" w:eastAsia="Arial" w:hAnsi="Arial"/>
                  <w:sz w:val="13"/>
                  <w:szCs w:val="13"/>
                  <w:i w:val="1"/>
                  <w:iCs w:val="1"/>
                  <w:color w:val="0000EE"/>
                  <w:w w:val="85"/>
                </w:rPr>
                <w:t>Table of Contents</w:t>
              </w:r>
            </w:hyperlink>
          </w:p>
        </w:tc>
        <w:tc>
          <w:tcPr>
            <w:tcW w:w="7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New Fortress Energy LLC</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For the three months ended March 31, 2019 and 2018</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(Unaudited, in thousands of U.S. dollars, except share and per share amounts)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6"/>
          </w:tcPr>
          <w:p>
            <w:pPr>
              <w:jc w:val="right"/>
              <w:ind w:right="280"/>
              <w:spacing w:after="0"/>
              <w:rPr>
                <w:sz w:val="20"/>
                <w:szCs w:val="20"/>
                <w:color w:val="auto"/>
              </w:rPr>
            </w:pPr>
            <w:r>
              <w:rPr>
                <w:rFonts w:ascii="Arial" w:cs="Arial" w:eastAsia="Arial" w:hAnsi="Arial"/>
                <w:sz w:val="16"/>
                <w:szCs w:val="16"/>
                <w:b w:val="1"/>
                <w:bCs w:val="1"/>
                <w:color w:val="auto"/>
                <w:w w:val="93"/>
              </w:rPr>
              <w:t>Three Months Ended 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26,138</w:t>
            </w:r>
          </w:p>
        </w:tc>
        <w:tc>
          <w:tcPr>
            <w:tcW w:w="1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Other revenue</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3,446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25,709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79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Cost of sales</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33,349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20,765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Operations and maintenance</w:t>
            </w: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49,749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11,869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 operating expenses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89,288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35,174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Operating loss</w:t>
            </w: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Other (income) expense, net</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(2,575)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Loss before taxes</w:t>
            </w: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Tax expense (benefit)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Net loss attributable to non-controlling interest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46,735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Net loss attributable to stockholders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(13,557)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per share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79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 – basic and diluted</w:t>
            </w:r>
          </w:p>
        </w:tc>
        <w:tc>
          <w:tcPr>
            <w:tcW w:w="12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14,094,534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79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comprehensive loss:</w:t>
            </w: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(60,292)</w:t>
            </w:r>
          </w:p>
        </w:tc>
        <w:tc>
          <w:tcPr>
            <w:tcW w:w="340" w:type="dxa"/>
            <w:vAlign w:val="bottom"/>
            <w:gridSpan w:val="2"/>
          </w:tcPr>
          <w:p>
            <w:pPr>
              <w:jc w:val="right"/>
              <w:ind w:right="85"/>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(10,913)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Unrealized (gain) on available-for-sale investment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Comprehensive loss</w:t>
            </w:r>
          </w:p>
        </w:tc>
        <w:tc>
          <w:tcPr>
            <w:tcW w:w="1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(60,292)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(9,984)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Comprehensive loss attributable to non-controlling interest</w:t>
            </w: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b w:val="1"/>
                <w:bCs w:val="1"/>
                <w:color w:val="auto"/>
              </w:rPr>
              <w:t>Comprehensive loss attributable to stockholders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(13,557)</w:t>
            </w:r>
          </w:p>
        </w:tc>
        <w:tc>
          <w:tcPr>
            <w:tcW w:w="340" w:type="dxa"/>
            <w:vAlign w:val="bottom"/>
            <w:gridSpan w:val="2"/>
          </w:tcPr>
          <w:p>
            <w:pPr>
              <w:jc w:val="right"/>
              <w:ind w:right="85"/>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10" w:right="219" w:bottom="1440" w:gutter="0" w:footer="0" w:header="0"/>
        </w:sectPr>
      </w:pPr>
    </w:p>
    <w:bookmarkStart w:id="7" w:name="page8"/>
    <w:bookmarkEnd w:id="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Fortress Energy LLC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Changes in Stockholders’ Equity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2019 and 2018</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in thousands of U.S. dollars, except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9"/>
              </w:rPr>
              <w:t>Accumulated</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Stock</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other</w:t>
            </w:r>
          </w:p>
        </w:tc>
        <w:tc>
          <w:tcPr>
            <w:tcW w:w="8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Non-</w:t>
            </w:r>
          </w:p>
        </w:tc>
        <w:tc>
          <w:tcPr>
            <w:tcW w:w="160" w:type="dxa"/>
            <w:vAlign w:val="bottom"/>
          </w:tcPr>
          <w:p>
            <w:pPr>
              <w:spacing w:after="0"/>
              <w:rPr>
                <w:sz w:val="16"/>
                <w:szCs w:val="16"/>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4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rPr>
              <w:t>Members’ Capital</w:t>
            </w:r>
          </w:p>
        </w:tc>
        <w:tc>
          <w:tcPr>
            <w:tcW w:w="166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Class A shares</w:t>
            </w: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Class B shares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ind w:left="80"/>
              <w:spacing w:after="0"/>
              <w:rPr>
                <w:sz w:val="20"/>
                <w:szCs w:val="20"/>
                <w:color w:val="auto"/>
              </w:rPr>
            </w:pPr>
            <w:r>
              <w:rPr>
                <w:rFonts w:ascii="Arial" w:cs="Arial" w:eastAsia="Arial" w:hAnsi="Arial"/>
                <w:sz w:val="16"/>
                <w:szCs w:val="16"/>
                <w:b w:val="1"/>
                <w:bCs w:val="1"/>
                <w:color w:val="auto"/>
              </w:rPr>
              <w:t>subscription</w:t>
            </w: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w w:val="98"/>
              </w:rPr>
              <w:t>comprehensive</w:t>
            </w:r>
          </w:p>
        </w:tc>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controlling</w:t>
            </w:r>
          </w:p>
        </w:tc>
        <w:tc>
          <w:tcPr>
            <w:tcW w:w="980" w:type="dxa"/>
            <w:vAlign w:val="bottom"/>
            <w:gridSpan w:val="3"/>
          </w:tcPr>
          <w:p>
            <w:pPr>
              <w:spacing w:after="0"/>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Units</w:t>
            </w: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9"/>
              </w:rPr>
              <w:t>Amounts</w:t>
            </w:r>
          </w:p>
        </w:tc>
        <w:tc>
          <w:tcPr>
            <w:tcW w:w="140" w:type="dxa"/>
            <w:vAlign w:val="bottom"/>
          </w:tcPr>
          <w:p>
            <w:pPr>
              <w:spacing w:after="0"/>
              <w:rPr>
                <w:sz w:val="17"/>
                <w:szCs w:val="17"/>
                <w:color w:val="auto"/>
              </w:rPr>
            </w:pPr>
          </w:p>
        </w:tc>
        <w:tc>
          <w:tcPr>
            <w:tcW w:w="88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Pr>
          <w:p>
            <w:pPr>
              <w:spacing w:after="0"/>
              <w:rPr>
                <w:sz w:val="17"/>
                <w:szCs w:val="17"/>
                <w:color w:val="auto"/>
              </w:rPr>
            </w:pPr>
          </w:p>
        </w:tc>
        <w:tc>
          <w:tcPr>
            <w:tcW w:w="8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Amount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4"/>
              </w:rPr>
              <w:t>receivable</w:t>
            </w:r>
          </w:p>
        </w:tc>
        <w:tc>
          <w:tcPr>
            <w:tcW w:w="16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deficit</w:t>
            </w: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7"/>
              </w:rPr>
              <w:t>(loss) income</w:t>
            </w:r>
          </w:p>
        </w:tc>
        <w:tc>
          <w:tcPr>
            <w:tcW w:w="8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9"/>
              </w:rPr>
              <w:t>Interest</w:t>
            </w:r>
          </w:p>
        </w:tc>
        <w:tc>
          <w:tcPr>
            <w:tcW w:w="16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Balance as of</w:t>
            </w: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December 31,</w:t>
            </w: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2018</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67,983,095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426,741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(158,423)</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14,340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282,647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tcPr>
          <w:p>
            <w:pPr>
              <w:spacing w:after="0" w:line="180" w:lineRule="exact"/>
              <w:rPr>
                <w:sz w:val="20"/>
                <w:szCs w:val="20"/>
                <w:color w:val="auto"/>
              </w:rPr>
            </w:pPr>
            <w:r>
              <w:rPr>
                <w:rFonts w:ascii="Arial" w:cs="Arial" w:eastAsia="Arial" w:hAnsi="Arial"/>
                <w:sz w:val="16"/>
                <w:szCs w:val="16"/>
                <w:i w:val="1"/>
                <w:iCs w:val="1"/>
                <w:color w:val="auto"/>
                <w:w w:val="95"/>
              </w:rPr>
              <w:t>Activity prior to the</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ind w:left="120"/>
              <w:spacing w:after="0"/>
              <w:rPr>
                <w:sz w:val="20"/>
                <w:szCs w:val="20"/>
                <w:color w:val="auto"/>
              </w:rPr>
            </w:pPr>
            <w:r>
              <w:rPr>
                <w:rFonts w:ascii="Arial" w:cs="Arial" w:eastAsia="Arial" w:hAnsi="Arial"/>
                <w:sz w:val="16"/>
                <w:szCs w:val="16"/>
                <w:i w:val="1"/>
                <w:iCs w:val="1"/>
                <w:color w:val="auto"/>
              </w:rPr>
              <w:t>IPO and related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ind w:left="120"/>
              <w:spacing w:after="0"/>
              <w:rPr>
                <w:sz w:val="20"/>
                <w:szCs w:val="20"/>
                <w:color w:val="auto"/>
              </w:rPr>
            </w:pPr>
            <w:r>
              <w:rPr>
                <w:rFonts w:ascii="Arial" w:cs="Arial" w:eastAsia="Arial" w:hAnsi="Arial"/>
                <w:sz w:val="16"/>
                <w:szCs w:val="16"/>
                <w:i w:val="1"/>
                <w:iCs w:val="1"/>
                <w:color w:val="auto"/>
              </w:rPr>
              <w:t>organizational</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tcPr>
          <w:p>
            <w:pPr>
              <w:ind w:left="120"/>
              <w:spacing w:after="0"/>
              <w:rPr>
                <w:sz w:val="20"/>
                <w:szCs w:val="20"/>
                <w:color w:val="auto"/>
              </w:rPr>
            </w:pPr>
            <w:r>
              <w:rPr>
                <w:rFonts w:ascii="Arial" w:cs="Arial" w:eastAsia="Arial" w:hAnsi="Arial"/>
                <w:sz w:val="16"/>
                <w:szCs w:val="16"/>
                <w:i w:val="1"/>
                <w:iCs w:val="1"/>
                <w:color w:val="auto"/>
              </w:rPr>
              <w:t>transactions: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(7,923)</w:t>
            </w:r>
          </w:p>
        </w:tc>
        <w:tc>
          <w:tcPr>
            <w:tcW w:w="200" w:type="dxa"/>
            <w:vAlign w:val="bottom"/>
            <w:shd w:val="clear" w:color="auto" w:fill="CCEEFF"/>
          </w:tcPr>
          <w:p>
            <w:pPr>
              <w:spacing w:after="0"/>
              <w:rPr>
                <w:sz w:val="16"/>
                <w:szCs w:val="16"/>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tcPr>
          <w:p>
            <w:pPr>
              <w:spacing w:after="0" w:line="180" w:lineRule="exact"/>
              <w:rPr>
                <w:sz w:val="20"/>
                <w:szCs w:val="20"/>
                <w:color w:val="auto"/>
              </w:rPr>
            </w:pPr>
            <w:r>
              <w:rPr>
                <w:rFonts w:ascii="Arial" w:cs="Arial" w:eastAsia="Arial" w:hAnsi="Arial"/>
                <w:sz w:val="16"/>
                <w:szCs w:val="16"/>
                <w:i w:val="1"/>
                <w:iCs w:val="1"/>
                <w:color w:val="auto"/>
              </w:rPr>
              <w:t>Effects of the IPO</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ind w:left="120"/>
              <w:spacing w:after="0"/>
              <w:rPr>
                <w:sz w:val="20"/>
                <w:szCs w:val="20"/>
                <w:color w:val="auto"/>
              </w:rPr>
            </w:pPr>
            <w:r>
              <w:rPr>
                <w:rFonts w:ascii="Arial" w:cs="Arial" w:eastAsia="Arial" w:hAnsi="Arial"/>
                <w:sz w:val="16"/>
                <w:szCs w:val="16"/>
                <w:i w:val="1"/>
                <w:iCs w:val="1"/>
                <w:color w:val="auto"/>
              </w:rPr>
              <w:t>and related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ind w:left="120"/>
              <w:spacing w:after="0"/>
              <w:rPr>
                <w:sz w:val="20"/>
                <w:szCs w:val="20"/>
                <w:color w:val="auto"/>
              </w:rPr>
            </w:pPr>
            <w:r>
              <w:rPr>
                <w:rFonts w:ascii="Arial" w:cs="Arial" w:eastAsia="Arial" w:hAnsi="Arial"/>
                <w:sz w:val="16"/>
                <w:szCs w:val="16"/>
                <w:i w:val="1"/>
                <w:iCs w:val="1"/>
                <w:color w:val="auto"/>
              </w:rPr>
              <w:t>organizational</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tcPr>
          <w:p>
            <w:pPr>
              <w:ind w:left="120"/>
              <w:spacing w:after="0"/>
              <w:rPr>
                <w:sz w:val="20"/>
                <w:szCs w:val="20"/>
                <w:color w:val="auto"/>
              </w:rPr>
            </w:pPr>
            <w:r>
              <w:rPr>
                <w:rFonts w:ascii="Arial" w:cs="Arial" w:eastAsia="Arial" w:hAnsi="Arial"/>
                <w:sz w:val="16"/>
                <w:szCs w:val="16"/>
                <w:i w:val="1"/>
                <w:iCs w:val="1"/>
                <w:color w:val="auto"/>
              </w:rPr>
              <w:t>transactions: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w w:val="90"/>
              </w:rPr>
              <w:t>Issuance of Class</w:t>
            </w:r>
          </w:p>
        </w:tc>
        <w:tc>
          <w:tcPr>
            <w:tcW w:w="8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3"/>
              </w:rPr>
              <w:t>A shares in the</w:t>
            </w: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IPO, net of</w:t>
            </w: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underwriting</w:t>
            </w: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discount and</w:t>
            </w: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offering costs</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20,837,272</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32,136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235,874</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268,010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tcPr>
          <w:p>
            <w:pPr>
              <w:ind w:left="120"/>
              <w:spacing w:after="0" w:line="180" w:lineRule="exact"/>
              <w:rPr>
                <w:sz w:val="20"/>
                <w:szCs w:val="20"/>
                <w:color w:val="auto"/>
              </w:rPr>
            </w:pPr>
            <w:r>
              <w:rPr>
                <w:rFonts w:ascii="Arial" w:cs="Arial" w:eastAsia="Arial" w:hAnsi="Arial"/>
                <w:sz w:val="16"/>
                <w:szCs w:val="16"/>
                <w:color w:val="auto"/>
              </w:rPr>
              <w:t>Effects of the</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ind w:left="260"/>
              <w:spacing w:after="0"/>
              <w:rPr>
                <w:sz w:val="20"/>
                <w:szCs w:val="20"/>
                <w:color w:val="auto"/>
              </w:rPr>
            </w:pPr>
            <w:r>
              <w:rPr>
                <w:rFonts w:ascii="Arial" w:cs="Arial" w:eastAsia="Arial" w:hAnsi="Arial"/>
                <w:sz w:val="16"/>
                <w:szCs w:val="16"/>
                <w:color w:val="auto"/>
                <w:w w:val="98"/>
              </w:rPr>
              <w:t>reorganization</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tcPr>
          <w:p>
            <w:pPr>
              <w:ind w:left="260"/>
              <w:spacing w:after="0"/>
              <w:rPr>
                <w:sz w:val="20"/>
                <w:szCs w:val="20"/>
                <w:color w:val="auto"/>
              </w:rPr>
            </w:pPr>
            <w:r>
              <w:rPr>
                <w:rFonts w:ascii="Arial" w:cs="Arial" w:eastAsia="Arial" w:hAnsi="Arial"/>
                <w:sz w:val="16"/>
                <w:szCs w:val="16"/>
                <w:color w:val="auto"/>
              </w:rPr>
              <w:t>transactions</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(67,983,095)</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(426,741)</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51,092</w:t>
            </w: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147,058,824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146,420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229,229</w:t>
            </w: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shd w:val="clear" w:color="auto" w:fill="CCEEFF"/>
          </w:tcPr>
          <w:p>
            <w:pPr>
              <w:spacing w:after="0" w:line="180" w:lineRule="exact"/>
              <w:rPr>
                <w:sz w:val="20"/>
                <w:szCs w:val="20"/>
                <w:color w:val="auto"/>
              </w:rPr>
            </w:pPr>
            <w:r>
              <w:rPr>
                <w:rFonts w:ascii="Arial" w:cs="Arial" w:eastAsia="Arial" w:hAnsi="Arial"/>
                <w:sz w:val="16"/>
                <w:szCs w:val="16"/>
                <w:i w:val="1"/>
                <w:iCs w:val="1"/>
                <w:color w:val="auto"/>
                <w:w w:val="91"/>
              </w:rPr>
              <w:t>Activity subsequent</w:t>
            </w:r>
          </w:p>
        </w:tc>
        <w:tc>
          <w:tcPr>
            <w:tcW w:w="8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to the IPO and</w:t>
            </w: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related</w:t>
            </w: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organizational</w:t>
            </w: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transactions:</w:t>
            </w:r>
          </w:p>
        </w:tc>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ind w:left="120"/>
              <w:spacing w:after="0"/>
              <w:rPr>
                <w:sz w:val="20"/>
                <w:szCs w:val="20"/>
                <w:color w:val="auto"/>
              </w:rPr>
            </w:pPr>
            <w:r>
              <w:rPr>
                <w:rFonts w:ascii="Arial" w:cs="Arial" w:eastAsia="Arial" w:hAnsi="Arial"/>
                <w:sz w:val="16"/>
                <w:szCs w:val="16"/>
                <w:color w:val="auto"/>
              </w:rPr>
              <w:t>Net loss</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(5,645)</w:t>
            </w:r>
          </w:p>
        </w:tc>
        <w:tc>
          <w:tcPr>
            <w:tcW w:w="2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(46,644)</w:t>
            </w:r>
          </w:p>
        </w:tc>
        <w:tc>
          <w:tcPr>
            <w:tcW w:w="16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(52,289)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Equity-based</w:t>
            </w:r>
          </w:p>
        </w:tc>
        <w:tc>
          <w:tcPr>
            <w:tcW w:w="8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compensation</w:t>
            </w: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expense</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19,037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19,037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spacing w:after="0" w:line="176" w:lineRule="exact"/>
              <w:rPr>
                <w:sz w:val="20"/>
                <w:szCs w:val="20"/>
                <w:color w:val="auto"/>
              </w:rPr>
            </w:pPr>
            <w:r>
              <w:rPr>
                <w:rFonts w:ascii="Arial" w:cs="Arial" w:eastAsia="Arial" w:hAnsi="Arial"/>
                <w:sz w:val="16"/>
                <w:szCs w:val="16"/>
                <w:b w:val="1"/>
                <w:bCs w:val="1"/>
                <w:color w:val="auto"/>
              </w:rPr>
              <w:t>Balance as of</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tcPr>
          <w:p>
            <w:pPr>
              <w:ind w:left="120"/>
              <w:spacing w:after="0"/>
              <w:rPr>
                <w:sz w:val="20"/>
                <w:szCs w:val="20"/>
                <w:color w:val="auto"/>
              </w:rPr>
            </w:pPr>
            <w:r>
              <w:rPr>
                <w:rFonts w:ascii="Arial" w:cs="Arial" w:eastAsia="Arial" w:hAnsi="Arial"/>
                <w:sz w:val="16"/>
                <w:szCs w:val="16"/>
                <w:b w:val="1"/>
                <w:bCs w:val="1"/>
                <w:color w:val="auto"/>
              </w:rPr>
              <w:t>March 31, 2019</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20,837,272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w w:val="86"/>
              </w:rPr>
              <w:t>102,265</w:t>
            </w: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147,058,824</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(25,571)</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432,708</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509,402</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tcPr>
          <w:p>
            <w:pPr>
              <w:spacing w:after="0" w:line="176" w:lineRule="exact"/>
              <w:rPr>
                <w:sz w:val="20"/>
                <w:szCs w:val="20"/>
                <w:color w:val="auto"/>
              </w:rPr>
            </w:pPr>
            <w:r>
              <w:rPr>
                <w:rFonts w:ascii="Arial" w:cs="Arial" w:eastAsia="Arial" w:hAnsi="Arial"/>
                <w:sz w:val="16"/>
                <w:szCs w:val="16"/>
                <w:b w:val="1"/>
                <w:bCs w:val="1"/>
                <w:color w:val="auto"/>
              </w:rPr>
              <w:t>Balance as of</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ind w:left="120"/>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2017</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65,665,037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406,591</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(50,000)</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(80,347)</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2,666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278,910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(10,913)</w:t>
            </w:r>
          </w:p>
        </w:tc>
        <w:tc>
          <w:tcPr>
            <w:tcW w:w="200" w:type="dxa"/>
            <w:vAlign w:val="bottom"/>
            <w:shd w:val="clear" w:color="auto" w:fill="CCEEFF"/>
          </w:tcPr>
          <w:p>
            <w:pPr>
              <w:spacing w:after="0"/>
              <w:rPr>
                <w:sz w:val="16"/>
                <w:szCs w:val="16"/>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(10,913)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tcPr>
          <w:p>
            <w:pPr>
              <w:ind w:left="120"/>
              <w:spacing w:after="0" w:line="180" w:lineRule="exact"/>
              <w:rPr>
                <w:sz w:val="20"/>
                <w:szCs w:val="20"/>
                <w:color w:val="auto"/>
              </w:rPr>
            </w:pPr>
            <w:r>
              <w:rPr>
                <w:rFonts w:ascii="Arial" w:cs="Arial" w:eastAsia="Arial" w:hAnsi="Arial"/>
                <w:sz w:val="16"/>
                <w:szCs w:val="16"/>
                <w:color w:val="auto"/>
              </w:rPr>
              <w:t>Other</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ind w:left="260"/>
              <w:spacing w:after="0"/>
              <w:rPr>
                <w:sz w:val="20"/>
                <w:szCs w:val="20"/>
                <w:color w:val="auto"/>
              </w:rPr>
            </w:pPr>
            <w:r>
              <w:rPr>
                <w:rFonts w:ascii="Arial" w:cs="Arial" w:eastAsia="Arial" w:hAnsi="Arial"/>
                <w:sz w:val="16"/>
                <w:szCs w:val="16"/>
                <w:color w:val="auto"/>
                <w:w w:val="92"/>
              </w:rPr>
              <w:t>comprehensive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tcPr>
          <w:p>
            <w:pPr>
              <w:ind w:left="260"/>
              <w:spacing w:after="0"/>
              <w:rPr>
                <w:sz w:val="20"/>
                <w:szCs w:val="20"/>
                <w:color w:val="auto"/>
              </w:rPr>
            </w:pPr>
            <w:r>
              <w:rPr>
                <w:rFonts w:ascii="Arial" w:cs="Arial" w:eastAsia="Arial" w:hAnsi="Arial"/>
                <w:sz w:val="16"/>
                <w:szCs w:val="16"/>
                <w:color w:val="auto"/>
              </w:rPr>
              <w:t>loss</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929</w:t>
            </w:r>
          </w:p>
        </w:tc>
        <w:tc>
          <w:tcPr>
            <w:tcW w:w="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Capital</w:t>
            </w:r>
          </w:p>
        </w:tc>
        <w:tc>
          <w:tcPr>
            <w:tcW w:w="8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contributions</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665,843</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20,150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20,150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tcPr>
          <w:p>
            <w:pPr>
              <w:ind w:left="120"/>
              <w:spacing w:after="0" w:line="180" w:lineRule="exact"/>
              <w:rPr>
                <w:sz w:val="20"/>
                <w:szCs w:val="20"/>
                <w:color w:val="auto"/>
              </w:rPr>
            </w:pPr>
            <w:r>
              <w:rPr>
                <w:rFonts w:ascii="Arial" w:cs="Arial" w:eastAsia="Arial" w:hAnsi="Arial"/>
                <w:sz w:val="16"/>
                <w:szCs w:val="16"/>
                <w:color w:val="auto"/>
              </w:rPr>
              <w:t>Stock</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ind w:left="260"/>
              <w:spacing w:after="0"/>
              <w:rPr>
                <w:sz w:val="20"/>
                <w:szCs w:val="20"/>
                <w:color w:val="auto"/>
              </w:rPr>
            </w:pPr>
            <w:r>
              <w:rPr>
                <w:rFonts w:ascii="Arial" w:cs="Arial" w:eastAsia="Arial" w:hAnsi="Arial"/>
                <w:sz w:val="16"/>
                <w:szCs w:val="16"/>
                <w:color w:val="auto"/>
              </w:rPr>
              <w:t>subscription</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tcPr>
          <w:p>
            <w:pPr>
              <w:ind w:left="260"/>
              <w:spacing w:after="0"/>
              <w:rPr>
                <w:sz w:val="20"/>
                <w:szCs w:val="20"/>
                <w:color w:val="auto"/>
              </w:rPr>
            </w:pPr>
            <w:r>
              <w:rPr>
                <w:rFonts w:ascii="Arial" w:cs="Arial" w:eastAsia="Arial" w:hAnsi="Arial"/>
                <w:sz w:val="16"/>
                <w:szCs w:val="16"/>
                <w:color w:val="auto"/>
              </w:rPr>
              <w:t>receivable</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1,652,215</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50,000</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Balance as of</w:t>
            </w:r>
          </w:p>
        </w:tc>
        <w:tc>
          <w:tcPr>
            <w:tcW w:w="8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March 31, 2018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67,983,095</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426,741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(91,260)</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3,595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339,076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365"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520"/>
          </w:cols>
          <w:pgMar w:left="240" w:top="124" w:right="1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900" w:type="dxa"/>
            <w:vAlign w:val="bottom"/>
            <w:tcBorders>
              <w:bottom w:val="single" w:sz="8" w:color="0000EE"/>
            </w:tcBorders>
            <w:gridSpan w:val="2"/>
          </w:tcPr>
          <w:p>
            <w:pPr>
              <w:spacing w:after="0"/>
              <w:rPr>
                <w:rFonts w:ascii="Arial" w:cs="Arial" w:eastAsia="Arial" w:hAnsi="Arial"/>
                <w:sz w:val="13"/>
                <w:szCs w:val="13"/>
                <w:i w:val="1"/>
                <w:iCs w:val="1"/>
                <w:color w:val="0000EE"/>
                <w:w w:val="85"/>
              </w:rPr>
            </w:pPr>
            <w:hyperlink w:anchor="page2">
              <w:r>
                <w:rPr>
                  <w:rFonts w:ascii="Arial" w:cs="Arial" w:eastAsia="Arial" w:hAnsi="Arial"/>
                  <w:sz w:val="13"/>
                  <w:szCs w:val="13"/>
                  <w:i w:val="1"/>
                  <w:iCs w:val="1"/>
                  <w:color w:val="0000EE"/>
                  <w:w w:val="85"/>
                </w:rPr>
                <w:t>Table of Contents</w:t>
              </w:r>
            </w:hyperlink>
          </w:p>
        </w:tc>
        <w:tc>
          <w:tcPr>
            <w:tcW w:w="7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New Fortress Energy LLC</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For the three months ended March 31, 2019 and 2018</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(Unaudited, in thousands of U.S. dollars)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6"/>
          </w:tcPr>
          <w:p>
            <w:pPr>
              <w:jc w:val="right"/>
              <w:ind w:right="280"/>
              <w:spacing w:after="0"/>
              <w:rPr>
                <w:sz w:val="20"/>
                <w:szCs w:val="20"/>
                <w:color w:val="auto"/>
              </w:rPr>
            </w:pPr>
            <w:r>
              <w:rPr>
                <w:rFonts w:ascii="Arial" w:cs="Arial" w:eastAsia="Arial" w:hAnsi="Arial"/>
                <w:sz w:val="16"/>
                <w:szCs w:val="16"/>
                <w:b w:val="1"/>
                <w:bCs w:val="1"/>
                <w:color w:val="auto"/>
                <w:w w:val="93"/>
              </w:rPr>
              <w:t>Three Months Ended 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820" w:type="dxa"/>
            <w:vAlign w:val="bottom"/>
            <w:gridSpan w:val="3"/>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(60,292)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Adjustments for:</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Amortization of deferred financing costs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Deferred taxes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260"/>
              <w:spacing w:after="0"/>
              <w:rPr>
                <w:sz w:val="20"/>
                <w:szCs w:val="20"/>
                <w:color w:val="auto"/>
              </w:rPr>
            </w:pPr>
            <w:r>
              <w:rPr>
                <w:rFonts w:ascii="Arial" w:cs="Arial" w:eastAsia="Arial" w:hAnsi="Arial"/>
                <w:sz w:val="16"/>
                <w:szCs w:val="16"/>
                <w:color w:val="auto"/>
              </w:rPr>
              <w:t>Change in value of Investment in equity securities</w:t>
            </w:r>
          </w:p>
        </w:tc>
        <w:tc>
          <w:tcPr>
            <w:tcW w:w="1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Equity-based compensation</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19,037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(Increase) in receivables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(Increase) in inventories</w:t>
            </w:r>
          </w:p>
        </w:tc>
        <w:tc>
          <w:tcPr>
            <w:tcW w:w="1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(11,043)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(5,180)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Decrease (Increase) in other assets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15,684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Increase in accounts payable/accrued liabilities</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3,567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5,668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Increase in amounts due to affiliates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(Decrease) increase in other liabilities</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(31,048)</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(17,966)</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(136,281)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(41,208)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Principal payments received on finance lease, net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gridSpan w:val="2"/>
          </w:tcPr>
          <w:p>
            <w:pPr>
              <w:ind w:left="260"/>
              <w:spacing w:after="0"/>
              <w:rPr>
                <w:sz w:val="20"/>
                <w:szCs w:val="20"/>
                <w:color w:val="auto"/>
              </w:rPr>
            </w:pPr>
            <w:r>
              <w:rPr>
                <w:rFonts w:ascii="Arial" w:cs="Arial" w:eastAsia="Arial" w:hAnsi="Arial"/>
                <w:sz w:val="16"/>
                <w:szCs w:val="16"/>
                <w:b w:val="1"/>
                <w:bCs w:val="1"/>
                <w:color w:val="auto"/>
              </w:rPr>
              <w:t>Net cash used in investing activities</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(135,997)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(40,970)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9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borrowings of debt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Payment of deferred financing costs</w:t>
            </w:r>
          </w:p>
        </w:tc>
        <w:tc>
          <w:tcPr>
            <w:tcW w:w="1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(4,400)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Proceeds from IPO</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274,948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Payment of offering costs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Capital contributed from Members</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20,150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Collection of subscription receivable</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gridSpan w:val="2"/>
          </w:tcPr>
          <w:p>
            <w:pPr>
              <w:ind w:left="260"/>
              <w:spacing w:after="0"/>
              <w:rPr>
                <w:sz w:val="20"/>
                <w:szCs w:val="20"/>
                <w:color w:val="auto"/>
              </w:rPr>
            </w:pPr>
            <w:r>
              <w:rPr>
                <w:rFonts w:ascii="Arial" w:cs="Arial" w:eastAsia="Arial" w:hAnsi="Arial"/>
                <w:sz w:val="16"/>
                <w:szCs w:val="16"/>
                <w:b w:val="1"/>
                <w:bCs w:val="1"/>
                <w:color w:val="auto"/>
              </w:rPr>
              <w:t>Net cash provided by financing activities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483,193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68,693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9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316,148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9,757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 beginning of period</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118,331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and restricted cash –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417,001</w:t>
            </w:r>
          </w:p>
        </w:tc>
        <w:tc>
          <w:tcPr>
            <w:tcW w:w="14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128,088</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Changes in accrued construction in progress costs and property, plant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(32,946)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5,574</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10" w:right="219" w:bottom="1440" w:gutter="0" w:footer="0" w:header="0"/>
        </w:sectPr>
      </w:pPr>
    </w:p>
    <w:bookmarkStart w:id="9" w:name="page10"/>
    <w:bookmarkEnd w:id="9"/>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584" w:hanging="584"/>
        <w:spacing w:after="0"/>
        <w:tabs>
          <w:tab w:leader="none" w:pos="58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w:t>
      </w:r>
    </w:p>
    <w:p>
      <w:pPr>
        <w:spacing w:after="0" w:line="228" w:lineRule="exact"/>
        <w:rPr>
          <w:sz w:val="20"/>
          <w:szCs w:val="20"/>
          <w:color w:val="auto"/>
        </w:rPr>
      </w:pPr>
    </w:p>
    <w:p>
      <w:pPr>
        <w:ind w:left="284" w:right="120"/>
        <w:spacing w:after="0" w:line="282" w:lineRule="auto"/>
        <w:rPr>
          <w:sz w:val="20"/>
          <w:szCs w:val="20"/>
          <w:color w:val="auto"/>
        </w:rPr>
      </w:pPr>
      <w:r>
        <w:rPr>
          <w:rFonts w:ascii="Arial" w:cs="Arial" w:eastAsia="Arial" w:hAnsi="Arial"/>
          <w:sz w:val="15"/>
          <w:szCs w:val="15"/>
          <w:color w:val="auto"/>
        </w:rPr>
        <w:t>New Fortress Energy LLC (“NFE,” together with its subsidiaries, the “Company”) is a Delaware limited liability company formed by New Fortress Energy Holdings LLC (“New Fortress Energy Holdings”) on August 6, 2018. The Company is engaged in providing energy and logistical services to end-users worldwide seeking to convert their operating assets from diesel or heavy fuel oil (“HFO”) to LNG. The Company currently sources LNG from a combination of its own liquefaction facility in Miami, Florida and purchases on the open market. The Company has liquefaction and regasification operations in the United States and Jamaica.</w:t>
      </w:r>
    </w:p>
    <w:p>
      <w:pPr>
        <w:spacing w:after="0" w:line="174" w:lineRule="exact"/>
        <w:rPr>
          <w:sz w:val="20"/>
          <w:szCs w:val="20"/>
          <w:color w:val="auto"/>
        </w:rPr>
      </w:pPr>
    </w:p>
    <w:p>
      <w:pPr>
        <w:jc w:val="both"/>
        <w:ind w:left="284" w:right="400"/>
        <w:spacing w:after="0" w:line="264" w:lineRule="auto"/>
        <w:rPr>
          <w:sz w:val="20"/>
          <w:szCs w:val="20"/>
          <w:color w:val="auto"/>
        </w:rPr>
      </w:pPr>
      <w:r>
        <w:rPr>
          <w:rFonts w:ascii="Arial" w:cs="Arial" w:eastAsia="Arial" w:hAnsi="Arial"/>
          <w:sz w:val="16"/>
          <w:szCs w:val="16"/>
          <w:color w:val="auto"/>
        </w:rPr>
        <w:t>The Company manages, analyzes and reports on its business and results of operations on the basis of one operating segment. The chief operating decision maker makes resource allocation decisions and assesses performance based on financial information presented on a consolidated basis on the delivery of an integrated solution to our customers.</w:t>
      </w:r>
    </w:p>
    <w:p>
      <w:pPr>
        <w:spacing w:after="0" w:line="182" w:lineRule="exact"/>
        <w:rPr>
          <w:sz w:val="20"/>
          <w:szCs w:val="20"/>
          <w:color w:val="auto"/>
        </w:rPr>
      </w:pPr>
    </w:p>
    <w:p>
      <w:pPr>
        <w:ind w:left="584" w:hanging="584"/>
        <w:spacing w:after="0"/>
        <w:tabs>
          <w:tab w:leader="none" w:pos="58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228"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principle accounting policies adopted are set out below.</w:t>
      </w:r>
    </w:p>
    <w:p>
      <w:pPr>
        <w:spacing w:after="0" w:line="224" w:lineRule="exact"/>
        <w:rPr>
          <w:sz w:val="20"/>
          <w:szCs w:val="20"/>
          <w:color w:val="auto"/>
        </w:rPr>
      </w:pPr>
    </w:p>
    <w:p>
      <w:pPr>
        <w:ind w:left="584" w:hanging="584"/>
        <w:spacing w:after="0"/>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Basis of presentation and principles of consolidation</w:t>
      </w:r>
    </w:p>
    <w:p>
      <w:pPr>
        <w:spacing w:after="0" w:line="224" w:lineRule="exact"/>
        <w:rPr>
          <w:sz w:val="20"/>
          <w:szCs w:val="20"/>
          <w:color w:val="auto"/>
        </w:rPr>
      </w:pPr>
    </w:p>
    <w:p>
      <w:pPr>
        <w:ind w:left="284"/>
        <w:spacing w:after="0" w:line="278" w:lineRule="auto"/>
        <w:rPr>
          <w:sz w:val="20"/>
          <w:szCs w:val="20"/>
          <w:color w:val="auto"/>
        </w:rPr>
      </w:pPr>
      <w:r>
        <w:rPr>
          <w:rFonts w:ascii="Arial" w:cs="Arial" w:eastAsia="Arial" w:hAnsi="Arial"/>
          <w:sz w:val="15"/>
          <w:szCs w:val="15"/>
          <w:color w:val="auto"/>
        </w:rPr>
        <w:t>The condensed consolidated financial statements were prepared in accordance with GAAP. The accompanying unaudited interim condensed consolidated financial statements contained herein reflect all normal and recurring adjustments which are, in the opinion of management, necessary to provide a fair statement of the financial position, results of operations and cash flows of the Company for the interim periods presented. The condensed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w:t>
      </w:r>
    </w:p>
    <w:p>
      <w:pPr>
        <w:spacing w:after="0" w:line="178" w:lineRule="exact"/>
        <w:rPr>
          <w:sz w:val="20"/>
          <w:szCs w:val="20"/>
          <w:color w:val="auto"/>
        </w:rPr>
      </w:pPr>
    </w:p>
    <w:p>
      <w:pPr>
        <w:ind w:left="284" w:right="20"/>
        <w:spacing w:after="0" w:line="272" w:lineRule="auto"/>
        <w:rPr>
          <w:sz w:val="20"/>
          <w:szCs w:val="20"/>
          <w:color w:val="auto"/>
        </w:rPr>
      </w:pPr>
      <w:r>
        <w:rPr>
          <w:rFonts w:ascii="Arial" w:cs="Arial" w:eastAsia="Arial" w:hAnsi="Arial"/>
          <w:sz w:val="15"/>
          <w:szCs w:val="15"/>
          <w:color w:val="auto"/>
        </w:rPr>
        <w:t>On February 4, 2019, the Company completed an initial public offering (“IPO”) and a series of other transactions, in which the Company issued and sold 20,000,000 Class A shares at an IPO price of $14.00 per share. The Company’s Class A shares began trading on NASDAQ Global Select Market (“NASDAQ”) under the symbol “NFE” on January 31, 2019. Net proceeds from the IPO were $257.0 million, after deducting underwriting discounts and commissions and transaction costs. These proceeds were contributed to New Fortress Intermediate LLC (“NFI”), an entity formed in conjunction with the IPO, in exchange for 20,000,000 limited liability company units in NFI (“NFI LLC Units”). In addition, New Fortress Energy Holdings contributed all of its interests in consolidated subsidiaries that comprised substantially all of its historical operations to NFI in exchange for NFI LLC Units. In connection with the IPO, New Fortress Energy Holdings also received 147,058,824 Class B shares of the Company, which is equal to the number of NFI LLC Units held by New Fortress Energy Holdings immediately following the IPO. New Fortress Energy Holdings will retain a significant interest in NFE through its ownership of 147,058,824 Class B shares, representing a 88.0% voting and non-economic interest. New Fortress Energy Holdings also has an 88.0% economic interest in NFI through its ownership of 147,058,824 of NFI LLC Units. New Fortress Energy Holdings has been determined to be NFE’s predecessor for accounting purposes.</w:t>
      </w:r>
    </w:p>
    <w:p>
      <w:pPr>
        <w:spacing w:after="0" w:line="183" w:lineRule="exact"/>
        <w:rPr>
          <w:sz w:val="20"/>
          <w:szCs w:val="20"/>
          <w:color w:val="auto"/>
        </w:rPr>
      </w:pPr>
    </w:p>
    <w:p>
      <w:pPr>
        <w:ind w:left="284"/>
        <w:spacing w:after="0" w:line="259" w:lineRule="auto"/>
        <w:rPr>
          <w:sz w:val="20"/>
          <w:szCs w:val="20"/>
          <w:color w:val="auto"/>
        </w:rPr>
      </w:pPr>
      <w:r>
        <w:rPr>
          <w:rFonts w:ascii="Arial" w:cs="Arial" w:eastAsia="Arial" w:hAnsi="Arial"/>
          <w:sz w:val="16"/>
          <w:szCs w:val="16"/>
          <w:color w:val="auto"/>
        </w:rPr>
        <w:t>On March 1, 2019, the underwriters of the IPO exercised their option to purchase an additional 837,272 Class A shares at the IPO price of $14.00 per share, less underwriting discounts, which resulted in $11.0 million in additional net proceeds after deducting $0.7 million of underwriting discounts and commissions, such that there are 20,837,272 outstanding Class A shares. In connection with the exercise of the underwriters’ option to purchase an additional 837,272 Class A shares, NFE contributed such additional net proceeds to NFI in exchange for 837,272 NFI LLC Units.</w:t>
      </w:r>
    </w:p>
    <w:p>
      <w:pPr>
        <w:spacing w:after="0" w:line="191" w:lineRule="exact"/>
        <w:rPr>
          <w:sz w:val="20"/>
          <w:szCs w:val="20"/>
          <w:color w:val="auto"/>
        </w:rPr>
      </w:pPr>
    </w:p>
    <w:p>
      <w:pPr>
        <w:ind w:left="284" w:right="120"/>
        <w:spacing w:after="0" w:line="302" w:lineRule="auto"/>
        <w:rPr>
          <w:sz w:val="20"/>
          <w:szCs w:val="20"/>
          <w:color w:val="auto"/>
        </w:rPr>
      </w:pPr>
      <w:r>
        <w:rPr>
          <w:rFonts w:ascii="Arial" w:cs="Arial" w:eastAsia="Arial" w:hAnsi="Arial"/>
          <w:sz w:val="14"/>
          <w:szCs w:val="14"/>
          <w:color w:val="auto"/>
        </w:rPr>
        <w:t>NFE is a holding company whose sole material asset is a controlling equity interest in NFI. As the sole managing member of NFI, NFE operates and controls all of the business and affairs of NFI, and through NFI and its subsidiaries, conducts the Company’s historical business. The contribution of the assets of New Fortress Energy Holdings and net proceeds from the IPO to NFI was treated as a reorganization of entities under common control. As a result, NFE presented the condensed consolidated balances sheets and statements of operations and comprehensive loss of New Fortress Energy Holdings for all periods prior to the IPO. The Company’s financial statements also include a non-controlling interest related to the portion of NFI LLC Units not owned by NFE. Prior to the IPO, NFE had no operations and had no assets or liabilities.</w:t>
      </w:r>
    </w:p>
    <w:p>
      <w:pPr>
        <w:spacing w:after="0" w:line="329"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sectPr>
      </w:pPr>
    </w:p>
    <w:bookmarkStart w:id="10" w:name="page11"/>
    <w:bookmarkEnd w:id="10"/>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584" w:hanging="584"/>
        <w:spacing w:after="0"/>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Use of estimates</w:t>
      </w:r>
    </w:p>
    <w:p>
      <w:pPr>
        <w:spacing w:after="0" w:line="224" w:lineRule="exact"/>
        <w:rPr>
          <w:sz w:val="20"/>
          <w:szCs w:val="20"/>
          <w:color w:val="auto"/>
        </w:rPr>
      </w:pPr>
    </w:p>
    <w:p>
      <w:pPr>
        <w:ind w:left="284"/>
        <w:spacing w:after="0" w:line="25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Significant estimates include relative fair value allocation between revenue and lease components of contracts with customers, total consideration and fair value of identifiable net assets related to acquisitions and fair value of equity awards granted to both employees and non-employees. Management evaluates its estimates and related assumptions regularly. Changes in facts and circumstances or additional information may result in revised estimates, and actual results may differ from these estimates.</w:t>
      </w:r>
    </w:p>
    <w:p>
      <w:pPr>
        <w:spacing w:after="0" w:line="192" w:lineRule="exact"/>
        <w:rPr>
          <w:sz w:val="20"/>
          <w:szCs w:val="20"/>
          <w:color w:val="auto"/>
        </w:rPr>
      </w:pPr>
    </w:p>
    <w:p>
      <w:pPr>
        <w:ind w:left="584" w:hanging="584"/>
        <w:spacing w:after="0"/>
        <w:tabs>
          <w:tab w:leader="none" w:pos="584"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 in equity securities</w:t>
      </w:r>
    </w:p>
    <w:p>
      <w:pPr>
        <w:spacing w:after="0" w:line="224" w:lineRule="exact"/>
        <w:rPr>
          <w:sz w:val="20"/>
          <w:szCs w:val="20"/>
          <w:color w:val="auto"/>
        </w:rPr>
      </w:pPr>
    </w:p>
    <w:p>
      <w:pPr>
        <w:ind w:left="284" w:right="80"/>
        <w:spacing w:after="0" w:line="289" w:lineRule="auto"/>
        <w:rPr>
          <w:sz w:val="20"/>
          <w:szCs w:val="20"/>
          <w:color w:val="auto"/>
        </w:rPr>
      </w:pPr>
      <w:r>
        <w:rPr>
          <w:rFonts w:ascii="Arial" w:cs="Arial" w:eastAsia="Arial" w:hAnsi="Arial"/>
          <w:sz w:val="15"/>
          <w:szCs w:val="15"/>
          <w:color w:val="auto"/>
        </w:rPr>
        <w:t>The Company holds an investment in equity securities. The investment is carried at fair value with gains or losses recorded in earnings in Other (income) expense, net in the condensed consolidated statements of operations and comprehensive loss. At each balance sheet date, the Company evaluates its equity securities with unrealized losses, if any, to determine if an other-than-temporary impairment has occurred. See “Note 9. Investment in equity securities” for more information.</w:t>
      </w:r>
    </w:p>
    <w:p>
      <w:pPr>
        <w:spacing w:after="0" w:line="170" w:lineRule="exact"/>
        <w:rPr>
          <w:sz w:val="20"/>
          <w:szCs w:val="20"/>
          <w:color w:val="auto"/>
        </w:rPr>
      </w:pPr>
    </w:p>
    <w:p>
      <w:pPr>
        <w:ind w:left="584" w:hanging="584"/>
        <w:spacing w:after="0"/>
        <w:tabs>
          <w:tab w:leader="none" w:pos="584"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Legal and contingencies</w:t>
      </w:r>
    </w:p>
    <w:p>
      <w:pPr>
        <w:spacing w:after="0" w:line="224" w:lineRule="exact"/>
        <w:rPr>
          <w:sz w:val="20"/>
          <w:szCs w:val="20"/>
          <w:color w:val="auto"/>
        </w:rPr>
      </w:pPr>
    </w:p>
    <w:p>
      <w:pPr>
        <w:ind w:left="284" w:right="120"/>
        <w:spacing w:after="0" w:line="282" w:lineRule="auto"/>
        <w:rPr>
          <w:sz w:val="20"/>
          <w:szCs w:val="20"/>
          <w:color w:val="auto"/>
        </w:rPr>
      </w:pPr>
      <w:r>
        <w:rPr>
          <w:rFonts w:ascii="Arial" w:cs="Arial" w:eastAsia="Arial" w:hAnsi="Arial"/>
          <w:sz w:val="15"/>
          <w:szCs w:val="15"/>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condensed consolidated financial statements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they are realized.</w:t>
      </w:r>
    </w:p>
    <w:p>
      <w:pPr>
        <w:spacing w:after="0" w:line="174" w:lineRule="exact"/>
        <w:rPr>
          <w:sz w:val="20"/>
          <w:szCs w:val="20"/>
          <w:color w:val="auto"/>
        </w:rPr>
      </w:pPr>
    </w:p>
    <w:p>
      <w:pPr>
        <w:ind w:left="584" w:hanging="584"/>
        <w:spacing w:after="0"/>
        <w:tabs>
          <w:tab w:leader="none" w:pos="5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Revenue recognition</w:t>
      </w:r>
    </w:p>
    <w:p>
      <w:pPr>
        <w:spacing w:after="0" w:line="224" w:lineRule="exact"/>
        <w:rPr>
          <w:sz w:val="20"/>
          <w:szCs w:val="20"/>
          <w:color w:val="auto"/>
        </w:rPr>
      </w:pPr>
    </w:p>
    <w:p>
      <w:pPr>
        <w:ind w:left="284"/>
        <w:spacing w:after="0" w:line="255" w:lineRule="auto"/>
        <w:rPr>
          <w:sz w:val="20"/>
          <w:szCs w:val="20"/>
          <w:color w:val="auto"/>
        </w:rPr>
      </w:pPr>
      <w:r>
        <w:rPr>
          <w:rFonts w:ascii="Arial" w:cs="Arial" w:eastAsia="Arial" w:hAnsi="Arial"/>
          <w:sz w:val="16"/>
          <w:szCs w:val="16"/>
          <w:color w:val="auto"/>
        </w:rPr>
        <w:t>The Company’s primary revenue stream is the sale of LNG and natural gas to its customers, which is presented as Operating revenue in the condensed consolidated statement of operations and comprehensive loss. Natural gas or LNG is delivered either by pipeline into the customer’s power generation facilities or in containers delivered by truck to customer sites, respectively. Revenues from sales delivered by pipeline to a power generation facility are recognized over time under the output method, as the customer takes control of the natural gas. Revenues from sales delivered by truck are recognized at the point in time at which legal title, physical possession and the risks and rewards of ownership transfer to the customer. Title typically transfers either when the containers are shipped or delivered to the customers’ storage facilities, depending on the terms of the contract. Because the nature, timing and uncertainty of revenues and cash flows are substantially the same under both modes of delivery, we have presented revenue on an aggregated basis.</w:t>
      </w:r>
    </w:p>
    <w:p>
      <w:pPr>
        <w:spacing w:after="0" w:line="193" w:lineRule="exact"/>
        <w:rPr>
          <w:sz w:val="20"/>
          <w:szCs w:val="20"/>
          <w:color w:val="auto"/>
        </w:rPr>
      </w:pPr>
    </w:p>
    <w:p>
      <w:pPr>
        <w:ind w:left="284" w:right="20"/>
        <w:spacing w:after="0" w:line="264" w:lineRule="auto"/>
        <w:rPr>
          <w:sz w:val="20"/>
          <w:szCs w:val="20"/>
          <w:color w:val="auto"/>
        </w:rPr>
      </w:pPr>
      <w:r>
        <w:rPr>
          <w:rFonts w:ascii="Arial" w:cs="Arial" w:eastAsia="Arial" w:hAnsi="Arial"/>
          <w:sz w:val="16"/>
          <w:szCs w:val="16"/>
          <w:color w:val="auto"/>
        </w:rPr>
        <w:t>The Company has concluded that variable consideration included in these agreements meets the exception for allocating variable consideration. As such, the variable consideration for these contracts is allocated to each distinct unit of LNG or natural gas delivered and recognized when that distinct unit of LNG or natural gas is delivered to the customer.</w:t>
      </w:r>
    </w:p>
    <w:p>
      <w:pPr>
        <w:spacing w:after="0" w:line="186" w:lineRule="exact"/>
        <w:rPr>
          <w:sz w:val="20"/>
          <w:szCs w:val="20"/>
          <w:color w:val="auto"/>
        </w:rPr>
      </w:pPr>
    </w:p>
    <w:p>
      <w:pPr>
        <w:ind w:left="284" w:right="60"/>
        <w:spacing w:after="0" w:line="259" w:lineRule="auto"/>
        <w:rPr>
          <w:sz w:val="20"/>
          <w:szCs w:val="20"/>
          <w:color w:val="auto"/>
        </w:rPr>
      </w:pPr>
      <w:r>
        <w:rPr>
          <w:rFonts w:ascii="Arial" w:cs="Arial" w:eastAsia="Arial" w:hAnsi="Arial"/>
          <w:sz w:val="16"/>
          <w:szCs w:val="16"/>
          <w:color w:val="auto"/>
        </w:rPr>
        <w:t>The Company’s contracts with customers to supply natural gas or LNG may contain a lease of equipment. The Company allocates consideration received from customers between lease and non-lease components based on the relative fair value of each component. The fair value of the lease component is estimated based on the market value of the same or similar equipment leased to the customer. The Company estimates the fair value of the non-lease component by forecasting volumes and pricing of gas to be delivered to the customer over the lease term.</w:t>
      </w:r>
    </w:p>
    <w:p>
      <w:pPr>
        <w:spacing w:after="0" w:line="191" w:lineRule="exact"/>
        <w:rPr>
          <w:sz w:val="20"/>
          <w:szCs w:val="20"/>
          <w:color w:val="auto"/>
        </w:rPr>
      </w:pPr>
    </w:p>
    <w:p>
      <w:pPr>
        <w:ind w:left="284"/>
        <w:spacing w:after="0" w:line="302" w:lineRule="auto"/>
        <w:rPr>
          <w:sz w:val="20"/>
          <w:szCs w:val="20"/>
          <w:color w:val="auto"/>
        </w:rPr>
      </w:pPr>
      <w:r>
        <w:rPr>
          <w:rFonts w:ascii="Arial" w:cs="Arial" w:eastAsia="Arial" w:hAnsi="Arial"/>
          <w:sz w:val="14"/>
          <w:szCs w:val="14"/>
          <w:color w:val="auto"/>
        </w:rPr>
        <w:t>The leases of certain facilities and equipment to customers are accounted for as direct financing or operating leases. Direct financing leases, net represents the minimum lease payments due, net of unearned revenue. The lease payments are segregated into principal and interest components similar to a loan. Unearned revenue is recognized on an effective interest method over the lease term and included in Other revenue in the condensed consolidated statements of operations and comprehensive loss. The principal components of the lease payment are reflected as a reduction to the net investment in the finance lease. For the Company’s operating leases, the amount allocated to the leasing component is recognized over the lease term as Other revenue in the condensed consolidated statements of operations and comprehensive loss.</w:t>
      </w:r>
    </w:p>
    <w:p>
      <w:pPr>
        <w:spacing w:after="0" w:line="329"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sectPr>
      </w:pPr>
    </w:p>
    <w:bookmarkStart w:id="11" w:name="page12"/>
    <w:bookmarkEnd w:id="11"/>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ind w:left="284" w:right="320"/>
        <w:spacing w:after="0" w:line="264" w:lineRule="auto"/>
        <w:rPr>
          <w:sz w:val="20"/>
          <w:szCs w:val="20"/>
          <w:color w:val="auto"/>
        </w:rPr>
      </w:pPr>
      <w:r>
        <w:rPr>
          <w:rFonts w:ascii="Arial" w:cs="Arial" w:eastAsia="Arial" w:hAnsi="Arial"/>
          <w:sz w:val="16"/>
          <w:szCs w:val="16"/>
          <w:color w:val="auto"/>
        </w:rPr>
        <w:t>Shipping and handling costs are not considered to be separate performance obligations. These costs are expensed in the period in which they are incurred and presented within Cost of sales in the condensed consolidated statements of operations and comprehensive loss. All such shipping and handling activities are performed prior to the customer obtaining control of the LNG or natural gas.</w:t>
      </w:r>
    </w:p>
    <w:p>
      <w:pPr>
        <w:spacing w:after="0" w:line="186" w:lineRule="exact"/>
        <w:rPr>
          <w:sz w:val="20"/>
          <w:szCs w:val="20"/>
          <w:color w:val="auto"/>
        </w:rPr>
      </w:pPr>
    </w:p>
    <w:p>
      <w:pPr>
        <w:ind w:left="284"/>
        <w:spacing w:after="0" w:line="264" w:lineRule="auto"/>
        <w:rPr>
          <w:sz w:val="20"/>
          <w:szCs w:val="20"/>
          <w:color w:val="auto"/>
        </w:rPr>
      </w:pPr>
      <w:r>
        <w:rPr>
          <w:rFonts w:ascii="Arial" w:cs="Arial" w:eastAsia="Arial" w:hAnsi="Arial"/>
          <w:sz w:val="16"/>
          <w:szCs w:val="16"/>
          <w:color w:val="auto"/>
        </w:rPr>
        <w:t>The Company collects sales taxes from its customers on sales of taxable products and remits such collections to the appropriate taxing authority. The Company has elected to present sales tax collections in the condensed consolidated statements of operations and comprehensive loss on a net basis and, accordingly, such taxes are excluded from reported revenues.</w:t>
      </w:r>
    </w:p>
    <w:p>
      <w:pPr>
        <w:spacing w:after="0" w:line="186" w:lineRule="exact"/>
        <w:rPr>
          <w:sz w:val="20"/>
          <w:szCs w:val="20"/>
          <w:color w:val="auto"/>
        </w:rPr>
      </w:pPr>
    </w:p>
    <w:p>
      <w:pPr>
        <w:ind w:left="284" w:right="40"/>
        <w:spacing w:after="0" w:line="264" w:lineRule="auto"/>
        <w:rPr>
          <w:sz w:val="20"/>
          <w:szCs w:val="20"/>
          <w:color w:val="auto"/>
        </w:rPr>
      </w:pPr>
      <w:r>
        <w:rPr>
          <w:rFonts w:ascii="Arial" w:cs="Arial" w:eastAsia="Arial" w:hAnsi="Arial"/>
          <w:sz w:val="16"/>
          <w:szCs w:val="16"/>
          <w:color w:val="auto"/>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pacing w:after="0" w:line="186" w:lineRule="exact"/>
        <w:rPr>
          <w:sz w:val="20"/>
          <w:szCs w:val="20"/>
          <w:color w:val="auto"/>
        </w:rPr>
      </w:pPr>
    </w:p>
    <w:p>
      <w:pPr>
        <w:ind w:left="584" w:hanging="584"/>
        <w:spacing w:after="0"/>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Share-Based Compensation</w:t>
      </w:r>
    </w:p>
    <w:p>
      <w:pPr>
        <w:spacing w:after="0" w:line="224" w:lineRule="exact"/>
        <w:rPr>
          <w:sz w:val="20"/>
          <w:szCs w:val="20"/>
          <w:color w:val="auto"/>
        </w:rPr>
      </w:pPr>
    </w:p>
    <w:p>
      <w:pPr>
        <w:ind w:left="284"/>
        <w:spacing w:after="0" w:line="295" w:lineRule="auto"/>
        <w:rPr>
          <w:sz w:val="20"/>
          <w:szCs w:val="20"/>
          <w:color w:val="auto"/>
        </w:rPr>
      </w:pPr>
      <w:r>
        <w:rPr>
          <w:rFonts w:ascii="Arial" w:cs="Arial" w:eastAsia="Arial" w:hAnsi="Arial"/>
          <w:sz w:val="14"/>
          <w:szCs w:val="14"/>
          <w:color w:val="auto"/>
        </w:rPr>
        <w:t xml:space="preserve">In connection with the IPO, the Company adopted the New Fortress Energy LLC 2019 Omnibus Incentive Plan (the “Incentive Plan”), effective as of February 4, 2019. Under the Incentive Plan, the Company may issue options, stock appreciation rights, restricted shares, restricted stock units (“RSUs”), share bonuses or other share-based awards to selected officers, employees, non-employee directors and select non-employees of NFE or its affiliates. The Company accounts for share-based compensation in accordance with ASC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xml:space="preserve">, and ASC 505, </w:t>
      </w:r>
      <w:r>
        <w:rPr>
          <w:rFonts w:ascii="Arial" w:cs="Arial" w:eastAsia="Arial" w:hAnsi="Arial"/>
          <w:sz w:val="14"/>
          <w:szCs w:val="14"/>
          <w:i w:val="1"/>
          <w:iCs w:val="1"/>
          <w:color w:val="auto"/>
        </w:rPr>
        <w:t>Equity</w:t>
      </w:r>
      <w:r>
        <w:rPr>
          <w:rFonts w:ascii="Arial" w:cs="Arial" w:eastAsia="Arial" w:hAnsi="Arial"/>
          <w:sz w:val="14"/>
          <w:szCs w:val="14"/>
          <w:color w:val="auto"/>
        </w:rPr>
        <w:t>, which require all share-based payments to employees and members of the board of directors to be recognized as expense in the condensed consolidated financial statements based on their fair values. The Company has elected not to estimate forfeitures of its share-based compensation, but will recognize the reversal in compensation expense in the period in which the forfeiture occurs. Upon creation of the Incentive Plan, the Company early adopted ASU 2018-07 (as defined below). See “Note 3(b). Adoption of new and revised standards – New and amended standards adopted by the Company” for additional information related to ASU 2018-07 and “Note 20. Share-based compensation” for additional information related to share-based compensation.</w:t>
      </w:r>
    </w:p>
    <w:p>
      <w:pPr>
        <w:spacing w:after="0" w:line="171" w:lineRule="exact"/>
        <w:rPr>
          <w:sz w:val="20"/>
          <w:szCs w:val="20"/>
          <w:color w:val="auto"/>
        </w:rPr>
      </w:pPr>
    </w:p>
    <w:p>
      <w:pPr>
        <w:ind w:left="584" w:hanging="584"/>
        <w:spacing w:after="0"/>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Income taxes</w:t>
      </w:r>
    </w:p>
    <w:p>
      <w:pPr>
        <w:spacing w:after="0" w:line="224" w:lineRule="exact"/>
        <w:rPr>
          <w:sz w:val="20"/>
          <w:szCs w:val="20"/>
          <w:color w:val="auto"/>
        </w:rPr>
      </w:pPr>
    </w:p>
    <w:p>
      <w:pPr>
        <w:ind w:left="284" w:right="20"/>
        <w:spacing w:after="0" w:line="351" w:lineRule="auto"/>
        <w:rPr>
          <w:sz w:val="20"/>
          <w:szCs w:val="20"/>
          <w:color w:val="auto"/>
        </w:rPr>
      </w:pPr>
      <w:r>
        <w:rPr>
          <w:rFonts w:ascii="Arial" w:cs="Arial" w:eastAsia="Arial" w:hAnsi="Arial"/>
          <w:sz w:val="14"/>
          <w:szCs w:val="14"/>
          <w:color w:val="auto"/>
        </w:rPr>
        <w:t>In conjunction with the closing of the Company’s IPO, New Fortress Energy Holdings contributed all of its interests in consolidated subsidiaries that comprised substantially all of its historical operations to NFI in exchange for NFI LLC Units. NFE has elected to be taxed as a corporation and is subject to U.S. federal and state income taxes.</w:t>
      </w:r>
    </w:p>
    <w:p>
      <w:pPr>
        <w:spacing w:after="0" w:line="130" w:lineRule="exact"/>
        <w:rPr>
          <w:sz w:val="20"/>
          <w:szCs w:val="20"/>
          <w:color w:val="auto"/>
        </w:rPr>
      </w:pPr>
    </w:p>
    <w:p>
      <w:pPr>
        <w:ind w:left="284" w:right="140"/>
        <w:spacing w:after="0" w:line="257" w:lineRule="auto"/>
        <w:rPr>
          <w:sz w:val="20"/>
          <w:szCs w:val="20"/>
          <w:color w:val="auto"/>
        </w:rPr>
      </w:pPr>
      <w:r>
        <w:rPr>
          <w:rFonts w:ascii="Arial" w:cs="Arial" w:eastAsia="Arial" w:hAnsi="Arial"/>
          <w:sz w:val="16"/>
          <w:szCs w:val="16"/>
          <w:color w:val="auto"/>
        </w:rPr>
        <w:t>The Company accounts for income taxes in accordance with ASC 740,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(“ASC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condensed consolidated balance sheets as deferred tax assets and liabilities. Deferred tax assets are reduced by a valuation allowance when the Company believes that it is more-likely-than-not that some portion or all of the deferred tax assets will not be realized.</w:t>
      </w:r>
    </w:p>
    <w:p>
      <w:pPr>
        <w:spacing w:after="0" w:line="192" w:lineRule="exact"/>
        <w:rPr>
          <w:sz w:val="20"/>
          <w:szCs w:val="20"/>
          <w:color w:val="auto"/>
        </w:rPr>
      </w:pPr>
    </w:p>
    <w:p>
      <w:pPr>
        <w:ind w:left="284" w:right="40"/>
        <w:spacing w:after="0" w:line="256" w:lineRule="auto"/>
        <w:rPr>
          <w:sz w:val="20"/>
          <w:szCs w:val="20"/>
          <w:color w:val="auto"/>
        </w:rPr>
      </w:pPr>
      <w:r>
        <w:rPr>
          <w:rFonts w:ascii="Arial" w:cs="Arial" w:eastAsia="Arial" w:hAnsi="Arial"/>
          <w:sz w:val="16"/>
          <w:szCs w:val="16"/>
          <w:color w:val="auto"/>
        </w:rPr>
        <w:t>ASC 740 prescribes a two-step approach for the recognition and measurement of tax benefits associated with the positions taken or expected to be taken in a tax return that affect amounts reported in the financial statements. The Company has reviewed and will continue to review the conclusions reached regarding uncertain tax positions, which may be subject to review and adjustment at a later date based on ongoing analyses of tax laws, regulations and interpretations thereof. To the extent that the Company’s assessment of the conclusions reached regarding uncertain tax positions changes as a result of the evaluation of new information, such change in estimate will be recorded in the period in which such determination is made. The Company reports income tax-related interest and penalties relating to uncertain tax positions, if applicable, as a component of income tax expense.</w:t>
      </w:r>
    </w:p>
    <w:p>
      <w:pPr>
        <w:spacing w:after="0" w:line="192" w:lineRule="exact"/>
        <w:rPr>
          <w:sz w:val="20"/>
          <w:szCs w:val="20"/>
          <w:color w:val="auto"/>
        </w:rPr>
      </w:pPr>
    </w:p>
    <w:p>
      <w:pPr>
        <w:ind w:left="584" w:hanging="584"/>
        <w:spacing w:after="0"/>
        <w:tabs>
          <w:tab w:leader="none" w:pos="584"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loss per share</w:t>
      </w:r>
    </w:p>
    <w:p>
      <w:pPr>
        <w:spacing w:after="0" w:line="224" w:lineRule="exact"/>
        <w:rPr>
          <w:sz w:val="20"/>
          <w:szCs w:val="20"/>
          <w:color w:val="auto"/>
        </w:rPr>
      </w:pPr>
    </w:p>
    <w:p>
      <w:pPr>
        <w:ind w:left="284" w:right="180"/>
        <w:spacing w:after="0" w:line="277" w:lineRule="auto"/>
        <w:rPr>
          <w:sz w:val="20"/>
          <w:szCs w:val="20"/>
          <w:color w:val="auto"/>
        </w:rPr>
      </w:pPr>
      <w:r>
        <w:rPr>
          <w:rFonts w:ascii="Arial" w:cs="Arial" w:eastAsia="Arial" w:hAnsi="Arial"/>
          <w:sz w:val="16"/>
          <w:szCs w:val="16"/>
          <w:color w:val="auto"/>
        </w:rPr>
        <w:t>Basic EPS is computed by dividing net loss attributable to Class A shares by the weighted average number of Class A shares outstanding during the period. Class B shares represent non-economic interests in the Company and, as such, earnings are not allocated to Class B shares.</w:t>
      </w:r>
    </w:p>
    <w:p>
      <w:pPr>
        <w:spacing w:after="0" w:line="341" w:lineRule="exact"/>
        <w:rPr>
          <w:sz w:val="20"/>
          <w:szCs w:val="20"/>
          <w:color w:val="auto"/>
        </w:rPr>
      </w:pPr>
    </w:p>
    <w:p>
      <w:pPr>
        <w:jc w:val="center"/>
        <w:ind w:right="-43"/>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4"/>
          </w:cols>
          <w:pgMar w:left="236" w:top="124" w:right="259" w:bottom="1440" w:gutter="0" w:footer="0" w:header="0"/>
        </w:sectPr>
      </w:pPr>
    </w:p>
    <w:bookmarkStart w:id="12" w:name="page13"/>
    <w:bookmarkEnd w:id="12"/>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284"/>
        <w:spacing w:after="0" w:line="259" w:lineRule="auto"/>
        <w:rPr>
          <w:sz w:val="20"/>
          <w:szCs w:val="20"/>
          <w:color w:val="auto"/>
        </w:rPr>
      </w:pPr>
      <w:r>
        <w:rPr>
          <w:rFonts w:ascii="Arial" w:cs="Arial" w:eastAsia="Arial" w:hAnsi="Arial"/>
          <w:sz w:val="16"/>
          <w:szCs w:val="16"/>
          <w:color w:val="auto"/>
        </w:rPr>
        <w:t>Diluted EPS reflects potential dilution and is computed by dividing net loss attributable to Class A shares by the weighted average number of Class A shares outstanding during the period increased by the number of additional Class A shares that would have been outstanding, including NFI LLC Units convertible into Class A shares and unvested RSUs. The dilutive effect of outstanding awards, if any, is reflected in diluted earnings per share by application of the treasury stock method or if-converted method, as applicable. Refer to “Note 19. Earnings Per Share” for additional information related to earnings per share.</w:t>
      </w:r>
    </w:p>
    <w:p>
      <w:pPr>
        <w:spacing w:after="0" w:line="191" w:lineRule="exact"/>
        <w:rPr>
          <w:sz w:val="20"/>
          <w:szCs w:val="20"/>
          <w:color w:val="auto"/>
        </w:rPr>
      </w:pPr>
    </w:p>
    <w:p>
      <w:pPr>
        <w:ind w:left="4" w:right="540"/>
        <w:spacing w:after="0" w:line="277" w:lineRule="auto"/>
        <w:rPr>
          <w:sz w:val="20"/>
          <w:szCs w:val="20"/>
          <w:color w:val="auto"/>
        </w:rPr>
      </w:pPr>
      <w:r>
        <w:rPr>
          <w:rFonts w:ascii="Arial" w:cs="Arial" w:eastAsia="Arial" w:hAnsi="Arial"/>
          <w:sz w:val="16"/>
          <w:szCs w:val="16"/>
          <w:color w:val="auto"/>
        </w:rPr>
        <w:t>Please refer to "Note 2. Significant Accounting Policies," to our consolidated financial statements from our Annual Report for the discussion of our significant accounting policies.</w:t>
      </w:r>
    </w:p>
    <w:p>
      <w:pPr>
        <w:spacing w:after="0" w:line="172" w:lineRule="exact"/>
        <w:rPr>
          <w:sz w:val="20"/>
          <w:szCs w:val="20"/>
          <w:color w:val="auto"/>
        </w:rPr>
      </w:pPr>
    </w:p>
    <w:p>
      <w:pPr>
        <w:ind w:left="584" w:hanging="584"/>
        <w:spacing w:after="0"/>
        <w:tabs>
          <w:tab w:leader="none" w:pos="584"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Adoption of new and revised standards</w:t>
      </w:r>
    </w:p>
    <w:p>
      <w:pPr>
        <w:spacing w:after="0" w:line="228" w:lineRule="exact"/>
        <w:rPr>
          <w:sz w:val="20"/>
          <w:szCs w:val="20"/>
          <w:color w:val="auto"/>
        </w:rPr>
      </w:pPr>
    </w:p>
    <w:p>
      <w:pPr>
        <w:ind w:left="4" w:right="80"/>
        <w:spacing w:after="0" w:line="264" w:lineRule="auto"/>
        <w:rPr>
          <w:sz w:val="20"/>
          <w:szCs w:val="20"/>
          <w:color w:val="auto"/>
        </w:rPr>
      </w:pPr>
      <w:r>
        <w:rPr>
          <w:rFonts w:ascii="Arial" w:cs="Arial" w:eastAsia="Arial" w:hAnsi="Arial"/>
          <w:sz w:val="16"/>
          <w:szCs w:val="16"/>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86" w:lineRule="exact"/>
        <w:rPr>
          <w:sz w:val="20"/>
          <w:szCs w:val="20"/>
          <w:color w:val="auto"/>
        </w:rPr>
      </w:pPr>
    </w:p>
    <w:p>
      <w:pPr>
        <w:ind w:left="584" w:hanging="584"/>
        <w:spacing w:after="0"/>
        <w:tabs>
          <w:tab w:leader="none" w:pos="584"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New standards, amendments and interpretations issued but not effective for the financial year beginning January 1, 2019:</w:t>
      </w:r>
    </w:p>
    <w:p>
      <w:pPr>
        <w:spacing w:after="0" w:line="224" w:lineRule="exact"/>
        <w:rPr>
          <w:sz w:val="20"/>
          <w:szCs w:val="20"/>
          <w:color w:val="auto"/>
        </w:rPr>
      </w:pPr>
    </w:p>
    <w:p>
      <w:pPr>
        <w:ind w:left="284" w:right="100"/>
        <w:spacing w:after="0" w:line="257"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ASU 2016-02 amends the existing accounting standards for lease accounting, including requiring lessees to recognize most leases on their balance sheets and making targeted changes to lessor accounting. ASU 2016-02 will be effective for annual reporting periods beginning after December 15, 2019, and interim periods beginning after December 15, 2020, with early adoption permitted. The Company will adopt this guidance for the year beginning January 1, 2020 and is currently evaluating the impact of adopting this new guidance on its consolidated financial statements.</w:t>
      </w:r>
    </w:p>
    <w:p>
      <w:pPr>
        <w:spacing w:after="0" w:line="192" w:lineRule="exact"/>
        <w:rPr>
          <w:sz w:val="20"/>
          <w:szCs w:val="20"/>
          <w:color w:val="auto"/>
        </w:rPr>
      </w:pPr>
    </w:p>
    <w:p>
      <w:pPr>
        <w:ind w:left="284" w:right="140"/>
        <w:spacing w:after="0" w:line="319" w:lineRule="auto"/>
        <w:rPr>
          <w:sz w:val="20"/>
          <w:szCs w:val="20"/>
          <w:color w:val="auto"/>
        </w:rPr>
      </w:pPr>
      <w:r>
        <w:rPr>
          <w:rFonts w:ascii="Arial" w:cs="Arial" w:eastAsia="Arial" w:hAnsi="Arial"/>
          <w:sz w:val="14"/>
          <w:szCs w:val="14"/>
          <w:color w:val="auto"/>
        </w:rPr>
        <w:t xml:space="preserve">In August 2018, the FASB issued ASU 2018-13, </w:t>
      </w:r>
      <w:r>
        <w:rPr>
          <w:rFonts w:ascii="Arial" w:cs="Arial" w:eastAsia="Arial" w:hAnsi="Arial"/>
          <w:sz w:val="14"/>
          <w:szCs w:val="14"/>
          <w:i w:val="1"/>
          <w:iCs w:val="1"/>
          <w:color w:val="auto"/>
        </w:rPr>
        <w:t>Fair Value Measurement (Topic 820): Disclosure Framework – Changes to the Disclosure Requirements for Fair Value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Measurement </w:t>
      </w:r>
      <w:r>
        <w:rPr>
          <w:rFonts w:ascii="Arial" w:cs="Arial" w:eastAsia="Arial" w:hAnsi="Arial"/>
          <w:sz w:val="14"/>
          <w:szCs w:val="14"/>
          <w:color w:val="auto"/>
        </w:rPr>
        <w:t>(“ASU 2018-13”), which provides additional guidance to improve the effectiveness of disclosure requirements on fair value measurement. The Company will</w:t>
      </w:r>
      <w:r>
        <w:rPr>
          <w:rFonts w:ascii="Arial" w:cs="Arial" w:eastAsia="Arial" w:hAnsi="Arial"/>
          <w:sz w:val="14"/>
          <w:szCs w:val="14"/>
          <w:i w:val="1"/>
          <w:iCs w:val="1"/>
          <w:color w:val="auto"/>
        </w:rPr>
        <w:t xml:space="preserve"> </w:t>
      </w:r>
      <w:r>
        <w:rPr>
          <w:rFonts w:ascii="Arial" w:cs="Arial" w:eastAsia="Arial" w:hAnsi="Arial"/>
          <w:sz w:val="14"/>
          <w:szCs w:val="14"/>
          <w:color w:val="auto"/>
        </w:rPr>
        <w:t>adopt ASU 2018-13 for the year beginning January 1, 2020 and is currently evaluating the impact of adopting this new guidance on its consolidated financial statements.</w:t>
      </w:r>
    </w:p>
    <w:p>
      <w:pPr>
        <w:spacing w:after="0" w:line="151" w:lineRule="exact"/>
        <w:rPr>
          <w:sz w:val="20"/>
          <w:szCs w:val="20"/>
          <w:color w:val="auto"/>
        </w:rPr>
      </w:pPr>
    </w:p>
    <w:p>
      <w:pPr>
        <w:ind w:left="584" w:hanging="584"/>
        <w:spacing w:after="0"/>
        <w:tabs>
          <w:tab w:leader="none" w:pos="584"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New and amended standards adopted by the Company:</w:t>
      </w:r>
    </w:p>
    <w:p>
      <w:pPr>
        <w:spacing w:after="0" w:line="224" w:lineRule="exact"/>
        <w:rPr>
          <w:sz w:val="20"/>
          <w:szCs w:val="20"/>
          <w:color w:val="auto"/>
        </w:rPr>
      </w:pPr>
    </w:p>
    <w:p>
      <w:pPr>
        <w:ind w:left="284" w:right="40"/>
        <w:spacing w:after="0" w:line="272" w:lineRule="auto"/>
        <w:rPr>
          <w:sz w:val="20"/>
          <w:szCs w:val="20"/>
          <w:color w:val="auto"/>
        </w:rPr>
      </w:pPr>
      <w:r>
        <w:rPr>
          <w:rFonts w:ascii="Arial" w:cs="Arial" w:eastAsia="Arial" w:hAnsi="Arial"/>
          <w:sz w:val="15"/>
          <w:szCs w:val="15"/>
          <w:color w:val="auto"/>
        </w:rPr>
        <w:t xml:space="preserve">In May 2014, the FASB issued ASU No.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(Topic 606) (“ASC 606”)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consideration to recognize over each identified performance obligation. In August 2015, the FASB issued ASU 2015-14, </w:t>
      </w:r>
      <w:r>
        <w:rPr>
          <w:rFonts w:ascii="Arial" w:cs="Arial" w:eastAsia="Arial" w:hAnsi="Arial"/>
          <w:sz w:val="15"/>
          <w:szCs w:val="15"/>
          <w:i w:val="1"/>
          <w:iCs w:val="1"/>
          <w:color w:val="auto"/>
        </w:rPr>
        <w:t>Revenue from Contracts with Customers (Topic 606): Deferral of the</w:t>
      </w:r>
      <w:r>
        <w:rPr>
          <w:rFonts w:ascii="Arial" w:cs="Arial" w:eastAsia="Arial" w:hAnsi="Arial"/>
          <w:sz w:val="15"/>
          <w:szCs w:val="15"/>
          <w:color w:val="auto"/>
        </w:rPr>
        <w:t xml:space="preserve"> </w:t>
      </w:r>
      <w:r>
        <w:rPr>
          <w:rFonts w:ascii="Arial" w:cs="Arial" w:eastAsia="Arial" w:hAnsi="Arial"/>
          <w:sz w:val="15"/>
          <w:szCs w:val="15"/>
          <w:i w:val="1"/>
          <w:iCs w:val="1"/>
          <w:color w:val="auto"/>
        </w:rPr>
        <w:t>Effective Date</w:t>
      </w:r>
      <w:r>
        <w:rPr>
          <w:rFonts w:ascii="Arial" w:cs="Arial" w:eastAsia="Arial" w:hAnsi="Arial"/>
          <w:sz w:val="15"/>
          <w:szCs w:val="15"/>
          <w:color w:val="auto"/>
        </w:rPr>
        <w:t>, to defer the effective date of ASU 2014-09 by one year, making it effective for annual reporting periods beginning after December 15, 2018, and interim</w:t>
      </w:r>
      <w:r>
        <w:rPr>
          <w:rFonts w:ascii="Arial" w:cs="Arial" w:eastAsia="Arial" w:hAnsi="Arial"/>
          <w:sz w:val="15"/>
          <w:szCs w:val="15"/>
          <w:i w:val="1"/>
          <w:iCs w:val="1"/>
          <w:color w:val="auto"/>
        </w:rPr>
        <w:t xml:space="preserve"> </w:t>
      </w:r>
      <w:r>
        <w:rPr>
          <w:rFonts w:ascii="Arial" w:cs="Arial" w:eastAsia="Arial" w:hAnsi="Arial"/>
          <w:sz w:val="15"/>
          <w:szCs w:val="15"/>
          <w:color w:val="auto"/>
        </w:rPr>
        <w:t>periods within annual periods beginning after December 15, 2019, while also providing for early adoption but not before the original effective date. We adopted the new standard on January 1, 2019 using the modified retrospective method, which requires us to apply the new revenue standard to (i) all new revenue contracts entered into after January 1, 2019 and (ii) all existing revenue contracts as of January 1, 2019 through a cumulative adjustment to our retained earnings balance. The adoption of ASC 606 did not have any impact on our historical retained earnings.</w:t>
      </w:r>
    </w:p>
    <w:p>
      <w:pPr>
        <w:spacing w:after="0" w:line="183" w:lineRule="exact"/>
        <w:rPr>
          <w:sz w:val="20"/>
          <w:szCs w:val="20"/>
          <w:color w:val="auto"/>
        </w:rPr>
      </w:pPr>
    </w:p>
    <w:p>
      <w:pPr>
        <w:ind w:left="284" w:right="20"/>
        <w:spacing w:after="0" w:line="274" w:lineRule="auto"/>
        <w:rPr>
          <w:sz w:val="20"/>
          <w:szCs w:val="20"/>
          <w:color w:val="auto"/>
        </w:rPr>
      </w:pPr>
      <w:r>
        <w:rPr>
          <w:rFonts w:ascii="Arial" w:cs="Arial" w:eastAsia="Arial" w:hAnsi="Arial"/>
          <w:sz w:val="15"/>
          <w:szCs w:val="15"/>
          <w:color w:val="auto"/>
        </w:rPr>
        <w:t xml:space="preserve">In January 2016, the FASB issued ASU 2016-01, </w:t>
      </w:r>
      <w:r>
        <w:rPr>
          <w:rFonts w:ascii="Arial" w:cs="Arial" w:eastAsia="Arial" w:hAnsi="Arial"/>
          <w:sz w:val="15"/>
          <w:szCs w:val="15"/>
          <w:i w:val="1"/>
          <w:iCs w:val="1"/>
          <w:color w:val="auto"/>
        </w:rPr>
        <w:t>Financial Instruments – Overall</w:t>
      </w:r>
      <w:r>
        <w:rPr>
          <w:rFonts w:ascii="Arial" w:cs="Arial" w:eastAsia="Arial" w:hAnsi="Arial"/>
          <w:sz w:val="15"/>
          <w:szCs w:val="15"/>
          <w:color w:val="auto"/>
        </w:rPr>
        <w:t xml:space="preserve"> (Subtopic 825-10): </w:t>
      </w:r>
      <w:r>
        <w:rPr>
          <w:rFonts w:ascii="Arial" w:cs="Arial" w:eastAsia="Arial" w:hAnsi="Arial"/>
          <w:sz w:val="15"/>
          <w:szCs w:val="15"/>
          <w:i w:val="1"/>
          <w:iCs w:val="1"/>
          <w:color w:val="auto"/>
        </w:rPr>
        <w:t>Recognition and Measurement of Financial Assets and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Liabilities </w:t>
      </w:r>
      <w:r>
        <w:rPr>
          <w:rFonts w:ascii="Arial" w:cs="Arial" w:eastAsia="Arial" w:hAnsi="Arial"/>
          <w:sz w:val="15"/>
          <w:szCs w:val="15"/>
          <w:color w:val="auto"/>
        </w:rPr>
        <w:t>(“ASU 2016-01”), which makes targeted improvements to the accounting for, and presentation and disclosure of, financial instruments. ASU 2016-01 requires that</w:t>
      </w:r>
      <w:r>
        <w:rPr>
          <w:rFonts w:ascii="Arial" w:cs="Arial" w:eastAsia="Arial" w:hAnsi="Arial"/>
          <w:sz w:val="15"/>
          <w:szCs w:val="15"/>
          <w:i w:val="1"/>
          <w:iCs w:val="1"/>
          <w:color w:val="auto"/>
        </w:rPr>
        <w:t xml:space="preserve"> </w:t>
      </w:r>
      <w:r>
        <w:rPr>
          <w:rFonts w:ascii="Arial" w:cs="Arial" w:eastAsia="Arial" w:hAnsi="Arial"/>
          <w:sz w:val="15"/>
          <w:szCs w:val="15"/>
          <w:color w:val="auto"/>
        </w:rPr>
        <w:t>most equity investments be measured at fair value, with subsequent changes in fair value recognized in net income. ASU 2016-01 does not affect the accounting for investments that would otherwise be consolidated or accounted for under the equity method. The new standard also impacts financial liabilities under the fair value option and the presentation and disclosure requirements for financial instruments. Most of the provisions of ASU 2016-01 are effective for the Company for annual periods in fiscal years beginning after December 15, 2018. The Company has adopted this guidance for the year beginning January 1, 2019 by recognizing an immaterial adjustment to beginning retained earnings for our net unrealized gains/losses on equity investments with readily determinable fair values.</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4" w:right="219" w:bottom="1440" w:gutter="0" w:footer="0" w:header="0"/>
        </w:sectPr>
      </w:pPr>
    </w:p>
    <w:bookmarkStart w:id="13" w:name="page14"/>
    <w:bookmarkEnd w:id="13"/>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284" w:right="320"/>
        <w:spacing w:after="0" w:line="289" w:lineRule="auto"/>
        <w:rPr>
          <w:sz w:val="20"/>
          <w:szCs w:val="20"/>
          <w:color w:val="auto"/>
        </w:rPr>
      </w:pPr>
      <w:r>
        <w:rPr>
          <w:rFonts w:ascii="Arial" w:cs="Arial" w:eastAsia="Arial" w:hAnsi="Arial"/>
          <w:sz w:val="15"/>
          <w:szCs w:val="15"/>
          <w:color w:val="auto"/>
        </w:rPr>
        <w:t xml:space="preserve">In August 2016, the FASB issued ASU 2016-15, </w:t>
      </w:r>
      <w:r>
        <w:rPr>
          <w:rFonts w:ascii="Arial" w:cs="Arial" w:eastAsia="Arial" w:hAnsi="Arial"/>
          <w:sz w:val="15"/>
          <w:szCs w:val="15"/>
          <w:i w:val="1"/>
          <w:iCs w:val="1"/>
          <w:color w:val="auto"/>
        </w:rPr>
        <w:t>Statement of Cash Flows</w:t>
      </w:r>
      <w:r>
        <w:rPr>
          <w:rFonts w:ascii="Arial" w:cs="Arial" w:eastAsia="Arial" w:hAnsi="Arial"/>
          <w:sz w:val="15"/>
          <w:szCs w:val="15"/>
          <w:color w:val="auto"/>
        </w:rPr>
        <w:t xml:space="preserve"> (Topic 230): </w:t>
      </w:r>
      <w:r>
        <w:rPr>
          <w:rFonts w:ascii="Arial" w:cs="Arial" w:eastAsia="Arial" w:hAnsi="Arial"/>
          <w:sz w:val="15"/>
          <w:szCs w:val="15"/>
          <w:i w:val="1"/>
          <w:iCs w:val="1"/>
          <w:color w:val="auto"/>
        </w:rPr>
        <w:t>Classification of Certain Cash Receipts and Cash Payments</w:t>
      </w:r>
      <w:r>
        <w:rPr>
          <w:rFonts w:ascii="Arial" w:cs="Arial" w:eastAsia="Arial" w:hAnsi="Arial"/>
          <w:sz w:val="15"/>
          <w:szCs w:val="15"/>
          <w:color w:val="auto"/>
        </w:rPr>
        <w:t>, which provides guidance on eight specific cash flow issues with an intention to reduce the existing diversity in practice. The Company has adopted this guidance for the year beginning January 1, 2019, and its adoption did not have a material impact on the Company’s condensed consolidated financial statements.</w:t>
      </w:r>
    </w:p>
    <w:p>
      <w:pPr>
        <w:spacing w:after="0" w:line="170" w:lineRule="exact"/>
        <w:rPr>
          <w:sz w:val="20"/>
          <w:szCs w:val="20"/>
          <w:color w:val="auto"/>
        </w:rPr>
      </w:pPr>
    </w:p>
    <w:p>
      <w:pPr>
        <w:ind w:left="284"/>
        <w:spacing w:after="0" w:line="299" w:lineRule="auto"/>
        <w:rPr>
          <w:sz w:val="20"/>
          <w:szCs w:val="20"/>
          <w:color w:val="auto"/>
        </w:rPr>
      </w:pPr>
      <w:r>
        <w:rPr>
          <w:rFonts w:ascii="Arial" w:cs="Arial" w:eastAsia="Arial" w:hAnsi="Arial"/>
          <w:sz w:val="14"/>
          <w:szCs w:val="14"/>
          <w:color w:val="auto"/>
        </w:rPr>
        <w:t xml:space="preserve">In November 2016, the FASB issued ASU 2016-18, </w:t>
      </w:r>
      <w:r>
        <w:rPr>
          <w:rFonts w:ascii="Arial" w:cs="Arial" w:eastAsia="Arial" w:hAnsi="Arial"/>
          <w:sz w:val="14"/>
          <w:szCs w:val="14"/>
          <w:i w:val="1"/>
          <w:iCs w:val="1"/>
          <w:color w:val="auto"/>
        </w:rPr>
        <w:t>Statement of Cash Flows</w:t>
      </w:r>
      <w:r>
        <w:rPr>
          <w:rFonts w:ascii="Arial" w:cs="Arial" w:eastAsia="Arial" w:hAnsi="Arial"/>
          <w:sz w:val="14"/>
          <w:szCs w:val="14"/>
          <w:color w:val="auto"/>
        </w:rPr>
        <w:t xml:space="preserve"> (Topic 230): </w:t>
      </w:r>
      <w:r>
        <w:rPr>
          <w:rFonts w:ascii="Arial" w:cs="Arial" w:eastAsia="Arial" w:hAnsi="Arial"/>
          <w:sz w:val="14"/>
          <w:szCs w:val="14"/>
          <w:i w:val="1"/>
          <w:iCs w:val="1"/>
          <w:color w:val="auto"/>
        </w:rPr>
        <w:t>Restricted Cash</w:t>
      </w:r>
      <w:r>
        <w:rPr>
          <w:rFonts w:ascii="Arial" w:cs="Arial" w:eastAsia="Arial" w:hAnsi="Arial"/>
          <w:sz w:val="14"/>
          <w:szCs w:val="14"/>
          <w:color w:val="auto"/>
        </w:rPr>
        <w:t>, which requires that statements of cash flows explain the change during the period in the total of cash, cash equivalents, and amounts generally described as restricted cash and restricted cash equivalents. This is intended to limit the treatment of restricted cash in the statement of cash flows as the FASB acknowledged there is currently diversity in practice regarding the presentation of restricted cash within the statement of cash flows. The adoption of this standard resulted in the Company no longer showing the changes in restricted cash balances as a component of cash flows from investing or financing activities but instead including the balances of both current and long-term restricted cash with cash and cash equivalents in total cash, cash equivalents and restricted cash for the beginning and end of the periods presented. The Company has adopted this guidance for the year beginning January 1, 2019.</w:t>
      </w:r>
    </w:p>
    <w:p>
      <w:pPr>
        <w:spacing w:after="0" w:line="166" w:lineRule="exact"/>
        <w:rPr>
          <w:sz w:val="20"/>
          <w:szCs w:val="20"/>
          <w:color w:val="auto"/>
        </w:rPr>
      </w:pPr>
    </w:p>
    <w:p>
      <w:pPr>
        <w:ind w:left="284" w:right="20"/>
        <w:spacing w:after="0" w:line="302" w:lineRule="auto"/>
        <w:rPr>
          <w:sz w:val="20"/>
          <w:szCs w:val="20"/>
          <w:color w:val="auto"/>
        </w:rPr>
      </w:pPr>
      <w:r>
        <w:rPr>
          <w:rFonts w:ascii="Arial" w:cs="Arial" w:eastAsia="Arial" w:hAnsi="Arial"/>
          <w:sz w:val="14"/>
          <w:szCs w:val="14"/>
          <w:color w:val="auto"/>
        </w:rPr>
        <w:t xml:space="preserve">In February 2018, the FASB issued ASU 2018-02, </w:t>
      </w:r>
      <w:r>
        <w:rPr>
          <w:rFonts w:ascii="Arial" w:cs="Arial" w:eastAsia="Arial" w:hAnsi="Arial"/>
          <w:sz w:val="14"/>
          <w:szCs w:val="14"/>
          <w:i w:val="1"/>
          <w:iCs w:val="1"/>
          <w:color w:val="auto"/>
        </w:rPr>
        <w:t>Income Statement: Reporting Comprehensive Income</w:t>
      </w:r>
      <w:r>
        <w:rPr>
          <w:rFonts w:ascii="Arial" w:cs="Arial" w:eastAsia="Arial" w:hAnsi="Arial"/>
          <w:sz w:val="14"/>
          <w:szCs w:val="14"/>
          <w:color w:val="auto"/>
        </w:rPr>
        <w:t xml:space="preserve"> (Topic 220) which allows a reclassification from accumulated other comprehensive income (loss) to retained earnings for tax effects resulting from the comprehensive tax legislation enacted by the U.S. government commonly referred to as the Tax Cuts and Jobs Act. The standard is effective for fiscal years beginning after December 15, 2018, including interim periods within those fiscal years. The Company has adopted this guidance for the year beginning January 1, 2019. The Company had no tax impacts recorded in accumulated other comprehensive income (loss) prior to adoption of the standard, and therefore adoption of the standard had no impact on the Company’s condensed consolidated financial statements.</w:t>
      </w:r>
    </w:p>
    <w:p>
      <w:pPr>
        <w:spacing w:after="0" w:line="164" w:lineRule="exact"/>
        <w:rPr>
          <w:sz w:val="20"/>
          <w:szCs w:val="20"/>
          <w:color w:val="auto"/>
        </w:rPr>
      </w:pPr>
    </w:p>
    <w:p>
      <w:pPr>
        <w:ind w:left="284" w:right="140"/>
        <w:spacing w:after="0" w:line="308" w:lineRule="auto"/>
        <w:rPr>
          <w:sz w:val="20"/>
          <w:szCs w:val="20"/>
          <w:color w:val="auto"/>
        </w:rPr>
      </w:pPr>
      <w:r>
        <w:rPr>
          <w:rFonts w:ascii="Arial" w:cs="Arial" w:eastAsia="Arial" w:hAnsi="Arial"/>
          <w:sz w:val="14"/>
          <w:szCs w:val="14"/>
          <w:color w:val="auto"/>
        </w:rPr>
        <w:t xml:space="preserve">In September 2018, the FASB issued ASU 2018-07, </w:t>
      </w:r>
      <w:r>
        <w:rPr>
          <w:rFonts w:ascii="Arial" w:cs="Arial" w:eastAsia="Arial" w:hAnsi="Arial"/>
          <w:sz w:val="14"/>
          <w:szCs w:val="14"/>
          <w:i w:val="1"/>
          <w:iCs w:val="1"/>
          <w:color w:val="auto"/>
        </w:rPr>
        <w:t>Compensation - Stock Compensation Improvements to Non-employee Share-Based Payment Accounting</w:t>
      </w:r>
      <w:r>
        <w:rPr>
          <w:rFonts w:ascii="Arial" w:cs="Arial" w:eastAsia="Arial" w:hAnsi="Arial"/>
          <w:sz w:val="14"/>
          <w:szCs w:val="14"/>
          <w:color w:val="auto"/>
        </w:rPr>
        <w:t xml:space="preserve"> (“ASU 2018-07”), which simplifies the accounting for share-based payments granted to non-employees for goods and services. Under ASU 2018-07, most of the guidance on such payments to non-employees will be aligned with the requirements for share-based payments granted to employees. The Company has early adopted ASU 2018-07 upon inception of the Incentive Plan, and its adoption did not have a material impact on the Company’s condensed consolidated financial statements.</w:t>
      </w:r>
    </w:p>
    <w:p>
      <w:pPr>
        <w:spacing w:after="0" w:line="155" w:lineRule="exact"/>
        <w:rPr>
          <w:sz w:val="20"/>
          <w:szCs w:val="20"/>
          <w:color w:val="auto"/>
        </w:rPr>
      </w:pPr>
    </w:p>
    <w:p>
      <w:pPr>
        <w:ind w:left="584" w:hanging="584"/>
        <w:spacing w:after="0"/>
        <w:tabs>
          <w:tab w:leader="none" w:pos="584"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Revenue from contracts with customers</w:t>
      </w:r>
    </w:p>
    <w:p>
      <w:pPr>
        <w:spacing w:after="0" w:line="228" w:lineRule="exact"/>
        <w:rPr>
          <w:sz w:val="20"/>
          <w:szCs w:val="20"/>
          <w:color w:val="auto"/>
        </w:rPr>
      </w:pPr>
    </w:p>
    <w:p>
      <w:pPr>
        <w:ind w:left="284" w:right="40"/>
        <w:spacing w:after="0" w:line="259" w:lineRule="auto"/>
        <w:rPr>
          <w:sz w:val="20"/>
          <w:szCs w:val="20"/>
          <w:color w:val="auto"/>
        </w:rPr>
      </w:pPr>
      <w:r>
        <w:rPr>
          <w:rFonts w:ascii="Arial" w:cs="Arial" w:eastAsia="Arial" w:hAnsi="Arial"/>
          <w:sz w:val="16"/>
          <w:szCs w:val="16"/>
          <w:color w:val="auto"/>
        </w:rPr>
        <w:t>Revenue recognized in the Company’s condensed consolidated statements of operations and comprehensive loss for the three months ended March 31, 2019 and any associated balances on the condensed consolidated balance sheet as of March 31, 2019 prepared under ASC 606 did not differ materially from what would have been presented under the previous revenue standard. As such, no comparison for the results of operations for the three months ended March 31, 2019 and the financial position as of March 31, 2019 under ASC 606 and ASC 605 has been presented.</w:t>
      </w:r>
    </w:p>
    <w:p>
      <w:pPr>
        <w:spacing w:after="0" w:line="167" w:lineRule="exact"/>
        <w:rPr>
          <w:sz w:val="20"/>
          <w:szCs w:val="20"/>
          <w:color w:val="auto"/>
        </w:rPr>
      </w:pPr>
    </w:p>
    <w:p>
      <w:pPr>
        <w:ind w:left="284" w:right="340"/>
        <w:spacing w:after="0" w:line="259" w:lineRule="auto"/>
        <w:rPr>
          <w:sz w:val="20"/>
          <w:szCs w:val="20"/>
          <w:color w:val="auto"/>
        </w:rPr>
      </w:pPr>
      <w:r>
        <w:rPr>
          <w:rFonts w:ascii="Arial" w:cs="Arial" w:eastAsia="Arial" w:hAnsi="Arial"/>
          <w:sz w:val="16"/>
          <w:szCs w:val="16"/>
          <w:color w:val="auto"/>
        </w:rPr>
        <w:t>Under the customer contracts, invoicing occurs once the Company’s performance obligations have been satisfied, at which point payment is unconditional. Receivables related to revenue from contracts with customers totaled $18,862 as of March 31, 2019 and were included in “Receivables, net” on the condensed consolidated balance sheets, net of the allowance for doubtful accounts. Other items included in Receivables, net not related to revenue from contracts with customers represent receivables associated with leases which are accounted for outside the scope of ASC 606.</w:t>
      </w:r>
    </w:p>
    <w:p>
      <w:pPr>
        <w:spacing w:after="0" w:line="191" w:lineRule="exact"/>
        <w:rPr>
          <w:sz w:val="20"/>
          <w:szCs w:val="20"/>
          <w:color w:val="auto"/>
        </w:rPr>
      </w:pPr>
    </w:p>
    <w:p>
      <w:pPr>
        <w:ind w:left="284"/>
        <w:spacing w:after="0"/>
        <w:rPr>
          <w:sz w:val="20"/>
          <w:szCs w:val="20"/>
          <w:color w:val="auto"/>
        </w:rPr>
      </w:pPr>
      <w:r>
        <w:rPr>
          <w:rFonts w:ascii="Arial" w:cs="Arial" w:eastAsia="Arial" w:hAnsi="Arial"/>
          <w:sz w:val="16"/>
          <w:szCs w:val="16"/>
          <w:i w:val="1"/>
          <w:iCs w:val="1"/>
          <w:color w:val="auto"/>
        </w:rPr>
        <w:t>Transaction price allocated to remaining performance obligations</w:t>
      </w:r>
    </w:p>
    <w:p>
      <w:pPr>
        <w:spacing w:after="0" w:line="224" w:lineRule="exact"/>
        <w:rPr>
          <w:sz w:val="20"/>
          <w:szCs w:val="20"/>
          <w:color w:val="auto"/>
        </w:rPr>
      </w:pPr>
    </w:p>
    <w:p>
      <w:pPr>
        <w:ind w:left="284" w:right="20"/>
        <w:spacing w:after="0" w:line="277" w:lineRule="auto"/>
        <w:rPr>
          <w:sz w:val="20"/>
          <w:szCs w:val="20"/>
          <w:color w:val="auto"/>
        </w:rPr>
      </w:pPr>
      <w:r>
        <w:rPr>
          <w:rFonts w:ascii="Arial" w:cs="Arial" w:eastAsia="Arial" w:hAnsi="Arial"/>
          <w:sz w:val="16"/>
          <w:szCs w:val="16"/>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317" w:lineRule="exact"/>
        <w:rPr>
          <w:sz w:val="20"/>
          <w:szCs w:val="20"/>
          <w:color w:val="auto"/>
        </w:rPr>
      </w:pPr>
    </w:p>
    <w:p>
      <w:pPr>
        <w:jc w:val="center"/>
        <w:ind w:right="-83"/>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64"/>
          </w:cols>
          <w:pgMar w:left="236" w:top="124" w:right="299" w:bottom="1440" w:gutter="0" w:footer="0" w:header="0"/>
        </w:sectPr>
      </w:pPr>
    </w:p>
    <w:bookmarkStart w:id="14" w:name="page15"/>
    <w:bookmarkEnd w:id="14"/>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284" w:right="20"/>
        <w:spacing w:after="0" w:line="257" w:lineRule="auto"/>
        <w:rPr>
          <w:sz w:val="20"/>
          <w:szCs w:val="20"/>
          <w:color w:val="auto"/>
        </w:rPr>
      </w:pPr>
      <w:r>
        <w:rPr>
          <w:rFonts w:ascii="Arial" w:cs="Arial" w:eastAsia="Arial" w:hAnsi="Arial"/>
          <w:sz w:val="16"/>
          <w:szCs w:val="16"/>
          <w:color w:val="auto"/>
        </w:rPr>
        <w:t>The Company has arrangements in which LNG or natural gas is sold on a “take-or-pay” basis whereby the customer is obligated to pay for the minimum guaranteed volumes even if it does not take delivery of them. The price under these agreements is based on a market index plus a fixed margin. The fixed transaction price allocated to the remaining performance obligations under these arrangements is $2,552,669 as of March 31, 2019, representing the fixed margin multiplied by the outstanding minimum guaranteed volumes. The Company expects to recognize this revenue over the following time periods. The pattern of recognition reflects the minimum guaranteed volumes in each period:</w:t>
      </w:r>
    </w:p>
    <w:p>
      <w:pPr>
        <w:spacing w:after="0" w:line="164" w:lineRule="exact"/>
        <w:rPr>
          <w:sz w:val="20"/>
          <w:szCs w:val="20"/>
          <w:color w:val="auto"/>
        </w:rPr>
      </w:pPr>
    </w:p>
    <w:tbl>
      <w:tblPr>
        <w:tblLayout w:type="fixed"/>
        <w:tblInd w:w="284" w:type="dxa"/>
        <w:tblCellMar>
          <w:top w:w="0" w:type="dxa"/>
          <w:left w:w="0" w:type="dxa"/>
          <w:bottom w:w="0" w:type="dxa"/>
          <w:right w:w="0" w:type="dxa"/>
        </w:tblCellMar>
      </w:tblPr>
      <w:tr>
        <w:trPr>
          <w:trHeight w:val="213"/>
        </w:trPr>
        <w:tc>
          <w:tcPr>
            <w:tcW w:w="8700" w:type="dxa"/>
            <w:vAlign w:val="bottom"/>
          </w:tcPr>
          <w:p>
            <w:pPr>
              <w:spacing w:after="0"/>
              <w:rPr>
                <w:sz w:val="20"/>
                <w:szCs w:val="20"/>
                <w:color w:val="auto"/>
              </w:rPr>
            </w:pPr>
            <w:r>
              <w:rPr>
                <w:rFonts w:ascii="Arial" w:cs="Arial" w:eastAsia="Arial" w:hAnsi="Arial"/>
                <w:sz w:val="16"/>
                <w:szCs w:val="16"/>
                <w:b w:val="1"/>
                <w:bCs w:val="1"/>
                <w:color w:val="auto"/>
              </w:rPr>
              <w:t>Period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Revenue</w:t>
            </w:r>
          </w:p>
        </w:tc>
      </w:tr>
      <w:tr>
        <w:trPr>
          <w:trHeight w:val="192"/>
        </w:trPr>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Remainder 2019</w:t>
            </w: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68,334</w:t>
            </w:r>
          </w:p>
        </w:tc>
        <w:tc>
          <w:tcPr>
            <w:tcW w:w="120" w:type="dxa"/>
            <w:vAlign w:val="bottom"/>
            <w:shd w:val="clear" w:color="auto" w:fill="CCEEFF"/>
          </w:tcPr>
          <w:p>
            <w:pPr>
              <w:spacing w:after="0"/>
              <w:rPr>
                <w:sz w:val="16"/>
                <w:szCs w:val="16"/>
                <w:color w:val="auto"/>
              </w:rPr>
            </w:pPr>
          </w:p>
        </w:tc>
      </w:tr>
      <w:tr>
        <w:trPr>
          <w:trHeight w:val="192"/>
        </w:trPr>
        <w:tc>
          <w:tcPr>
            <w:tcW w:w="8700" w:type="dxa"/>
            <w:vAlign w:val="bottom"/>
          </w:tcPr>
          <w:p>
            <w:pPr>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135,323</w:t>
            </w:r>
          </w:p>
        </w:tc>
        <w:tc>
          <w:tcPr>
            <w:tcW w:w="120" w:type="dxa"/>
            <w:vAlign w:val="bottom"/>
          </w:tcPr>
          <w:p>
            <w:pPr>
              <w:spacing w:after="0"/>
              <w:rPr>
                <w:sz w:val="16"/>
                <w:szCs w:val="16"/>
                <w:color w:val="auto"/>
              </w:rPr>
            </w:pPr>
          </w:p>
        </w:tc>
      </w:tr>
      <w:tr>
        <w:trPr>
          <w:trHeight w:val="192"/>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134,358</w:t>
            </w:r>
          </w:p>
        </w:tc>
        <w:tc>
          <w:tcPr>
            <w:tcW w:w="120" w:type="dxa"/>
            <w:vAlign w:val="bottom"/>
            <w:shd w:val="clear" w:color="auto" w:fill="CCEEFF"/>
          </w:tcPr>
          <w:p>
            <w:pPr>
              <w:spacing w:after="0"/>
              <w:rPr>
                <w:sz w:val="16"/>
                <w:szCs w:val="16"/>
                <w:color w:val="auto"/>
              </w:rPr>
            </w:pPr>
          </w:p>
        </w:tc>
      </w:tr>
      <w:tr>
        <w:trPr>
          <w:trHeight w:val="192"/>
        </w:trPr>
        <w:tc>
          <w:tcPr>
            <w:tcW w:w="8700" w:type="dxa"/>
            <w:vAlign w:val="bottom"/>
          </w:tcPr>
          <w:p>
            <w:pPr>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134,358</w:t>
            </w:r>
          </w:p>
        </w:tc>
        <w:tc>
          <w:tcPr>
            <w:tcW w:w="120" w:type="dxa"/>
            <w:vAlign w:val="bottom"/>
          </w:tcPr>
          <w:p>
            <w:pPr>
              <w:spacing w:after="0"/>
              <w:rPr>
                <w:sz w:val="16"/>
                <w:szCs w:val="16"/>
                <w:color w:val="auto"/>
              </w:rPr>
            </w:pPr>
          </w:p>
        </w:tc>
      </w:tr>
      <w:tr>
        <w:trPr>
          <w:trHeight w:val="192"/>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134,359</w:t>
            </w:r>
          </w:p>
        </w:tc>
        <w:tc>
          <w:tcPr>
            <w:tcW w:w="120" w:type="dxa"/>
            <w:vAlign w:val="bottom"/>
            <w:shd w:val="clear" w:color="auto" w:fill="CCEEFF"/>
          </w:tcPr>
          <w:p>
            <w:pPr>
              <w:spacing w:after="0"/>
              <w:rPr>
                <w:sz w:val="16"/>
                <w:szCs w:val="16"/>
                <w:color w:val="auto"/>
              </w:rPr>
            </w:pPr>
          </w:p>
        </w:tc>
      </w:tr>
      <w:tr>
        <w:trPr>
          <w:trHeight w:val="196"/>
        </w:trPr>
        <w:tc>
          <w:tcPr>
            <w:tcW w:w="8700" w:type="dxa"/>
            <w:vAlign w:val="bottom"/>
          </w:tcPr>
          <w:p>
            <w:pPr>
              <w:spacing w:after="0"/>
              <w:rPr>
                <w:sz w:val="20"/>
                <w:szCs w:val="20"/>
                <w:color w:val="auto"/>
              </w:rPr>
            </w:pPr>
            <w:r>
              <w:rPr>
                <w:rFonts w:ascii="Arial" w:cs="Arial" w:eastAsia="Arial" w:hAnsi="Arial"/>
                <w:sz w:val="16"/>
                <w:szCs w:val="16"/>
                <w:color w:val="auto"/>
              </w:rPr>
              <w:t>Thereafter</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1,945,937</w:t>
            </w:r>
          </w:p>
        </w:tc>
        <w:tc>
          <w:tcPr>
            <w:tcW w:w="120" w:type="dxa"/>
            <w:vAlign w:val="bottom"/>
          </w:tcPr>
          <w:p>
            <w:pPr>
              <w:spacing w:after="0"/>
              <w:rPr>
                <w:sz w:val="17"/>
                <w:szCs w:val="17"/>
                <w:color w:val="auto"/>
              </w:rPr>
            </w:pPr>
          </w:p>
        </w:tc>
      </w:tr>
      <w:tr>
        <w:trPr>
          <w:trHeight w:val="232"/>
        </w:trPr>
        <w:tc>
          <w:tcPr>
            <w:tcW w:w="8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2,552,669</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80" w:lineRule="exact"/>
        <w:rPr>
          <w:sz w:val="20"/>
          <w:szCs w:val="20"/>
          <w:color w:val="auto"/>
        </w:rPr>
      </w:pPr>
    </w:p>
    <w:p>
      <w:pPr>
        <w:ind w:left="284"/>
        <w:spacing w:after="0" w:line="278" w:lineRule="auto"/>
        <w:rPr>
          <w:sz w:val="20"/>
          <w:szCs w:val="20"/>
          <w:color w:val="auto"/>
        </w:rPr>
      </w:pPr>
      <w:r>
        <w:rPr>
          <w:rFonts w:ascii="Arial" w:cs="Arial" w:eastAsia="Arial" w:hAnsi="Arial"/>
          <w:sz w:val="15"/>
          <w:szCs w:val="15"/>
          <w:color w:val="auto"/>
        </w:rPr>
        <w:t>For all other sales contracts that have a term exceeding one year, the Company has elected the practical expedient in ASC 606-10-50-14A under which the Company does not disclose the transaction price allocated to remaining performance obligations if the variable consideration is allocated entirely to a wholly unsatisfied performance obligation. For these excluded contracts, the sources of variability are (a) the fluctuating market index prices of natural gas used to price the contracts, and (b) the variation in volumes that may be delivered to the customer. Both sources of variability are expected to be resolved at or shortly before delivery of each unit of LNG or natural gas. As each unit of LNG or natural gas represents a separate performance obligation, future volumes are wholly unsatisfied.</w:t>
      </w:r>
    </w:p>
    <w:p>
      <w:pPr>
        <w:spacing w:after="0" w:line="174" w:lineRule="exact"/>
        <w:rPr>
          <w:sz w:val="20"/>
          <w:szCs w:val="20"/>
          <w:color w:val="auto"/>
        </w:rPr>
      </w:pPr>
    </w:p>
    <w:p>
      <w:pPr>
        <w:ind w:left="584" w:hanging="584"/>
        <w:spacing w:after="0"/>
        <w:tabs>
          <w:tab w:leader="none" w:pos="584"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w:t>
      </w:r>
    </w:p>
    <w:p>
      <w:pPr>
        <w:spacing w:after="0" w:line="228" w:lineRule="exact"/>
        <w:rPr>
          <w:sz w:val="20"/>
          <w:szCs w:val="20"/>
          <w:color w:val="auto"/>
        </w:rPr>
      </w:pPr>
    </w:p>
    <w:p>
      <w:pPr>
        <w:ind w:left="284" w:right="260"/>
        <w:spacing w:after="0" w:line="277"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the use of unobservable inputs. These inputs are prioritized as follows:</w:t>
      </w:r>
    </w:p>
    <w:p>
      <w:pPr>
        <w:spacing w:after="0" w:line="176" w:lineRule="exact"/>
        <w:rPr>
          <w:sz w:val="20"/>
          <w:szCs w:val="20"/>
          <w:color w:val="auto"/>
        </w:rPr>
      </w:pPr>
    </w:p>
    <w:p>
      <w:pPr>
        <w:ind w:left="584" w:hanging="296"/>
        <w:spacing w:after="0"/>
        <w:tabs>
          <w:tab w:leader="none" w:pos="5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Level 1 – observable inputs such as quoted prices in active markets for identical assets or liabilities.</w:t>
      </w:r>
    </w:p>
    <w:p>
      <w:pPr>
        <w:spacing w:after="0" w:line="224" w:lineRule="exact"/>
        <w:rPr>
          <w:rFonts w:ascii="Arial" w:cs="Arial" w:eastAsia="Arial" w:hAnsi="Arial"/>
          <w:sz w:val="16"/>
          <w:szCs w:val="16"/>
          <w:color w:val="auto"/>
        </w:rPr>
      </w:pPr>
    </w:p>
    <w:p>
      <w:pPr>
        <w:ind w:left="584" w:right="100" w:hanging="296"/>
        <w:spacing w:after="0" w:line="277" w:lineRule="auto"/>
        <w:tabs>
          <w:tab w:leader="none" w:pos="5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observable, either directly or indirectly, such as quoted prices for similar assets or liabilities or market corroborated inputs.</w:t>
      </w:r>
    </w:p>
    <w:p>
      <w:pPr>
        <w:spacing w:after="0" w:line="175" w:lineRule="exact"/>
        <w:rPr>
          <w:rFonts w:ascii="Arial" w:cs="Arial" w:eastAsia="Arial" w:hAnsi="Arial"/>
          <w:sz w:val="16"/>
          <w:szCs w:val="16"/>
          <w:color w:val="auto"/>
        </w:rPr>
      </w:pPr>
    </w:p>
    <w:p>
      <w:pPr>
        <w:ind w:left="584" w:right="160" w:hanging="296"/>
        <w:spacing w:after="0" w:line="277" w:lineRule="auto"/>
        <w:tabs>
          <w:tab w:leader="none" w:pos="5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Level 3 - unobservable inputs for which there is little or no market data and which require the Company to develop its own assumptions about how market participants price the asset or liability.</w:t>
      </w:r>
    </w:p>
    <w:p>
      <w:pPr>
        <w:spacing w:after="0" w:line="176"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224" w:lineRule="exact"/>
        <w:rPr>
          <w:sz w:val="20"/>
          <w:szCs w:val="20"/>
          <w:color w:val="auto"/>
        </w:rPr>
      </w:pPr>
    </w:p>
    <w:p>
      <w:pPr>
        <w:ind w:left="584" w:hanging="296"/>
        <w:spacing w:after="0"/>
        <w:tabs>
          <w:tab w:leader="none" w:pos="5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Market approach – uses prices and other relevant information generated by market transactions involving identical or comparable assets or liabilities.</w:t>
      </w:r>
    </w:p>
    <w:p>
      <w:pPr>
        <w:spacing w:after="0" w:line="224" w:lineRule="exact"/>
        <w:rPr>
          <w:rFonts w:ascii="Arial" w:cs="Arial" w:eastAsia="Arial" w:hAnsi="Arial"/>
          <w:sz w:val="16"/>
          <w:szCs w:val="16"/>
          <w:color w:val="auto"/>
        </w:rPr>
      </w:pPr>
    </w:p>
    <w:p>
      <w:pPr>
        <w:ind w:left="584" w:right="320" w:hanging="296"/>
        <w:spacing w:after="0" w:line="277" w:lineRule="auto"/>
        <w:tabs>
          <w:tab w:leader="none" w:pos="5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Income approach – uses valuation techniques, such as discounted cash flow technique, to convert future amounts to a single present amount based on current market expectations about those future amounts.</w:t>
      </w:r>
    </w:p>
    <w:p>
      <w:pPr>
        <w:spacing w:after="0" w:line="175" w:lineRule="exact"/>
        <w:rPr>
          <w:rFonts w:ascii="Arial" w:cs="Arial" w:eastAsia="Arial" w:hAnsi="Arial"/>
          <w:sz w:val="16"/>
          <w:szCs w:val="16"/>
          <w:color w:val="auto"/>
        </w:rPr>
      </w:pPr>
    </w:p>
    <w:p>
      <w:pPr>
        <w:ind w:left="584" w:hanging="296"/>
        <w:spacing w:after="0"/>
        <w:tabs>
          <w:tab w:leader="none" w:pos="5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Cost approach – based on the amount that currently would be required to replace the service capacity of an asset (replacement cost).</w:t>
      </w:r>
    </w:p>
    <w:p>
      <w:pPr>
        <w:spacing w:after="0" w:line="224"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following table presents the Company’s financial assets and financial liabilities that are measured at fair value as of March 31, 2019:</w:t>
      </w:r>
    </w:p>
    <w:p>
      <w:pPr>
        <w:spacing w:after="0" w:line="220" w:lineRule="exact"/>
        <w:rPr>
          <w:sz w:val="20"/>
          <w:szCs w:val="20"/>
          <w:color w:val="auto"/>
        </w:rPr>
      </w:pPr>
    </w:p>
    <w:tbl>
      <w:tblPr>
        <w:tblLayout w:type="fixed"/>
        <w:tblInd w:w="284"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March 31, 2019</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r>
      <w:tr>
        <w:trPr>
          <w:trHeight w:val="176"/>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Valuation</w:t>
            </w:r>
          </w:p>
        </w:tc>
      </w:tr>
      <w:tr>
        <w:trPr>
          <w:trHeight w:val="213"/>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9"/>
              </w:rPr>
              <w:t>technique</w:t>
            </w:r>
          </w:p>
        </w:tc>
      </w:tr>
      <w:tr>
        <w:trPr>
          <w:trHeight w:val="192"/>
        </w:trPr>
        <w:tc>
          <w:tcPr>
            <w:tcW w:w="30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r>
      <w:tr>
        <w:trPr>
          <w:trHeight w:val="192"/>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359,450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780"/>
              <w:spacing w:after="0"/>
              <w:rPr>
                <w:sz w:val="20"/>
                <w:szCs w:val="20"/>
                <w:color w:val="auto"/>
              </w:rPr>
            </w:pPr>
            <w:r>
              <w:rPr>
                <w:rFonts w:ascii="Arial" w:cs="Arial" w:eastAsia="Arial" w:hAnsi="Arial"/>
                <w:sz w:val="16"/>
                <w:szCs w:val="16"/>
                <w:color w:val="auto"/>
                <w:w w:val="87"/>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359,450</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Market approach</w:t>
            </w:r>
          </w:p>
        </w:tc>
      </w:tr>
      <w:tr>
        <w:trPr>
          <w:trHeight w:val="192"/>
        </w:trPr>
        <w:tc>
          <w:tcPr>
            <w:tcW w:w="3020" w:type="dxa"/>
            <w:vAlign w:val="bottom"/>
          </w:tcPr>
          <w:p>
            <w:pPr>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57,551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57,551</w:t>
            </w:r>
          </w:p>
        </w:tc>
        <w:tc>
          <w:tcPr>
            <w:tcW w:w="1800" w:type="dxa"/>
            <w:vAlign w:val="bottom"/>
          </w:tcPr>
          <w:p>
            <w:pPr>
              <w:jc w:val="center"/>
              <w:spacing w:after="0"/>
              <w:rPr>
                <w:sz w:val="20"/>
                <w:szCs w:val="20"/>
                <w:color w:val="auto"/>
              </w:rPr>
            </w:pPr>
            <w:r>
              <w:rPr>
                <w:rFonts w:ascii="Arial" w:cs="Arial" w:eastAsia="Arial" w:hAnsi="Arial"/>
                <w:sz w:val="16"/>
                <w:szCs w:val="16"/>
                <w:color w:val="auto"/>
                <w:w w:val="89"/>
              </w:rPr>
              <w:t>Market approach</w:t>
            </w:r>
          </w:p>
        </w:tc>
      </w:tr>
      <w:tr>
        <w:trPr>
          <w:trHeight w:val="192"/>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Investment in equity securities</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78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4,552</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Market approach</w:t>
            </w:r>
          </w:p>
        </w:tc>
      </w:tr>
      <w:tr>
        <w:trPr>
          <w:trHeight w:val="24"/>
        </w:trPr>
        <w:tc>
          <w:tcPr>
            <w:tcW w:w="30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r>
        <w:trPr>
          <w:trHeight w:val="192"/>
        </w:trPr>
        <w:tc>
          <w:tcPr>
            <w:tcW w:w="3020" w:type="dxa"/>
            <w:vAlign w:val="bottom"/>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421,553</w:t>
            </w:r>
          </w:p>
        </w:tc>
        <w:tc>
          <w:tcPr>
            <w:tcW w:w="10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421,553</w:t>
            </w:r>
          </w:p>
        </w:tc>
        <w:tc>
          <w:tcPr>
            <w:tcW w:w="1800" w:type="dxa"/>
            <w:vAlign w:val="bottom"/>
          </w:tcPr>
          <w:p>
            <w:pPr>
              <w:spacing w:after="0"/>
              <w:rPr>
                <w:sz w:val="16"/>
                <w:szCs w:val="16"/>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0"/>
        </w:trPr>
        <w:tc>
          <w:tcPr>
            <w:tcW w:w="30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Liabilities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192"/>
        </w:trPr>
        <w:tc>
          <w:tcPr>
            <w:tcW w:w="3020" w:type="dxa"/>
            <w:vAlign w:val="bottom"/>
          </w:tcPr>
          <w:p>
            <w:pPr>
              <w:spacing w:after="0" w:line="192" w:lineRule="exact"/>
              <w:rPr>
                <w:sz w:val="20"/>
                <w:szCs w:val="20"/>
                <w:color w:val="auto"/>
              </w:rPr>
            </w:pPr>
            <w:r>
              <w:rPr>
                <w:rFonts w:ascii="Arial" w:cs="Arial" w:eastAsia="Arial" w:hAnsi="Arial"/>
                <w:sz w:val="14"/>
                <w:szCs w:val="14"/>
                <w:color w:val="auto"/>
              </w:rPr>
              <w:t>Derivative liability</w:t>
            </w:r>
            <w:r>
              <w:rPr>
                <w:rFonts w:ascii="Arial" w:cs="Arial" w:eastAsia="Arial" w:hAnsi="Arial"/>
                <w:sz w:val="22"/>
                <w:szCs w:val="22"/>
                <w:color w:val="auto"/>
                <w:vertAlign w:val="superscript"/>
              </w:rPr>
              <w:t>(1)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9,704</w:t>
            </w:r>
          </w:p>
        </w:tc>
        <w:tc>
          <w:tcPr>
            <w:tcW w:w="1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9,704</w:t>
            </w:r>
          </w:p>
        </w:tc>
        <w:tc>
          <w:tcPr>
            <w:tcW w:w="180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r>
      <w:tr>
        <w:trPr>
          <w:trHeight w:val="192"/>
        </w:trPr>
        <w:tc>
          <w:tcPr>
            <w:tcW w:w="3020" w:type="dxa"/>
            <w:vAlign w:val="bottom"/>
            <w:shd w:val="clear" w:color="auto" w:fill="CCEEFF"/>
          </w:tcPr>
          <w:p>
            <w:pPr>
              <w:spacing w:after="0" w:line="192" w:lineRule="exact"/>
              <w:rPr>
                <w:sz w:val="20"/>
                <w:szCs w:val="20"/>
                <w:color w:val="auto"/>
              </w:rPr>
            </w:pPr>
            <w:r>
              <w:rPr>
                <w:rFonts w:ascii="Arial" w:cs="Arial" w:eastAsia="Arial" w:hAnsi="Arial"/>
                <w:sz w:val="14"/>
                <w:szCs w:val="14"/>
                <w:color w:val="auto"/>
              </w:rPr>
              <w:t>Equity agreement</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78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16,422</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Income approach</w:t>
            </w:r>
          </w:p>
        </w:tc>
      </w:tr>
      <w:tr>
        <w:trPr>
          <w:trHeight w:val="24"/>
        </w:trPr>
        <w:tc>
          <w:tcPr>
            <w:tcW w:w="30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r>
        <w:trPr>
          <w:trHeight w:val="192"/>
        </w:trPr>
        <w:tc>
          <w:tcPr>
            <w:tcW w:w="3020" w:type="dxa"/>
            <w:vAlign w:val="bottom"/>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26,126</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26,126</w:t>
            </w:r>
          </w:p>
        </w:tc>
        <w:tc>
          <w:tcPr>
            <w:tcW w:w="1800" w:type="dxa"/>
            <w:vAlign w:val="bottom"/>
          </w:tcPr>
          <w:p>
            <w:pPr>
              <w:spacing w:after="0"/>
              <w:rPr>
                <w:sz w:val="16"/>
                <w:szCs w:val="16"/>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137160</wp:posOffset>
            </wp:positionV>
            <wp:extent cx="72453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535" cy="15240"/>
                    </a:xfrm>
                    <a:prstGeom prst="rect">
                      <a:avLst/>
                    </a:prstGeom>
                    <a:noFill/>
                  </pic:spPr>
                </pic:pic>
              </a:graphicData>
            </a:graphic>
          </wp:anchor>
        </w:drawing>
      </w:r>
    </w:p>
    <w:p>
      <w:pPr>
        <w:spacing w:after="0" w:line="208" w:lineRule="exact"/>
        <w:rPr>
          <w:sz w:val="20"/>
          <w:szCs w:val="20"/>
          <w:color w:val="auto"/>
        </w:rPr>
      </w:pPr>
    </w:p>
    <w:p>
      <w:pPr>
        <w:ind w:left="584" w:hanging="296"/>
        <w:spacing w:after="0"/>
        <w:tabs>
          <w:tab w:leader="none" w:pos="584"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Consideration due to the sellers of Shannon LNG (as defined in “Note 12. Intangible Assets” below) once first gas is supplied from the terminal to be built.</w:t>
      </w:r>
    </w:p>
    <w:p>
      <w:pPr>
        <w:spacing w:after="0" w:line="32" w:lineRule="exact"/>
        <w:rPr>
          <w:rFonts w:ascii="Arial" w:cs="Arial" w:eastAsia="Arial" w:hAnsi="Arial"/>
          <w:sz w:val="15"/>
          <w:szCs w:val="15"/>
          <w:color w:val="auto"/>
        </w:rPr>
      </w:pPr>
    </w:p>
    <w:p>
      <w:pPr>
        <w:ind w:left="584" w:hanging="296"/>
        <w:spacing w:after="0"/>
        <w:tabs>
          <w:tab w:leader="none" w:pos="584" w:val="left"/>
        </w:tabs>
        <w:numPr>
          <w:ilvl w:val="0"/>
          <w:numId w:val="22"/>
        </w:numPr>
        <w:rPr>
          <w:rFonts w:ascii="Arial" w:cs="Arial" w:eastAsia="Arial" w:hAnsi="Arial"/>
          <w:sz w:val="15"/>
          <w:szCs w:val="15"/>
          <w:color w:val="auto"/>
        </w:rPr>
      </w:pPr>
      <w:r>
        <w:rPr>
          <w:rFonts w:ascii="Arial" w:cs="Arial" w:eastAsia="Arial" w:hAnsi="Arial"/>
          <w:sz w:val="15"/>
          <w:szCs w:val="15"/>
          <w:color w:val="auto"/>
        </w:rPr>
        <w:t>Paid in shares at the earlier of agreed-upon date in 2020 or the commencement of significant construction activities specified in the Shannon LNG Agreement.</w:t>
      </w:r>
    </w:p>
    <w:p>
      <w:pPr>
        <w:spacing w:after="0" w:line="388"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sectPr>
      </w:pPr>
    </w:p>
    <w:bookmarkStart w:id="15" w:name="page16"/>
    <w:bookmarkEnd w:id="15"/>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following table presents the Company’s financial assets and financial liabilities that are measured at fair value as of December 31, 2018:</w:t>
      </w:r>
    </w:p>
    <w:p>
      <w:pPr>
        <w:spacing w:after="0" w:line="196" w:lineRule="exact"/>
        <w:rPr>
          <w:sz w:val="20"/>
          <w:szCs w:val="20"/>
          <w:color w:val="auto"/>
        </w:rPr>
      </w:pPr>
    </w:p>
    <w:tbl>
      <w:tblPr>
        <w:tblLayout w:type="fixed"/>
        <w:tblInd w:w="284"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w w:val="92"/>
              </w:rPr>
              <w:t>December 31, 2018</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r>
      <w:tr>
        <w:trPr>
          <w:trHeight w:val="176"/>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Valuation</w:t>
            </w:r>
          </w:p>
        </w:tc>
      </w:tr>
      <w:tr>
        <w:trPr>
          <w:trHeight w:val="213"/>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9"/>
              </w:rPr>
              <w:t>technique</w:t>
            </w:r>
          </w:p>
        </w:tc>
      </w:tr>
      <w:tr>
        <w:trPr>
          <w:trHeight w:val="192"/>
        </w:trPr>
        <w:tc>
          <w:tcPr>
            <w:tcW w:w="30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r>
      <w:tr>
        <w:trPr>
          <w:trHeight w:val="192"/>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78,301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780"/>
              <w:spacing w:after="0"/>
              <w:rPr>
                <w:sz w:val="20"/>
                <w:szCs w:val="20"/>
                <w:color w:val="auto"/>
              </w:rPr>
            </w:pPr>
            <w:r>
              <w:rPr>
                <w:rFonts w:ascii="Arial" w:cs="Arial" w:eastAsia="Arial" w:hAnsi="Arial"/>
                <w:sz w:val="16"/>
                <w:szCs w:val="16"/>
                <w:color w:val="auto"/>
                <w:w w:val="87"/>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78,301</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Market approach</w:t>
            </w:r>
          </w:p>
        </w:tc>
      </w:tr>
      <w:tr>
        <w:trPr>
          <w:trHeight w:val="192"/>
        </w:trPr>
        <w:tc>
          <w:tcPr>
            <w:tcW w:w="3020" w:type="dxa"/>
            <w:vAlign w:val="bottom"/>
          </w:tcPr>
          <w:p>
            <w:pPr>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22,552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22,552</w:t>
            </w:r>
          </w:p>
        </w:tc>
        <w:tc>
          <w:tcPr>
            <w:tcW w:w="1800" w:type="dxa"/>
            <w:vAlign w:val="bottom"/>
          </w:tcPr>
          <w:p>
            <w:pPr>
              <w:jc w:val="center"/>
              <w:spacing w:after="0"/>
              <w:rPr>
                <w:sz w:val="20"/>
                <w:szCs w:val="20"/>
                <w:color w:val="auto"/>
              </w:rPr>
            </w:pPr>
            <w:r>
              <w:rPr>
                <w:rFonts w:ascii="Arial" w:cs="Arial" w:eastAsia="Arial" w:hAnsi="Arial"/>
                <w:sz w:val="16"/>
                <w:szCs w:val="16"/>
                <w:color w:val="auto"/>
                <w:w w:val="89"/>
              </w:rPr>
              <w:t>Market approach</w:t>
            </w:r>
          </w:p>
        </w:tc>
      </w:tr>
      <w:tr>
        <w:trPr>
          <w:trHeight w:val="192"/>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Investment in equity securities</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78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3,656</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Market approach</w:t>
            </w:r>
          </w:p>
        </w:tc>
      </w:tr>
      <w:tr>
        <w:trPr>
          <w:trHeight w:val="24"/>
        </w:trPr>
        <w:tc>
          <w:tcPr>
            <w:tcW w:w="30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r>
        <w:trPr>
          <w:trHeight w:val="192"/>
        </w:trPr>
        <w:tc>
          <w:tcPr>
            <w:tcW w:w="3020" w:type="dxa"/>
            <w:vAlign w:val="bottom"/>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104,509</w:t>
            </w:r>
          </w:p>
        </w:tc>
        <w:tc>
          <w:tcPr>
            <w:tcW w:w="10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104,509</w:t>
            </w:r>
          </w:p>
        </w:tc>
        <w:tc>
          <w:tcPr>
            <w:tcW w:w="1800" w:type="dxa"/>
            <w:vAlign w:val="bottom"/>
          </w:tcPr>
          <w:p>
            <w:pPr>
              <w:spacing w:after="0"/>
              <w:rPr>
                <w:sz w:val="16"/>
                <w:szCs w:val="16"/>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0"/>
        </w:trPr>
        <w:tc>
          <w:tcPr>
            <w:tcW w:w="30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Liabilities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192"/>
        </w:trPr>
        <w:tc>
          <w:tcPr>
            <w:tcW w:w="3020" w:type="dxa"/>
            <w:vAlign w:val="bottom"/>
          </w:tcPr>
          <w:p>
            <w:pPr>
              <w:spacing w:after="0"/>
              <w:rPr>
                <w:sz w:val="20"/>
                <w:szCs w:val="20"/>
                <w:color w:val="auto"/>
              </w:rPr>
            </w:pPr>
            <w:r>
              <w:rPr>
                <w:rFonts w:ascii="Arial" w:cs="Arial" w:eastAsia="Arial" w:hAnsi="Arial"/>
                <w:sz w:val="16"/>
                <w:szCs w:val="16"/>
                <w:color w:val="auto"/>
              </w:rPr>
              <w:t>Derivative liability</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9,835</w:t>
            </w:r>
          </w:p>
        </w:tc>
        <w:tc>
          <w:tcPr>
            <w:tcW w:w="1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9,835</w:t>
            </w:r>
          </w:p>
        </w:tc>
        <w:tc>
          <w:tcPr>
            <w:tcW w:w="180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r>
      <w:tr>
        <w:trPr>
          <w:trHeight w:val="192"/>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Equity agreement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ind w:left="78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16,924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16,924</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Income approach</w:t>
            </w:r>
          </w:p>
        </w:tc>
      </w:tr>
      <w:tr>
        <w:trPr>
          <w:trHeight w:val="24"/>
        </w:trPr>
        <w:tc>
          <w:tcPr>
            <w:tcW w:w="30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r>
        <w:trPr>
          <w:trHeight w:val="192"/>
        </w:trPr>
        <w:tc>
          <w:tcPr>
            <w:tcW w:w="3020" w:type="dxa"/>
            <w:vAlign w:val="bottom"/>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26,759</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26,759</w:t>
            </w:r>
          </w:p>
        </w:tc>
        <w:tc>
          <w:tcPr>
            <w:tcW w:w="1800" w:type="dxa"/>
            <w:vAlign w:val="bottom"/>
          </w:tcPr>
          <w:p>
            <w:pPr>
              <w:spacing w:after="0"/>
              <w:rPr>
                <w:sz w:val="16"/>
                <w:szCs w:val="16"/>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left="284"/>
        <w:spacing w:after="0" w:line="259" w:lineRule="auto"/>
        <w:rPr>
          <w:sz w:val="20"/>
          <w:szCs w:val="20"/>
          <w:color w:val="auto"/>
        </w:rPr>
      </w:pPr>
      <w:r>
        <w:rPr>
          <w:rFonts w:ascii="Arial" w:cs="Arial" w:eastAsia="Arial" w:hAnsi="Arial"/>
          <w:sz w:val="16"/>
          <w:szCs w:val="16"/>
          <w:color w:val="auto"/>
        </w:rPr>
        <w:t>The Company estimates fair value of the derivative liability and equity agreement using a discounted cash flows method with discount rates based on the average yield curve for bonds with similar credit ratings and matching terms to the discount periods as well as a probability of the contingent event occurring. The Company recorded a gain from fair value adjustment on the derivative liability and equity agreement of $633 within Other (income) expense, net on the condensed consolidated statements of operations and comprehensive loss for the three months ended March 31, 2019.</w:t>
      </w:r>
    </w:p>
    <w:p>
      <w:pPr>
        <w:spacing w:after="0" w:line="191" w:lineRule="exact"/>
        <w:rPr>
          <w:sz w:val="20"/>
          <w:szCs w:val="20"/>
          <w:color w:val="auto"/>
        </w:rPr>
      </w:pPr>
    </w:p>
    <w:p>
      <w:pPr>
        <w:ind w:left="284" w:right="160"/>
        <w:spacing w:after="0" w:line="264" w:lineRule="auto"/>
        <w:rPr>
          <w:sz w:val="20"/>
          <w:szCs w:val="20"/>
          <w:color w:val="auto"/>
        </w:rPr>
      </w:pPr>
      <w:r>
        <w:rPr>
          <w:rFonts w:ascii="Arial" w:cs="Arial" w:eastAsia="Arial" w:hAnsi="Arial"/>
          <w:sz w:val="16"/>
          <w:szCs w:val="16"/>
          <w:color w:val="auto"/>
        </w:rPr>
        <w:t>The Company estimates fair value of outstanding debt using a discounted cash flow method based on current market interest rates for debt issuances with similar remaining years to maturity and adjusted for credit risk. The Company has estimated that the carrying value of the New Term Loan Facility (defined below) approximates fair value. The fair value estimate is classified as Level 3 in the fair value hierarchy.</w:t>
      </w:r>
    </w:p>
    <w:p>
      <w:pPr>
        <w:spacing w:after="0" w:line="182" w:lineRule="exact"/>
        <w:rPr>
          <w:sz w:val="20"/>
          <w:szCs w:val="20"/>
          <w:color w:val="auto"/>
        </w:rPr>
      </w:pPr>
    </w:p>
    <w:p>
      <w:pPr>
        <w:ind w:left="584" w:hanging="584"/>
        <w:spacing w:after="0"/>
        <w:tabs>
          <w:tab w:leader="none" w:pos="584"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Restricted cash</w:t>
      </w:r>
    </w:p>
    <w:p>
      <w:pPr>
        <w:spacing w:after="0" w:line="228"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28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As of March 31, 2019 and December 31, 2018, restricted cash consisted of the following: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8"/>
        </w:trPr>
        <w:tc>
          <w:tcPr>
            <w:tcW w:w="2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80"/>
              <w:spacing w:after="0"/>
              <w:rPr>
                <w:sz w:val="20"/>
                <w:szCs w:val="20"/>
                <w:color w:val="auto"/>
              </w:rPr>
            </w:pPr>
            <w:r>
              <w:rPr>
                <w:rFonts w:ascii="Arial" w:cs="Arial" w:eastAsia="Arial" w:hAnsi="Arial"/>
                <w:sz w:val="16"/>
                <w:szCs w:val="16"/>
                <w:b w:val="1"/>
                <w:bCs w:val="1"/>
                <w:color w:val="auto"/>
                <w:w w:val="94"/>
              </w:rPr>
              <w:t>March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r>
      <w:tr>
        <w:trPr>
          <w:trHeight w:val="213"/>
        </w:trPr>
        <w:tc>
          <w:tcPr>
            <w:tcW w:w="2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9"/>
              </w:rPr>
              <w:t>2019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r>
      <w:tr>
        <w:trPr>
          <w:trHeight w:val="192"/>
        </w:trPr>
        <w:tc>
          <w:tcPr>
            <w:tcW w:w="280" w:type="dxa"/>
            <w:vAlign w:val="bottom"/>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Collateral for performance under customer agreements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15,095</w:t>
            </w:r>
          </w:p>
        </w:tc>
        <w:tc>
          <w:tcPr>
            <w:tcW w:w="120" w:type="dxa"/>
            <w:vAlign w:val="bottom"/>
            <w:shd w:val="clear" w:color="auto" w:fill="CCEEFF"/>
          </w:tcPr>
          <w:p>
            <w:pPr>
              <w:spacing w:after="0"/>
              <w:rPr>
                <w:sz w:val="16"/>
                <w:szCs w:val="16"/>
                <w:color w:val="auto"/>
              </w:rPr>
            </w:pPr>
          </w:p>
        </w:tc>
      </w:tr>
      <w:tr>
        <w:trPr>
          <w:trHeight w:val="192"/>
        </w:trPr>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Collateral for LNG purchases</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35,927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927</w:t>
            </w:r>
          </w:p>
        </w:tc>
      </w:tr>
      <w:tr>
        <w:trPr>
          <w:trHeight w:val="192"/>
        </w:trPr>
        <w:tc>
          <w:tcPr>
            <w:tcW w:w="280" w:type="dxa"/>
            <w:vAlign w:val="bottom"/>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Collateral for letters of credit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6,238</w:t>
            </w:r>
          </w:p>
        </w:tc>
        <w:tc>
          <w:tcPr>
            <w:tcW w:w="120" w:type="dxa"/>
            <w:vAlign w:val="bottom"/>
            <w:shd w:val="clear" w:color="auto" w:fill="CCEEFF"/>
          </w:tcPr>
          <w:p>
            <w:pPr>
              <w:spacing w:after="0"/>
              <w:rPr>
                <w:sz w:val="16"/>
                <w:szCs w:val="16"/>
                <w:color w:val="auto"/>
              </w:rPr>
            </w:pPr>
          </w:p>
        </w:tc>
      </w:tr>
      <w:tr>
        <w:trPr>
          <w:trHeight w:val="196"/>
        </w:trPr>
        <w:tc>
          <w:tcPr>
            <w:tcW w:w="28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Other restricted cash</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292</w:t>
            </w:r>
          </w:p>
        </w:tc>
      </w:tr>
      <w:tr>
        <w:trPr>
          <w:trHeight w:val="232"/>
        </w:trPr>
        <w:tc>
          <w:tcPr>
            <w:tcW w:w="280" w:type="dxa"/>
            <w:vAlign w:val="bottom"/>
          </w:tcPr>
          <w:p>
            <w:pPr>
              <w:spacing w:after="0"/>
              <w:rPr>
                <w:sz w:val="20"/>
                <w:szCs w:val="20"/>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restricted cash</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57,551</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22,552</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0"/>
        </w:trPr>
        <w:tc>
          <w:tcPr>
            <w:tcW w:w="280" w:type="dxa"/>
            <w:vAlign w:val="bottom"/>
          </w:tcPr>
          <w:p>
            <w:pPr>
              <w:spacing w:after="0"/>
              <w:rPr>
                <w:sz w:val="15"/>
                <w:szCs w:val="15"/>
                <w:color w:val="auto"/>
              </w:rPr>
            </w:pPr>
          </w:p>
        </w:tc>
        <w:tc>
          <w:tcPr>
            <w:tcW w:w="7480" w:type="dxa"/>
            <w:vAlign w:val="bottom"/>
          </w:tcPr>
          <w:p>
            <w:pPr>
              <w:spacing w:after="0" w:line="181" w:lineRule="exact"/>
              <w:rPr>
                <w:sz w:val="20"/>
                <w:szCs w:val="20"/>
                <w:color w:val="auto"/>
              </w:rPr>
            </w:pPr>
            <w:r>
              <w:rPr>
                <w:rFonts w:ascii="Arial" w:cs="Arial" w:eastAsia="Arial" w:hAnsi="Arial"/>
                <w:sz w:val="16"/>
                <w:szCs w:val="16"/>
                <w:color w:val="auto"/>
              </w:rPr>
              <w:t>Current restricted cash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30</w:t>
            </w:r>
          </w:p>
        </w:tc>
        <w:tc>
          <w:tcPr>
            <w:tcW w:w="3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1" w:lineRule="exact"/>
              <w:rPr>
                <w:sz w:val="20"/>
                <w:szCs w:val="20"/>
                <w:color w:val="auto"/>
              </w:rPr>
            </w:pPr>
            <w:r>
              <w:rPr>
                <w:rFonts w:ascii="Arial" w:cs="Arial" w:eastAsia="Arial" w:hAnsi="Arial"/>
                <w:sz w:val="16"/>
                <w:szCs w:val="16"/>
                <w:color w:val="auto"/>
              </w:rPr>
              <w:t>30</w:t>
            </w:r>
          </w:p>
        </w:tc>
        <w:tc>
          <w:tcPr>
            <w:tcW w:w="120" w:type="dxa"/>
            <w:vAlign w:val="bottom"/>
          </w:tcPr>
          <w:p>
            <w:pPr>
              <w:spacing w:after="0"/>
              <w:rPr>
                <w:sz w:val="15"/>
                <w:szCs w:val="15"/>
                <w:color w:val="auto"/>
              </w:rPr>
            </w:pPr>
          </w:p>
        </w:tc>
      </w:tr>
      <w:tr>
        <w:trPr>
          <w:trHeight w:val="192"/>
        </w:trPr>
        <w:tc>
          <w:tcPr>
            <w:tcW w:w="280" w:type="dxa"/>
            <w:vAlign w:val="bottom"/>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Non-current restricted cash</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57,521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22,522</w:t>
            </w:r>
          </w:p>
        </w:tc>
      </w:tr>
      <w:tr>
        <w:trPr>
          <w:trHeight w:val="384"/>
        </w:trPr>
        <w:tc>
          <w:tcPr>
            <w:tcW w:w="28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7.</w:t>
            </w:r>
          </w:p>
        </w:tc>
        <w:tc>
          <w:tcPr>
            <w:tcW w:w="7480" w:type="dxa"/>
            <w:vAlign w:val="bottom"/>
          </w:tcPr>
          <w:p>
            <w:pPr>
              <w:ind w:left="300"/>
              <w:spacing w:after="0"/>
              <w:rPr>
                <w:sz w:val="20"/>
                <w:szCs w:val="20"/>
                <w:color w:val="auto"/>
              </w:rPr>
            </w:pPr>
            <w:r>
              <w:rPr>
                <w:rFonts w:ascii="Arial" w:cs="Arial" w:eastAsia="Arial" w:hAnsi="Arial"/>
                <w:sz w:val="16"/>
                <w:szCs w:val="16"/>
                <w:b w:val="1"/>
                <w:bCs w:val="1"/>
                <w:color w:val="auto"/>
              </w:rPr>
              <w:t>Inventory</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8"/>
        </w:trPr>
        <w:tc>
          <w:tcPr>
            <w:tcW w:w="28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As of March 31, 2019 and December 31, 2018, inventory consisted of the following: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8"/>
        </w:trPr>
        <w:tc>
          <w:tcPr>
            <w:tcW w:w="2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80"/>
              <w:spacing w:after="0"/>
              <w:rPr>
                <w:sz w:val="20"/>
                <w:szCs w:val="20"/>
                <w:color w:val="auto"/>
              </w:rPr>
            </w:pPr>
            <w:r>
              <w:rPr>
                <w:rFonts w:ascii="Arial" w:cs="Arial" w:eastAsia="Arial" w:hAnsi="Arial"/>
                <w:sz w:val="16"/>
                <w:szCs w:val="16"/>
                <w:b w:val="1"/>
                <w:bCs w:val="1"/>
                <w:color w:val="auto"/>
                <w:w w:val="94"/>
              </w:rPr>
              <w:t>March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r>
      <w:tr>
        <w:trPr>
          <w:trHeight w:val="213"/>
        </w:trPr>
        <w:tc>
          <w:tcPr>
            <w:tcW w:w="2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9"/>
              </w:rPr>
              <w:t>2019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r>
      <w:tr>
        <w:trPr>
          <w:trHeight w:val="192"/>
        </w:trPr>
        <w:tc>
          <w:tcPr>
            <w:tcW w:w="280" w:type="dxa"/>
            <w:vAlign w:val="bottom"/>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LNG and natural gas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15,611</w:t>
            </w:r>
          </w:p>
        </w:tc>
        <w:tc>
          <w:tcPr>
            <w:tcW w:w="120" w:type="dxa"/>
            <w:vAlign w:val="bottom"/>
            <w:shd w:val="clear" w:color="auto" w:fill="CCEEFF"/>
          </w:tcPr>
          <w:p>
            <w:pPr>
              <w:spacing w:after="0"/>
              <w:rPr>
                <w:sz w:val="16"/>
                <w:szCs w:val="16"/>
                <w:color w:val="auto"/>
              </w:rPr>
            </w:pPr>
          </w:p>
        </w:tc>
      </w:tr>
      <w:tr>
        <w:trPr>
          <w:trHeight w:val="196"/>
        </w:trPr>
        <w:tc>
          <w:tcPr>
            <w:tcW w:w="28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Materials, supplies and other</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348</w:t>
            </w:r>
          </w:p>
        </w:tc>
      </w:tr>
      <w:tr>
        <w:trPr>
          <w:trHeight w:val="232"/>
        </w:trPr>
        <w:tc>
          <w:tcPr>
            <w:tcW w:w="280" w:type="dxa"/>
            <w:vAlign w:val="bottom"/>
          </w:tcPr>
          <w:p>
            <w:pPr>
              <w:spacing w:after="0"/>
              <w:rPr>
                <w:sz w:val="20"/>
                <w:szCs w:val="20"/>
                <w:color w:val="auto"/>
              </w:rPr>
            </w:pPr>
          </w:p>
        </w:tc>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27,002</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15,959</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204" w:lineRule="exact"/>
        <w:rPr>
          <w:sz w:val="20"/>
          <w:szCs w:val="20"/>
          <w:color w:val="auto"/>
        </w:rPr>
      </w:pPr>
    </w:p>
    <w:p>
      <w:pPr>
        <w:ind w:left="284" w:right="580"/>
        <w:spacing w:after="0" w:line="351" w:lineRule="auto"/>
        <w:rPr>
          <w:sz w:val="20"/>
          <w:szCs w:val="20"/>
          <w:color w:val="auto"/>
        </w:rPr>
      </w:pPr>
      <w:r>
        <w:rPr>
          <w:rFonts w:ascii="Arial" w:cs="Arial" w:eastAsia="Arial" w:hAnsi="Arial"/>
          <w:sz w:val="14"/>
          <w:szCs w:val="14"/>
          <w:color w:val="auto"/>
        </w:rPr>
        <w:t>Inventory is adjusted to the lower of cost or net realizable value each quarter. Changes in the value of inventory are recorded within Cost of sales in the condensed consolidated statements of operations and comprehensive loss. No adjustments were recorded during the three months ended March 31, 2019 and 2018, respectively.</w:t>
      </w:r>
    </w:p>
    <w:p>
      <w:pPr>
        <w:spacing w:after="0" w:line="294"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4" w:right="219" w:bottom="1440" w:gutter="0" w:footer="0" w:header="0"/>
        </w:sectPr>
      </w:pPr>
    </w:p>
    <w:bookmarkStart w:id="16" w:name="page17"/>
    <w:bookmarkEnd w:id="16"/>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584" w:hanging="584"/>
        <w:spacing w:after="0"/>
        <w:tabs>
          <w:tab w:leader="none" w:pos="584"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Prepaid expenses and other current assets</w:t>
      </w:r>
    </w:p>
    <w:p>
      <w:pPr>
        <w:spacing w:after="0" w:line="228" w:lineRule="exact"/>
        <w:rPr>
          <w:sz w:val="20"/>
          <w:szCs w:val="20"/>
          <w:color w:val="auto"/>
        </w:rPr>
      </w:pPr>
    </w:p>
    <w:p>
      <w:pPr>
        <w:ind w:left="284"/>
        <w:spacing w:after="0"/>
        <w:rPr>
          <w:sz w:val="20"/>
          <w:szCs w:val="20"/>
          <w:color w:val="auto"/>
        </w:rPr>
      </w:pPr>
      <w:r>
        <w:rPr>
          <w:rFonts w:ascii="Arial" w:cs="Arial" w:eastAsia="Arial" w:hAnsi="Arial"/>
          <w:sz w:val="16"/>
          <w:szCs w:val="16"/>
          <w:color w:val="auto"/>
        </w:rPr>
        <w:t>As of March 31, 2019 and December 31, 2018, prepaid expenses and other current assets consisted of the following:</w:t>
      </w:r>
    </w:p>
    <w:p>
      <w:pPr>
        <w:spacing w:after="0" w:line="196" w:lineRule="exact"/>
        <w:rPr>
          <w:sz w:val="20"/>
          <w:szCs w:val="20"/>
          <w:color w:val="auto"/>
        </w:rPr>
      </w:pPr>
    </w:p>
    <w:tbl>
      <w:tblPr>
        <w:tblLayout w:type="fixed"/>
        <w:tblInd w:w="284"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8"/>
              </w:rPr>
              <w:t>December 31,</w:t>
            </w:r>
          </w:p>
        </w:tc>
      </w:tr>
      <w:tr>
        <w:trPr>
          <w:trHeight w:val="213"/>
        </w:trPr>
        <w:tc>
          <w:tcPr>
            <w:tcW w:w="7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192"/>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Prepaid LNG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16,170</w:t>
            </w:r>
          </w:p>
        </w:tc>
        <w:tc>
          <w:tcPr>
            <w:tcW w:w="120" w:type="dxa"/>
            <w:vAlign w:val="bottom"/>
            <w:shd w:val="clear" w:color="auto" w:fill="CCEEFF"/>
          </w:tcPr>
          <w:p>
            <w:pPr>
              <w:spacing w:after="0"/>
              <w:rPr>
                <w:sz w:val="16"/>
                <w:szCs w:val="16"/>
                <w:color w:val="auto"/>
              </w:rPr>
            </w:pPr>
          </w:p>
        </w:tc>
      </w:tr>
      <w:tr>
        <w:trPr>
          <w:trHeight w:val="192"/>
        </w:trPr>
        <w:tc>
          <w:tcPr>
            <w:tcW w:w="7480" w:type="dxa"/>
            <w:vAlign w:val="bottom"/>
          </w:tcPr>
          <w:p>
            <w:pPr>
              <w:spacing w:after="0"/>
              <w:rPr>
                <w:sz w:val="20"/>
                <w:szCs w:val="20"/>
                <w:color w:val="auto"/>
              </w:rPr>
            </w:pPr>
            <w:r>
              <w:rPr>
                <w:rFonts w:ascii="Arial" w:cs="Arial" w:eastAsia="Arial" w:hAnsi="Arial"/>
                <w:sz w:val="16"/>
                <w:szCs w:val="16"/>
                <w:color w:val="auto"/>
              </w:rPr>
              <w:t>Prepaid charter costs</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925</w:t>
            </w:r>
          </w:p>
        </w:tc>
      </w:tr>
      <w:tr>
        <w:trPr>
          <w:trHeight w:val="192"/>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120" w:type="dxa"/>
            <w:vAlign w:val="bottom"/>
            <w:shd w:val="clear" w:color="auto" w:fill="CCEEFF"/>
          </w:tcPr>
          <w:p>
            <w:pPr>
              <w:spacing w:after="0"/>
              <w:rPr>
                <w:sz w:val="16"/>
                <w:szCs w:val="16"/>
                <w:color w:val="auto"/>
              </w:rPr>
            </w:pPr>
          </w:p>
        </w:tc>
      </w:tr>
      <w:tr>
        <w:trPr>
          <w:trHeight w:val="192"/>
        </w:trPr>
        <w:tc>
          <w:tcPr>
            <w:tcW w:w="7480" w:type="dxa"/>
            <w:vAlign w:val="bottom"/>
          </w:tcPr>
          <w:p>
            <w:pPr>
              <w:spacing w:after="0"/>
              <w:rPr>
                <w:sz w:val="20"/>
                <w:szCs w:val="20"/>
                <w:color w:val="auto"/>
              </w:rPr>
            </w:pPr>
            <w:r>
              <w:rPr>
                <w:rFonts w:ascii="Arial" w:cs="Arial" w:eastAsia="Arial" w:hAnsi="Arial"/>
                <w:sz w:val="16"/>
                <w:szCs w:val="16"/>
                <w:color w:val="auto"/>
              </w:rPr>
              <w:t>Deposits</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2,572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1,622</w:t>
            </w:r>
          </w:p>
        </w:tc>
        <w:tc>
          <w:tcPr>
            <w:tcW w:w="120" w:type="dxa"/>
            <w:vAlign w:val="bottom"/>
          </w:tcPr>
          <w:p>
            <w:pPr>
              <w:spacing w:after="0"/>
              <w:rPr>
                <w:sz w:val="16"/>
                <w:szCs w:val="16"/>
                <w:color w:val="auto"/>
              </w:rPr>
            </w:pPr>
          </w:p>
        </w:tc>
      </w:tr>
      <w:tr>
        <w:trPr>
          <w:trHeight w:val="192"/>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Due from affiliate</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890</w:t>
            </w:r>
          </w:p>
        </w:tc>
      </w:tr>
      <w:tr>
        <w:trPr>
          <w:trHeight w:val="196"/>
        </w:trPr>
        <w:tc>
          <w:tcPr>
            <w:tcW w:w="7480" w:type="dxa"/>
            <w:vAlign w:val="bottom"/>
          </w:tcPr>
          <w:p>
            <w:pPr>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5,267</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9,166</w:t>
            </w:r>
          </w:p>
        </w:tc>
        <w:tc>
          <w:tcPr>
            <w:tcW w:w="120" w:type="dxa"/>
            <w:vAlign w:val="bottom"/>
          </w:tcPr>
          <w:p>
            <w:pPr>
              <w:spacing w:after="0"/>
              <w:rPr>
                <w:sz w:val="17"/>
                <w:szCs w:val="17"/>
                <w:color w:val="auto"/>
              </w:rPr>
            </w:pPr>
          </w:p>
        </w:tc>
      </w:tr>
      <w:tr>
        <w:trPr>
          <w:trHeight w:val="232"/>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30,017</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204" w:lineRule="exact"/>
        <w:rPr>
          <w:sz w:val="20"/>
          <w:szCs w:val="20"/>
          <w:color w:val="auto"/>
        </w:rPr>
      </w:pPr>
    </w:p>
    <w:p>
      <w:pPr>
        <w:ind w:left="284" w:right="40"/>
        <w:spacing w:after="0" w:line="277" w:lineRule="auto"/>
        <w:rPr>
          <w:sz w:val="20"/>
          <w:szCs w:val="20"/>
          <w:color w:val="auto"/>
        </w:rPr>
      </w:pPr>
      <w:r>
        <w:rPr>
          <w:rFonts w:ascii="Arial" w:cs="Arial" w:eastAsia="Arial" w:hAnsi="Arial"/>
          <w:sz w:val="16"/>
          <w:szCs w:val="16"/>
          <w:color w:val="auto"/>
        </w:rPr>
        <w:t>Prepaid LNG as of December 31, 2018 consisted of payments for deliveries of 17.0 million gallons (1.4 TBtu) of LNG that had been prepaid by the Company. The Company took delivery of these volumes during the three months ended March 31, 2019.</w:t>
      </w:r>
    </w:p>
    <w:p>
      <w:pPr>
        <w:spacing w:after="0" w:line="176" w:lineRule="exact"/>
        <w:rPr>
          <w:sz w:val="20"/>
          <w:szCs w:val="20"/>
          <w:color w:val="auto"/>
        </w:rPr>
      </w:pPr>
    </w:p>
    <w:p>
      <w:pPr>
        <w:ind w:left="284" w:right="280"/>
        <w:spacing w:after="0" w:line="277" w:lineRule="auto"/>
        <w:rPr>
          <w:sz w:val="20"/>
          <w:szCs w:val="20"/>
          <w:color w:val="auto"/>
        </w:rPr>
      </w:pPr>
      <w:r>
        <w:rPr>
          <w:rFonts w:ascii="Arial" w:cs="Arial" w:eastAsia="Arial" w:hAnsi="Arial"/>
          <w:sz w:val="16"/>
          <w:szCs w:val="16"/>
          <w:color w:val="auto"/>
        </w:rPr>
        <w:t>Other current assets as of March 31, 2019 primarily consisted of sales taxes receivable related to our operations in Jamaica. Other current assets as of December 31, 2018 primarily consisted of IPO issuance costs incurred which were netted against issuance proceeds upon completion of the IPO.</w:t>
      </w:r>
    </w:p>
    <w:p>
      <w:pPr>
        <w:spacing w:after="0" w:line="172" w:lineRule="exact"/>
        <w:rPr>
          <w:sz w:val="20"/>
          <w:szCs w:val="20"/>
          <w:color w:val="auto"/>
        </w:rPr>
      </w:pPr>
    </w:p>
    <w:p>
      <w:pPr>
        <w:ind w:left="584" w:hanging="584"/>
        <w:spacing w:after="0"/>
        <w:tabs>
          <w:tab w:leader="none" w:pos="584"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 in equity securities</w:t>
      </w:r>
    </w:p>
    <w:p>
      <w:pPr>
        <w:spacing w:after="0" w:line="228" w:lineRule="exact"/>
        <w:rPr>
          <w:sz w:val="20"/>
          <w:szCs w:val="20"/>
          <w:color w:val="auto"/>
        </w:rPr>
      </w:pPr>
    </w:p>
    <w:p>
      <w:pPr>
        <w:ind w:left="284"/>
        <w:spacing w:after="0" w:line="277" w:lineRule="auto"/>
        <w:rPr>
          <w:sz w:val="20"/>
          <w:szCs w:val="20"/>
          <w:color w:val="auto"/>
        </w:rPr>
      </w:pPr>
      <w:r>
        <w:rPr>
          <w:rFonts w:ascii="Arial" w:cs="Arial" w:eastAsia="Arial" w:hAnsi="Arial"/>
          <w:sz w:val="16"/>
          <w:szCs w:val="16"/>
          <w:color w:val="auto"/>
        </w:rPr>
        <w:t>Through March 31, 2019, the Company invested in equity securities of an international oil and gas drilling contractor. The following tables present the number of shares, cost and fair value of the investment:</w:t>
      </w:r>
    </w:p>
    <w:p>
      <w:pPr>
        <w:spacing w:after="0" w:line="148" w:lineRule="exact"/>
        <w:rPr>
          <w:sz w:val="20"/>
          <w:szCs w:val="20"/>
          <w:color w:val="auto"/>
        </w:rPr>
      </w:pPr>
    </w:p>
    <w:tbl>
      <w:tblPr>
        <w:tblLayout w:type="fixed"/>
        <w:tblInd w:w="284" w:type="dxa"/>
        <w:tblCellMar>
          <w:top w:w="0" w:type="dxa"/>
          <w:left w:w="0" w:type="dxa"/>
          <w:bottom w:w="0" w:type="dxa"/>
          <w:right w:w="0" w:type="dxa"/>
        </w:tblCellMar>
      </w:tblPr>
      <w:tr>
        <w:trPr>
          <w:trHeight w:val="213"/>
        </w:trPr>
        <w:tc>
          <w:tcPr>
            <w:tcW w:w="61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6"/>
                <w:szCs w:val="16"/>
                <w:b w:val="1"/>
                <w:bCs w:val="1"/>
                <w:color w:val="auto"/>
                <w:w w:val="93"/>
              </w:rPr>
              <w:t>March 31, 2019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6"/>
        </w:trPr>
        <w:tc>
          <w:tcPr>
            <w:tcW w:w="614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Number of</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3"/>
        </w:trPr>
        <w:tc>
          <w:tcPr>
            <w:tcW w:w="6140" w:type="dxa"/>
            <w:vAlign w:val="bottom"/>
          </w:tcPr>
          <w:p>
            <w:pPr>
              <w:ind w:left="1560"/>
              <w:spacing w:after="0"/>
              <w:rPr>
                <w:sz w:val="20"/>
                <w:szCs w:val="20"/>
                <w:color w:val="auto"/>
              </w:rPr>
            </w:pPr>
            <w:r>
              <w:rPr>
                <w:rFonts w:ascii="Arial" w:cs="Arial" w:eastAsia="Arial" w:hAnsi="Arial"/>
                <w:sz w:val="16"/>
                <w:szCs w:val="16"/>
                <w:b w:val="1"/>
                <w:bCs w:val="1"/>
                <w:color w:val="auto"/>
              </w:rPr>
              <w:t>(in thousands of U.S. dollars except shares)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b w:val="1"/>
                <w:bCs w:val="1"/>
                <w:color w:val="auto"/>
                <w:w w:val="89"/>
              </w:rPr>
              <w:t>Cost</w:t>
            </w:r>
          </w:p>
        </w:tc>
        <w:tc>
          <w:tcPr>
            <w:tcW w:w="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r>
      <w:tr>
        <w:trPr>
          <w:trHeight w:val="192"/>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Investment in equity securities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1,476,280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3,667</w:t>
            </w:r>
          </w:p>
        </w:tc>
        <w:tc>
          <w:tcPr>
            <w:tcW w:w="2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120" w:type="dxa"/>
            <w:vAlign w:val="bottom"/>
            <w:shd w:val="clear" w:color="auto" w:fill="CCEEFF"/>
          </w:tcPr>
          <w:p>
            <w:pPr>
              <w:spacing w:after="0"/>
              <w:rPr>
                <w:sz w:val="16"/>
                <w:szCs w:val="16"/>
                <w:color w:val="auto"/>
              </w:rPr>
            </w:pPr>
          </w:p>
        </w:tc>
      </w:tr>
      <w:tr>
        <w:trPr>
          <w:trHeight w:val="412"/>
        </w:trPr>
        <w:tc>
          <w:tcPr>
            <w:tcW w:w="61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0"/>
              </w:rPr>
              <w:t>December 31, 2018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6"/>
        </w:trPr>
        <w:tc>
          <w:tcPr>
            <w:tcW w:w="614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Number of</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3"/>
        </w:trPr>
        <w:tc>
          <w:tcPr>
            <w:tcW w:w="6140" w:type="dxa"/>
            <w:vAlign w:val="bottom"/>
          </w:tcPr>
          <w:p>
            <w:pPr>
              <w:ind w:left="1560"/>
              <w:spacing w:after="0"/>
              <w:rPr>
                <w:sz w:val="20"/>
                <w:szCs w:val="20"/>
                <w:color w:val="auto"/>
              </w:rPr>
            </w:pPr>
            <w:r>
              <w:rPr>
                <w:rFonts w:ascii="Arial" w:cs="Arial" w:eastAsia="Arial" w:hAnsi="Arial"/>
                <w:sz w:val="16"/>
                <w:szCs w:val="16"/>
                <w:b w:val="1"/>
                <w:bCs w:val="1"/>
                <w:color w:val="auto"/>
              </w:rPr>
              <w:t>(in thousands of U.S. dollars except shares)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b w:val="1"/>
                <w:bCs w:val="1"/>
                <w:color w:val="auto"/>
                <w:w w:val="89"/>
              </w:rPr>
              <w:t>Cost</w:t>
            </w:r>
          </w:p>
        </w:tc>
        <w:tc>
          <w:tcPr>
            <w:tcW w:w="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r>
      <w:tr>
        <w:trPr>
          <w:trHeight w:val="192"/>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Investment in equity securities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1,476,280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3,667</w:t>
            </w:r>
          </w:p>
        </w:tc>
        <w:tc>
          <w:tcPr>
            <w:tcW w:w="2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120" w:type="dxa"/>
            <w:vAlign w:val="bottom"/>
            <w:shd w:val="clear" w:color="auto" w:fill="CCEEFF"/>
          </w:tcPr>
          <w:p>
            <w:pPr>
              <w:spacing w:after="0"/>
              <w:rPr>
                <w:sz w:val="16"/>
                <w:szCs w:val="16"/>
                <w:color w:val="auto"/>
              </w:rPr>
            </w:pPr>
          </w:p>
        </w:tc>
      </w:tr>
      <w:tr>
        <w:trPr>
          <w:trHeight w:val="408"/>
        </w:trPr>
        <w:tc>
          <w:tcPr>
            <w:tcW w:w="7260" w:type="dxa"/>
            <w:vAlign w:val="bottom"/>
            <w:gridSpan w:val="2"/>
          </w:tcPr>
          <w:p>
            <w:pPr>
              <w:spacing w:after="0"/>
              <w:rPr>
                <w:sz w:val="20"/>
                <w:szCs w:val="20"/>
                <w:color w:val="auto"/>
              </w:rPr>
            </w:pPr>
            <w:r>
              <w:rPr>
                <w:rFonts w:ascii="Arial" w:cs="Arial" w:eastAsia="Arial" w:hAnsi="Arial"/>
                <w:sz w:val="16"/>
                <w:szCs w:val="16"/>
                <w:color w:val="auto"/>
                <w:w w:val="93"/>
              </w:rPr>
              <w:t>The movement of the equity investment during the three months ended March 31, 2019 is summarized below:</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8"/>
        </w:trPr>
        <w:tc>
          <w:tcPr>
            <w:tcW w:w="6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3"/>
        </w:trPr>
        <w:tc>
          <w:tcPr>
            <w:tcW w:w="6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2"/>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Beginning of period</w:t>
            </w:r>
          </w:p>
        </w:tc>
        <w:tc>
          <w:tcPr>
            <w:tcW w:w="11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6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6140" w:type="dxa"/>
            <w:vAlign w:val="bottom"/>
          </w:tcPr>
          <w:p>
            <w:pPr>
              <w:spacing w:after="0"/>
              <w:rPr>
                <w:sz w:val="20"/>
                <w:szCs w:val="20"/>
                <w:color w:val="auto"/>
              </w:rPr>
            </w:pPr>
            <w:r>
              <w:rPr>
                <w:rFonts w:ascii="Arial" w:cs="Arial" w:eastAsia="Arial" w:hAnsi="Arial"/>
                <w:sz w:val="16"/>
                <w:szCs w:val="16"/>
                <w:color w:val="auto"/>
              </w:rPr>
              <w:t>Unrealized gain/(loss)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896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2"/>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End of period</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4" w:lineRule="exact"/>
        <w:rPr>
          <w:sz w:val="20"/>
          <w:szCs w:val="20"/>
          <w:color w:val="auto"/>
        </w:rPr>
      </w:pPr>
    </w:p>
    <w:p>
      <w:pPr>
        <w:ind w:left="284" w:right="620"/>
        <w:spacing w:after="0" w:line="277" w:lineRule="auto"/>
        <w:rPr>
          <w:sz w:val="20"/>
          <w:szCs w:val="20"/>
          <w:color w:val="auto"/>
        </w:rPr>
      </w:pPr>
      <w:r>
        <w:rPr>
          <w:rFonts w:ascii="Arial" w:cs="Arial" w:eastAsia="Arial" w:hAnsi="Arial"/>
          <w:sz w:val="16"/>
          <w:szCs w:val="16"/>
          <w:color w:val="auto"/>
        </w:rPr>
        <w:t>The unrealized gain of $896 for the three months ended March 31, 2019 is included within Other (income) expense, net in the condensed consolidated statements of operations and comprehensive loss.</w:t>
      </w:r>
    </w:p>
    <w:p>
      <w:pPr>
        <w:spacing w:after="0" w:line="172"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280" w:type="dxa"/>
            <w:vAlign w:val="bottom"/>
          </w:tcPr>
          <w:p>
            <w:pPr>
              <w:jc w:val="right"/>
              <w:spacing w:after="0"/>
              <w:rPr>
                <w:sz w:val="20"/>
                <w:szCs w:val="20"/>
                <w:color w:val="auto"/>
              </w:rPr>
            </w:pPr>
            <w:r>
              <w:rPr>
                <w:rFonts w:ascii="Arial" w:cs="Arial" w:eastAsia="Arial" w:hAnsi="Arial"/>
                <w:sz w:val="16"/>
                <w:szCs w:val="16"/>
                <w:b w:val="1"/>
                <w:bCs w:val="1"/>
                <w:color w:val="auto"/>
                <w:w w:val="80"/>
              </w:rPr>
              <w:t>10.</w:t>
            </w:r>
          </w:p>
        </w:tc>
        <w:tc>
          <w:tcPr>
            <w:tcW w:w="8800" w:type="dxa"/>
            <w:vAlign w:val="bottom"/>
          </w:tcPr>
          <w:p>
            <w:pPr>
              <w:ind w:left="300"/>
              <w:spacing w:after="0"/>
              <w:rPr>
                <w:sz w:val="20"/>
                <w:szCs w:val="20"/>
                <w:color w:val="auto"/>
              </w:rPr>
            </w:pPr>
            <w:r>
              <w:rPr>
                <w:rFonts w:ascii="Arial" w:cs="Arial" w:eastAsia="Arial" w:hAnsi="Arial"/>
                <w:sz w:val="16"/>
                <w:szCs w:val="16"/>
                <w:b w:val="1"/>
                <w:bCs w:val="1"/>
                <w:color w:val="auto"/>
              </w:rPr>
              <w:t>Construction in progress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8"/>
        </w:trPr>
        <w:tc>
          <w:tcPr>
            <w:tcW w:w="280" w:type="dxa"/>
            <w:vAlign w:val="bottom"/>
          </w:tcPr>
          <w:p>
            <w:pPr>
              <w:spacing w:after="0"/>
              <w:rPr>
                <w:sz w:val="24"/>
                <w:szCs w:val="24"/>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The Company’s construction in progress activity during the three months ended March 31, 2019 is detailed below:</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8"/>
        </w:trPr>
        <w:tc>
          <w:tcPr>
            <w:tcW w:w="28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28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r>
      <w:tr>
        <w:trPr>
          <w:trHeight w:val="192"/>
        </w:trPr>
        <w:tc>
          <w:tcPr>
            <w:tcW w:w="28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254,700</w:t>
            </w:r>
          </w:p>
        </w:tc>
        <w:tc>
          <w:tcPr>
            <w:tcW w:w="120" w:type="dxa"/>
            <w:vAlign w:val="bottom"/>
            <w:shd w:val="clear" w:color="auto" w:fill="CCEEFF"/>
          </w:tcPr>
          <w:p>
            <w:pPr>
              <w:spacing w:after="0"/>
              <w:rPr>
                <w:sz w:val="16"/>
                <w:szCs w:val="16"/>
                <w:color w:val="auto"/>
              </w:rPr>
            </w:pPr>
          </w:p>
        </w:tc>
      </w:tr>
      <w:tr>
        <w:trPr>
          <w:trHeight w:val="192"/>
        </w:trPr>
        <w:tc>
          <w:tcPr>
            <w:tcW w:w="280" w:type="dxa"/>
            <w:vAlign w:val="bottom"/>
          </w:tcPr>
          <w:p>
            <w:pPr>
              <w:spacing w:after="0"/>
              <w:rPr>
                <w:sz w:val="16"/>
                <w:szCs w:val="16"/>
                <w:color w:val="auto"/>
              </w:rPr>
            </w:pPr>
          </w:p>
        </w:tc>
        <w:tc>
          <w:tcPr>
            <w:tcW w:w="8800" w:type="dxa"/>
            <w:vAlign w:val="bottom"/>
          </w:tcPr>
          <w:p>
            <w:pPr>
              <w:ind w:left="140"/>
              <w:spacing w:after="0"/>
              <w:rPr>
                <w:sz w:val="20"/>
                <w:szCs w:val="20"/>
                <w:color w:val="auto"/>
              </w:rPr>
            </w:pPr>
            <w:r>
              <w:rPr>
                <w:rFonts w:ascii="Arial" w:cs="Arial" w:eastAsia="Arial" w:hAnsi="Arial"/>
                <w:sz w:val="16"/>
                <w:szCs w:val="16"/>
                <w:color w:val="auto"/>
              </w:rPr>
              <w:t>Additions</w:t>
            </w: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94,936</w:t>
            </w:r>
          </w:p>
        </w:tc>
      </w:tr>
      <w:tr>
        <w:trPr>
          <w:trHeight w:val="196"/>
        </w:trPr>
        <w:tc>
          <w:tcPr>
            <w:tcW w:w="280" w:type="dxa"/>
            <w:vAlign w:val="bottom"/>
          </w:tcPr>
          <w:p>
            <w:pPr>
              <w:spacing w:after="0"/>
              <w:rPr>
                <w:sz w:val="17"/>
                <w:szCs w:val="17"/>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Transferred to property, plant and equipment, net (Note 11)</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(5,673)</w:t>
            </w:r>
          </w:p>
        </w:tc>
      </w:tr>
      <w:tr>
        <w:trPr>
          <w:trHeight w:val="192"/>
        </w:trPr>
        <w:tc>
          <w:tcPr>
            <w:tcW w:w="280" w:type="dxa"/>
            <w:vAlign w:val="bottom"/>
          </w:tcPr>
          <w:p>
            <w:pPr>
              <w:spacing w:after="0"/>
              <w:rPr>
                <w:sz w:val="16"/>
                <w:szCs w:val="16"/>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Balance at end of period</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343,963</w:t>
            </w:r>
          </w:p>
        </w:tc>
        <w:tc>
          <w:tcPr>
            <w:tcW w:w="120" w:type="dxa"/>
            <w:vAlign w:val="bottom"/>
            <w:tcBorders>
              <w:top w:val="single" w:sz="8" w:color="CCEEFF"/>
            </w:tcBorders>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4" w:lineRule="exact"/>
        <w:rPr>
          <w:sz w:val="20"/>
          <w:szCs w:val="20"/>
          <w:color w:val="auto"/>
        </w:rPr>
      </w:pPr>
    </w:p>
    <w:p>
      <w:pPr>
        <w:ind w:left="284" w:right="100"/>
        <w:spacing w:after="0" w:line="277" w:lineRule="auto"/>
        <w:rPr>
          <w:sz w:val="20"/>
          <w:szCs w:val="20"/>
          <w:color w:val="auto"/>
        </w:rPr>
      </w:pPr>
      <w:r>
        <w:rPr>
          <w:rFonts w:ascii="Arial" w:cs="Arial" w:eastAsia="Arial" w:hAnsi="Arial"/>
          <w:sz w:val="16"/>
          <w:szCs w:val="16"/>
          <w:color w:val="auto"/>
        </w:rPr>
        <w:t>Interest expense of $3,669 and $0 was capitalized for the three months ended March 31, 2019 and 2018, respectively, inclusive of amortized debt issuance costs disclosed in “Note 16. Debt.”</w:t>
      </w:r>
    </w:p>
    <w:p>
      <w:pPr>
        <w:spacing w:after="0" w:line="341" w:lineRule="exact"/>
        <w:rPr>
          <w:sz w:val="20"/>
          <w:szCs w:val="20"/>
          <w:color w:val="auto"/>
        </w:rPr>
      </w:pPr>
    </w:p>
    <w:p>
      <w:pPr>
        <w:jc w:val="center"/>
        <w:ind w:right="-23"/>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sectPr>
      </w:pPr>
    </w:p>
    <w:bookmarkStart w:id="17" w:name="page18"/>
    <w:bookmarkEnd w:id="17"/>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584" w:hanging="584"/>
        <w:spacing w:after="0"/>
        <w:tabs>
          <w:tab w:leader="none" w:pos="584"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 and equipment, net</w:t>
      </w:r>
    </w:p>
    <w:p>
      <w:pPr>
        <w:spacing w:after="0" w:line="228" w:lineRule="exact"/>
        <w:rPr>
          <w:sz w:val="20"/>
          <w:szCs w:val="20"/>
          <w:color w:val="auto"/>
        </w:rPr>
      </w:pPr>
    </w:p>
    <w:p>
      <w:pPr>
        <w:ind w:left="284"/>
        <w:spacing w:after="0"/>
        <w:rPr>
          <w:sz w:val="20"/>
          <w:szCs w:val="20"/>
          <w:color w:val="auto"/>
        </w:rPr>
      </w:pPr>
      <w:r>
        <w:rPr>
          <w:rFonts w:ascii="Arial" w:cs="Arial" w:eastAsia="Arial" w:hAnsi="Arial"/>
          <w:sz w:val="16"/>
          <w:szCs w:val="16"/>
          <w:color w:val="auto"/>
        </w:rPr>
        <w:t>As of March 31, 2019 and December 31, 2018 the Company’s property, plant and equipment, net consisted of the following:</w:t>
      </w:r>
    </w:p>
    <w:p>
      <w:pPr>
        <w:spacing w:after="0" w:line="196" w:lineRule="exact"/>
        <w:rPr>
          <w:sz w:val="20"/>
          <w:szCs w:val="20"/>
          <w:color w:val="auto"/>
        </w:rPr>
      </w:pPr>
    </w:p>
    <w:tbl>
      <w:tblPr>
        <w:tblLayout w:type="fixed"/>
        <w:tblInd w:w="284"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March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8"/>
              </w:rPr>
              <w:t>December 31,</w:t>
            </w:r>
          </w:p>
        </w:tc>
      </w:tr>
      <w:tr>
        <w:trPr>
          <w:trHeight w:val="213"/>
        </w:trPr>
        <w:tc>
          <w:tcPr>
            <w:tcW w:w="7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192"/>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LNG liquefaction facilities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67,924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65,631</w:t>
            </w:r>
          </w:p>
        </w:tc>
        <w:tc>
          <w:tcPr>
            <w:tcW w:w="120" w:type="dxa"/>
            <w:vAlign w:val="bottom"/>
            <w:shd w:val="clear" w:color="auto" w:fill="CCEEFF"/>
          </w:tcPr>
          <w:p>
            <w:pPr>
              <w:spacing w:after="0"/>
              <w:rPr>
                <w:sz w:val="16"/>
                <w:szCs w:val="16"/>
                <w:color w:val="auto"/>
              </w:rPr>
            </w:pPr>
          </w:p>
        </w:tc>
      </w:tr>
      <w:tr>
        <w:trPr>
          <w:trHeight w:val="192"/>
        </w:trPr>
        <w:tc>
          <w:tcPr>
            <w:tcW w:w="7480" w:type="dxa"/>
            <w:vAlign w:val="bottom"/>
          </w:tcPr>
          <w:p>
            <w:pPr>
              <w:spacing w:after="0"/>
              <w:rPr>
                <w:sz w:val="20"/>
                <w:szCs w:val="20"/>
                <w:color w:val="auto"/>
              </w:rPr>
            </w:pPr>
            <w:r>
              <w:rPr>
                <w:rFonts w:ascii="Arial" w:cs="Arial" w:eastAsia="Arial" w:hAnsi="Arial"/>
                <w:sz w:val="16"/>
                <w:szCs w:val="16"/>
                <w:color w:val="auto"/>
              </w:rPr>
              <w:t>ISO containers and other equipment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15,873</w:t>
            </w:r>
          </w:p>
        </w:tc>
      </w:tr>
      <w:tr>
        <w:trPr>
          <w:trHeight w:val="192"/>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12,779</w:t>
            </w:r>
          </w:p>
        </w:tc>
      </w:tr>
      <w:tr>
        <w:trPr>
          <w:trHeight w:val="192"/>
        </w:trPr>
        <w:tc>
          <w:tcPr>
            <w:tcW w:w="7480" w:type="dxa"/>
            <w:vAlign w:val="bottom"/>
          </w:tcPr>
          <w:p>
            <w:pPr>
              <w:spacing w:after="0"/>
              <w:rPr>
                <w:sz w:val="20"/>
                <w:szCs w:val="20"/>
                <w:color w:val="auto"/>
              </w:rPr>
            </w:pPr>
            <w:r>
              <w:rPr>
                <w:rFonts w:ascii="Arial" w:cs="Arial" w:eastAsia="Arial" w:hAnsi="Arial"/>
                <w:sz w:val="16"/>
                <w:szCs w:val="16"/>
                <w:color w:val="auto"/>
              </w:rPr>
              <w:t>Leasehold improvements</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8,054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7,229</w:t>
            </w:r>
          </w:p>
        </w:tc>
        <w:tc>
          <w:tcPr>
            <w:tcW w:w="120" w:type="dxa"/>
            <w:vAlign w:val="bottom"/>
          </w:tcPr>
          <w:p>
            <w:pPr>
              <w:spacing w:after="0"/>
              <w:rPr>
                <w:sz w:val="16"/>
                <w:szCs w:val="16"/>
                <w:color w:val="auto"/>
              </w:rPr>
            </w:pPr>
          </w:p>
        </w:tc>
      </w:tr>
      <w:tr>
        <w:trPr>
          <w:trHeight w:val="192"/>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Vehicles</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20" w:type="dxa"/>
            <w:vAlign w:val="bottom"/>
            <w:shd w:val="clear" w:color="auto" w:fill="CCEEFF"/>
          </w:tcPr>
          <w:p>
            <w:pPr>
              <w:spacing w:after="0"/>
              <w:rPr>
                <w:sz w:val="16"/>
                <w:szCs w:val="16"/>
                <w:color w:val="auto"/>
              </w:rPr>
            </w:pPr>
          </w:p>
        </w:tc>
      </w:tr>
      <w:tr>
        <w:trPr>
          <w:trHeight w:val="192"/>
        </w:trPr>
        <w:tc>
          <w:tcPr>
            <w:tcW w:w="7480" w:type="dxa"/>
            <w:vAlign w:val="bottom"/>
          </w:tcPr>
          <w:p>
            <w:pPr>
              <w:spacing w:after="0"/>
              <w:rPr>
                <w:sz w:val="20"/>
                <w:szCs w:val="20"/>
                <w:color w:val="auto"/>
              </w:rPr>
            </w:pPr>
            <w:r>
              <w:rPr>
                <w:rFonts w:ascii="Arial" w:cs="Arial" w:eastAsia="Arial" w:hAnsi="Arial"/>
                <w:sz w:val="16"/>
                <w:szCs w:val="16"/>
                <w:color w:val="auto"/>
              </w:rPr>
              <w:t>Computer equipment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741</w:t>
            </w:r>
          </w:p>
        </w:tc>
      </w:tr>
      <w:tr>
        <w:trPr>
          <w:trHeight w:val="192"/>
        </w:trPr>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Accumulated depreciation</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(10,967)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(9,391)</w:t>
            </w:r>
          </w:p>
        </w:tc>
      </w:tr>
      <w:tr>
        <w:trPr>
          <w:trHeight w:val="24"/>
        </w:trPr>
        <w:tc>
          <w:tcPr>
            <w:tcW w:w="74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7480" w:type="dxa"/>
            <w:vAlign w:val="bottom"/>
          </w:tcPr>
          <w:p>
            <w:pPr>
              <w:ind w:left="140"/>
              <w:spacing w:after="0"/>
              <w:rPr>
                <w:sz w:val="20"/>
                <w:szCs w:val="20"/>
                <w:color w:val="auto"/>
              </w:rPr>
            </w:pPr>
            <w:r>
              <w:rPr>
                <w:rFonts w:ascii="Arial" w:cs="Arial" w:eastAsia="Arial" w:hAnsi="Arial"/>
                <w:sz w:val="16"/>
                <w:szCs w:val="16"/>
                <w:color w:val="auto"/>
              </w:rPr>
              <w:t>Total property, plant and equipment,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102,012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94,040</w:t>
            </w:r>
          </w:p>
        </w:tc>
      </w:tr>
      <w:tr>
        <w:trPr>
          <w:trHeight w:val="20"/>
        </w:trPr>
        <w:tc>
          <w:tcPr>
            <w:tcW w:w="7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4" w:lineRule="exact"/>
        <w:rPr>
          <w:sz w:val="20"/>
          <w:szCs w:val="20"/>
          <w:color w:val="auto"/>
        </w:rPr>
      </w:pPr>
    </w:p>
    <w:p>
      <w:pPr>
        <w:ind w:left="284" w:right="20"/>
        <w:spacing w:after="0" w:line="277" w:lineRule="auto"/>
        <w:rPr>
          <w:sz w:val="20"/>
          <w:szCs w:val="20"/>
          <w:color w:val="auto"/>
        </w:rPr>
      </w:pPr>
      <w:r>
        <w:rPr>
          <w:rFonts w:ascii="Arial" w:cs="Arial" w:eastAsia="Arial" w:hAnsi="Arial"/>
          <w:sz w:val="16"/>
          <w:szCs w:val="16"/>
          <w:color w:val="auto"/>
        </w:rPr>
        <w:t>Depreciation for the three months ended March 31, 2019 and 2018 totaled $1,580 and $857, respectively, of which $158 and $161 is respectively included within Cost of sales in the condensed consolidated statements of operations and comprehensive loss.</w:t>
      </w:r>
    </w:p>
    <w:p>
      <w:pPr>
        <w:spacing w:after="0" w:line="172" w:lineRule="exact"/>
        <w:rPr>
          <w:sz w:val="20"/>
          <w:szCs w:val="20"/>
          <w:color w:val="auto"/>
        </w:rPr>
      </w:pPr>
    </w:p>
    <w:p>
      <w:pPr>
        <w:ind w:left="584" w:hanging="584"/>
        <w:spacing w:after="0"/>
        <w:tabs>
          <w:tab w:leader="none" w:pos="584"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Intangible assets</w:t>
      </w:r>
    </w:p>
    <w:p>
      <w:pPr>
        <w:spacing w:after="0" w:line="228" w:lineRule="exact"/>
        <w:rPr>
          <w:sz w:val="20"/>
          <w:szCs w:val="20"/>
          <w:color w:val="auto"/>
        </w:rPr>
      </w:pPr>
    </w:p>
    <w:p>
      <w:pPr>
        <w:ind w:left="284"/>
        <w:spacing w:after="0" w:line="319" w:lineRule="auto"/>
        <w:rPr>
          <w:sz w:val="20"/>
          <w:szCs w:val="20"/>
          <w:color w:val="auto"/>
        </w:rPr>
      </w:pPr>
      <w:r>
        <w:rPr>
          <w:rFonts w:ascii="Arial" w:cs="Arial" w:eastAsia="Arial" w:hAnsi="Arial"/>
          <w:sz w:val="14"/>
          <w:szCs w:val="14"/>
          <w:color w:val="auto"/>
        </w:rPr>
        <w:t>On November 9, 2018, the Company entered into an agreement to acquire the entire issued share capital of Shannon LNG Limited and Shannon LNG Energy Limited (together, "Shannon LNG"). Shannon LNG was previously formed to construct and operate a terminal, pipeline and related infrastructure in order to deliver natural gas to downstream customers in Ireland. In connection with the acquisition, the Company recognized intangible assets related to favorable lease agreements and permits.</w:t>
      </w:r>
    </w:p>
    <w:p>
      <w:pPr>
        <w:spacing w:after="0" w:line="151"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following table summarizes the composition of intangible assets as of March 31, 2019 and December 31, 2018:</w:t>
      </w:r>
    </w:p>
    <w:p>
      <w:pPr>
        <w:spacing w:after="0" w:line="196" w:lineRule="exact"/>
        <w:rPr>
          <w:sz w:val="20"/>
          <w:szCs w:val="20"/>
          <w:color w:val="auto"/>
        </w:rPr>
      </w:pPr>
    </w:p>
    <w:tbl>
      <w:tblPr>
        <w:tblLayout w:type="fixed"/>
        <w:tblInd w:w="284"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rPr>
              <w:t>March 31, 2019</w:t>
            </w:r>
          </w:p>
        </w:tc>
        <w:tc>
          <w:tcPr>
            <w:tcW w:w="2460" w:type="dxa"/>
            <w:vAlign w:val="bottom"/>
            <w:tcBorders>
              <w:bottom w:val="single" w:sz="8" w:color="auto"/>
            </w:tcBorders>
          </w:tcPr>
          <w:p>
            <w:pPr>
              <w:spacing w:after="0"/>
              <w:rPr>
                <w:sz w:val="18"/>
                <w:szCs w:val="18"/>
                <w:color w:val="auto"/>
              </w:rPr>
            </w:pPr>
          </w:p>
        </w:tc>
      </w:tr>
      <w:tr>
        <w:trPr>
          <w:trHeight w:val="176"/>
        </w:trPr>
        <w:tc>
          <w:tcPr>
            <w:tcW w:w="3660" w:type="dxa"/>
            <w:vAlign w:val="bottom"/>
          </w:tcPr>
          <w:p>
            <w:pPr>
              <w:spacing w:after="0"/>
              <w:rPr>
                <w:sz w:val="15"/>
                <w:szCs w:val="15"/>
                <w:color w:val="auto"/>
              </w:rPr>
            </w:pPr>
          </w:p>
        </w:tc>
        <w:tc>
          <w:tcPr>
            <w:tcW w:w="1360" w:type="dxa"/>
            <w:vAlign w:val="bottom"/>
            <w:gridSpan w:val="3"/>
          </w:tcPr>
          <w:p>
            <w:pPr>
              <w:jc w:val="center"/>
              <w:ind w:right="220"/>
              <w:spacing w:after="0" w:line="176" w:lineRule="exact"/>
              <w:rPr>
                <w:sz w:val="20"/>
                <w:szCs w:val="20"/>
                <w:color w:val="auto"/>
              </w:rPr>
            </w:pPr>
            <w:r>
              <w:rPr>
                <w:rFonts w:ascii="Arial" w:cs="Arial" w:eastAsia="Arial" w:hAnsi="Arial"/>
                <w:sz w:val="16"/>
                <w:szCs w:val="16"/>
                <w:b w:val="1"/>
                <w:bCs w:val="1"/>
                <w:color w:val="auto"/>
                <w:w w:val="90"/>
              </w:rPr>
              <w:t>Gross Carrying</w:t>
            </w:r>
          </w:p>
        </w:tc>
        <w:tc>
          <w:tcPr>
            <w:tcW w:w="80" w:type="dxa"/>
            <w:vAlign w:val="bottom"/>
          </w:tcPr>
          <w:p>
            <w:pPr>
              <w:spacing w:after="0"/>
              <w:rPr>
                <w:sz w:val="15"/>
                <w:szCs w:val="15"/>
                <w:color w:val="auto"/>
              </w:rPr>
            </w:pPr>
          </w:p>
        </w:tc>
        <w:tc>
          <w:tcPr>
            <w:tcW w:w="106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5"/>
              </w:rPr>
              <w:t>Net Carrying</w:t>
            </w:r>
          </w:p>
        </w:tc>
        <w:tc>
          <w:tcPr>
            <w:tcW w:w="2460" w:type="dxa"/>
            <w:vAlign w:val="bottom"/>
          </w:tcPr>
          <w:p>
            <w:pPr>
              <w:spacing w:after="0"/>
              <w:rPr>
                <w:sz w:val="15"/>
                <w:szCs w:val="15"/>
                <w:color w:val="auto"/>
              </w:rPr>
            </w:pPr>
          </w:p>
        </w:tc>
      </w:tr>
      <w:tr>
        <w:trPr>
          <w:trHeight w:val="213"/>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Amount</w:t>
            </w:r>
          </w:p>
        </w:tc>
        <w:tc>
          <w:tcPr>
            <w:tcW w:w="24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r>
      <w:tr>
        <w:trPr>
          <w:trHeight w:val="196"/>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Shannon LNG leases and permits</w:t>
            </w: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42,700</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42,297</w:t>
            </w:r>
          </w:p>
        </w:tc>
        <w:tc>
          <w:tcPr>
            <w:tcW w:w="1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40 to 91</w:t>
            </w:r>
          </w:p>
        </w:tc>
      </w:tr>
      <w:tr>
        <w:trPr>
          <w:trHeight w:val="192"/>
        </w:trPr>
        <w:tc>
          <w:tcPr>
            <w:tcW w:w="3660" w:type="dxa"/>
            <w:vAlign w:val="bottom"/>
          </w:tcPr>
          <w:p>
            <w:pPr>
              <w:ind w:left="140"/>
              <w:spacing w:after="0"/>
              <w:rPr>
                <w:sz w:val="20"/>
                <w:szCs w:val="20"/>
                <w:color w:val="auto"/>
              </w:rPr>
            </w:pPr>
            <w:r>
              <w:rPr>
                <w:rFonts w:ascii="Arial" w:cs="Arial" w:eastAsia="Arial" w:hAnsi="Arial"/>
                <w:sz w:val="16"/>
                <w:szCs w:val="16"/>
                <w:color w:val="auto"/>
              </w:rPr>
              <w:t>Total intangible assets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42,700</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42,297</w:t>
            </w:r>
          </w:p>
        </w:tc>
        <w:tc>
          <w:tcPr>
            <w:tcW w:w="2460" w:type="dxa"/>
            <w:vAlign w:val="bottom"/>
          </w:tcPr>
          <w:p>
            <w:pPr>
              <w:spacing w:after="0"/>
              <w:rPr>
                <w:sz w:val="16"/>
                <w:szCs w:val="16"/>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00"/>
        </w:trPr>
        <w:tc>
          <w:tcPr>
            <w:tcW w:w="3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w w:val="91"/>
              </w:rPr>
              <w:t>December 31, 2018</w:t>
            </w:r>
          </w:p>
        </w:tc>
        <w:tc>
          <w:tcPr>
            <w:tcW w:w="2460" w:type="dxa"/>
            <w:vAlign w:val="bottom"/>
            <w:tcBorders>
              <w:bottom w:val="single" w:sz="8" w:color="auto"/>
            </w:tcBorders>
          </w:tcPr>
          <w:p>
            <w:pPr>
              <w:spacing w:after="0"/>
              <w:rPr>
                <w:sz w:val="24"/>
                <w:szCs w:val="24"/>
                <w:color w:val="auto"/>
              </w:rPr>
            </w:pPr>
          </w:p>
        </w:tc>
      </w:tr>
      <w:tr>
        <w:trPr>
          <w:trHeight w:val="176"/>
        </w:trPr>
        <w:tc>
          <w:tcPr>
            <w:tcW w:w="3660" w:type="dxa"/>
            <w:vAlign w:val="bottom"/>
          </w:tcPr>
          <w:p>
            <w:pPr>
              <w:spacing w:after="0"/>
              <w:rPr>
                <w:sz w:val="15"/>
                <w:szCs w:val="15"/>
                <w:color w:val="auto"/>
              </w:rPr>
            </w:pPr>
          </w:p>
        </w:tc>
        <w:tc>
          <w:tcPr>
            <w:tcW w:w="1360" w:type="dxa"/>
            <w:vAlign w:val="bottom"/>
            <w:gridSpan w:val="3"/>
          </w:tcPr>
          <w:p>
            <w:pPr>
              <w:jc w:val="center"/>
              <w:ind w:right="220"/>
              <w:spacing w:after="0" w:line="176" w:lineRule="exact"/>
              <w:rPr>
                <w:sz w:val="20"/>
                <w:szCs w:val="20"/>
                <w:color w:val="auto"/>
              </w:rPr>
            </w:pPr>
            <w:r>
              <w:rPr>
                <w:rFonts w:ascii="Arial" w:cs="Arial" w:eastAsia="Arial" w:hAnsi="Arial"/>
                <w:sz w:val="16"/>
                <w:szCs w:val="16"/>
                <w:b w:val="1"/>
                <w:bCs w:val="1"/>
                <w:color w:val="auto"/>
                <w:w w:val="90"/>
              </w:rPr>
              <w:t>Gross Carrying</w:t>
            </w:r>
          </w:p>
        </w:tc>
        <w:tc>
          <w:tcPr>
            <w:tcW w:w="80" w:type="dxa"/>
            <w:vAlign w:val="bottom"/>
          </w:tcPr>
          <w:p>
            <w:pPr>
              <w:spacing w:after="0"/>
              <w:rPr>
                <w:sz w:val="15"/>
                <w:szCs w:val="15"/>
                <w:color w:val="auto"/>
              </w:rPr>
            </w:pPr>
          </w:p>
        </w:tc>
        <w:tc>
          <w:tcPr>
            <w:tcW w:w="106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5"/>
              </w:rPr>
              <w:t>Net Carrying</w:t>
            </w:r>
          </w:p>
        </w:tc>
        <w:tc>
          <w:tcPr>
            <w:tcW w:w="2460" w:type="dxa"/>
            <w:vAlign w:val="bottom"/>
          </w:tcPr>
          <w:p>
            <w:pPr>
              <w:spacing w:after="0"/>
              <w:rPr>
                <w:sz w:val="15"/>
                <w:szCs w:val="15"/>
                <w:color w:val="auto"/>
              </w:rPr>
            </w:pPr>
          </w:p>
        </w:tc>
      </w:tr>
      <w:tr>
        <w:trPr>
          <w:trHeight w:val="213"/>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Amount</w:t>
            </w:r>
          </w:p>
        </w:tc>
        <w:tc>
          <w:tcPr>
            <w:tcW w:w="24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r>
      <w:tr>
        <w:trPr>
          <w:trHeight w:val="196"/>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Shannon LNG leases and permits</w:t>
            </w: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43,191</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43,057</w:t>
            </w:r>
          </w:p>
        </w:tc>
        <w:tc>
          <w:tcPr>
            <w:tcW w:w="1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40 to 91</w:t>
            </w:r>
          </w:p>
        </w:tc>
      </w:tr>
      <w:tr>
        <w:trPr>
          <w:trHeight w:val="192"/>
        </w:trPr>
        <w:tc>
          <w:tcPr>
            <w:tcW w:w="3660" w:type="dxa"/>
            <w:vAlign w:val="bottom"/>
          </w:tcPr>
          <w:p>
            <w:pPr>
              <w:ind w:left="140"/>
              <w:spacing w:after="0"/>
              <w:rPr>
                <w:sz w:val="20"/>
                <w:szCs w:val="20"/>
                <w:color w:val="auto"/>
              </w:rPr>
            </w:pPr>
            <w:r>
              <w:rPr>
                <w:rFonts w:ascii="Arial" w:cs="Arial" w:eastAsia="Arial" w:hAnsi="Arial"/>
                <w:sz w:val="16"/>
                <w:szCs w:val="16"/>
                <w:color w:val="auto"/>
              </w:rPr>
              <w:t>Total intangible assets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43,191</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134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43,057</w:t>
            </w:r>
          </w:p>
        </w:tc>
        <w:tc>
          <w:tcPr>
            <w:tcW w:w="2460" w:type="dxa"/>
            <w:vAlign w:val="bottom"/>
          </w:tcPr>
          <w:p>
            <w:pPr>
              <w:spacing w:after="0"/>
              <w:rPr>
                <w:sz w:val="16"/>
                <w:szCs w:val="16"/>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04" w:lineRule="exact"/>
        <w:rPr>
          <w:sz w:val="20"/>
          <w:szCs w:val="20"/>
          <w:color w:val="auto"/>
        </w:rPr>
      </w:pPr>
    </w:p>
    <w:p>
      <w:pPr>
        <w:ind w:left="284"/>
        <w:spacing w:after="0"/>
        <w:rPr>
          <w:sz w:val="20"/>
          <w:szCs w:val="20"/>
          <w:color w:val="auto"/>
        </w:rPr>
      </w:pPr>
      <w:r>
        <w:rPr>
          <w:rFonts w:ascii="Arial" w:cs="Arial" w:eastAsia="Arial" w:hAnsi="Arial"/>
          <w:sz w:val="16"/>
          <w:szCs w:val="16"/>
          <w:color w:val="auto"/>
        </w:rPr>
        <w:t>As of March 31, 2019, the weighted-average remaining amortization periods for the intangible assets is 39.87 years.</w:t>
      </w:r>
    </w:p>
    <w:p>
      <w:pPr>
        <w:spacing w:after="0" w:line="220" w:lineRule="exact"/>
        <w:rPr>
          <w:sz w:val="20"/>
          <w:szCs w:val="20"/>
          <w:color w:val="auto"/>
        </w:rPr>
      </w:pPr>
    </w:p>
    <w:p>
      <w:pPr>
        <w:ind w:left="584" w:hanging="584"/>
        <w:spacing w:after="0"/>
        <w:tabs>
          <w:tab w:leader="none" w:pos="584"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Finance leases, net</w:t>
      </w:r>
    </w:p>
    <w:p>
      <w:pPr>
        <w:spacing w:after="0" w:line="228" w:lineRule="exact"/>
        <w:rPr>
          <w:sz w:val="20"/>
          <w:szCs w:val="20"/>
          <w:color w:val="auto"/>
        </w:rPr>
      </w:pPr>
    </w:p>
    <w:p>
      <w:pPr>
        <w:jc w:val="both"/>
        <w:ind w:left="284" w:right="180"/>
        <w:spacing w:after="0" w:line="264" w:lineRule="auto"/>
        <w:rPr>
          <w:sz w:val="20"/>
          <w:szCs w:val="20"/>
          <w:color w:val="auto"/>
        </w:rPr>
      </w:pPr>
      <w:r>
        <w:rPr>
          <w:rFonts w:ascii="Arial" w:cs="Arial" w:eastAsia="Arial" w:hAnsi="Arial"/>
          <w:sz w:val="16"/>
          <w:szCs w:val="16"/>
          <w:color w:val="auto"/>
        </w:rPr>
        <w:t>The Company placed its storage and regasification LNG terminal in Montego Bay, Jamaica into service on October 30, 2016, which has been accounted for as a direct finance lease. In addition, the Company has also entered into other arrangements to lease equipment to customers which are accounted for as direct finance leases. The components of the direct finance leases as of March 31, 2019 and December 31, 2018 are as follows:</w:t>
      </w:r>
    </w:p>
    <w:p>
      <w:pPr>
        <w:spacing w:after="0" w:line="350" w:lineRule="exact"/>
        <w:rPr>
          <w:sz w:val="20"/>
          <w:szCs w:val="20"/>
          <w:color w:val="auto"/>
        </w:rPr>
      </w:pPr>
    </w:p>
    <w:p>
      <w:pPr>
        <w:jc w:val="center"/>
        <w:ind w:right="-263"/>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164"/>
          </w:cols>
          <w:pgMar w:left="236" w:top="124" w:right="499" w:bottom="1440" w:gutter="0" w:footer="0" w:header="0"/>
        </w:sectPr>
      </w:pPr>
    </w:p>
    <w:bookmarkStart w:id="18" w:name="page19"/>
    <w:bookmarkEnd w:id="18"/>
    <w:tbl>
      <w:tblPr>
        <w:tblLayout w:type="fixed"/>
        <w:tblInd w:w="4" w:type="dxa"/>
        <w:tblCellMar>
          <w:top w:w="0" w:type="dxa"/>
          <w:left w:w="0" w:type="dxa"/>
          <w:bottom w:w="0" w:type="dxa"/>
          <w:right w:w="0" w:type="dxa"/>
        </w:tblCellMar>
      </w:tblPr>
      <w:tr>
        <w:trPr>
          <w:trHeight w:val="149"/>
        </w:trPr>
        <w:tc>
          <w:tcPr>
            <w:tcW w:w="776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4"/>
        </w:trPr>
        <w:tc>
          <w:tcPr>
            <w:tcW w:w="2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8"/>
              </w:rPr>
              <w:t>December 31,</w:t>
            </w:r>
          </w:p>
        </w:tc>
      </w:tr>
      <w:tr>
        <w:trPr>
          <w:trHeight w:val="213"/>
        </w:trPr>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192"/>
        </w:trPr>
        <w:tc>
          <w:tcPr>
            <w:tcW w:w="280" w:type="dxa"/>
            <w:vAlign w:val="bottom"/>
          </w:tcPr>
          <w:p>
            <w:pPr>
              <w:spacing w:after="0"/>
              <w:rPr>
                <w:sz w:val="16"/>
                <w:szCs w:val="16"/>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302,860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306,832</w:t>
            </w:r>
          </w:p>
        </w:tc>
        <w:tc>
          <w:tcPr>
            <w:tcW w:w="120" w:type="dxa"/>
            <w:vAlign w:val="bottom"/>
            <w:shd w:val="clear" w:color="auto" w:fill="CCEEFF"/>
          </w:tcPr>
          <w:p>
            <w:pPr>
              <w:spacing w:after="0"/>
              <w:rPr>
                <w:sz w:val="16"/>
                <w:szCs w:val="16"/>
                <w:color w:val="auto"/>
              </w:rPr>
            </w:pPr>
          </w:p>
        </w:tc>
      </w:tr>
      <w:tr>
        <w:trPr>
          <w:trHeight w:val="196"/>
        </w:trPr>
        <w:tc>
          <w:tcPr>
            <w:tcW w:w="280" w:type="dxa"/>
            <w:vAlign w:val="bottom"/>
          </w:tcPr>
          <w:p>
            <w:pPr>
              <w:spacing w:after="0"/>
              <w:rPr>
                <w:sz w:val="17"/>
                <w:szCs w:val="17"/>
                <w:color w:val="auto"/>
              </w:rPr>
            </w:pPr>
          </w:p>
        </w:tc>
        <w:tc>
          <w:tcPr>
            <w:tcW w:w="7480" w:type="dxa"/>
            <w:vAlign w:val="bottom"/>
            <w:gridSpan w:val="2"/>
          </w:tcPr>
          <w:p>
            <w:pPr>
              <w:spacing w:after="0"/>
              <w:rPr>
                <w:sz w:val="20"/>
                <w:szCs w:val="20"/>
                <w:color w:val="auto"/>
              </w:rPr>
            </w:pPr>
            <w:r>
              <w:rPr>
                <w:rFonts w:ascii="Arial" w:cs="Arial" w:eastAsia="Arial" w:hAnsi="Arial"/>
                <w:sz w:val="16"/>
                <w:szCs w:val="16"/>
                <w:color w:val="auto"/>
              </w:rPr>
              <w:t>Unearned income</w:t>
            </w:r>
          </w:p>
        </w:tc>
        <w:tc>
          <w:tcPr>
            <w:tcW w:w="1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(209,957)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(213,682)</w:t>
            </w:r>
          </w:p>
        </w:tc>
      </w:tr>
      <w:tr>
        <w:trPr>
          <w:trHeight w:val="232"/>
        </w:trPr>
        <w:tc>
          <w:tcPr>
            <w:tcW w:w="280" w:type="dxa"/>
            <w:vAlign w:val="bottom"/>
          </w:tcPr>
          <w:p>
            <w:pPr>
              <w:spacing w:after="0"/>
              <w:rPr>
                <w:sz w:val="20"/>
                <w:szCs w:val="20"/>
                <w:color w:val="auto"/>
              </w:rPr>
            </w:pPr>
          </w:p>
        </w:tc>
        <w:tc>
          <w:tcPr>
            <w:tcW w:w="7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finance leases,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92,903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93,150</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0"/>
        </w:trPr>
        <w:tc>
          <w:tcPr>
            <w:tcW w:w="280" w:type="dxa"/>
            <w:vAlign w:val="bottom"/>
          </w:tcPr>
          <w:p>
            <w:pPr>
              <w:spacing w:after="0"/>
              <w:rPr>
                <w:sz w:val="15"/>
                <w:szCs w:val="15"/>
                <w:color w:val="auto"/>
              </w:rPr>
            </w:pPr>
          </w:p>
        </w:tc>
        <w:tc>
          <w:tcPr>
            <w:tcW w:w="7480" w:type="dxa"/>
            <w:vAlign w:val="bottom"/>
            <w:gridSpan w:val="2"/>
          </w:tcPr>
          <w:p>
            <w:pPr>
              <w:ind w:left="140"/>
              <w:spacing w:after="0" w:line="181" w:lineRule="exact"/>
              <w:rPr>
                <w:sz w:val="20"/>
                <w:szCs w:val="20"/>
                <w:color w:val="auto"/>
              </w:rPr>
            </w:pPr>
            <w:r>
              <w:rPr>
                <w:rFonts w:ascii="Arial" w:cs="Arial" w:eastAsia="Arial" w:hAnsi="Arial"/>
                <w:sz w:val="16"/>
                <w:szCs w:val="16"/>
                <w:color w:val="auto"/>
              </w:rPr>
              <w:t>Current portion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993</w:t>
            </w:r>
          </w:p>
        </w:tc>
        <w:tc>
          <w:tcPr>
            <w:tcW w:w="120" w:type="dxa"/>
            <w:vAlign w:val="bottom"/>
          </w:tcPr>
          <w:p>
            <w:pPr>
              <w:spacing w:after="0"/>
              <w:rPr>
                <w:sz w:val="15"/>
                <w:szCs w:val="15"/>
                <w:color w:val="auto"/>
              </w:rPr>
            </w:pPr>
          </w:p>
        </w:tc>
        <w:tc>
          <w:tcPr>
            <w:tcW w:w="1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943</w:t>
            </w:r>
          </w:p>
        </w:tc>
      </w:tr>
      <w:tr>
        <w:trPr>
          <w:trHeight w:val="192"/>
        </w:trPr>
        <w:tc>
          <w:tcPr>
            <w:tcW w:w="280" w:type="dxa"/>
            <w:vAlign w:val="bottom"/>
          </w:tcPr>
          <w:p>
            <w:pPr>
              <w:spacing w:after="0"/>
              <w:rPr>
                <w:sz w:val="16"/>
                <w:szCs w:val="16"/>
                <w:color w:val="auto"/>
              </w:rPr>
            </w:pPr>
          </w:p>
        </w:tc>
        <w:tc>
          <w:tcPr>
            <w:tcW w:w="7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Non-current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91,910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92,207</w:t>
            </w:r>
          </w:p>
        </w:tc>
      </w:tr>
    </w:tbl>
    <w:p>
      <w:pPr>
        <w:spacing w:after="0" w:line="204" w:lineRule="exact"/>
        <w:rPr>
          <w:sz w:val="20"/>
          <w:szCs w:val="20"/>
          <w:color w:val="auto"/>
        </w:rPr>
      </w:pPr>
    </w:p>
    <w:p>
      <w:pPr>
        <w:ind w:left="284" w:right="160"/>
        <w:spacing w:after="0" w:line="277" w:lineRule="auto"/>
        <w:rPr>
          <w:sz w:val="20"/>
          <w:szCs w:val="20"/>
          <w:color w:val="auto"/>
        </w:rPr>
      </w:pPr>
      <w:r>
        <w:rPr>
          <w:rFonts w:ascii="Arial" w:cs="Arial" w:eastAsia="Arial" w:hAnsi="Arial"/>
          <w:sz w:val="16"/>
          <w:szCs w:val="16"/>
          <w:color w:val="auto"/>
        </w:rPr>
        <w:t>Receivables related to the Company’s direct finance leases are primarily with a public utility that generates consistent cash flow. Therefore, the Company does not expect a material impact to the results of operations or financial position due to nonperformance from such counterparty.</w:t>
      </w:r>
    </w:p>
    <w:p>
      <w:pPr>
        <w:spacing w:after="0" w:line="172"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280" w:type="dxa"/>
            <w:vAlign w:val="bottom"/>
          </w:tcPr>
          <w:p>
            <w:pPr>
              <w:jc w:val="right"/>
              <w:spacing w:after="0"/>
              <w:rPr>
                <w:sz w:val="20"/>
                <w:szCs w:val="20"/>
                <w:color w:val="auto"/>
              </w:rPr>
            </w:pPr>
            <w:r>
              <w:rPr>
                <w:rFonts w:ascii="Arial" w:cs="Arial" w:eastAsia="Arial" w:hAnsi="Arial"/>
                <w:sz w:val="16"/>
                <w:szCs w:val="16"/>
                <w:b w:val="1"/>
                <w:bCs w:val="1"/>
                <w:color w:val="auto"/>
                <w:w w:val="80"/>
              </w:rPr>
              <w:t>14.</w:t>
            </w:r>
          </w:p>
        </w:tc>
        <w:tc>
          <w:tcPr>
            <w:tcW w:w="7480" w:type="dxa"/>
            <w:vAlign w:val="bottom"/>
          </w:tcPr>
          <w:p>
            <w:pPr>
              <w:ind w:left="300"/>
              <w:spacing w:after="0"/>
              <w:rPr>
                <w:sz w:val="20"/>
                <w:szCs w:val="20"/>
                <w:color w:val="auto"/>
              </w:rPr>
            </w:pPr>
            <w:r>
              <w:rPr>
                <w:rFonts w:ascii="Arial" w:cs="Arial" w:eastAsia="Arial" w:hAnsi="Arial"/>
                <w:sz w:val="16"/>
                <w:szCs w:val="16"/>
                <w:b w:val="1"/>
                <w:bCs w:val="1"/>
                <w:color w:val="auto"/>
              </w:rPr>
              <w:t>Other non-current assets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8"/>
        </w:trPr>
        <w:tc>
          <w:tcPr>
            <w:tcW w:w="28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As of March 31, 2019 and December 31, 2018, Other non-current assets consisted of the following: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8"/>
        </w:trPr>
        <w:tc>
          <w:tcPr>
            <w:tcW w:w="2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8"/>
              </w:rPr>
              <w:t>December 31,</w:t>
            </w:r>
          </w:p>
        </w:tc>
      </w:tr>
      <w:tr>
        <w:trPr>
          <w:trHeight w:val="213"/>
        </w:trPr>
        <w:tc>
          <w:tcPr>
            <w:tcW w:w="2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192"/>
        </w:trPr>
        <w:tc>
          <w:tcPr>
            <w:tcW w:w="280" w:type="dxa"/>
            <w:vAlign w:val="bottom"/>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Easements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120" w:type="dxa"/>
            <w:vAlign w:val="bottom"/>
            <w:shd w:val="clear" w:color="auto" w:fill="CCEEFF"/>
          </w:tcPr>
          <w:p>
            <w:pPr>
              <w:spacing w:after="0"/>
              <w:rPr>
                <w:sz w:val="16"/>
                <w:szCs w:val="16"/>
                <w:color w:val="auto"/>
              </w:rPr>
            </w:pPr>
          </w:p>
        </w:tc>
      </w:tr>
      <w:tr>
        <w:trPr>
          <w:trHeight w:val="192"/>
        </w:trPr>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Port access rights</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12,671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12,671</w:t>
            </w:r>
          </w:p>
        </w:tc>
      </w:tr>
      <w:tr>
        <w:trPr>
          <w:trHeight w:val="192"/>
        </w:trPr>
        <w:tc>
          <w:tcPr>
            <w:tcW w:w="280" w:type="dxa"/>
            <w:vAlign w:val="bottom"/>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Initial lease costs</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w:t>
            </w:r>
          </w:p>
        </w:tc>
        <w:tc>
          <w:tcPr>
            <w:tcW w:w="120" w:type="dxa"/>
            <w:vAlign w:val="bottom"/>
            <w:shd w:val="clear" w:color="auto" w:fill="CCEEFF"/>
          </w:tcPr>
          <w:p>
            <w:pPr>
              <w:spacing w:after="0"/>
              <w:rPr>
                <w:sz w:val="16"/>
                <w:szCs w:val="16"/>
                <w:color w:val="auto"/>
              </w:rPr>
            </w:pPr>
          </w:p>
        </w:tc>
      </w:tr>
      <w:tr>
        <w:trPr>
          <w:trHeight w:val="192"/>
        </w:trPr>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Nonrefundable deposit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10,650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10,810</w:t>
            </w:r>
          </w:p>
        </w:tc>
      </w:tr>
      <w:tr>
        <w:trPr>
          <w:trHeight w:val="192"/>
        </w:trPr>
        <w:tc>
          <w:tcPr>
            <w:tcW w:w="280" w:type="dxa"/>
            <w:vAlign w:val="bottom"/>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Upfront payments to customers</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6"/>
        </w:trPr>
        <w:tc>
          <w:tcPr>
            <w:tcW w:w="28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2,764</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20" w:type="dxa"/>
            <w:vAlign w:val="bottom"/>
          </w:tcPr>
          <w:p>
            <w:pPr>
              <w:spacing w:after="0"/>
              <w:rPr>
                <w:sz w:val="17"/>
                <w:szCs w:val="17"/>
                <w:color w:val="auto"/>
              </w:rPr>
            </w:pPr>
          </w:p>
        </w:tc>
      </w:tr>
      <w:tr>
        <w:trPr>
          <w:trHeight w:val="232"/>
        </w:trPr>
        <w:tc>
          <w:tcPr>
            <w:tcW w:w="280" w:type="dxa"/>
            <w:vAlign w:val="bottom"/>
          </w:tcPr>
          <w:p>
            <w:pPr>
              <w:spacing w:after="0"/>
              <w:rPr>
                <w:sz w:val="20"/>
                <w:szCs w:val="20"/>
                <w:color w:val="auto"/>
              </w:rPr>
            </w:pPr>
          </w:p>
        </w:tc>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other non-current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42,784</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35,255</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204" w:lineRule="exact"/>
        <w:rPr>
          <w:sz w:val="20"/>
          <w:szCs w:val="20"/>
          <w:color w:val="auto"/>
        </w:rPr>
      </w:pPr>
    </w:p>
    <w:p>
      <w:pPr>
        <w:ind w:left="284"/>
        <w:spacing w:after="0" w:line="259" w:lineRule="auto"/>
        <w:rPr>
          <w:sz w:val="20"/>
          <w:szCs w:val="20"/>
          <w:color w:val="auto"/>
        </w:rPr>
      </w:pPr>
      <w:r>
        <w:rPr>
          <w:rFonts w:ascii="Arial" w:cs="Arial" w:eastAsia="Arial" w:hAnsi="Arial"/>
          <w:sz w:val="16"/>
          <w:szCs w:val="16"/>
          <w:color w:val="auto"/>
        </w:rPr>
        <w:t>Port access rights related to the Company’s port lease in Baja California Sur, Mexico, represent capitalized initial direct costs of entering the lease and are amortized straight-line over the lease term as additional rent expense. Payments to incumbent tenants represent capitalized payments made to previous lessees to secure the Company’s port lease in San Juan, Puerto Rico, and are also amortized straight-line over the lease term as additional rent expense. Nonrefundable deposits are primarily related to deposits for planned land purchases in Pennsylvania and Ireland.</w:t>
      </w:r>
    </w:p>
    <w:p>
      <w:pPr>
        <w:spacing w:after="0" w:line="191" w:lineRule="exact"/>
        <w:rPr>
          <w:sz w:val="20"/>
          <w:szCs w:val="20"/>
          <w:color w:val="auto"/>
        </w:rPr>
      </w:pPr>
    </w:p>
    <w:p>
      <w:pPr>
        <w:ind w:left="284"/>
        <w:spacing w:after="0" w:line="264" w:lineRule="auto"/>
        <w:rPr>
          <w:sz w:val="20"/>
          <w:szCs w:val="20"/>
          <w:color w:val="auto"/>
        </w:rPr>
      </w:pPr>
      <w:r>
        <w:rPr>
          <w:rFonts w:ascii="Arial" w:cs="Arial" w:eastAsia="Arial" w:hAnsi="Arial"/>
          <w:sz w:val="16"/>
          <w:szCs w:val="16"/>
          <w:color w:val="auto"/>
        </w:rPr>
        <w:t>Upfront payments to customers consist of amounts the Company has paid in relation to two natural gas sales contracts with customers. Under these agreements, the Company has made payments of $5,000 and is obligated to make an additional payment of $1,350 to the customers in order to construct fuel-delivery infrastructure that the customers will own.</w:t>
      </w:r>
    </w:p>
    <w:p>
      <w:pPr>
        <w:spacing w:after="0" w:line="182" w:lineRule="exact"/>
        <w:rPr>
          <w:sz w:val="20"/>
          <w:szCs w:val="20"/>
          <w:color w:val="auto"/>
        </w:rPr>
      </w:pPr>
    </w:p>
    <w:p>
      <w:pPr>
        <w:ind w:left="584" w:hanging="584"/>
        <w:spacing w:after="0"/>
        <w:tabs>
          <w:tab w:leader="none" w:pos="584"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Accrued liabilities</w:t>
      </w:r>
    </w:p>
    <w:p>
      <w:pPr>
        <w:spacing w:after="0" w:line="228"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28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As of March 31, 2019 and December 31, 2018 accrued liabilities consisted of the following: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2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Accrued construction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41,343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Accrued IPO costs</w:t>
            </w: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5,296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Accrued vessel charter costs</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Accrued bonuses</w:t>
            </w: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9,105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12,582</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accrued expenses</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8,291</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7480" w:type="dxa"/>
            <w:vAlign w:val="bottom"/>
          </w:tcPr>
          <w:p>
            <w:pPr>
              <w:ind w:left="14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53,921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67,512</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0"/>
              </w:rPr>
              <w:t>16.</w:t>
            </w:r>
          </w:p>
        </w:tc>
        <w:tc>
          <w:tcPr>
            <w:tcW w:w="748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Debt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0" w:type="dxa"/>
            <w:vAlign w:val="bottom"/>
            <w:vMerge w:val="continue"/>
          </w:tcPr>
          <w:p>
            <w:pPr>
              <w:spacing w:after="0"/>
              <w:rPr>
                <w:sz w:val="24"/>
                <w:szCs w:val="24"/>
                <w:color w:val="auto"/>
              </w:rPr>
            </w:pPr>
          </w:p>
        </w:tc>
        <w:tc>
          <w:tcPr>
            <w:tcW w:w="7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84" w:right="300"/>
        <w:spacing w:after="0" w:line="277" w:lineRule="auto"/>
        <w:rPr>
          <w:sz w:val="20"/>
          <w:szCs w:val="20"/>
          <w:color w:val="auto"/>
        </w:rPr>
      </w:pPr>
      <w:r>
        <w:rPr>
          <w:rFonts w:ascii="Arial" w:cs="Arial" w:eastAsia="Arial" w:hAnsi="Arial"/>
          <w:sz w:val="16"/>
          <w:szCs w:val="16"/>
          <w:color w:val="auto"/>
        </w:rPr>
        <w:t>As of March 31, 2019 and December 31, 2018, the Company’s current debt consisted of the New Term Loan Facility and the Term Loan Facility (as defined below) with balances of $488,331 and $272,192, respectively.</w:t>
      </w:r>
    </w:p>
    <w:p>
      <w:pPr>
        <w:spacing w:after="0" w:line="341"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110" w:right="239" w:bottom="1440" w:gutter="0" w:footer="0" w:header="0"/>
        </w:sectPr>
      </w:pPr>
    </w:p>
    <w:bookmarkStart w:id="19" w:name="page20"/>
    <w:bookmarkEnd w:id="19"/>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284"/>
        <w:spacing w:after="0"/>
        <w:rPr>
          <w:sz w:val="20"/>
          <w:szCs w:val="20"/>
          <w:color w:val="auto"/>
        </w:rPr>
      </w:pPr>
      <w:r>
        <w:rPr>
          <w:rFonts w:ascii="Arial" w:cs="Arial" w:eastAsia="Arial" w:hAnsi="Arial"/>
          <w:sz w:val="16"/>
          <w:szCs w:val="16"/>
          <w:i w:val="1"/>
          <w:iCs w:val="1"/>
          <w:color w:val="auto"/>
        </w:rPr>
        <w:t>New Term Loan Facility</w:t>
      </w:r>
    </w:p>
    <w:p>
      <w:pPr>
        <w:spacing w:after="0" w:line="224" w:lineRule="exact"/>
        <w:rPr>
          <w:sz w:val="20"/>
          <w:szCs w:val="20"/>
          <w:color w:val="auto"/>
        </w:rPr>
      </w:pPr>
    </w:p>
    <w:p>
      <w:pPr>
        <w:ind w:left="284" w:right="60"/>
        <w:spacing w:after="0" w:line="259" w:lineRule="auto"/>
        <w:rPr>
          <w:sz w:val="20"/>
          <w:szCs w:val="20"/>
          <w:color w:val="auto"/>
        </w:rPr>
      </w:pPr>
      <w:r>
        <w:rPr>
          <w:rFonts w:ascii="Arial" w:cs="Arial" w:eastAsia="Arial" w:hAnsi="Arial"/>
          <w:sz w:val="16"/>
          <w:szCs w:val="16"/>
          <w:color w:val="auto"/>
        </w:rPr>
        <w:t>On August 16, 2018, the Company entered into a Term Loan Facility (as may be amended, from time to time, the “Term Loan Facility”). On December 31, 2018, the Company amended its previous Term Loan Facility to borrow up to an aggregate principal amount of $500,000 (the “New Term Loan Facility”) from a syndicate of two lenders. The Company initially borrowed $280,000 under the New Term Loan Facility. On March 21, 2019, the Company drew an additional $220,000 under the New Term Loan Facility, bringing the Company’s total outstanding borrowings to $500,000 under the New Term Loan Facility.</w:t>
      </w:r>
    </w:p>
    <w:p>
      <w:pPr>
        <w:spacing w:after="0" w:line="191" w:lineRule="exact"/>
        <w:rPr>
          <w:sz w:val="20"/>
          <w:szCs w:val="20"/>
          <w:color w:val="auto"/>
        </w:rPr>
      </w:pPr>
    </w:p>
    <w:p>
      <w:pPr>
        <w:ind w:left="284" w:right="100"/>
        <w:spacing w:after="0" w:line="256" w:lineRule="auto"/>
        <w:rPr>
          <w:sz w:val="20"/>
          <w:szCs w:val="20"/>
          <w:color w:val="auto"/>
        </w:rPr>
      </w:pPr>
      <w:r>
        <w:rPr>
          <w:rFonts w:ascii="Arial" w:cs="Arial" w:eastAsia="Arial" w:hAnsi="Arial"/>
          <w:sz w:val="16"/>
          <w:szCs w:val="16"/>
          <w:color w:val="auto"/>
        </w:rPr>
        <w:t>All borrowings under the New Term Loan Facility bear interest at a rate selected by the Company of either (i) the LIBOR divided by one minus the applicable reserve requirement plus a spread of 4.0% or (ii) subject to a floor of 1.0%, a Base Rate equal to the higher of (a) the Prime Rate, (b) the Federal Funds Rate plus 1/2 of 1.0% or (c) the 1-month LIBOR rate plus 1.0% plus a spread of 3.0%. The New Term Loan Facility is set to mature on December 31, 2019 and is repayable in quarterly installments of $1,250, with a balloon payment due at maturity. The Company has the option to extend the maturity date for two additional six-month periods; upon the exercise of each extension option, the spread on LIBOR and Base Rate increases by 0.5%. To exercise the extension option, the Company must pay a fee equal to 1.0% of the outstanding principal balance at the time of the exercise of the option.</w:t>
      </w:r>
    </w:p>
    <w:p>
      <w:pPr>
        <w:spacing w:after="0" w:line="192" w:lineRule="exact"/>
        <w:rPr>
          <w:sz w:val="20"/>
          <w:szCs w:val="20"/>
          <w:color w:val="auto"/>
        </w:rPr>
      </w:pPr>
    </w:p>
    <w:p>
      <w:pPr>
        <w:ind w:left="284"/>
        <w:spacing w:after="0" w:line="319" w:lineRule="auto"/>
        <w:rPr>
          <w:sz w:val="20"/>
          <w:szCs w:val="20"/>
          <w:color w:val="auto"/>
        </w:rPr>
      </w:pPr>
      <w:r>
        <w:rPr>
          <w:rFonts w:ascii="Arial" w:cs="Arial" w:eastAsia="Arial" w:hAnsi="Arial"/>
          <w:sz w:val="14"/>
          <w:szCs w:val="14"/>
          <w:color w:val="auto"/>
        </w:rPr>
        <w:t>The New Term Loan Facility is secured by mortgages on certain properties owned by the Company’s subsidiaries, in addition to other collateral. The Company is required to comply with certain financial covenants and other restrictive covenants customary for facilities of this type, including restrictions on indebtedness, liens, acquisitions and investments, restricted payments and dispositions. The New Term Loan Facility also provides for customary events of default, prepayment and cure provisions.</w:t>
      </w:r>
    </w:p>
    <w:p>
      <w:pPr>
        <w:spacing w:after="0" w:line="151" w:lineRule="exact"/>
        <w:rPr>
          <w:sz w:val="20"/>
          <w:szCs w:val="20"/>
          <w:color w:val="auto"/>
        </w:rPr>
      </w:pPr>
    </w:p>
    <w:p>
      <w:pPr>
        <w:ind w:left="284" w:right="220"/>
        <w:spacing w:after="0" w:line="312" w:lineRule="auto"/>
        <w:rPr>
          <w:sz w:val="20"/>
          <w:szCs w:val="20"/>
          <w:color w:val="auto"/>
        </w:rPr>
      </w:pPr>
      <w:r>
        <w:rPr>
          <w:rFonts w:ascii="Arial" w:cs="Arial" w:eastAsia="Arial" w:hAnsi="Arial"/>
          <w:sz w:val="15"/>
          <w:szCs w:val="15"/>
          <w:color w:val="auto"/>
        </w:rPr>
        <w:t>The Company paid $4,400 of additional fees in connection with the $220,000 draw on the New Term Loan Facility. These fees were capitalized as a reduction to the New Term Loan Facility on the condensed consolidated balance sheets. The total unamortized deferred financing costs as of March 31, 2019 was $10,419.</w:t>
      </w:r>
    </w:p>
    <w:p>
      <w:pPr>
        <w:spacing w:after="0" w:line="152" w:lineRule="exact"/>
        <w:rPr>
          <w:sz w:val="20"/>
          <w:szCs w:val="20"/>
          <w:color w:val="auto"/>
        </w:rPr>
      </w:pPr>
    </w:p>
    <w:p>
      <w:pPr>
        <w:ind w:left="284"/>
        <w:spacing w:after="0" w:line="264" w:lineRule="auto"/>
        <w:rPr>
          <w:sz w:val="20"/>
          <w:szCs w:val="20"/>
          <w:color w:val="auto"/>
        </w:rPr>
      </w:pPr>
      <w:r>
        <w:rPr>
          <w:rFonts w:ascii="Arial" w:cs="Arial" w:eastAsia="Arial" w:hAnsi="Arial"/>
          <w:sz w:val="16"/>
          <w:szCs w:val="16"/>
          <w:color w:val="auto"/>
        </w:rPr>
        <w:t>Interest and related amortization of debt issuance costs recognized during major development and construction projects are capitalized and included in the cost of the project. Amortization of debt issuance costs were $2,064 and $174 for the three months ended March 31, 2019 and 2018, respectively, of which $1,083 and $0 were capitalized, respectively.</w:t>
      </w:r>
    </w:p>
    <w:p>
      <w:pPr>
        <w:spacing w:after="0" w:line="182" w:lineRule="exact"/>
        <w:rPr>
          <w:sz w:val="20"/>
          <w:szCs w:val="20"/>
          <w:color w:val="auto"/>
        </w:rPr>
      </w:pPr>
    </w:p>
    <w:p>
      <w:pPr>
        <w:ind w:left="584" w:hanging="584"/>
        <w:spacing w:after="0"/>
        <w:tabs>
          <w:tab w:leader="none" w:pos="584"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28" w:lineRule="exact"/>
        <w:rPr>
          <w:sz w:val="20"/>
          <w:szCs w:val="20"/>
          <w:color w:val="auto"/>
        </w:rPr>
      </w:pPr>
    </w:p>
    <w:p>
      <w:pPr>
        <w:ind w:left="284"/>
        <w:spacing w:after="0" w:line="256" w:lineRule="auto"/>
        <w:rPr>
          <w:sz w:val="20"/>
          <w:szCs w:val="20"/>
          <w:color w:val="auto"/>
        </w:rPr>
      </w:pPr>
      <w:r>
        <w:rPr>
          <w:rFonts w:ascii="Arial" w:cs="Arial" w:eastAsia="Arial" w:hAnsi="Arial"/>
          <w:sz w:val="16"/>
          <w:szCs w:val="16"/>
          <w:color w:val="auto"/>
        </w:rPr>
        <w:t>In connection with the IPO, NFE contributed the net proceeds from the IPO to NFI in exchange for NFI LLC Units, and NFE became the managing member of NFI. NFI is a limited liability company that is treated as a partnership for U.S. federal income tax purposes and for most applicable state and local income tax purposes. As a partnership, NFI is not subject to U.S. federal and certain state and local income taxes. Any taxable income or loss generated by NFI is passed through to and included in the taxable income or loss of its members, including NFE, on a pro rata basis, subject to applicable tax regulations. NFE is subject to U.S. federal income taxes, in addition to state and local income taxes, with respect to its allocable share of any taxable income or loss of NFI. Additionally, NFI and its subsidiaries are subject to income taxes in the various foreign jurisdictions in which they operate.</w:t>
      </w:r>
    </w:p>
    <w:p>
      <w:pPr>
        <w:spacing w:after="0" w:line="192" w:lineRule="exact"/>
        <w:rPr>
          <w:sz w:val="20"/>
          <w:szCs w:val="20"/>
          <w:color w:val="auto"/>
        </w:rPr>
      </w:pPr>
    </w:p>
    <w:p>
      <w:pPr>
        <w:ind w:left="284" w:right="20"/>
        <w:spacing w:after="0" w:line="277" w:lineRule="auto"/>
        <w:rPr>
          <w:sz w:val="20"/>
          <w:szCs w:val="20"/>
          <w:color w:val="auto"/>
        </w:rPr>
      </w:pPr>
      <w:r>
        <w:rPr>
          <w:rFonts w:ascii="Arial" w:cs="Arial" w:eastAsia="Arial" w:hAnsi="Arial"/>
          <w:sz w:val="16"/>
          <w:szCs w:val="16"/>
          <w:color w:val="auto"/>
        </w:rPr>
        <w:t>In connection with the IPO, NFE recorded a deferred tax asset related to the differential between its outside basis in its investment in NFI and NFE’s share of the basis of the assets of NFI, which was $44,473 at February 4, 2019.</w:t>
      </w:r>
    </w:p>
    <w:p>
      <w:pPr>
        <w:spacing w:after="0" w:line="176" w:lineRule="exact"/>
        <w:rPr>
          <w:sz w:val="20"/>
          <w:szCs w:val="20"/>
          <w:color w:val="auto"/>
        </w:rPr>
      </w:pPr>
    </w:p>
    <w:p>
      <w:pPr>
        <w:jc w:val="both"/>
        <w:ind w:left="284"/>
        <w:spacing w:after="0" w:line="319" w:lineRule="auto"/>
        <w:rPr>
          <w:sz w:val="20"/>
          <w:szCs w:val="20"/>
          <w:color w:val="auto"/>
        </w:rPr>
      </w:pPr>
      <w:r>
        <w:rPr>
          <w:rFonts w:ascii="Arial" w:cs="Arial" w:eastAsia="Arial" w:hAnsi="Arial"/>
          <w:sz w:val="14"/>
          <w:szCs w:val="14"/>
          <w:color w:val="auto"/>
        </w:rPr>
        <w:t>The Company records a valuation allowance against its deferred tax assets to reduce the net carrying value to an amount that it believes is more likely than not to be realized. As of March 31, 2019, the Company concluded, based on the weight of all available positive and negative evidence, those deferred tax assets recorded as part of the IPO are not more likely than not to be realized and accordingly, a full valuation allowance has been recorded on this deferred tax asset as of March 31, 2019.</w:t>
      </w:r>
    </w:p>
    <w:p>
      <w:pPr>
        <w:spacing w:after="0" w:line="151" w:lineRule="exact"/>
        <w:rPr>
          <w:sz w:val="20"/>
          <w:szCs w:val="20"/>
          <w:color w:val="auto"/>
        </w:rPr>
      </w:pPr>
    </w:p>
    <w:p>
      <w:pPr>
        <w:ind w:left="284"/>
        <w:spacing w:after="0"/>
        <w:rPr>
          <w:sz w:val="20"/>
          <w:szCs w:val="20"/>
          <w:color w:val="auto"/>
        </w:rPr>
      </w:pPr>
      <w:r>
        <w:rPr>
          <w:rFonts w:ascii="Arial" w:cs="Arial" w:eastAsia="Arial" w:hAnsi="Arial"/>
          <w:sz w:val="16"/>
          <w:szCs w:val="16"/>
          <w:i w:val="1"/>
          <w:iCs w:val="1"/>
          <w:color w:val="auto"/>
        </w:rPr>
        <w:t>Jamaica</w:t>
      </w:r>
    </w:p>
    <w:p>
      <w:pPr>
        <w:spacing w:after="0" w:line="224" w:lineRule="exact"/>
        <w:rPr>
          <w:sz w:val="20"/>
          <w:szCs w:val="20"/>
          <w:color w:val="auto"/>
        </w:rPr>
      </w:pPr>
    </w:p>
    <w:p>
      <w:pPr>
        <w:ind w:left="284"/>
        <w:spacing w:after="0"/>
        <w:rPr>
          <w:sz w:val="20"/>
          <w:szCs w:val="20"/>
          <w:color w:val="auto"/>
        </w:rPr>
      </w:pPr>
      <w:r>
        <w:rPr>
          <w:rFonts w:ascii="Arial" w:cs="Arial" w:eastAsia="Arial" w:hAnsi="Arial"/>
          <w:sz w:val="14"/>
          <w:szCs w:val="14"/>
          <w:color w:val="auto"/>
        </w:rPr>
        <w:t>NFI’s subsidiaries incorporated in Jamaica are subject to income tax which is computed at 25% of the relevant subsidiaries’ results for the year, adjusted for tax purposes.</w:t>
      </w:r>
    </w:p>
    <w:p>
      <w:pPr>
        <w:spacing w:after="0" w:line="247" w:lineRule="exact"/>
        <w:rPr>
          <w:sz w:val="20"/>
          <w:szCs w:val="20"/>
          <w:color w:val="auto"/>
        </w:rPr>
      </w:pPr>
    </w:p>
    <w:p>
      <w:pPr>
        <w:ind w:left="284"/>
        <w:spacing w:after="0"/>
        <w:rPr>
          <w:sz w:val="20"/>
          <w:szCs w:val="20"/>
          <w:color w:val="auto"/>
        </w:rPr>
      </w:pPr>
      <w:r>
        <w:rPr>
          <w:rFonts w:ascii="Arial" w:cs="Arial" w:eastAsia="Arial" w:hAnsi="Arial"/>
          <w:sz w:val="16"/>
          <w:szCs w:val="16"/>
          <w:i w:val="1"/>
          <w:iCs w:val="1"/>
          <w:color w:val="auto"/>
        </w:rPr>
        <w:t>Bermuda</w:t>
      </w:r>
    </w:p>
    <w:p>
      <w:pPr>
        <w:spacing w:after="0" w:line="224" w:lineRule="exact"/>
        <w:rPr>
          <w:sz w:val="20"/>
          <w:szCs w:val="20"/>
          <w:color w:val="auto"/>
        </w:rPr>
      </w:pPr>
    </w:p>
    <w:p>
      <w:pPr>
        <w:ind w:left="284" w:right="160"/>
        <w:spacing w:after="0" w:line="264" w:lineRule="auto"/>
        <w:rPr>
          <w:sz w:val="20"/>
          <w:szCs w:val="20"/>
          <w:color w:val="auto"/>
        </w:rPr>
      </w:pPr>
      <w:r>
        <w:rPr>
          <w:rFonts w:ascii="Arial" w:cs="Arial" w:eastAsia="Arial" w:hAnsi="Arial"/>
          <w:sz w:val="16"/>
          <w:szCs w:val="16"/>
          <w:color w:val="auto"/>
        </w:rPr>
        <w:t>NFI has subsidiaries incorporated in Bermuda. Under current Bermuda law, the Company is not required to pay taxes in Bermuda on either income or capital gains. The Company has received an undertaking from the Bermuda government that, in the event of income or capital gain taxes being imposed, it will be exempted from such taxes until 2035.</w:t>
      </w:r>
    </w:p>
    <w:p>
      <w:pPr>
        <w:spacing w:after="0" w:line="350" w:lineRule="exact"/>
        <w:rPr>
          <w:sz w:val="20"/>
          <w:szCs w:val="20"/>
          <w:color w:val="auto"/>
        </w:rPr>
      </w:pPr>
    </w:p>
    <w:p>
      <w:pPr>
        <w:jc w:val="center"/>
        <w:ind w:right="-43"/>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36" w:top="124" w:right="279" w:bottom="1440" w:gutter="0" w:footer="0" w:header="0"/>
        </w:sectPr>
      </w:pPr>
    </w:p>
    <w:bookmarkStart w:id="20" w:name="page21"/>
    <w:bookmarkEnd w:id="20"/>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284"/>
        <w:spacing w:after="0"/>
        <w:rPr>
          <w:sz w:val="20"/>
          <w:szCs w:val="20"/>
          <w:color w:val="auto"/>
        </w:rPr>
      </w:pPr>
      <w:r>
        <w:rPr>
          <w:rFonts w:ascii="Arial" w:cs="Arial" w:eastAsia="Arial" w:hAnsi="Arial"/>
          <w:sz w:val="16"/>
          <w:szCs w:val="16"/>
          <w:i w:val="1"/>
          <w:iCs w:val="1"/>
          <w:color w:val="auto"/>
        </w:rPr>
        <w:t>Ireland</w:t>
      </w:r>
    </w:p>
    <w:p>
      <w:pPr>
        <w:spacing w:after="0" w:line="224" w:lineRule="exact"/>
        <w:rPr>
          <w:sz w:val="20"/>
          <w:szCs w:val="20"/>
          <w:color w:val="auto"/>
        </w:rPr>
      </w:pPr>
    </w:p>
    <w:p>
      <w:pPr>
        <w:ind w:left="284"/>
        <w:spacing w:after="0" w:line="282" w:lineRule="auto"/>
        <w:rPr>
          <w:sz w:val="20"/>
          <w:szCs w:val="20"/>
          <w:color w:val="auto"/>
        </w:rPr>
      </w:pPr>
      <w:r>
        <w:rPr>
          <w:rFonts w:ascii="Arial" w:cs="Arial" w:eastAsia="Arial" w:hAnsi="Arial"/>
          <w:sz w:val="15"/>
          <w:szCs w:val="15"/>
          <w:color w:val="auto"/>
        </w:rPr>
        <w:t>NFI acquired Shannon LNG on November 9, 2018. The Shannon LNG entities are incorporated in Ireland and had net operating loss carryforwards of approximately $41,395 as of the acquisition date. These losses were evaluated to determine if any would be subject to a limitation resulting from the acquisition. The Company concluded, based on the weight of all available positive and negative evidence, those deferred tax assets relating to the net operating loss carryforwards are not more likely than not to be realized and accordingly, a full valuation allowance has been recorded on these deferred tax assets as of March 31, 2019.</w:t>
      </w:r>
    </w:p>
    <w:p>
      <w:pPr>
        <w:spacing w:after="0" w:line="174" w:lineRule="exact"/>
        <w:rPr>
          <w:sz w:val="20"/>
          <w:szCs w:val="20"/>
          <w:color w:val="auto"/>
        </w:rPr>
      </w:pPr>
    </w:p>
    <w:p>
      <w:pPr>
        <w:ind w:left="284"/>
        <w:spacing w:after="0"/>
        <w:rPr>
          <w:sz w:val="20"/>
          <w:szCs w:val="20"/>
          <w:color w:val="auto"/>
        </w:rPr>
      </w:pPr>
      <w:r>
        <w:rPr>
          <w:rFonts w:ascii="Arial" w:cs="Arial" w:eastAsia="Arial" w:hAnsi="Arial"/>
          <w:sz w:val="16"/>
          <w:szCs w:val="16"/>
          <w:i w:val="1"/>
          <w:iCs w:val="1"/>
          <w:color w:val="auto"/>
        </w:rPr>
        <w:t>Total Operations</w:t>
      </w:r>
    </w:p>
    <w:p>
      <w:pPr>
        <w:spacing w:after="0" w:line="224" w:lineRule="exact"/>
        <w:rPr>
          <w:sz w:val="20"/>
          <w:szCs w:val="20"/>
          <w:color w:val="auto"/>
        </w:rPr>
      </w:pPr>
    </w:p>
    <w:p>
      <w:pPr>
        <w:ind w:left="284" w:right="40"/>
        <w:spacing w:after="0" w:line="277" w:lineRule="auto"/>
        <w:rPr>
          <w:sz w:val="20"/>
          <w:szCs w:val="20"/>
          <w:color w:val="auto"/>
        </w:rPr>
      </w:pPr>
      <w:r>
        <w:rPr>
          <w:rFonts w:ascii="Arial" w:cs="Arial" w:eastAsia="Arial" w:hAnsi="Arial"/>
          <w:sz w:val="16"/>
          <w:szCs w:val="16"/>
          <w:color w:val="auto"/>
        </w:rPr>
        <w:t>The effective tax rate for the three months ended March 31, 2019 and March 31, 2018 was (0.41)% and 1.69%, respectively. The total tax expense for the three months ended March 31, 2019 was $246, and the total tax benefit for the three months ended March 31, 2018 was $187.</w:t>
      </w:r>
    </w:p>
    <w:p>
      <w:pPr>
        <w:spacing w:after="0" w:line="176" w:lineRule="exact"/>
        <w:rPr>
          <w:sz w:val="20"/>
          <w:szCs w:val="20"/>
          <w:color w:val="auto"/>
        </w:rPr>
      </w:pPr>
    </w:p>
    <w:p>
      <w:pPr>
        <w:ind w:left="284" w:right="500"/>
        <w:spacing w:after="0" w:line="277" w:lineRule="auto"/>
        <w:rPr>
          <w:sz w:val="20"/>
          <w:szCs w:val="20"/>
          <w:color w:val="auto"/>
        </w:rPr>
      </w:pPr>
      <w:r>
        <w:rPr>
          <w:rFonts w:ascii="Arial" w:cs="Arial" w:eastAsia="Arial" w:hAnsi="Arial"/>
          <w:sz w:val="16"/>
          <w:szCs w:val="16"/>
          <w:color w:val="auto"/>
        </w:rPr>
        <w:t>The Company has not recorded a liability for uncertain tax positions as of March 31, 2019. The Company remains subject to periodic audits and reviews by the taxing authorities, and NFE’s returns since its formation remain open for examination.</w:t>
      </w:r>
    </w:p>
    <w:p>
      <w:pPr>
        <w:spacing w:after="0" w:line="172" w:lineRule="exact"/>
        <w:rPr>
          <w:sz w:val="20"/>
          <w:szCs w:val="20"/>
          <w:color w:val="auto"/>
        </w:rPr>
      </w:pPr>
    </w:p>
    <w:p>
      <w:pPr>
        <w:ind w:left="584" w:hanging="584"/>
        <w:spacing w:after="0"/>
        <w:tabs>
          <w:tab w:leader="none" w:pos="584"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228" w:lineRule="exact"/>
        <w:rPr>
          <w:sz w:val="20"/>
          <w:szCs w:val="20"/>
          <w:color w:val="auto"/>
        </w:rPr>
      </w:pPr>
    </w:p>
    <w:p>
      <w:pPr>
        <w:ind w:left="284"/>
        <w:spacing w:after="0"/>
        <w:rPr>
          <w:sz w:val="20"/>
          <w:szCs w:val="20"/>
          <w:color w:val="auto"/>
        </w:rPr>
      </w:pPr>
      <w:r>
        <w:rPr>
          <w:rFonts w:ascii="Arial" w:cs="Arial" w:eastAsia="Arial" w:hAnsi="Arial"/>
          <w:sz w:val="16"/>
          <w:szCs w:val="16"/>
          <w:i w:val="1"/>
          <w:iCs w:val="1"/>
          <w:color w:val="auto"/>
        </w:rPr>
        <w:t>Contingencies</w:t>
      </w:r>
    </w:p>
    <w:p>
      <w:pPr>
        <w:spacing w:after="0" w:line="224" w:lineRule="exact"/>
        <w:rPr>
          <w:sz w:val="20"/>
          <w:szCs w:val="20"/>
          <w:color w:val="auto"/>
        </w:rPr>
      </w:pPr>
    </w:p>
    <w:p>
      <w:pPr>
        <w:ind w:left="284" w:right="180"/>
        <w:spacing w:after="0" w:line="282" w:lineRule="auto"/>
        <w:rPr>
          <w:sz w:val="20"/>
          <w:szCs w:val="20"/>
          <w:color w:val="auto"/>
        </w:rPr>
      </w:pPr>
      <w:r>
        <w:rPr>
          <w:rFonts w:ascii="Arial" w:cs="Arial" w:eastAsia="Arial" w:hAnsi="Arial"/>
          <w:sz w:val="15"/>
          <w:szCs w:val="15"/>
          <w:color w:val="auto"/>
        </w:rPr>
        <w:t>As of December 31, 2016, the Company had accrued for $1,204 of tangible personal property tax levied in the State of Florida with respect to the Company’s LNG plant in Hialeah, Florida. During 2017, the Company paid this amount in full and subsequently took legal proceedings to challenge the tax amount for a full or partial rebate. The Company successfully challenged the tax amount, including penalties, and received a full rebate. The State of Florida has appealed the determination and the Company repaid the rebate amount in order to avoid penalties and charges while the appeal is under consideration.</w:t>
      </w:r>
    </w:p>
    <w:p>
      <w:pPr>
        <w:spacing w:after="0" w:line="174" w:lineRule="exact"/>
        <w:rPr>
          <w:sz w:val="20"/>
          <w:szCs w:val="20"/>
          <w:color w:val="auto"/>
        </w:rPr>
      </w:pPr>
    </w:p>
    <w:p>
      <w:pPr>
        <w:ind w:left="284" w:right="320"/>
        <w:spacing w:after="0" w:line="277" w:lineRule="auto"/>
        <w:rPr>
          <w:sz w:val="20"/>
          <w:szCs w:val="20"/>
          <w:color w:val="auto"/>
        </w:rPr>
      </w:pPr>
      <w:r>
        <w:rPr>
          <w:rFonts w:ascii="Arial" w:cs="Arial" w:eastAsia="Arial" w:hAnsi="Arial"/>
          <w:sz w:val="16"/>
          <w:szCs w:val="16"/>
          <w:color w:val="auto"/>
        </w:rPr>
        <w:t>As of the date at which these condensed consolidated financial statements were issued, the appeal has not been concluded. Should the State of Florida lose the appeal the Company expects a full refund which will be recognized as a gain contingency recognized in earnings when the cash is received.</w:t>
      </w:r>
    </w:p>
    <w:p>
      <w:pPr>
        <w:spacing w:after="0" w:line="172"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280" w:type="dxa"/>
            <w:vAlign w:val="bottom"/>
          </w:tcPr>
          <w:p>
            <w:pPr>
              <w:jc w:val="right"/>
              <w:spacing w:after="0"/>
              <w:rPr>
                <w:sz w:val="20"/>
                <w:szCs w:val="20"/>
                <w:color w:val="auto"/>
              </w:rPr>
            </w:pPr>
            <w:r>
              <w:rPr>
                <w:rFonts w:ascii="Arial" w:cs="Arial" w:eastAsia="Arial" w:hAnsi="Arial"/>
                <w:sz w:val="16"/>
                <w:szCs w:val="16"/>
                <w:b w:val="1"/>
                <w:bCs w:val="1"/>
                <w:color w:val="auto"/>
                <w:w w:val="80"/>
              </w:rPr>
              <w:t>19.</w:t>
            </w:r>
          </w:p>
        </w:tc>
        <w:tc>
          <w:tcPr>
            <w:tcW w:w="8740" w:type="dxa"/>
            <w:vAlign w:val="bottom"/>
          </w:tcPr>
          <w:p>
            <w:pPr>
              <w:ind w:left="300"/>
              <w:spacing w:after="0"/>
              <w:rPr>
                <w:sz w:val="20"/>
                <w:szCs w:val="20"/>
                <w:color w:val="auto"/>
              </w:rPr>
            </w:pPr>
            <w:r>
              <w:rPr>
                <w:rFonts w:ascii="Arial" w:cs="Arial" w:eastAsia="Arial" w:hAnsi="Arial"/>
                <w:sz w:val="16"/>
                <w:szCs w:val="16"/>
                <w:b w:val="1"/>
                <w:bCs w:val="1"/>
                <w:color w:val="auto"/>
              </w:rPr>
              <w:t>Earnings per share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8"/>
        </w:trPr>
        <w:tc>
          <w:tcPr>
            <w:tcW w:w="28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Three Months</w:t>
            </w:r>
          </w:p>
        </w:tc>
      </w:tr>
      <w:tr>
        <w:trPr>
          <w:trHeight w:val="192"/>
        </w:trPr>
        <w:tc>
          <w:tcPr>
            <w:tcW w:w="280" w:type="dxa"/>
            <w:vAlign w:val="bottom"/>
          </w:tcPr>
          <w:p>
            <w:pPr>
              <w:spacing w:after="0"/>
              <w:rPr>
                <w:sz w:val="16"/>
                <w:szCs w:val="16"/>
                <w:color w:val="auto"/>
              </w:rPr>
            </w:pPr>
          </w:p>
        </w:tc>
        <w:tc>
          <w:tcPr>
            <w:tcW w:w="8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r>
      <w:tr>
        <w:trPr>
          <w:trHeight w:val="213"/>
        </w:trPr>
        <w:tc>
          <w:tcPr>
            <w:tcW w:w="2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March 31, 2019</w:t>
            </w:r>
          </w:p>
        </w:tc>
      </w:tr>
      <w:tr>
        <w:trPr>
          <w:trHeight w:val="192"/>
        </w:trPr>
        <w:tc>
          <w:tcPr>
            <w:tcW w:w="280" w:type="dxa"/>
            <w:vAlign w:val="bottom"/>
          </w:tcPr>
          <w:p>
            <w:pPr>
              <w:spacing w:after="0"/>
              <w:rPr>
                <w:sz w:val="16"/>
                <w:szCs w:val="16"/>
                <w:color w:val="auto"/>
              </w:rPr>
            </w:pPr>
          </w:p>
        </w:tc>
        <w:tc>
          <w:tcPr>
            <w:tcW w:w="8740" w:type="dxa"/>
            <w:vAlign w:val="bottom"/>
          </w:tcPr>
          <w:p>
            <w:pPr>
              <w:spacing w:after="0"/>
              <w:rPr>
                <w:sz w:val="20"/>
                <w:szCs w:val="20"/>
                <w:color w:val="auto"/>
              </w:rPr>
            </w:pPr>
            <w:r>
              <w:rPr>
                <w:rFonts w:ascii="Arial" w:cs="Arial" w:eastAsia="Arial" w:hAnsi="Arial"/>
                <w:sz w:val="16"/>
                <w:szCs w:val="16"/>
                <w:color w:val="auto"/>
              </w:rPr>
              <w:t>Numerator:</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80" w:type="dxa"/>
            <w:vAlign w:val="bottom"/>
          </w:tcPr>
          <w:p>
            <w:pPr>
              <w:spacing w:after="0"/>
              <w:rPr>
                <w:sz w:val="16"/>
                <w:szCs w:val="16"/>
                <w:color w:val="auto"/>
              </w:rPr>
            </w:pPr>
          </w:p>
        </w:tc>
        <w:tc>
          <w:tcPr>
            <w:tcW w:w="8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(60,292)</w:t>
            </w:r>
          </w:p>
        </w:tc>
      </w:tr>
      <w:tr>
        <w:trPr>
          <w:trHeight w:val="196"/>
        </w:trPr>
        <w:tc>
          <w:tcPr>
            <w:tcW w:w="280" w:type="dxa"/>
            <w:vAlign w:val="bottom"/>
          </w:tcPr>
          <w:p>
            <w:pPr>
              <w:spacing w:after="0"/>
              <w:rPr>
                <w:sz w:val="17"/>
                <w:szCs w:val="17"/>
                <w:color w:val="auto"/>
              </w:rPr>
            </w:pPr>
          </w:p>
        </w:tc>
        <w:tc>
          <w:tcPr>
            <w:tcW w:w="8740" w:type="dxa"/>
            <w:vAlign w:val="bottom"/>
          </w:tcPr>
          <w:p>
            <w:pPr>
              <w:ind w:left="140"/>
              <w:spacing w:after="0"/>
              <w:rPr>
                <w:sz w:val="20"/>
                <w:szCs w:val="20"/>
                <w:color w:val="auto"/>
              </w:rPr>
            </w:pPr>
            <w:r>
              <w:rPr>
                <w:rFonts w:ascii="Arial" w:cs="Arial" w:eastAsia="Arial" w:hAnsi="Arial"/>
                <w:sz w:val="16"/>
                <w:szCs w:val="16"/>
                <w:color w:val="auto"/>
              </w:rPr>
              <w:t>Less: net loss attributable to non-controlling interests</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46,735</w:t>
            </w:r>
          </w:p>
        </w:tc>
        <w:tc>
          <w:tcPr>
            <w:tcW w:w="120" w:type="dxa"/>
            <w:vAlign w:val="bottom"/>
          </w:tcPr>
          <w:p>
            <w:pPr>
              <w:spacing w:after="0"/>
              <w:rPr>
                <w:sz w:val="17"/>
                <w:szCs w:val="17"/>
                <w:color w:val="auto"/>
              </w:rPr>
            </w:pPr>
          </w:p>
        </w:tc>
      </w:tr>
      <w:tr>
        <w:trPr>
          <w:trHeight w:val="232"/>
        </w:trPr>
        <w:tc>
          <w:tcPr>
            <w:tcW w:w="280" w:type="dxa"/>
            <w:vAlign w:val="bottom"/>
          </w:tcPr>
          <w:p>
            <w:pPr>
              <w:spacing w:after="0"/>
              <w:rPr>
                <w:sz w:val="20"/>
                <w:szCs w:val="20"/>
                <w:color w:val="auto"/>
              </w:rPr>
            </w:pPr>
          </w:p>
        </w:tc>
        <w:tc>
          <w:tcPr>
            <w:tcW w:w="8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loss attributable to Class A shares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0"/>
        </w:trPr>
        <w:tc>
          <w:tcPr>
            <w:tcW w:w="280" w:type="dxa"/>
            <w:vAlign w:val="bottom"/>
          </w:tcPr>
          <w:p>
            <w:pPr>
              <w:spacing w:after="0"/>
              <w:rPr>
                <w:sz w:val="15"/>
                <w:szCs w:val="15"/>
                <w:color w:val="auto"/>
              </w:rPr>
            </w:pPr>
          </w:p>
        </w:tc>
        <w:tc>
          <w:tcPr>
            <w:tcW w:w="8740" w:type="dxa"/>
            <w:vAlign w:val="bottom"/>
          </w:tcPr>
          <w:p>
            <w:pPr>
              <w:spacing w:after="0" w:line="181" w:lineRule="exact"/>
              <w:rPr>
                <w:sz w:val="20"/>
                <w:szCs w:val="20"/>
                <w:color w:val="auto"/>
              </w:rPr>
            </w:pPr>
            <w:r>
              <w:rPr>
                <w:rFonts w:ascii="Arial" w:cs="Arial" w:eastAsia="Arial" w:hAnsi="Arial"/>
                <w:sz w:val="16"/>
                <w:szCs w:val="16"/>
                <w:color w:val="auto"/>
              </w:rPr>
              <w:t>Denominator:</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280" w:type="dxa"/>
            <w:vAlign w:val="bottom"/>
          </w:tcPr>
          <w:p>
            <w:pPr>
              <w:spacing w:after="0"/>
              <w:rPr>
                <w:sz w:val="16"/>
                <w:szCs w:val="16"/>
                <w:color w:val="auto"/>
              </w:rPr>
            </w:pPr>
          </w:p>
        </w:tc>
        <w:tc>
          <w:tcPr>
            <w:tcW w:w="8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shares-basic and diluted</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14,094,534</w:t>
            </w:r>
          </w:p>
        </w:tc>
        <w:tc>
          <w:tcPr>
            <w:tcW w:w="120" w:type="dxa"/>
            <w:vAlign w:val="bottom"/>
            <w:shd w:val="clear" w:color="auto" w:fill="CCEEFF"/>
          </w:tcPr>
          <w:p>
            <w:pPr>
              <w:spacing w:after="0"/>
              <w:rPr>
                <w:sz w:val="16"/>
                <w:szCs w:val="16"/>
                <w:color w:val="auto"/>
              </w:rPr>
            </w:pPr>
          </w:p>
        </w:tc>
      </w:tr>
      <w:tr>
        <w:trPr>
          <w:trHeight w:val="192"/>
        </w:trPr>
        <w:tc>
          <w:tcPr>
            <w:tcW w:w="280" w:type="dxa"/>
            <w:vAlign w:val="bottom"/>
          </w:tcPr>
          <w:p>
            <w:pPr>
              <w:spacing w:after="0"/>
              <w:rPr>
                <w:sz w:val="16"/>
                <w:szCs w:val="16"/>
                <w:color w:val="auto"/>
              </w:rPr>
            </w:pPr>
          </w:p>
        </w:tc>
        <w:tc>
          <w:tcPr>
            <w:tcW w:w="8740" w:type="dxa"/>
            <w:vAlign w:val="bottom"/>
          </w:tcPr>
          <w:p>
            <w:pPr>
              <w:spacing w:after="0"/>
              <w:rPr>
                <w:sz w:val="20"/>
                <w:szCs w:val="20"/>
                <w:color w:val="auto"/>
              </w:rPr>
            </w:pPr>
            <w:r>
              <w:rPr>
                <w:rFonts w:ascii="Arial" w:cs="Arial" w:eastAsia="Arial" w:hAnsi="Arial"/>
                <w:sz w:val="16"/>
                <w:szCs w:val="16"/>
                <w:color w:val="auto"/>
              </w:rPr>
              <w:t>Net loss per share -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(0.96)</w:t>
            </w:r>
          </w:p>
        </w:tc>
      </w:tr>
      <w:tr>
        <w:trPr>
          <w:trHeight w:val="20"/>
        </w:trPr>
        <w:tc>
          <w:tcPr>
            <w:tcW w:w="28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4" w:lineRule="exact"/>
        <w:rPr>
          <w:sz w:val="20"/>
          <w:szCs w:val="20"/>
          <w:color w:val="auto"/>
        </w:rPr>
      </w:pPr>
    </w:p>
    <w:p>
      <w:pPr>
        <w:ind w:left="284" w:right="20"/>
        <w:spacing w:after="0" w:line="259" w:lineRule="auto"/>
        <w:rPr>
          <w:sz w:val="20"/>
          <w:szCs w:val="20"/>
          <w:color w:val="auto"/>
        </w:rPr>
      </w:pPr>
      <w:r>
        <w:rPr>
          <w:rFonts w:ascii="Arial" w:cs="Arial" w:eastAsia="Arial" w:hAnsi="Arial"/>
          <w:sz w:val="16"/>
          <w:szCs w:val="16"/>
          <w:color w:val="auto"/>
        </w:rPr>
        <w:t>In connection with the IPO, New Fortress Energy Holdings, the Company’s predecessor, effected a one-for-2.16 stock split of its issued and outstanding common shares, resulting in 147,058,824 common shares. Upon the reorganization, New Fortress Energy Holdings obtained the same number of Class B shares in NFE. Class B shares do not share in the earnings or losses of the Company and are therefore not participating securities. As such, separate presentation of basic and diluted net loss per share for Class B shares under the two-class method has not been presented.</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4" w:right="219" w:bottom="1440" w:gutter="0" w:footer="0" w:header="0"/>
        </w:sectPr>
      </w:pPr>
    </w:p>
    <w:bookmarkStart w:id="21" w:name="page22"/>
    <w:bookmarkEnd w:id="21"/>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284" w:right="280"/>
        <w:spacing w:after="0" w:line="277" w:lineRule="auto"/>
        <w:rPr>
          <w:sz w:val="20"/>
          <w:szCs w:val="20"/>
          <w:color w:val="auto"/>
        </w:rPr>
      </w:pPr>
      <w:r>
        <w:rPr>
          <w:rFonts w:ascii="Arial" w:cs="Arial" w:eastAsia="Arial" w:hAnsi="Arial"/>
          <w:sz w:val="16"/>
          <w:szCs w:val="16"/>
          <w:color w:val="auto"/>
        </w:rPr>
        <w:t>The following table presents potentially dilutive securities excluded from the computation of diluted net loss per share for the periods presented because its effects would have been anti-dilutive.</w:t>
      </w:r>
    </w:p>
    <w:p>
      <w:pPr>
        <w:spacing w:after="0" w:line="148" w:lineRule="exact"/>
        <w:rPr>
          <w:sz w:val="20"/>
          <w:szCs w:val="20"/>
          <w:color w:val="auto"/>
        </w:rPr>
      </w:pPr>
    </w:p>
    <w:tbl>
      <w:tblPr>
        <w:tblLayout w:type="fixed"/>
        <w:tblInd w:w="284"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Three Months</w:t>
            </w:r>
          </w:p>
        </w:tc>
        <w:tc>
          <w:tcPr>
            <w:tcW w:w="120" w:type="dxa"/>
            <w:vAlign w:val="bottom"/>
          </w:tcPr>
          <w:p>
            <w:pPr>
              <w:spacing w:after="0"/>
              <w:rPr>
                <w:sz w:val="16"/>
                <w:szCs w:val="16"/>
                <w:color w:val="auto"/>
              </w:rPr>
            </w:pPr>
          </w:p>
        </w:tc>
      </w:tr>
      <w:tr>
        <w:trPr>
          <w:trHeight w:val="192"/>
        </w:trPr>
        <w:tc>
          <w:tcPr>
            <w:tcW w:w="87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6"/>
                <w:szCs w:val="16"/>
                <w:color w:val="auto"/>
              </w:rPr>
            </w:pPr>
          </w:p>
        </w:tc>
      </w:tr>
      <w:tr>
        <w:trPr>
          <w:trHeight w:val="213"/>
        </w:trPr>
        <w:tc>
          <w:tcPr>
            <w:tcW w:w="874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March 31, 2019</w:t>
            </w:r>
          </w:p>
        </w:tc>
        <w:tc>
          <w:tcPr>
            <w:tcW w:w="120" w:type="dxa"/>
            <w:vAlign w:val="bottom"/>
          </w:tcPr>
          <w:p>
            <w:pPr>
              <w:spacing w:after="0"/>
              <w:rPr>
                <w:sz w:val="18"/>
                <w:szCs w:val="18"/>
                <w:color w:val="auto"/>
              </w:rPr>
            </w:pPr>
          </w:p>
        </w:tc>
      </w:tr>
      <w:tr>
        <w:trPr>
          <w:trHeight w:val="192"/>
        </w:trPr>
        <w:tc>
          <w:tcPr>
            <w:tcW w:w="8740" w:type="dxa"/>
            <w:vAlign w:val="bottom"/>
            <w:shd w:val="clear" w:color="auto" w:fill="CCEEFF"/>
          </w:tcPr>
          <w:p>
            <w:pPr>
              <w:spacing w:after="0" w:line="192" w:lineRule="exact"/>
              <w:rPr>
                <w:sz w:val="20"/>
                <w:szCs w:val="20"/>
                <w:color w:val="auto"/>
              </w:rPr>
            </w:pPr>
            <w:r>
              <w:rPr>
                <w:rFonts w:ascii="Arial" w:cs="Arial" w:eastAsia="Arial" w:hAnsi="Arial"/>
                <w:sz w:val="14"/>
                <w:szCs w:val="14"/>
                <w:color w:val="auto"/>
              </w:rPr>
              <w:t>Unvested RSUs</w:t>
            </w:r>
            <w:r>
              <w:rPr>
                <w:rFonts w:ascii="Arial" w:cs="Arial" w:eastAsia="Arial" w:hAnsi="Arial"/>
                <w:sz w:val="22"/>
                <w:szCs w:val="22"/>
                <w:color w:val="auto"/>
                <w:vertAlign w:val="superscript"/>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4,184,183</w:t>
            </w:r>
          </w:p>
        </w:tc>
        <w:tc>
          <w:tcPr>
            <w:tcW w:w="120" w:type="dxa"/>
            <w:vAlign w:val="bottom"/>
            <w:shd w:val="clear" w:color="auto" w:fill="CCEEFF"/>
          </w:tcPr>
          <w:p>
            <w:pPr>
              <w:spacing w:after="0"/>
              <w:rPr>
                <w:sz w:val="16"/>
                <w:szCs w:val="16"/>
                <w:color w:val="auto"/>
              </w:rPr>
            </w:pPr>
          </w:p>
        </w:tc>
      </w:tr>
      <w:tr>
        <w:trPr>
          <w:trHeight w:val="192"/>
        </w:trPr>
        <w:tc>
          <w:tcPr>
            <w:tcW w:w="8740" w:type="dxa"/>
            <w:vAlign w:val="bottom"/>
          </w:tcPr>
          <w:p>
            <w:pPr>
              <w:spacing w:after="0" w:line="192" w:lineRule="exact"/>
              <w:rPr>
                <w:sz w:val="20"/>
                <w:szCs w:val="20"/>
                <w:color w:val="auto"/>
              </w:rPr>
            </w:pPr>
            <w:r>
              <w:rPr>
                <w:rFonts w:ascii="Arial" w:cs="Arial" w:eastAsia="Arial" w:hAnsi="Arial"/>
                <w:sz w:val="14"/>
                <w:szCs w:val="14"/>
                <w:color w:val="auto"/>
              </w:rPr>
              <w:t>Class B shares</w:t>
            </w:r>
            <w:r>
              <w:rPr>
                <w:rFonts w:ascii="Arial" w:cs="Arial" w:eastAsia="Arial" w:hAnsi="Arial"/>
                <w:sz w:val="22"/>
                <w:szCs w:val="22"/>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6"/>
                <w:szCs w:val="16"/>
                <w:color w:val="auto"/>
              </w:rPr>
              <w:t>147,058,824</w:t>
            </w:r>
          </w:p>
        </w:tc>
        <w:tc>
          <w:tcPr>
            <w:tcW w:w="120" w:type="dxa"/>
            <w:vAlign w:val="bottom"/>
          </w:tcPr>
          <w:p>
            <w:pPr>
              <w:spacing w:after="0"/>
              <w:rPr>
                <w:sz w:val="16"/>
                <w:szCs w:val="16"/>
                <w:color w:val="auto"/>
              </w:rPr>
            </w:pPr>
          </w:p>
        </w:tc>
      </w:tr>
      <w:tr>
        <w:trPr>
          <w:trHeight w:val="196"/>
        </w:trPr>
        <w:tc>
          <w:tcPr>
            <w:tcW w:w="8740" w:type="dxa"/>
            <w:vAlign w:val="bottom"/>
            <w:tcBorders>
              <w:bottom w:val="single" w:sz="8" w:color="CCEEFF"/>
            </w:tcBorders>
            <w:shd w:val="clear" w:color="auto" w:fill="CCEEFF"/>
          </w:tcPr>
          <w:p>
            <w:pPr>
              <w:spacing w:after="0" w:line="192" w:lineRule="exact"/>
              <w:rPr>
                <w:sz w:val="20"/>
                <w:szCs w:val="20"/>
                <w:color w:val="auto"/>
              </w:rPr>
            </w:pPr>
            <w:r>
              <w:rPr>
                <w:rFonts w:ascii="Arial" w:cs="Arial" w:eastAsia="Arial" w:hAnsi="Arial"/>
                <w:sz w:val="14"/>
                <w:szCs w:val="14"/>
                <w:color w:val="auto"/>
              </w:rPr>
              <w:t>Shannon Equity Agreement shares</w:t>
            </w:r>
            <w:r>
              <w:rPr>
                <w:rFonts w:ascii="Arial" w:cs="Arial" w:eastAsia="Arial" w:hAnsi="Arial"/>
                <w:sz w:val="22"/>
                <w:szCs w:val="22"/>
                <w:color w:val="auto"/>
                <w:vertAlign w:val="superscript"/>
              </w:rPr>
              <w:t>(3)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1,416,554</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92"/>
        </w:trPr>
        <w:tc>
          <w:tcPr>
            <w:tcW w:w="874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152,659,561</w:t>
            </w:r>
          </w:p>
        </w:tc>
        <w:tc>
          <w:tcPr>
            <w:tcW w:w="120" w:type="dxa"/>
            <w:vAlign w:val="bottom"/>
          </w:tcPr>
          <w:p>
            <w:pPr>
              <w:spacing w:after="0"/>
              <w:rPr>
                <w:sz w:val="16"/>
                <w:szCs w:val="16"/>
                <w:color w:val="auto"/>
              </w:rPr>
            </w:pPr>
          </w:p>
        </w:tc>
      </w:tr>
      <w:tr>
        <w:trPr>
          <w:trHeight w:val="20"/>
        </w:trPr>
        <w:tc>
          <w:tcPr>
            <w:tcW w:w="8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137160</wp:posOffset>
            </wp:positionV>
            <wp:extent cx="72453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535" cy="15240"/>
                    </a:xfrm>
                    <a:prstGeom prst="rect">
                      <a:avLst/>
                    </a:prstGeom>
                    <a:noFill/>
                  </pic:spPr>
                </pic:pic>
              </a:graphicData>
            </a:graphic>
          </wp:anchor>
        </w:drawing>
      </w:r>
    </w:p>
    <w:p>
      <w:pPr>
        <w:spacing w:after="0" w:line="208" w:lineRule="exact"/>
        <w:rPr>
          <w:sz w:val="20"/>
          <w:szCs w:val="20"/>
          <w:color w:val="auto"/>
        </w:rPr>
      </w:pPr>
    </w:p>
    <w:p>
      <w:pPr>
        <w:ind w:left="584" w:hanging="296"/>
        <w:spacing w:after="0"/>
        <w:tabs>
          <w:tab w:leader="none" w:pos="584" w:val="left"/>
        </w:tabs>
        <w:numPr>
          <w:ilvl w:val="1"/>
          <w:numId w:val="32"/>
        </w:numPr>
        <w:rPr>
          <w:rFonts w:ascii="Arial" w:cs="Arial" w:eastAsia="Arial" w:hAnsi="Arial"/>
          <w:sz w:val="16"/>
          <w:szCs w:val="16"/>
          <w:color w:val="auto"/>
        </w:rPr>
      </w:pPr>
      <w:r>
        <w:rPr>
          <w:rFonts w:ascii="Arial" w:cs="Arial" w:eastAsia="Arial" w:hAnsi="Arial"/>
          <w:sz w:val="16"/>
          <w:szCs w:val="16"/>
          <w:color w:val="auto"/>
        </w:rPr>
        <w:t>Represents the number of instruments outstanding at the end of the period.</w:t>
      </w:r>
    </w:p>
    <w:p>
      <w:pPr>
        <w:spacing w:after="0" w:line="20" w:lineRule="exact"/>
        <w:rPr>
          <w:rFonts w:ascii="Arial" w:cs="Arial" w:eastAsia="Arial" w:hAnsi="Arial"/>
          <w:sz w:val="16"/>
          <w:szCs w:val="16"/>
          <w:color w:val="auto"/>
        </w:rPr>
      </w:pPr>
    </w:p>
    <w:p>
      <w:pPr>
        <w:ind w:left="584" w:hanging="296"/>
        <w:spacing w:after="0"/>
        <w:tabs>
          <w:tab w:leader="none" w:pos="584" w:val="left"/>
        </w:tabs>
        <w:numPr>
          <w:ilvl w:val="1"/>
          <w:numId w:val="32"/>
        </w:numPr>
        <w:rPr>
          <w:rFonts w:ascii="Arial" w:cs="Arial" w:eastAsia="Arial" w:hAnsi="Arial"/>
          <w:sz w:val="16"/>
          <w:szCs w:val="16"/>
          <w:color w:val="auto"/>
        </w:rPr>
      </w:pPr>
      <w:r>
        <w:rPr>
          <w:rFonts w:ascii="Arial" w:cs="Arial" w:eastAsia="Arial" w:hAnsi="Arial"/>
          <w:sz w:val="16"/>
          <w:szCs w:val="16"/>
          <w:color w:val="auto"/>
        </w:rPr>
        <w:t>Class B shares at the end of the period are considered potentially dilutive Class A shares under application of the if-converted method.</w:t>
      </w:r>
    </w:p>
    <w:p>
      <w:pPr>
        <w:spacing w:after="0" w:line="8" w:lineRule="exact"/>
        <w:rPr>
          <w:rFonts w:ascii="Arial" w:cs="Arial" w:eastAsia="Arial" w:hAnsi="Arial"/>
          <w:sz w:val="16"/>
          <w:szCs w:val="16"/>
          <w:color w:val="auto"/>
        </w:rPr>
      </w:pPr>
    </w:p>
    <w:p>
      <w:pPr>
        <w:ind w:left="584" w:hanging="296"/>
        <w:spacing w:after="0"/>
        <w:tabs>
          <w:tab w:leader="none" w:pos="584" w:val="left"/>
        </w:tabs>
        <w:numPr>
          <w:ilvl w:val="1"/>
          <w:numId w:val="32"/>
        </w:numPr>
        <w:rPr>
          <w:rFonts w:ascii="Arial" w:cs="Arial" w:eastAsia="Arial" w:hAnsi="Arial"/>
          <w:sz w:val="16"/>
          <w:szCs w:val="16"/>
          <w:color w:val="auto"/>
        </w:rPr>
      </w:pPr>
      <w:r>
        <w:rPr>
          <w:rFonts w:ascii="Arial" w:cs="Arial" w:eastAsia="Arial" w:hAnsi="Arial"/>
          <w:sz w:val="16"/>
          <w:szCs w:val="16"/>
          <w:color w:val="auto"/>
        </w:rPr>
        <w:t>Class A shares that would be issued in relation to the Shannon LNG Equity Agreement.</w:t>
      </w:r>
    </w:p>
    <w:p>
      <w:pPr>
        <w:spacing w:after="0" w:line="207" w:lineRule="exact"/>
        <w:rPr>
          <w:rFonts w:ascii="Arial" w:cs="Arial" w:eastAsia="Arial" w:hAnsi="Arial"/>
          <w:sz w:val="16"/>
          <w:szCs w:val="16"/>
          <w:color w:val="auto"/>
        </w:rPr>
      </w:pPr>
    </w:p>
    <w:p>
      <w:pPr>
        <w:ind w:left="584" w:hanging="584"/>
        <w:spacing w:after="0"/>
        <w:tabs>
          <w:tab w:leader="none" w:pos="584"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w:t>
      </w:r>
    </w:p>
    <w:p>
      <w:pPr>
        <w:spacing w:after="0" w:line="228" w:lineRule="exact"/>
        <w:rPr>
          <w:sz w:val="20"/>
          <w:szCs w:val="20"/>
          <w:color w:val="auto"/>
        </w:rPr>
      </w:pPr>
    </w:p>
    <w:p>
      <w:pPr>
        <w:ind w:left="284" w:right="80"/>
        <w:spacing w:after="0" w:line="277" w:lineRule="auto"/>
        <w:rPr>
          <w:sz w:val="20"/>
          <w:szCs w:val="20"/>
          <w:color w:val="auto"/>
        </w:rPr>
      </w:pPr>
      <w:r>
        <w:rPr>
          <w:rFonts w:ascii="Arial" w:cs="Arial" w:eastAsia="Arial" w:hAnsi="Arial"/>
          <w:sz w:val="16"/>
          <w:szCs w:val="16"/>
          <w:color w:val="auto"/>
        </w:rPr>
        <w:t>During the three months ended March 31, 2019, the Company granted RSUs to select officers, employees, non-employee members of the board of directors, and select non-employees under the Incentive Plan.</w:t>
      </w:r>
    </w:p>
    <w:p>
      <w:pPr>
        <w:spacing w:after="0" w:line="176" w:lineRule="exact"/>
        <w:rPr>
          <w:sz w:val="20"/>
          <w:szCs w:val="20"/>
          <w:color w:val="auto"/>
        </w:rPr>
      </w:pPr>
    </w:p>
    <w:p>
      <w:pPr>
        <w:ind w:left="284" w:right="320"/>
        <w:spacing w:after="0" w:line="277" w:lineRule="auto"/>
        <w:rPr>
          <w:sz w:val="20"/>
          <w:szCs w:val="20"/>
          <w:color w:val="auto"/>
        </w:rPr>
      </w:pPr>
      <w:r>
        <w:rPr>
          <w:rFonts w:ascii="Arial" w:cs="Arial" w:eastAsia="Arial" w:hAnsi="Arial"/>
          <w:sz w:val="16"/>
          <w:szCs w:val="16"/>
          <w:color w:val="auto"/>
        </w:rPr>
        <w:t>The Company estimates the fair value of RSUs on the grant date based on the closing price of the underlying shares on the grant date and other fair value adjustments to account for a post-vesting holding period. These fair value adjustments were estimated based on the Finnerty model.</w:t>
      </w:r>
    </w:p>
    <w:p>
      <w:pPr>
        <w:spacing w:after="0" w:line="176" w:lineRule="exact"/>
        <w:rPr>
          <w:sz w:val="20"/>
          <w:szCs w:val="20"/>
          <w:color w:val="auto"/>
        </w:rPr>
      </w:pPr>
    </w:p>
    <w:tbl>
      <w:tblPr>
        <w:tblLayout w:type="fixed"/>
        <w:tblInd w:w="284" w:type="dxa"/>
        <w:tblCellMar>
          <w:top w:w="0" w:type="dxa"/>
          <w:left w:w="0" w:type="dxa"/>
          <w:bottom w:w="0" w:type="dxa"/>
          <w:right w:w="0" w:type="dxa"/>
        </w:tblCellMar>
      </w:tblPr>
      <w:tr>
        <w:trPr>
          <w:trHeight w:val="205"/>
        </w:trPr>
        <w:tc>
          <w:tcPr>
            <w:tcW w:w="7380" w:type="dxa"/>
            <w:vAlign w:val="bottom"/>
          </w:tcPr>
          <w:p>
            <w:pPr>
              <w:spacing w:after="0"/>
              <w:rPr>
                <w:sz w:val="20"/>
                <w:szCs w:val="20"/>
                <w:color w:val="auto"/>
              </w:rPr>
            </w:pPr>
            <w:r>
              <w:rPr>
                <w:rFonts w:ascii="Arial" w:cs="Arial" w:eastAsia="Arial" w:hAnsi="Arial"/>
                <w:sz w:val="16"/>
                <w:szCs w:val="16"/>
                <w:color w:val="auto"/>
              </w:rPr>
              <w:t>For the three months ended March 31, 2019, there were no forfeitures.</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08"/>
        </w:trPr>
        <w:tc>
          <w:tcPr>
            <w:tcW w:w="7380" w:type="dxa"/>
            <w:vAlign w:val="bottom"/>
          </w:tcPr>
          <w:p>
            <w:pPr>
              <w:spacing w:after="0"/>
              <w:rPr>
                <w:sz w:val="20"/>
                <w:szCs w:val="20"/>
                <w:color w:val="auto"/>
              </w:rPr>
            </w:pPr>
            <w:r>
              <w:rPr>
                <w:rFonts w:ascii="Arial" w:cs="Arial" w:eastAsia="Arial" w:hAnsi="Arial"/>
                <w:sz w:val="16"/>
                <w:szCs w:val="16"/>
                <w:color w:val="auto"/>
              </w:rPr>
              <w:t>The following table summarizes the RSU activity for the three months ended March 31, 2019:</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8"/>
        </w:trPr>
        <w:tc>
          <w:tcPr>
            <w:tcW w:w="7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120" w:type="dxa"/>
            <w:vAlign w:val="bottom"/>
          </w:tcPr>
          <w:p>
            <w:pPr>
              <w:spacing w:after="0"/>
              <w:rPr>
                <w:sz w:val="24"/>
                <w:szCs w:val="24"/>
                <w:color w:val="auto"/>
              </w:rPr>
            </w:pPr>
          </w:p>
        </w:tc>
      </w:tr>
      <w:tr>
        <w:trPr>
          <w:trHeight w:val="192"/>
        </w:trPr>
        <w:tc>
          <w:tcPr>
            <w:tcW w:w="7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average grant</w:t>
            </w:r>
          </w:p>
        </w:tc>
        <w:tc>
          <w:tcPr>
            <w:tcW w:w="120" w:type="dxa"/>
            <w:vAlign w:val="bottom"/>
          </w:tcPr>
          <w:p>
            <w:pPr>
              <w:spacing w:after="0"/>
              <w:rPr>
                <w:sz w:val="16"/>
                <w:szCs w:val="16"/>
                <w:color w:val="auto"/>
              </w:rPr>
            </w:pPr>
          </w:p>
        </w:tc>
      </w:tr>
      <w:tr>
        <w:trPr>
          <w:trHeight w:val="192"/>
        </w:trPr>
        <w:tc>
          <w:tcPr>
            <w:tcW w:w="7380" w:type="dxa"/>
            <w:vAlign w:val="bottom"/>
          </w:tcPr>
          <w:p>
            <w:pPr>
              <w:spacing w:after="0"/>
              <w:rPr>
                <w:sz w:val="16"/>
                <w:szCs w:val="16"/>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Restricted Stock</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date fair value</w:t>
            </w:r>
          </w:p>
        </w:tc>
        <w:tc>
          <w:tcPr>
            <w:tcW w:w="120" w:type="dxa"/>
            <w:vAlign w:val="bottom"/>
          </w:tcPr>
          <w:p>
            <w:pPr>
              <w:spacing w:after="0"/>
              <w:rPr>
                <w:sz w:val="16"/>
                <w:szCs w:val="16"/>
                <w:color w:val="auto"/>
              </w:rPr>
            </w:pPr>
          </w:p>
        </w:tc>
      </w:tr>
      <w:tr>
        <w:trPr>
          <w:trHeight w:val="213"/>
        </w:trPr>
        <w:tc>
          <w:tcPr>
            <w:tcW w:w="738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8"/>
                <w:szCs w:val="18"/>
                <w:color w:val="auto"/>
              </w:rPr>
            </w:pPr>
          </w:p>
        </w:tc>
        <w:tc>
          <w:tcPr>
            <w:tcW w:w="1020" w:type="dxa"/>
            <w:vAlign w:val="bottom"/>
          </w:tcPr>
          <w:p>
            <w:pPr>
              <w:jc w:val="center"/>
              <w:ind w:right="20"/>
              <w:spacing w:after="0"/>
              <w:rPr>
                <w:sz w:val="20"/>
                <w:szCs w:val="20"/>
                <w:color w:val="auto"/>
              </w:rPr>
            </w:pPr>
            <w:r>
              <w:rPr>
                <w:rFonts w:ascii="Arial" w:cs="Arial" w:eastAsia="Arial" w:hAnsi="Arial"/>
                <w:sz w:val="16"/>
                <w:szCs w:val="16"/>
                <w:b w:val="1"/>
                <w:bCs w:val="1"/>
                <w:color w:val="auto"/>
                <w:w w:val="88"/>
              </w:rPr>
              <w:t>per share</w:t>
            </w:r>
          </w:p>
        </w:tc>
        <w:tc>
          <w:tcPr>
            <w:tcW w:w="120" w:type="dxa"/>
            <w:vAlign w:val="bottom"/>
          </w:tcPr>
          <w:p>
            <w:pPr>
              <w:spacing w:after="0"/>
              <w:rPr>
                <w:sz w:val="18"/>
                <w:szCs w:val="18"/>
                <w:color w:val="auto"/>
              </w:rPr>
            </w:pPr>
          </w:p>
        </w:tc>
      </w:tr>
      <w:tr>
        <w:trPr>
          <w:trHeight w:val="192"/>
        </w:trPr>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Non-vested RSUs as of December 31, 2018</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92"/>
        </w:trPr>
        <w:tc>
          <w:tcPr>
            <w:tcW w:w="7380" w:type="dxa"/>
            <w:vAlign w:val="bottom"/>
          </w:tcPr>
          <w:p>
            <w:pPr>
              <w:spacing w:after="0"/>
              <w:rPr>
                <w:sz w:val="20"/>
                <w:szCs w:val="20"/>
                <w:color w:val="auto"/>
              </w:rPr>
            </w:pPr>
            <w:r>
              <w:rPr>
                <w:rFonts w:ascii="Arial" w:cs="Arial" w:eastAsia="Arial" w:hAnsi="Arial"/>
                <w:sz w:val="16"/>
                <w:szCs w:val="16"/>
                <w:color w:val="auto"/>
              </w:rPr>
              <w:t>Granted</w:t>
            </w:r>
          </w:p>
        </w:tc>
        <w:tc>
          <w:tcPr>
            <w:tcW w:w="1220" w:type="dxa"/>
            <w:vAlign w:val="bottom"/>
          </w:tcPr>
          <w:p>
            <w:pPr>
              <w:jc w:val="right"/>
              <w:spacing w:after="0"/>
              <w:rPr>
                <w:sz w:val="20"/>
                <w:szCs w:val="20"/>
                <w:color w:val="auto"/>
              </w:rPr>
            </w:pPr>
            <w:r>
              <w:rPr>
                <w:rFonts w:ascii="Arial" w:cs="Arial" w:eastAsia="Arial" w:hAnsi="Arial"/>
                <w:sz w:val="16"/>
                <w:szCs w:val="16"/>
                <w:color w:val="auto"/>
              </w:rPr>
              <w:t>5,404,823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13.47</w:t>
            </w:r>
          </w:p>
        </w:tc>
        <w:tc>
          <w:tcPr>
            <w:tcW w:w="120" w:type="dxa"/>
            <w:vAlign w:val="bottom"/>
          </w:tcPr>
          <w:p>
            <w:pPr>
              <w:spacing w:after="0"/>
              <w:rPr>
                <w:sz w:val="16"/>
                <w:szCs w:val="16"/>
                <w:color w:val="auto"/>
              </w:rPr>
            </w:pPr>
          </w:p>
        </w:tc>
      </w:tr>
      <w:tr>
        <w:trPr>
          <w:trHeight w:val="192"/>
        </w:trPr>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Vested and shares issued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(1,220,640)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20" w:type="dxa"/>
            <w:vAlign w:val="bottom"/>
            <w:shd w:val="clear" w:color="auto" w:fill="CCEEFF"/>
          </w:tcPr>
          <w:p>
            <w:pPr>
              <w:spacing w:after="0"/>
              <w:rPr>
                <w:sz w:val="16"/>
                <w:szCs w:val="16"/>
                <w:color w:val="auto"/>
              </w:rPr>
            </w:pPr>
          </w:p>
        </w:tc>
      </w:tr>
      <w:tr>
        <w:trPr>
          <w:trHeight w:val="196"/>
        </w:trPr>
        <w:tc>
          <w:tcPr>
            <w:tcW w:w="7380" w:type="dxa"/>
            <w:vAlign w:val="bottom"/>
          </w:tcPr>
          <w:p>
            <w:pPr>
              <w:spacing w:after="0"/>
              <w:rPr>
                <w:sz w:val="20"/>
                <w:szCs w:val="20"/>
                <w:color w:val="auto"/>
              </w:rPr>
            </w:pPr>
            <w:r>
              <w:rPr>
                <w:rFonts w:ascii="Arial" w:cs="Arial" w:eastAsia="Arial" w:hAnsi="Arial"/>
                <w:sz w:val="16"/>
                <w:szCs w:val="16"/>
                <w:color w:val="auto"/>
              </w:rPr>
              <w:t>Forfeited</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32"/>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RSUs as of March 31, 2019</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4,184,183</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204" w:lineRule="exact"/>
        <w:rPr>
          <w:sz w:val="20"/>
          <w:szCs w:val="20"/>
          <w:color w:val="auto"/>
        </w:rPr>
      </w:pPr>
    </w:p>
    <w:p>
      <w:pPr>
        <w:jc w:val="both"/>
        <w:ind w:left="284"/>
        <w:spacing w:after="0" w:line="264" w:lineRule="auto"/>
        <w:rPr>
          <w:sz w:val="20"/>
          <w:szCs w:val="20"/>
          <w:color w:val="auto"/>
        </w:rPr>
      </w:pPr>
      <w:r>
        <w:rPr>
          <w:rFonts w:ascii="Arial" w:cs="Arial" w:eastAsia="Arial" w:hAnsi="Arial"/>
          <w:sz w:val="16"/>
          <w:szCs w:val="16"/>
          <w:color w:val="auto"/>
        </w:rPr>
        <w:t>During the three months ended March 31, 2019, the Company recognized a compensation expense of $19,037, of which $18,968 and $69 are recorded in Selling, general and administrative and Operations and maintenance, respectively. The Company recognizes the income tax benefits resulting from vesting of RSUs in the period they vest, to the extent the compensation expense has been recognized.</w:t>
      </w:r>
    </w:p>
    <w:p>
      <w:pPr>
        <w:spacing w:after="0" w:line="186" w:lineRule="exact"/>
        <w:rPr>
          <w:sz w:val="20"/>
          <w:szCs w:val="20"/>
          <w:color w:val="auto"/>
        </w:rPr>
      </w:pPr>
    </w:p>
    <w:p>
      <w:pPr>
        <w:ind w:left="284"/>
        <w:spacing w:after="0"/>
        <w:rPr>
          <w:sz w:val="20"/>
          <w:szCs w:val="20"/>
          <w:color w:val="auto"/>
        </w:rPr>
      </w:pPr>
      <w:r>
        <w:rPr>
          <w:rFonts w:ascii="Arial" w:cs="Arial" w:eastAsia="Arial" w:hAnsi="Arial"/>
          <w:sz w:val="14"/>
          <w:szCs w:val="14"/>
          <w:color w:val="auto"/>
        </w:rPr>
        <w:t>As of March 31, 2019, the Company had 4,184,183 non-vested RSUs subject to service conditions and therefore had unrecognized compensation costs of approximately</w:t>
      </w:r>
    </w:p>
    <w:p>
      <w:pPr>
        <w:spacing w:after="0" w:line="44" w:lineRule="exact"/>
        <w:rPr>
          <w:sz w:val="20"/>
          <w:szCs w:val="20"/>
          <w:color w:val="auto"/>
        </w:rPr>
      </w:pPr>
    </w:p>
    <w:p>
      <w:pPr>
        <w:jc w:val="both"/>
        <w:ind w:left="284"/>
        <w:spacing w:after="0" w:line="261" w:lineRule="auto"/>
        <w:rPr>
          <w:sz w:val="20"/>
          <w:szCs w:val="20"/>
          <w:color w:val="auto"/>
        </w:rPr>
      </w:pPr>
      <w:r>
        <w:rPr>
          <w:rFonts w:ascii="Arial" w:cs="Arial" w:eastAsia="Arial" w:hAnsi="Arial"/>
          <w:sz w:val="16"/>
          <w:szCs w:val="16"/>
          <w:color w:val="auto"/>
        </w:rPr>
        <w:t>$53,780. The non-vested RSUs will vest over a period from ten months to three years following the grant date. The weighted-average remaining vesting period of non-vested RSUs totaled 1.83 years as of March 31, 2019.</w:t>
      </w:r>
    </w:p>
    <w:p>
      <w:pPr>
        <w:spacing w:after="0" w:line="184" w:lineRule="exact"/>
        <w:rPr>
          <w:sz w:val="20"/>
          <w:szCs w:val="20"/>
          <w:color w:val="auto"/>
        </w:rPr>
      </w:pPr>
    </w:p>
    <w:p>
      <w:pPr>
        <w:ind w:left="584" w:hanging="584"/>
        <w:spacing w:after="0"/>
        <w:tabs>
          <w:tab w:leader="none" w:pos="584"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Leases, as lessee</w:t>
      </w:r>
    </w:p>
    <w:p>
      <w:pPr>
        <w:spacing w:after="0" w:line="228" w:lineRule="exact"/>
        <w:rPr>
          <w:sz w:val="20"/>
          <w:szCs w:val="20"/>
          <w:color w:val="auto"/>
        </w:rPr>
      </w:pPr>
    </w:p>
    <w:p>
      <w:pPr>
        <w:ind w:left="284" w:right="540"/>
        <w:spacing w:after="0" w:line="277" w:lineRule="auto"/>
        <w:rPr>
          <w:sz w:val="20"/>
          <w:szCs w:val="20"/>
          <w:color w:val="auto"/>
        </w:rPr>
      </w:pPr>
      <w:r>
        <w:rPr>
          <w:rFonts w:ascii="Arial" w:cs="Arial" w:eastAsia="Arial" w:hAnsi="Arial"/>
          <w:sz w:val="16"/>
          <w:szCs w:val="16"/>
          <w:color w:val="auto"/>
        </w:rPr>
        <w:t>During the three months ended March 31, 2019 and 2018, the Company recognized rental expense for all operating leases of $8,437 and $4,485, respectively, related primarily to LNG vessel time charters, office space, a land site lease and marine port berth leases.</w:t>
      </w:r>
    </w:p>
    <w:p>
      <w:pPr>
        <w:spacing w:after="0" w:line="176" w:lineRule="exact"/>
        <w:rPr>
          <w:sz w:val="20"/>
          <w:szCs w:val="20"/>
          <w:color w:val="auto"/>
        </w:rPr>
      </w:pPr>
    </w:p>
    <w:p>
      <w:pPr>
        <w:ind w:left="284" w:right="20"/>
        <w:spacing w:after="0" w:line="274" w:lineRule="auto"/>
        <w:rPr>
          <w:sz w:val="20"/>
          <w:szCs w:val="20"/>
          <w:color w:val="auto"/>
        </w:rPr>
      </w:pPr>
      <w:r>
        <w:rPr>
          <w:rFonts w:ascii="Arial" w:cs="Arial" w:eastAsia="Arial" w:hAnsi="Arial"/>
          <w:sz w:val="15"/>
          <w:szCs w:val="15"/>
          <w:color w:val="auto"/>
        </w:rPr>
        <w:t>The land site lease is held with an affiliate of the Company and has an initial term up to five years with a renewal for an additional five years and a 2.5% annual lease payment escalation. See “Note 22. Related party transactions.” The marine port berth lease has an initial term up to 10 years with a 12-year renewal option and a 15% annual lease payment escalation after year five. One of the LNG vessel time charters contains a three-month renewal option and the second contains no renewal option and a 2% annual lease payment escalation in year three. During the three months ended March 31, 2019, the Company entered into a third LNG vessel time charter agreement for an initial non-cancellable term of three years. The Company may continue to lease the vessel for up to 15 years with an option to renew for an additional five years. Leased office space in Miami, Florida contains two additional renewal options for five years each and a 3% annual lease payment escalation. Leased office space in Montego Bay, Jamaica contains a one-year renewal option and 5% annual lease payment escalation.</w:t>
      </w:r>
    </w:p>
    <w:p>
      <w:pPr>
        <w:spacing w:after="0" w:line="348" w:lineRule="exact"/>
        <w:rPr>
          <w:sz w:val="20"/>
          <w:szCs w:val="20"/>
          <w:color w:val="auto"/>
        </w:rPr>
      </w:pPr>
    </w:p>
    <w:p>
      <w:pPr>
        <w:jc w:val="center"/>
        <w:ind w:right="-23"/>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4"/>
          </w:cols>
          <w:pgMar w:left="236" w:top="124" w:right="259" w:bottom="1440" w:gutter="0" w:footer="0" w:header="0"/>
        </w:sectPr>
      </w:pPr>
    </w:p>
    <w:bookmarkStart w:id="22" w:name="page23"/>
    <w:bookmarkEnd w:id="22"/>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584" w:hanging="584"/>
        <w:spacing w:after="0"/>
        <w:tabs>
          <w:tab w:leader="none" w:pos="584"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w:t>
      </w:r>
    </w:p>
    <w:p>
      <w:pPr>
        <w:spacing w:after="0" w:line="228" w:lineRule="exact"/>
        <w:rPr>
          <w:sz w:val="20"/>
          <w:szCs w:val="20"/>
          <w:color w:val="auto"/>
        </w:rPr>
      </w:pPr>
    </w:p>
    <w:p>
      <w:pPr>
        <w:ind w:left="284"/>
        <w:spacing w:after="0"/>
        <w:rPr>
          <w:sz w:val="20"/>
          <w:szCs w:val="20"/>
          <w:color w:val="auto"/>
        </w:rPr>
      </w:pPr>
      <w:r>
        <w:rPr>
          <w:rFonts w:ascii="Arial" w:cs="Arial" w:eastAsia="Arial" w:hAnsi="Arial"/>
          <w:sz w:val="16"/>
          <w:szCs w:val="16"/>
          <w:i w:val="1"/>
          <w:iCs w:val="1"/>
          <w:color w:val="auto"/>
        </w:rPr>
        <w:t>Management and administrative services</w:t>
      </w:r>
    </w:p>
    <w:p>
      <w:pPr>
        <w:spacing w:after="0" w:line="224" w:lineRule="exact"/>
        <w:rPr>
          <w:sz w:val="20"/>
          <w:szCs w:val="20"/>
          <w:color w:val="auto"/>
        </w:rPr>
      </w:pPr>
    </w:p>
    <w:p>
      <w:pPr>
        <w:ind w:left="284" w:right="200"/>
        <w:spacing w:after="0" w:line="276" w:lineRule="auto"/>
        <w:rPr>
          <w:sz w:val="20"/>
          <w:szCs w:val="20"/>
          <w:color w:val="auto"/>
        </w:rPr>
      </w:pPr>
      <w:r>
        <w:rPr>
          <w:rFonts w:ascii="Arial" w:cs="Arial" w:eastAsia="Arial" w:hAnsi="Arial"/>
          <w:sz w:val="15"/>
          <w:szCs w:val="15"/>
          <w:color w:val="auto"/>
        </w:rPr>
        <w:t>In the ordinary course of business, Fortress Investment Group LLC (“Fortress”), through affiliated entities, has historically charged the Company for administrative and general expenses incurred pursuant to its Management Services Agreement (“Management Agreement”). Upon completion of the IPO, the Management Agreement was terminated and replaced by an Administrative Services Agreement (“Administrative Agreement”) to charge the Company for similar administrative and general expenses. The charges under the Management Agreement and Administrative Agreement that are attributable to the Company totaled $2,779 and $347 for the three months ended March 31, 2019 and 2018, respectively. Costs associated with the Management Agreement and Administrative Agreement are included within Selling, general and administrative in the condensed consolidated statements of operations and comprehensive loss.</w:t>
      </w:r>
    </w:p>
    <w:p>
      <w:pPr>
        <w:spacing w:after="0" w:line="179" w:lineRule="exact"/>
        <w:rPr>
          <w:sz w:val="20"/>
          <w:szCs w:val="20"/>
          <w:color w:val="auto"/>
        </w:rPr>
      </w:pPr>
    </w:p>
    <w:p>
      <w:pPr>
        <w:ind w:left="284" w:right="140"/>
        <w:spacing w:after="0" w:line="351" w:lineRule="auto"/>
        <w:rPr>
          <w:sz w:val="20"/>
          <w:szCs w:val="20"/>
          <w:color w:val="auto"/>
        </w:rPr>
      </w:pPr>
      <w:r>
        <w:rPr>
          <w:rFonts w:ascii="Arial" w:cs="Arial" w:eastAsia="Arial" w:hAnsi="Arial"/>
          <w:sz w:val="14"/>
          <w:szCs w:val="14"/>
          <w:color w:val="auto"/>
        </w:rPr>
        <w:t>In addition to management and administrative services, an affiliate of Fortress owns and leases an aircraft chartered by the Company for business purposes in the course of operations. The Company incurred, at aircraft operator market rates, charter costs of $976 and $233 for the three months ended March 31, 2019 and 2018, respectively.</w:t>
      </w:r>
    </w:p>
    <w:p>
      <w:pPr>
        <w:spacing w:after="0" w:line="130" w:lineRule="exact"/>
        <w:rPr>
          <w:sz w:val="20"/>
          <w:szCs w:val="20"/>
          <w:color w:val="auto"/>
        </w:rPr>
      </w:pPr>
    </w:p>
    <w:p>
      <w:pPr>
        <w:ind w:left="284"/>
        <w:spacing w:after="0"/>
        <w:rPr>
          <w:sz w:val="20"/>
          <w:szCs w:val="20"/>
          <w:color w:val="auto"/>
        </w:rPr>
      </w:pPr>
      <w:r>
        <w:rPr>
          <w:rFonts w:ascii="Arial" w:cs="Arial" w:eastAsia="Arial" w:hAnsi="Arial"/>
          <w:sz w:val="16"/>
          <w:szCs w:val="16"/>
          <w:color w:val="auto"/>
        </w:rPr>
        <w:t>As of March 31, 2019 and December 31, 2018, $6,935 and $3,579 were due to Fortress, respectively.</w:t>
      </w:r>
    </w:p>
    <w:p>
      <w:pPr>
        <w:spacing w:after="0" w:line="224" w:lineRule="exact"/>
        <w:rPr>
          <w:sz w:val="20"/>
          <w:szCs w:val="20"/>
          <w:color w:val="auto"/>
        </w:rPr>
      </w:pPr>
    </w:p>
    <w:p>
      <w:pPr>
        <w:ind w:left="284"/>
        <w:spacing w:after="0"/>
        <w:rPr>
          <w:sz w:val="20"/>
          <w:szCs w:val="20"/>
          <w:color w:val="auto"/>
        </w:rPr>
      </w:pPr>
      <w:r>
        <w:rPr>
          <w:rFonts w:ascii="Arial" w:cs="Arial" w:eastAsia="Arial" w:hAnsi="Arial"/>
          <w:sz w:val="16"/>
          <w:szCs w:val="16"/>
          <w:i w:val="1"/>
          <w:iCs w:val="1"/>
          <w:color w:val="auto"/>
        </w:rPr>
        <w:t>Land and office lease</w:t>
      </w:r>
    </w:p>
    <w:p>
      <w:pPr>
        <w:spacing w:after="0" w:line="224" w:lineRule="exact"/>
        <w:rPr>
          <w:sz w:val="20"/>
          <w:szCs w:val="20"/>
          <w:color w:val="auto"/>
        </w:rPr>
      </w:pPr>
    </w:p>
    <w:p>
      <w:pPr>
        <w:ind w:left="284" w:right="100"/>
        <w:spacing w:after="0" w:line="308" w:lineRule="auto"/>
        <w:rPr>
          <w:sz w:val="20"/>
          <w:szCs w:val="20"/>
          <w:color w:val="auto"/>
        </w:rPr>
      </w:pPr>
      <w:r>
        <w:rPr>
          <w:rFonts w:ascii="Arial" w:cs="Arial" w:eastAsia="Arial" w:hAnsi="Arial"/>
          <w:sz w:val="14"/>
          <w:szCs w:val="14"/>
          <w:color w:val="auto"/>
        </w:rPr>
        <w:t>The Company has a land and office lease with Florida East Coast Industries, LLC (“FECI”) an affiliate of the Company. The expense for the three months ended March 31, 2019 and 2018 totaled $647 and $46, respectively, of which $386 and $0 was capitalized to Construction in progress, $185 and $0 related to the office lease is included in Selling, general and administrative, and $76 and $46 related to the land lease is included within Operations and maintenance, respectively in the condensed consolidated statements of operations and comprehensive loss. As of March 31, 2019 and December 31, 2018, $0 and $597 were due to FECI, respectively.</w:t>
      </w:r>
    </w:p>
    <w:p>
      <w:pPr>
        <w:spacing w:after="0" w:line="159" w:lineRule="exact"/>
        <w:rPr>
          <w:sz w:val="20"/>
          <w:szCs w:val="20"/>
          <w:color w:val="auto"/>
        </w:rPr>
      </w:pPr>
    </w:p>
    <w:p>
      <w:pPr>
        <w:ind w:left="284"/>
        <w:spacing w:after="0"/>
        <w:rPr>
          <w:sz w:val="20"/>
          <w:szCs w:val="20"/>
          <w:color w:val="auto"/>
        </w:rPr>
      </w:pPr>
      <w:r>
        <w:rPr>
          <w:rFonts w:ascii="Arial" w:cs="Arial" w:eastAsia="Arial" w:hAnsi="Arial"/>
          <w:sz w:val="16"/>
          <w:szCs w:val="16"/>
          <w:i w:val="1"/>
          <w:iCs w:val="1"/>
          <w:color w:val="auto"/>
        </w:rPr>
        <w:t>DevTech Investment</w:t>
      </w:r>
    </w:p>
    <w:p>
      <w:pPr>
        <w:spacing w:after="0" w:line="224" w:lineRule="exact"/>
        <w:rPr>
          <w:sz w:val="20"/>
          <w:szCs w:val="20"/>
          <w:color w:val="auto"/>
        </w:rPr>
      </w:pPr>
    </w:p>
    <w:p>
      <w:pPr>
        <w:jc w:val="both"/>
        <w:ind w:left="284"/>
        <w:spacing w:after="0" w:line="292" w:lineRule="auto"/>
        <w:rPr>
          <w:sz w:val="20"/>
          <w:szCs w:val="20"/>
          <w:color w:val="auto"/>
        </w:rPr>
      </w:pPr>
      <w:r>
        <w:rPr>
          <w:rFonts w:ascii="Arial" w:cs="Arial" w:eastAsia="Arial" w:hAnsi="Arial"/>
          <w:sz w:val="14"/>
          <w:szCs w:val="14"/>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is reflected as non-controlling interest in the Company’s condensed consolidated financial statements. DevTech also purchased 10% of a note payable due to an affiliate of the Company.</w:t>
      </w:r>
    </w:p>
    <w:p>
      <w:pPr>
        <w:spacing w:after="0" w:line="1" w:lineRule="exact"/>
        <w:rPr>
          <w:sz w:val="20"/>
          <w:szCs w:val="20"/>
          <w:color w:val="auto"/>
        </w:rPr>
      </w:pPr>
    </w:p>
    <w:p>
      <w:pPr>
        <w:ind w:left="284" w:right="100"/>
        <w:spacing w:after="0" w:line="256" w:lineRule="auto"/>
        <w:rPr>
          <w:sz w:val="20"/>
          <w:szCs w:val="20"/>
          <w:color w:val="auto"/>
        </w:rPr>
      </w:pPr>
      <w:r>
        <w:rPr>
          <w:rFonts w:ascii="Arial" w:cs="Arial" w:eastAsia="Arial" w:hAnsi="Arial"/>
          <w:sz w:val="16"/>
          <w:szCs w:val="16"/>
          <w:color w:val="auto"/>
        </w:rPr>
        <w:t>As of March 31, 2019, $1,073 was owed to DevTech on the note payable. The outstanding note payable due to DevTech is included in Other long-term liabilities in the condensed consolidated balance sheet as of March 31, 2019. For the three months ended March 31, 2019, interest expense on the note payable due to DevTech was $22. As of March 31, 2019, $665 was due from DevTech.</w:t>
      </w:r>
    </w:p>
    <w:p>
      <w:pPr>
        <w:spacing w:after="0" w:line="192" w:lineRule="exact"/>
        <w:rPr>
          <w:sz w:val="20"/>
          <w:szCs w:val="20"/>
          <w:color w:val="auto"/>
        </w:rPr>
      </w:pPr>
    </w:p>
    <w:p>
      <w:pPr>
        <w:ind w:left="284"/>
        <w:spacing w:after="0"/>
        <w:rPr>
          <w:sz w:val="20"/>
          <w:szCs w:val="20"/>
          <w:color w:val="auto"/>
        </w:rPr>
      </w:pPr>
      <w:r>
        <w:rPr>
          <w:rFonts w:ascii="Arial" w:cs="Arial" w:eastAsia="Arial" w:hAnsi="Arial"/>
          <w:sz w:val="16"/>
          <w:szCs w:val="16"/>
          <w:i w:val="1"/>
          <w:iCs w:val="1"/>
          <w:color w:val="auto"/>
        </w:rPr>
        <w:t>Fortress affiliated entities</w:t>
      </w:r>
    </w:p>
    <w:p>
      <w:pPr>
        <w:spacing w:after="0" w:line="224" w:lineRule="exact"/>
        <w:rPr>
          <w:sz w:val="20"/>
          <w:szCs w:val="20"/>
          <w:color w:val="auto"/>
        </w:rPr>
      </w:pPr>
    </w:p>
    <w:p>
      <w:pPr>
        <w:ind w:left="284" w:right="60"/>
        <w:spacing w:after="0" w:line="259" w:lineRule="auto"/>
        <w:rPr>
          <w:sz w:val="20"/>
          <w:szCs w:val="20"/>
          <w:color w:val="auto"/>
        </w:rPr>
      </w:pPr>
      <w:r>
        <w:rPr>
          <w:rFonts w:ascii="Arial" w:cs="Arial" w:eastAsia="Arial" w:hAnsi="Arial"/>
          <w:sz w:val="16"/>
          <w:szCs w:val="16"/>
          <w:color w:val="auto"/>
        </w:rPr>
        <w:t>Beginning in 2017, the Company provides certain administrative services to related parties including Fortress Energy Partners that is billed on a yearly basis. As of March 31, 2019 and December 31, 2018, $395 and $525 were due from affiliates, respectively. There are no costs incurred by the Company as it is fully reimbursed, and there is currently a receivable outstanding. Additionally, Fortress affiliated entities provide certain administrative services to the Company. As of March 31, 2019 and December 31, 2018, $663 and $305 were due to Fortress affiliates, respectively.</w:t>
      </w:r>
    </w:p>
    <w:p>
      <w:pPr>
        <w:spacing w:after="0" w:line="332" w:lineRule="exact"/>
        <w:rPr>
          <w:sz w:val="20"/>
          <w:szCs w:val="20"/>
          <w:color w:val="auto"/>
        </w:rPr>
      </w:pPr>
    </w:p>
    <w:p>
      <w:pPr>
        <w:jc w:val="center"/>
        <w:ind w:right="-63"/>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36" w:top="124" w:right="279" w:bottom="1440" w:gutter="0" w:footer="0" w:header="0"/>
        </w:sectPr>
      </w:pPr>
    </w:p>
    <w:bookmarkStart w:id="23" w:name="page24"/>
    <w:bookmarkEnd w:id="2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Due to/from Affiliates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2"/>
              </w:rPr>
              <w:t>The tables below summarizes the balances outstanding with affiliates at March 31, 2019 and December 31, 2018:</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8"/>
        </w:trPr>
        <w:tc>
          <w:tcPr>
            <w:tcW w:w="2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8"/>
              </w:rPr>
              <w:t>December 31,</w:t>
            </w:r>
          </w:p>
        </w:tc>
      </w:tr>
      <w:tr>
        <w:trPr>
          <w:trHeight w:val="213"/>
        </w:trPr>
        <w:tc>
          <w:tcPr>
            <w:tcW w:w="2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192"/>
        </w:trPr>
        <w:tc>
          <w:tcPr>
            <w:tcW w:w="280" w:type="dxa"/>
            <w:vAlign w:val="bottom"/>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Amounts due to affiliates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4,481</w:t>
            </w:r>
          </w:p>
        </w:tc>
        <w:tc>
          <w:tcPr>
            <w:tcW w:w="120" w:type="dxa"/>
            <w:vAlign w:val="bottom"/>
            <w:shd w:val="clear" w:color="auto" w:fill="CCEEFF"/>
          </w:tcPr>
          <w:p>
            <w:pPr>
              <w:spacing w:after="0"/>
              <w:rPr>
                <w:sz w:val="16"/>
                <w:szCs w:val="16"/>
                <w:color w:val="auto"/>
              </w:rPr>
            </w:pPr>
          </w:p>
        </w:tc>
      </w:tr>
      <w:tr>
        <w:trPr>
          <w:trHeight w:val="205"/>
        </w:trPr>
        <w:tc>
          <w:tcPr>
            <w:tcW w:w="28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Amounts due from affiliates</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890</w:t>
            </w:r>
          </w:p>
        </w:tc>
      </w:tr>
      <w:tr>
        <w:trPr>
          <w:trHeight w:val="396"/>
        </w:trPr>
        <w:tc>
          <w:tcPr>
            <w:tcW w:w="280" w:type="dxa"/>
            <w:vAlign w:val="bottom"/>
          </w:tcPr>
          <w:p>
            <w:pPr>
              <w:jc w:val="right"/>
              <w:spacing w:after="0"/>
              <w:rPr>
                <w:sz w:val="20"/>
                <w:szCs w:val="20"/>
                <w:color w:val="auto"/>
              </w:rPr>
            </w:pPr>
            <w:r>
              <w:rPr>
                <w:rFonts w:ascii="Arial" w:cs="Arial" w:eastAsia="Arial" w:hAnsi="Arial"/>
                <w:sz w:val="16"/>
                <w:szCs w:val="16"/>
                <w:b w:val="1"/>
                <w:bCs w:val="1"/>
                <w:color w:val="auto"/>
                <w:w w:val="80"/>
              </w:rPr>
              <w:t>23.</w:t>
            </w:r>
          </w:p>
        </w:tc>
        <w:tc>
          <w:tcPr>
            <w:tcW w:w="7480" w:type="dxa"/>
            <w:vAlign w:val="bottom"/>
          </w:tcPr>
          <w:p>
            <w:pPr>
              <w:ind w:left="300"/>
              <w:spacing w:after="0"/>
              <w:rPr>
                <w:sz w:val="20"/>
                <w:szCs w:val="20"/>
                <w:color w:val="auto"/>
              </w:rPr>
            </w:pPr>
            <w:r>
              <w:rPr>
                <w:rFonts w:ascii="Arial" w:cs="Arial" w:eastAsia="Arial" w:hAnsi="Arial"/>
                <w:sz w:val="16"/>
                <w:szCs w:val="16"/>
                <w:b w:val="1"/>
                <w:bCs w:val="1"/>
                <w:color w:val="auto"/>
              </w:rPr>
              <w:t>Subsequent events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4" w:lineRule="exact"/>
        <w:rPr>
          <w:sz w:val="20"/>
          <w:szCs w:val="20"/>
          <w:color w:val="auto"/>
        </w:rPr>
      </w:pPr>
    </w:p>
    <w:p>
      <w:pPr>
        <w:ind w:left="280"/>
        <w:spacing w:after="0" w:line="351" w:lineRule="auto"/>
        <w:rPr>
          <w:sz w:val="20"/>
          <w:szCs w:val="20"/>
          <w:color w:val="auto"/>
        </w:rPr>
      </w:pPr>
      <w:r>
        <w:rPr>
          <w:rFonts w:ascii="Arial" w:cs="Arial" w:eastAsia="Arial" w:hAnsi="Arial"/>
          <w:sz w:val="14"/>
          <w:szCs w:val="14"/>
          <w:color w:val="auto"/>
        </w:rPr>
        <w:t>The Company evaluated subsequent events and transactions that occurred up to the date the condensed consolidated financial statements were available to be issued. Based upon this review, the Company did not identify any other subsequent events, not previously disclosed in the condensed consolidated financial statements.</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260"/>
          </w:cols>
          <w:pgMar w:left="240" w:top="124" w:right="399" w:bottom="1440" w:gutter="0" w:footer="0" w:header="0"/>
        </w:sectPr>
      </w:pPr>
    </w:p>
    <w:bookmarkStart w:id="24" w:name="page25"/>
    <w:bookmarkEnd w:id="2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28" w:lineRule="exact"/>
        <w:rPr>
          <w:sz w:val="20"/>
          <w:szCs w:val="20"/>
          <w:color w:val="auto"/>
        </w:rPr>
      </w:pPr>
    </w:p>
    <w:p>
      <w:pPr>
        <w:ind w:right="80" w:firstLine="288"/>
        <w:spacing w:after="0" w:line="259" w:lineRule="auto"/>
        <w:rPr>
          <w:sz w:val="20"/>
          <w:szCs w:val="20"/>
          <w:color w:val="auto"/>
        </w:rPr>
      </w:pPr>
      <w:r>
        <w:rPr>
          <w:rFonts w:ascii="Arial" w:cs="Arial" w:eastAsia="Arial" w:hAnsi="Arial"/>
          <w:sz w:val="16"/>
          <w:szCs w:val="16"/>
          <w:i w:val="1"/>
          <w:iCs w:val="1"/>
          <w:color w:val="auto"/>
        </w:rPr>
        <w:t>Certain information contained in this discussion and analysis, including information with respect to our plans, strategy, projections and expected timeline for our business and related financing, includes forward-looking statements that involve risks and uncertainties. Forward-looking statements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191" w:lineRule="exact"/>
        <w:rPr>
          <w:sz w:val="20"/>
          <w:szCs w:val="20"/>
          <w:color w:val="auto"/>
        </w:rPr>
      </w:pPr>
    </w:p>
    <w:p>
      <w:pPr>
        <w:ind w:right="100" w:firstLine="288"/>
        <w:spacing w:after="0" w:line="259" w:lineRule="auto"/>
        <w:rPr>
          <w:sz w:val="20"/>
          <w:szCs w:val="20"/>
          <w:color w:val="auto"/>
        </w:rPr>
      </w:pPr>
      <w:r>
        <w:rPr>
          <w:rFonts w:ascii="Arial" w:cs="Arial" w:eastAsia="Arial" w:hAnsi="Arial"/>
          <w:sz w:val="16"/>
          <w:szCs w:val="16"/>
          <w:i w:val="1"/>
          <w:iCs w:val="1"/>
          <w:color w:val="auto"/>
        </w:rPr>
        <w:t>You should read “Part II, Item 1A. Risk Factors” and “Cautionary Statement on Forward-Looking Statements” elsewhere in this Quarterly Report on Form 10-Q (“Quarterly Report”) and “Part I, Item 1A. Risk Factors” in the Annual Report on Form 10-K for the year ended December 31, 2018 (our “Annual Report”) for a discussion of important factors that could cause actual results to differ materially from the results described in or implied by the forward-looking statements contained in the following discussion and analysis.</w:t>
      </w:r>
    </w:p>
    <w:p>
      <w:pPr>
        <w:spacing w:after="0" w:line="191" w:lineRule="exact"/>
        <w:rPr>
          <w:sz w:val="20"/>
          <w:szCs w:val="20"/>
          <w:color w:val="auto"/>
        </w:rPr>
      </w:pPr>
    </w:p>
    <w:p>
      <w:pPr>
        <w:ind w:right="20" w:firstLine="288"/>
        <w:spacing w:after="0" w:line="278" w:lineRule="auto"/>
        <w:rPr>
          <w:sz w:val="20"/>
          <w:szCs w:val="20"/>
          <w:color w:val="auto"/>
        </w:rPr>
      </w:pPr>
      <w:r>
        <w:rPr>
          <w:rFonts w:ascii="Arial" w:cs="Arial" w:eastAsia="Arial" w:hAnsi="Arial"/>
          <w:sz w:val="15"/>
          <w:szCs w:val="15"/>
          <w:i w:val="1"/>
          <w:iCs w:val="1"/>
          <w:color w:val="auto"/>
        </w:rPr>
        <w:t>The following information should be read in conjunction with our unaudited condensed consolidated financial statements and accompanying notes included elsewhere in this Quarterly Report. Our financial statements have been prepared in accordance with GAAP. The unaudited condensed consolidated financial statements as of and for the three months ended March 31, 2019 included herein, reflect all adjustments which, in the opinion of management, are necessary for a fair presentation of financial position, results of operations and cash flows for the interim periods on a basis consistent with the annual audited financial statements. All such adjustments are of a normal recurring nature. The results of operations for interim periods are not necessarily indicative of the results that may be expected for any other interim period or for a full year.</w:t>
      </w:r>
    </w:p>
    <w:p>
      <w:pPr>
        <w:spacing w:after="0" w:line="178" w:lineRule="exact"/>
        <w:rPr>
          <w:sz w:val="20"/>
          <w:szCs w:val="20"/>
          <w:color w:val="auto"/>
        </w:rPr>
      </w:pPr>
    </w:p>
    <w:p>
      <w:pPr>
        <w:ind w:right="120" w:firstLine="288"/>
        <w:spacing w:after="0" w:line="264" w:lineRule="auto"/>
        <w:rPr>
          <w:sz w:val="20"/>
          <w:szCs w:val="20"/>
          <w:color w:val="auto"/>
        </w:rPr>
      </w:pPr>
      <w:r>
        <w:rPr>
          <w:rFonts w:ascii="Arial" w:cs="Arial" w:eastAsia="Arial" w:hAnsi="Arial"/>
          <w:sz w:val="16"/>
          <w:szCs w:val="16"/>
          <w:i w:val="1"/>
          <w:iCs w:val="1"/>
          <w:color w:val="auto"/>
        </w:rPr>
        <w:t>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thousands.</w:t>
      </w:r>
    </w:p>
    <w:p>
      <w:pPr>
        <w:spacing w:after="0" w:line="186" w:lineRule="exact"/>
        <w:rPr>
          <w:sz w:val="20"/>
          <w:szCs w:val="20"/>
          <w:color w:val="auto"/>
        </w:rPr>
      </w:pPr>
    </w:p>
    <w:p>
      <w:pPr>
        <w:ind w:firstLine="288"/>
        <w:spacing w:after="0" w:line="264" w:lineRule="auto"/>
        <w:rPr>
          <w:sz w:val="20"/>
          <w:szCs w:val="20"/>
          <w:color w:val="auto"/>
        </w:rPr>
      </w:pPr>
      <w:r>
        <w:rPr>
          <w:rFonts w:ascii="Arial" w:cs="Arial" w:eastAsia="Arial" w:hAnsi="Arial"/>
          <w:sz w:val="16"/>
          <w:szCs w:val="16"/>
          <w:i w:val="1"/>
          <w:iCs w:val="1"/>
          <w:color w:val="auto"/>
        </w:rPr>
        <w:t>Unless the context otherwise requires, references to “Company,” “NFE,” “we,” “our,” “us” or like terms refer to New Fortress Energy LLC and its subsidiaries. When used in a historical context that is prior to the completion of NFE’s initial public offering (“IPO”), “Company,” “we,” “our,” “us” or like terms refer to New Fortress Energy Holdings LLC, a Delaware limited liability company (“New Fortress Energy Holdings”), our predecessor for financial reporting purposes.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8" w:lineRule="exact"/>
        <w:rPr>
          <w:sz w:val="20"/>
          <w:szCs w:val="20"/>
          <w:color w:val="auto"/>
        </w:rPr>
      </w:pPr>
    </w:p>
    <w:p>
      <w:pPr>
        <w:ind w:right="100" w:firstLine="288"/>
        <w:spacing w:after="0" w:line="274" w:lineRule="auto"/>
        <w:rPr>
          <w:sz w:val="20"/>
          <w:szCs w:val="20"/>
          <w:color w:val="auto"/>
        </w:rPr>
      </w:pPr>
      <w:r>
        <w:rPr>
          <w:rFonts w:ascii="Arial" w:cs="Arial" w:eastAsia="Arial" w:hAnsi="Arial"/>
          <w:sz w:val="15"/>
          <w:szCs w:val="15"/>
          <w:color w:val="auto"/>
        </w:rPr>
        <w:t>We are engaged in providing energy and logistical services to end-users worldwide seeking to convert their operating assets from diesel or heavy fuel oil (“HFO”) to liquefied natural gas (“LNG”). The Company currently has liquefaction and regasification operations in the United States and Jamaica. We currently source LNG from a combination of our own liquefaction facility in Miami, Florida and purchases from third party suppliers. We are developing the infrastructure necessary to supply all of our existing and future customers with LNG produced primarily at our own facilities. We expect that control of our vertical supply chain, from liquefaction to delivery of LNG, will help to reduce our exposure to future LNG price variations and enable us to supply our existing and future customers with LNG at a price that reflects production at our own facilities, reinforcing our competitive standing in the LNG market. Our strategy is simple: we seek to manufacture our own LNG at attractive prices, using fixed-price feedstock, and we seek to sell natural gas (delivered through LNG infrastructure) or gas-fired power to customers that sign long-term, take-or-pay contracts.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Current Operations</w:t>
      </w:r>
    </w:p>
    <w:p>
      <w:pPr>
        <w:spacing w:after="0" w:line="228" w:lineRule="exact"/>
        <w:rPr>
          <w:sz w:val="20"/>
          <w:szCs w:val="20"/>
          <w:color w:val="auto"/>
        </w:rPr>
      </w:pPr>
    </w:p>
    <w:p>
      <w:pPr>
        <w:ind w:firstLine="288"/>
        <w:spacing w:after="0" w:line="273" w:lineRule="auto"/>
        <w:rPr>
          <w:sz w:val="20"/>
          <w:szCs w:val="20"/>
          <w:color w:val="auto"/>
        </w:rPr>
      </w:pPr>
      <w:r>
        <w:rPr>
          <w:rFonts w:ascii="Arial" w:cs="Arial" w:eastAsia="Arial" w:hAnsi="Arial"/>
          <w:sz w:val="15"/>
          <w:szCs w:val="15"/>
          <w:color w:val="auto"/>
        </w:rPr>
        <w:t>Our management team has successfully employed our strategy to secure long-term, take-or-pay contracts with Jamaica Public Service Company Limited (“JPS”), the sole public utility in Jamaica, South Jamaica Power Company Limited (“JPC”), an affiliate of JPS, and Jamalco, a joint venture between General Alumina Jamaica Limited (“GAJ”), a subsidiary of Noble Group, and Clarendon Alumina Production Limited, an entity owned by the Government of Jamaica, with a focus on bauxite mining and alumina production in Jamaica (“Jamalco”), each of which is described in more detail below. Certain assets built to service JPS have, and the assets built to service JPC and Jamalco will have, capacity to service other customers. We currently procure our LNG either by purchasing it under a multi-cargo contract from a supplier or by manufacturing it in our natural gas liquefaction, storage and production facility located in Miami-Dade County, Florida (the “Miami Facility”). In the future, we intend to develop the infrastructure necessary to supply our existing and future customers with LNG produced primarily at our own facilities, including our expanded delivery logistics chain in Northern Pennsylvania (the “Pennsylvania Facility” and, together with the Miami Facility, the “Liquefaction Facilities”).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5" w:name="page26"/>
    <w:bookmarkEnd w:id="2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Montego Bay Terminal</w:t>
      </w:r>
    </w:p>
    <w:p>
      <w:pPr>
        <w:spacing w:after="0" w:line="224" w:lineRule="exact"/>
        <w:rPr>
          <w:sz w:val="20"/>
          <w:szCs w:val="20"/>
          <w:color w:val="auto"/>
        </w:rPr>
      </w:pPr>
    </w:p>
    <w:p>
      <w:pPr>
        <w:ind w:right="20" w:firstLine="288"/>
        <w:spacing w:after="0" w:line="257" w:lineRule="auto"/>
        <w:rPr>
          <w:sz w:val="20"/>
          <w:szCs w:val="20"/>
          <w:color w:val="auto"/>
        </w:rPr>
      </w:pPr>
      <w:r>
        <w:rPr>
          <w:rFonts w:ascii="Arial" w:cs="Arial" w:eastAsia="Arial" w:hAnsi="Arial"/>
          <w:sz w:val="16"/>
          <w:szCs w:val="16"/>
          <w:color w:val="auto"/>
        </w:rPr>
        <w:t>Our storage and regasification terminal in Montego Bay, Jamaica (the “Montego Bay Terminal”) serves as our supply hub for the north side of Jamaica, providing gas to JPS to fuel the 145MW Bogue Power Plant in Montego Bay, Jamaica (the “Bogue Power Plant”). The Montego Bay Terminal commenced commercial operations in October 2016 and stores approximately two million gallons of LNG in seven storage tanks. The Montego Bay Terminal also consists of an ISO loading facility that can transport LNG to all of our industrial and manufacturing (“small-scale”) customers across the island. The small-scale business provides their users with an alternative fuel to support their business operations and limit reliance on monopolistic utilities.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Miami Facility</w:t>
      </w:r>
    </w:p>
    <w:p>
      <w:pPr>
        <w:spacing w:after="0" w:line="224" w:lineRule="exact"/>
        <w:rPr>
          <w:sz w:val="20"/>
          <w:szCs w:val="20"/>
          <w:color w:val="auto"/>
        </w:rPr>
      </w:pPr>
    </w:p>
    <w:p>
      <w:pPr>
        <w:ind w:right="20" w:firstLine="288"/>
        <w:spacing w:after="0" w:line="259" w:lineRule="auto"/>
        <w:rPr>
          <w:sz w:val="20"/>
          <w:szCs w:val="20"/>
          <w:color w:val="auto"/>
        </w:rPr>
      </w:pPr>
      <w:r>
        <w:rPr>
          <w:rFonts w:ascii="Arial" w:cs="Arial" w:eastAsia="Arial" w:hAnsi="Arial"/>
          <w:sz w:val="16"/>
          <w:szCs w:val="16"/>
          <w:color w:val="auto"/>
        </w:rPr>
        <w:t>Our Miami Facility began operations in April 2016. This facility enables us to produce LNG for our customers and reduces our dependence on other suppliers for LNG. The Miami Facility is the first plant to successfully export domestically produced LNG from the lower 48 states to a non-FTA country and it employs one of the largest ISO container fleets in the world. The Miami Facility provides LNG to small-scale customers in southern Florida including Florida East Coast Railway via our train loading facility and other customers throughout the Caribbean using ISO containers.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Three Months Ended March 31, 2019 compared to Three Months Ended March 31, 2018</w:t>
      </w:r>
    </w:p>
    <w:p>
      <w:pPr>
        <w:spacing w:after="0" w:line="200" w:lineRule="exact"/>
        <w:rPr>
          <w:sz w:val="20"/>
          <w:szCs w:val="20"/>
          <w:color w:val="auto"/>
        </w:rPr>
      </w:pPr>
    </w:p>
    <w:tbl>
      <w:tblPr>
        <w:tblLayout w:type="fixed"/>
        <w:tblInd w:w="280" w:type="dxa"/>
        <w:tblCellMar>
          <w:top w:w="0" w:type="dxa"/>
          <w:left w:w="0" w:type="dxa"/>
          <w:bottom w:w="0" w:type="dxa"/>
          <w:right w:w="0" w:type="dxa"/>
        </w:tblCellMar>
      </w:tblPr>
      <w:tr>
        <w:trPr>
          <w:trHeight w:val="213"/>
        </w:trPr>
        <w:tc>
          <w:tcPr>
            <w:tcW w:w="6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gridSpan w:val="10"/>
          </w:tcPr>
          <w:p>
            <w:pPr>
              <w:jc w:val="right"/>
              <w:ind w:right="900"/>
              <w:spacing w:after="0"/>
              <w:rPr>
                <w:sz w:val="20"/>
                <w:szCs w:val="20"/>
                <w:color w:val="auto"/>
              </w:rPr>
            </w:pPr>
            <w:r>
              <w:rPr>
                <w:rFonts w:ascii="Arial" w:cs="Arial" w:eastAsia="Arial" w:hAnsi="Arial"/>
                <w:sz w:val="16"/>
                <w:szCs w:val="16"/>
                <w:b w:val="1"/>
                <w:bCs w:val="1"/>
                <w:color w:val="auto"/>
              </w:rPr>
              <w:t>Three Months Ended March 31,</w:t>
            </w:r>
          </w:p>
        </w:tc>
      </w:tr>
      <w:tr>
        <w:trPr>
          <w:trHeight w:val="196"/>
        </w:trPr>
        <w:tc>
          <w:tcPr>
            <w:tcW w:w="61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7"/>
                <w:szCs w:val="17"/>
                <w:color w:val="auto"/>
              </w:rPr>
            </w:pPr>
          </w:p>
        </w:tc>
      </w:tr>
      <w:tr>
        <w:trPr>
          <w:trHeight w:val="192"/>
        </w:trPr>
        <w:tc>
          <w:tcPr>
            <w:tcW w:w="614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26,138</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22,263</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w:t>
            </w:r>
          </w:p>
        </w:tc>
        <w:tc>
          <w:tcPr>
            <w:tcW w:w="120" w:type="dxa"/>
            <w:vAlign w:val="bottom"/>
            <w:shd w:val="clear" w:color="auto" w:fill="CCEEFF"/>
          </w:tcPr>
          <w:p>
            <w:pPr>
              <w:spacing w:after="0"/>
              <w:rPr>
                <w:sz w:val="16"/>
                <w:szCs w:val="16"/>
                <w:color w:val="auto"/>
              </w:rPr>
            </w:pPr>
          </w:p>
        </w:tc>
      </w:tr>
      <w:tr>
        <w:trPr>
          <w:trHeight w:val="196"/>
        </w:trPr>
        <w:tc>
          <w:tcPr>
            <w:tcW w:w="6140" w:type="dxa"/>
            <w:vAlign w:val="bottom"/>
          </w:tcPr>
          <w:p>
            <w:pPr>
              <w:ind w:left="14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3,813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3,446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367</w:t>
            </w:r>
          </w:p>
        </w:tc>
      </w:tr>
      <w:tr>
        <w:trPr>
          <w:trHeight w:val="196"/>
        </w:trPr>
        <w:tc>
          <w:tcPr>
            <w:tcW w:w="6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revenues</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29,951</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25,709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4,242</w:t>
            </w:r>
          </w:p>
        </w:tc>
        <w:tc>
          <w:tcPr>
            <w:tcW w:w="120" w:type="dxa"/>
            <w:vAlign w:val="bottom"/>
            <w:shd w:val="clear" w:color="auto" w:fill="CCEEFF"/>
          </w:tcPr>
          <w:p>
            <w:pPr>
              <w:spacing w:after="0"/>
              <w:rPr>
                <w:sz w:val="17"/>
                <w:szCs w:val="17"/>
                <w:color w:val="auto"/>
              </w:rPr>
            </w:pPr>
          </w:p>
        </w:tc>
      </w:tr>
      <w:tr>
        <w:trPr>
          <w:trHeight w:val="192"/>
        </w:trPr>
        <w:tc>
          <w:tcPr>
            <w:tcW w:w="614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2"/>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sales</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33,349</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20,765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12,584</w:t>
            </w:r>
          </w:p>
        </w:tc>
      </w:tr>
      <w:tr>
        <w:trPr>
          <w:trHeight w:val="192"/>
        </w:trPr>
        <w:tc>
          <w:tcPr>
            <w:tcW w:w="6140" w:type="dxa"/>
            <w:vAlign w:val="bottom"/>
          </w:tcPr>
          <w:p>
            <w:pPr>
              <w:ind w:left="140"/>
              <w:spacing w:after="0"/>
              <w:rPr>
                <w:sz w:val="20"/>
                <w:szCs w:val="20"/>
                <w:color w:val="auto"/>
              </w:rPr>
            </w:pPr>
            <w:r>
              <w:rPr>
                <w:rFonts w:ascii="Arial" w:cs="Arial" w:eastAsia="Arial" w:hAnsi="Arial"/>
                <w:sz w:val="16"/>
                <w:szCs w:val="16"/>
                <w:color w:val="auto"/>
              </w:rPr>
              <w:t>Operations and maintenance</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4,499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1,844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2,655</w:t>
            </w:r>
          </w:p>
        </w:tc>
        <w:tc>
          <w:tcPr>
            <w:tcW w:w="120" w:type="dxa"/>
            <w:vAlign w:val="bottom"/>
          </w:tcPr>
          <w:p>
            <w:pPr>
              <w:spacing w:after="0"/>
              <w:rPr>
                <w:sz w:val="16"/>
                <w:szCs w:val="16"/>
                <w:color w:val="auto"/>
              </w:rPr>
            </w:pPr>
          </w:p>
        </w:tc>
      </w:tr>
      <w:tr>
        <w:trPr>
          <w:trHeight w:val="192"/>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49,749</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37,880</w:t>
            </w:r>
          </w:p>
        </w:tc>
      </w:tr>
      <w:tr>
        <w:trPr>
          <w:trHeight w:val="196"/>
        </w:trPr>
        <w:tc>
          <w:tcPr>
            <w:tcW w:w="61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1,691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696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995</w:t>
            </w:r>
          </w:p>
        </w:tc>
      </w:tr>
      <w:tr>
        <w:trPr>
          <w:trHeight w:val="196"/>
        </w:trPr>
        <w:tc>
          <w:tcPr>
            <w:tcW w:w="6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b w:val="1"/>
                <w:bCs w:val="1"/>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89,288</w:t>
            </w: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35,174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54,144</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92"/>
        </w:trPr>
        <w:tc>
          <w:tcPr>
            <w:tcW w:w="614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240" w:type="dxa"/>
            <w:vAlign w:val="bottom"/>
          </w:tcPr>
          <w:p>
            <w:pPr>
              <w:spacing w:after="0"/>
              <w:rPr>
                <w:sz w:val="16"/>
                <w:szCs w:val="16"/>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(59,337)</w:t>
            </w: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(9,465)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(49,872)</w:t>
            </w:r>
          </w:p>
        </w:tc>
      </w:tr>
      <w:tr>
        <w:trPr>
          <w:trHeight w:val="192"/>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3,284</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20" w:type="dxa"/>
            <w:vAlign w:val="bottom"/>
            <w:shd w:val="clear" w:color="auto" w:fill="CCEEFF"/>
          </w:tcPr>
          <w:p>
            <w:pPr>
              <w:spacing w:after="0"/>
              <w:rPr>
                <w:sz w:val="16"/>
                <w:szCs w:val="16"/>
                <w:color w:val="auto"/>
              </w:rPr>
            </w:pPr>
          </w:p>
        </w:tc>
      </w:tr>
      <w:tr>
        <w:trPr>
          <w:trHeight w:val="196"/>
        </w:trPr>
        <w:tc>
          <w:tcPr>
            <w:tcW w:w="614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4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(2,575)</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(2,607)</w:t>
            </w:r>
          </w:p>
        </w:tc>
      </w:tr>
      <w:tr>
        <w:trPr>
          <w:trHeight w:val="192"/>
        </w:trPr>
        <w:tc>
          <w:tcPr>
            <w:tcW w:w="6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before taxes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(60,046)</w:t>
            </w:r>
          </w:p>
        </w:tc>
        <w:tc>
          <w:tcPr>
            <w:tcW w:w="220" w:type="dxa"/>
            <w:vAlign w:val="bottom"/>
            <w:gridSpan w:val="2"/>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(48,946)</w:t>
            </w:r>
          </w:p>
        </w:tc>
        <w:tc>
          <w:tcPr>
            <w:tcW w:w="120" w:type="dxa"/>
            <w:vAlign w:val="bottom"/>
            <w:shd w:val="clear" w:color="auto" w:fill="CCEEFF"/>
          </w:tcPr>
          <w:p>
            <w:pPr>
              <w:spacing w:after="0"/>
              <w:rPr>
                <w:sz w:val="16"/>
                <w:szCs w:val="16"/>
                <w:color w:val="auto"/>
              </w:rPr>
            </w:pPr>
          </w:p>
        </w:tc>
      </w:tr>
      <w:tr>
        <w:trPr>
          <w:trHeight w:val="196"/>
        </w:trPr>
        <w:tc>
          <w:tcPr>
            <w:tcW w:w="6140" w:type="dxa"/>
            <w:vAlign w:val="bottom"/>
          </w:tcPr>
          <w:p>
            <w:pPr>
              <w:spacing w:after="0"/>
              <w:rPr>
                <w:sz w:val="20"/>
                <w:szCs w:val="20"/>
                <w:color w:val="auto"/>
              </w:rPr>
            </w:pPr>
            <w:r>
              <w:rPr>
                <w:rFonts w:ascii="Arial" w:cs="Arial" w:eastAsia="Arial" w:hAnsi="Arial"/>
                <w:sz w:val="16"/>
                <w:szCs w:val="16"/>
                <w:color w:val="auto"/>
              </w:rPr>
              <w:t>Tax expense (benefit)</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246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433</w:t>
            </w:r>
          </w:p>
        </w:tc>
      </w:tr>
      <w:tr>
        <w:trPr>
          <w:trHeight w:val="232"/>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(60,292)</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(49,379)</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4"/>
        </w:trPr>
        <w:tc>
          <w:tcPr>
            <w:tcW w:w="6140" w:type="dxa"/>
            <w:vAlign w:val="bottom"/>
          </w:tcPr>
          <w:p>
            <w:pPr>
              <w:spacing w:after="0" w:line="181" w:lineRule="exact"/>
              <w:rPr>
                <w:sz w:val="20"/>
                <w:szCs w:val="20"/>
                <w:color w:val="auto"/>
              </w:rPr>
            </w:pPr>
            <w:r>
              <w:rPr>
                <w:rFonts w:ascii="Arial" w:cs="Arial" w:eastAsia="Arial" w:hAnsi="Arial"/>
                <w:sz w:val="16"/>
                <w:szCs w:val="16"/>
                <w:color w:val="auto"/>
              </w:rPr>
              <w:t>Net loss attributable to non-controlling interest</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46,735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46,735</w:t>
            </w:r>
          </w:p>
        </w:tc>
      </w:tr>
      <w:tr>
        <w:trPr>
          <w:trHeight w:val="232"/>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loss attributable to stockholders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(13,557)</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(2,644)</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8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Revenues</w:t>
      </w:r>
    </w:p>
    <w:p>
      <w:pPr>
        <w:spacing w:after="0" w:line="224" w:lineRule="exact"/>
        <w:rPr>
          <w:sz w:val="20"/>
          <w:szCs w:val="20"/>
          <w:color w:val="auto"/>
        </w:rPr>
      </w:pPr>
    </w:p>
    <w:p>
      <w:pPr>
        <w:ind w:right="360" w:firstLine="288"/>
        <w:spacing w:after="0" w:line="264" w:lineRule="auto"/>
        <w:rPr>
          <w:sz w:val="20"/>
          <w:szCs w:val="20"/>
          <w:color w:val="auto"/>
        </w:rPr>
      </w:pPr>
      <w:r>
        <w:rPr>
          <w:rFonts w:ascii="Arial" w:cs="Arial" w:eastAsia="Arial" w:hAnsi="Arial"/>
          <w:sz w:val="16"/>
          <w:szCs w:val="16"/>
          <w:color w:val="auto"/>
        </w:rPr>
        <w:t>Operating revenue from LNG and natural gas sales for the three months ended March 31, 2019 was $26,138 which increased $3,875 from $22,263 for the three months ended March 31, 2018, primarily driven by gaining three new small-scale customers as well as an increase in consumption at an existing customer due to the customer’s installation of a new gas turbine that consumes approximately 60,500 gallons (5,000 MMBtu) per day.</w:t>
      </w:r>
    </w:p>
    <w:p>
      <w:pPr>
        <w:spacing w:after="0" w:line="186" w:lineRule="exact"/>
        <w:rPr>
          <w:sz w:val="20"/>
          <w:szCs w:val="20"/>
          <w:color w:val="auto"/>
        </w:rPr>
      </w:pPr>
    </w:p>
    <w:p>
      <w:pPr>
        <w:ind w:firstLine="288"/>
        <w:spacing w:after="0" w:line="259" w:lineRule="auto"/>
        <w:rPr>
          <w:sz w:val="20"/>
          <w:szCs w:val="20"/>
          <w:color w:val="auto"/>
        </w:rPr>
      </w:pPr>
      <w:r>
        <w:rPr>
          <w:rFonts w:ascii="Arial" w:cs="Arial" w:eastAsia="Arial" w:hAnsi="Arial"/>
          <w:sz w:val="16"/>
          <w:szCs w:val="16"/>
          <w:color w:val="auto"/>
        </w:rPr>
        <w:t>The increase in Operating revenue was also attributable to additional sales at the Montego Bay Terminal. The delivered volume increased by 3.7 million gallons (306,792 MMBtu) from 22.8 million gallons (1.9 TBtu) for the three months ended March 31, 2018 to 26.5 million gallons (2.2 TBtu) for the three months ended March 31, 2019. Of the delivered volumes, 583,500 gallons (48,223 MMBtu) and 1,213,500 gallons (100,289 MMBtu) were delivered to small-scale networks in the three months ended March 31, 2018 and 2019, respectively.</w:t>
      </w:r>
    </w:p>
    <w:p>
      <w:pPr>
        <w:spacing w:after="0" w:line="191" w:lineRule="exact"/>
        <w:rPr>
          <w:sz w:val="20"/>
          <w:szCs w:val="20"/>
          <w:color w:val="auto"/>
        </w:rPr>
      </w:pPr>
    </w:p>
    <w:p>
      <w:pPr>
        <w:jc w:val="both"/>
        <w:ind w:right="40" w:firstLine="288"/>
        <w:spacing w:after="0" w:line="259" w:lineRule="auto"/>
        <w:rPr>
          <w:sz w:val="20"/>
          <w:szCs w:val="20"/>
          <w:color w:val="auto"/>
        </w:rPr>
      </w:pPr>
      <w:r>
        <w:rPr>
          <w:rFonts w:ascii="Arial" w:cs="Arial" w:eastAsia="Arial" w:hAnsi="Arial"/>
          <w:sz w:val="16"/>
          <w:szCs w:val="16"/>
          <w:color w:val="auto"/>
        </w:rPr>
        <w:t>Other revenue for the three months ended March 31, 2019 was $3,813 which increased $367 from $3,446 for the three months ended March 31, 2018. The Company leases certain facilities and equipment, including the Montego Bay Terminal, to its customers which are accounted for either as direct financing leases or operating leases. We currently generate a majority of Other revenue from interest recognized from direct financing leases or leasing revenue from operating leases. The increase in Other revenue was primarily driven by a direct finance lease and operating leases with small-scale customers.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26" w:name="page27"/>
    <w:bookmarkEnd w:id="2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Cost of sales</w:t>
      </w:r>
    </w:p>
    <w:p>
      <w:pPr>
        <w:spacing w:after="0" w:line="218" w:lineRule="exact"/>
        <w:rPr>
          <w:sz w:val="20"/>
          <w:szCs w:val="20"/>
          <w:color w:val="auto"/>
        </w:rPr>
      </w:pPr>
    </w:p>
    <w:p>
      <w:pPr>
        <w:ind w:right="40" w:firstLine="288"/>
        <w:spacing w:after="0" w:line="248" w:lineRule="auto"/>
        <w:rPr>
          <w:sz w:val="20"/>
          <w:szCs w:val="20"/>
          <w:color w:val="auto"/>
        </w:rPr>
      </w:pPr>
      <w:r>
        <w:rPr>
          <w:rFonts w:ascii="Arial" w:cs="Arial" w:eastAsia="Arial" w:hAnsi="Arial"/>
          <w:sz w:val="16"/>
          <w:szCs w:val="16"/>
          <w:color w:val="auto"/>
        </w:rPr>
        <w:t xml:space="preserve">Cost of sales for the three months ended March 31, 2019 was $33,349 which increased $12,584 from $20,765 for the three months ended March 31, 2018. </w:t>
      </w:r>
      <w:r>
        <w:rPr>
          <w:rFonts w:ascii="Arial" w:cs="Arial" w:eastAsia="Arial" w:hAnsi="Arial"/>
          <w:sz w:val="19"/>
          <w:szCs w:val="19"/>
          <w:color w:val="auto"/>
        </w:rPr>
        <w:t>The increase in</w:t>
      </w:r>
      <w:r>
        <w:rPr>
          <w:rFonts w:ascii="Arial" w:cs="Arial" w:eastAsia="Arial" w:hAnsi="Arial"/>
          <w:sz w:val="16"/>
          <w:szCs w:val="16"/>
          <w:color w:val="auto"/>
        </w:rPr>
        <w:t xml:space="preserve"> </w:t>
      </w:r>
      <w:r>
        <w:rPr>
          <w:rFonts w:ascii="Arial" w:cs="Arial" w:eastAsia="Arial" w:hAnsi="Arial"/>
          <w:sz w:val="19"/>
          <w:szCs w:val="19"/>
          <w:color w:val="auto"/>
        </w:rPr>
        <w:t xml:space="preserve">Cost of sales was attributable to increased weighted-average costs of gas from $0.62 per gallon ($7.44 per MMBtu) for the three months ended March 31, 2018 to $0.92 per gallon ($11.07 per MMBtu) for the three months ended March 31, 2019, which is inclusive of boil-off gas. </w:t>
      </w:r>
      <w:r>
        <w:rPr>
          <w:rFonts w:ascii="Arial" w:cs="Arial" w:eastAsia="Arial" w:hAnsi="Arial"/>
          <w:sz w:val="16"/>
          <w:szCs w:val="16"/>
          <w:color w:val="auto"/>
        </w:rPr>
        <w:t>Additionally,</w:t>
      </w:r>
      <w:r>
        <w:rPr>
          <w:rFonts w:ascii="Arial" w:cs="Arial" w:eastAsia="Arial" w:hAnsi="Arial"/>
          <w:sz w:val="19"/>
          <w:szCs w:val="19"/>
          <w:color w:val="auto"/>
        </w:rPr>
        <w:t xml:space="preserve"> </w:t>
      </w:r>
      <w:r>
        <w:rPr>
          <w:rFonts w:ascii="Arial" w:cs="Arial" w:eastAsia="Arial" w:hAnsi="Arial"/>
          <w:sz w:val="16"/>
          <w:szCs w:val="16"/>
          <w:color w:val="auto"/>
        </w:rPr>
        <w:t>the volumes delivered increased by 12% for the three months ended in March 31, 2019 compared to the three months ended March 31, 2018. The Company also incurred an increase in charter costs due to an additional ship charter at a rate of $925 per month.</w:t>
      </w:r>
    </w:p>
    <w:p>
      <w:pPr>
        <w:spacing w:after="0" w:line="198" w:lineRule="exact"/>
        <w:rPr>
          <w:sz w:val="20"/>
          <w:szCs w:val="20"/>
          <w:color w:val="auto"/>
        </w:rPr>
      </w:pPr>
    </w:p>
    <w:p>
      <w:pPr>
        <w:ind w:firstLine="288"/>
        <w:spacing w:after="0" w:line="264" w:lineRule="auto"/>
        <w:rPr>
          <w:sz w:val="20"/>
          <w:szCs w:val="20"/>
          <w:color w:val="auto"/>
        </w:rPr>
      </w:pPr>
      <w:r>
        <w:rPr>
          <w:rFonts w:ascii="Arial" w:cs="Arial" w:eastAsia="Arial" w:hAnsi="Arial"/>
          <w:sz w:val="16"/>
          <w:szCs w:val="16"/>
          <w:color w:val="auto"/>
        </w:rPr>
        <w:t>Cost of sales includes the procurement of feedgas or LNG as applicable, shipping and logistics costs to deliver LNG to our facilities and regasification and terminal operating expenses to supply LNG to our customers. Our LNG and natural gas supply are purchased from third parties or converted in our Miami Facility. Costs to convert natural gas to LNG, including labor and other direct costs to operate our Miami Facility are also included in Cost of sales.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Operations and maintenance</w:t>
      </w:r>
    </w:p>
    <w:p>
      <w:pPr>
        <w:spacing w:after="0" w:line="224" w:lineRule="exact"/>
        <w:rPr>
          <w:sz w:val="20"/>
          <w:szCs w:val="20"/>
          <w:color w:val="auto"/>
        </w:rPr>
      </w:pPr>
    </w:p>
    <w:p>
      <w:pPr>
        <w:ind w:right="200" w:firstLine="288"/>
        <w:spacing w:after="0" w:line="264" w:lineRule="auto"/>
        <w:rPr>
          <w:sz w:val="20"/>
          <w:szCs w:val="20"/>
          <w:color w:val="auto"/>
        </w:rPr>
      </w:pPr>
      <w:r>
        <w:rPr>
          <w:rFonts w:ascii="Arial" w:cs="Arial" w:eastAsia="Arial" w:hAnsi="Arial"/>
          <w:sz w:val="16"/>
          <w:szCs w:val="16"/>
          <w:color w:val="auto"/>
        </w:rPr>
        <w:t>Operations and maintenance relates to costs of operating our Miami Facility as well as our Montego Bay Terminal, exclusive of conversion costs reflected in Cost of sales. Operations and maintenance for the three months ended March 31, 2019 was $4,499, which increased $2,655 from $1,844 for the three months ended March 31, 2018. The increase is primarily a result of higher transportation costs and general maintenance costs at these facilities.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Selling, general and administrative</w:t>
      </w:r>
    </w:p>
    <w:p>
      <w:pPr>
        <w:spacing w:after="0" w:line="224" w:lineRule="exact"/>
        <w:rPr>
          <w:sz w:val="20"/>
          <w:szCs w:val="20"/>
          <w:color w:val="auto"/>
        </w:rPr>
      </w:pPr>
    </w:p>
    <w:p>
      <w:pPr>
        <w:ind w:right="40" w:firstLine="288"/>
        <w:spacing w:after="0" w:line="290" w:lineRule="auto"/>
        <w:rPr>
          <w:sz w:val="20"/>
          <w:szCs w:val="20"/>
          <w:color w:val="auto"/>
        </w:rPr>
      </w:pPr>
      <w:r>
        <w:rPr>
          <w:rFonts w:ascii="Arial" w:cs="Arial" w:eastAsia="Arial" w:hAnsi="Arial"/>
          <w:sz w:val="14"/>
          <w:szCs w:val="14"/>
          <w:color w:val="auto"/>
        </w:rPr>
        <w:t>Selling, general and administrative includes employee travel costs, insurance and costs associated with development activities for projects that are in initial stages and development is not yet probable. Selling, general and administrative also includes compensation expenses for our corporate employees, including our executives, as well as professional fees for our advisors. Selling, general and administrative for the three months ended March 31, 2019, was $49,749, which increased $37,880 from $11,869 for the three months ended March 31, 2018 driven mainly by an increase of $18,968 due to vested restricted stock units (“RSUs”) issued to employees and non-employees after our IPO.</w:t>
      </w:r>
    </w:p>
    <w:p>
      <w:pPr>
        <w:ind w:right="400"/>
        <w:spacing w:after="0" w:line="249" w:lineRule="auto"/>
        <w:rPr>
          <w:sz w:val="20"/>
          <w:szCs w:val="20"/>
          <w:color w:val="auto"/>
        </w:rPr>
      </w:pPr>
      <w:r>
        <w:rPr>
          <w:rFonts w:ascii="Arial" w:cs="Arial" w:eastAsia="Arial" w:hAnsi="Arial"/>
          <w:sz w:val="19"/>
          <w:szCs w:val="19"/>
          <w:color w:val="auto"/>
        </w:rPr>
        <w:t>Additionally, there was an increase of $4,760 in transaction costs associated with financing activities. The remaining change is due to increased professional fees, development activities and additional headcount.</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Depreciation and amortization</w:t>
      </w:r>
    </w:p>
    <w:p>
      <w:pPr>
        <w:spacing w:after="0" w:line="224" w:lineRule="exact"/>
        <w:rPr>
          <w:sz w:val="20"/>
          <w:szCs w:val="20"/>
          <w:color w:val="auto"/>
        </w:rPr>
      </w:pPr>
    </w:p>
    <w:p>
      <w:pPr>
        <w:ind w:right="280" w:firstLine="288"/>
        <w:spacing w:after="0" w:line="277" w:lineRule="auto"/>
        <w:rPr>
          <w:sz w:val="20"/>
          <w:szCs w:val="20"/>
          <w:color w:val="auto"/>
        </w:rPr>
      </w:pPr>
      <w:r>
        <w:rPr>
          <w:rFonts w:ascii="Arial" w:cs="Arial" w:eastAsia="Arial" w:hAnsi="Arial"/>
          <w:sz w:val="16"/>
          <w:szCs w:val="16"/>
          <w:color w:val="auto"/>
        </w:rPr>
        <w:t>Depreciation and amortization for the three months ended March 31, 2019 was $1,691, which increased $995 from $696 for the three months ended March 31, 2018. The increase is primarily a result of additional equipment purchases placed in service for small-scale customers.</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Interest expense</w:t>
      </w:r>
    </w:p>
    <w:p>
      <w:pPr>
        <w:spacing w:after="0" w:line="224" w:lineRule="exact"/>
        <w:rPr>
          <w:sz w:val="20"/>
          <w:szCs w:val="20"/>
          <w:color w:val="auto"/>
        </w:rPr>
      </w:pPr>
    </w:p>
    <w:p>
      <w:pPr>
        <w:ind w:right="320" w:firstLine="288"/>
        <w:spacing w:after="0" w:line="277" w:lineRule="auto"/>
        <w:rPr>
          <w:sz w:val="20"/>
          <w:szCs w:val="20"/>
          <w:color w:val="auto"/>
        </w:rPr>
      </w:pPr>
      <w:r>
        <w:rPr>
          <w:rFonts w:ascii="Arial" w:cs="Arial" w:eastAsia="Arial" w:hAnsi="Arial"/>
          <w:sz w:val="16"/>
          <w:szCs w:val="16"/>
          <w:color w:val="auto"/>
        </w:rPr>
        <w:t>Interest expense for the three months ended March 31, 2019 was $3,284, which increased $1,681 from $1,603 for the three months ended March 31, 2018, primarily as a result of additional principal balance outstanding under the New Term Loan Facility (as defined below).</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Other (income) expense, net</w:t>
      </w:r>
    </w:p>
    <w:p>
      <w:pPr>
        <w:spacing w:after="0" w:line="224" w:lineRule="exact"/>
        <w:rPr>
          <w:sz w:val="20"/>
          <w:szCs w:val="20"/>
          <w:color w:val="auto"/>
        </w:rPr>
      </w:pPr>
    </w:p>
    <w:p>
      <w:pPr>
        <w:jc w:val="both"/>
        <w:ind w:right="220" w:firstLine="288"/>
        <w:spacing w:after="0" w:line="292" w:lineRule="auto"/>
        <w:rPr>
          <w:sz w:val="20"/>
          <w:szCs w:val="20"/>
          <w:color w:val="auto"/>
        </w:rPr>
      </w:pPr>
      <w:r>
        <w:rPr>
          <w:rFonts w:ascii="Arial" w:cs="Arial" w:eastAsia="Arial" w:hAnsi="Arial"/>
          <w:sz w:val="14"/>
          <w:szCs w:val="14"/>
          <w:color w:val="auto"/>
        </w:rPr>
        <w:t xml:space="preserve">Other income, net for the three months ended March 31, 2019 was $2,575, which increased $2,607 from a net expense of $32 for the three months ended March 31, 2018, which was driven by changes in fair value of the derivative liability and equity agreement associated with our acquisition of Shannon LNG in November 2018, interest income earned, and the increase in value of an available-for-sale investment, which prior to the adoption of ASU 2016-01, </w:t>
      </w:r>
      <w:r>
        <w:rPr>
          <w:rFonts w:ascii="Arial" w:cs="Arial" w:eastAsia="Arial" w:hAnsi="Arial"/>
          <w:sz w:val="14"/>
          <w:szCs w:val="14"/>
          <w:i w:val="1"/>
          <w:iCs w:val="1"/>
          <w:color w:val="auto"/>
        </w:rPr>
        <w:t>Financial Instruments – Overall</w:t>
      </w:r>
      <w:r>
        <w:rPr>
          <w:rFonts w:ascii="Arial" w:cs="Arial" w:eastAsia="Arial" w:hAnsi="Arial"/>
          <w:sz w:val="14"/>
          <w:szCs w:val="14"/>
          <w:color w:val="auto"/>
        </w:rPr>
        <w:t xml:space="preserve"> (Subtopic 825-10):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Recognition and Measurement of Financial Assets and Financial Liabilities </w:t>
      </w:r>
      <w:r>
        <w:rPr>
          <w:rFonts w:ascii="Arial" w:cs="Arial" w:eastAsia="Arial" w:hAnsi="Arial"/>
          <w:sz w:val="16"/>
          <w:szCs w:val="16"/>
          <w:color w:val="auto"/>
        </w:rPr>
        <w:t>was recorded in Other comprehensive income.</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Tax expense (benefit)</w:t>
      </w:r>
    </w:p>
    <w:p>
      <w:pPr>
        <w:spacing w:after="0" w:line="224" w:lineRule="exact"/>
        <w:rPr>
          <w:sz w:val="20"/>
          <w:szCs w:val="20"/>
          <w:color w:val="auto"/>
        </w:rPr>
      </w:pPr>
    </w:p>
    <w:p>
      <w:pPr>
        <w:ind w:right="440" w:firstLine="288"/>
        <w:spacing w:after="0" w:line="277" w:lineRule="auto"/>
        <w:rPr>
          <w:sz w:val="20"/>
          <w:szCs w:val="20"/>
          <w:color w:val="auto"/>
        </w:rPr>
      </w:pPr>
      <w:r>
        <w:rPr>
          <w:rFonts w:ascii="Arial" w:cs="Arial" w:eastAsia="Arial" w:hAnsi="Arial"/>
          <w:sz w:val="16"/>
          <w:szCs w:val="16"/>
          <w:color w:val="auto"/>
        </w:rPr>
        <w:t>Tax expense for the three months ended March 31, 2019 was $246, which increased $433 from a tax benefit of $187 for the three months ended March 31, 2018 due to higher income in Jamaican entities.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7" w:name="page28"/>
    <w:bookmarkEnd w:id="2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Impacting Comparability of Our Financial Results</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Our historical results of operations and cash flows are not indicative of results of operations and cash flows to be expected in the future, principally for the following reasons:</w:t>
      </w:r>
    </w:p>
    <w:p>
      <w:pPr>
        <w:spacing w:after="0" w:line="247" w:lineRule="exact"/>
        <w:rPr>
          <w:sz w:val="20"/>
          <w:szCs w:val="20"/>
          <w:color w:val="auto"/>
        </w:rPr>
      </w:pPr>
    </w:p>
    <w:p>
      <w:pPr>
        <w:ind w:left="580" w:right="140" w:hanging="296"/>
        <w:spacing w:after="0" w:line="295" w:lineRule="auto"/>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b w:val="1"/>
          <w:bCs w:val="1"/>
          <w:i w:val="1"/>
          <w:iCs w:val="1"/>
          <w:color w:val="auto"/>
        </w:rPr>
        <w:t>Our historical financial results only include our Miami Facility, our Montego Bay Terminal and certain small-scale customers</w:t>
      </w:r>
      <w:r>
        <w:rPr>
          <w:rFonts w:ascii="Arial" w:cs="Arial" w:eastAsia="Arial" w:hAnsi="Arial"/>
          <w:sz w:val="14"/>
          <w:szCs w:val="14"/>
          <w:color w:val="auto"/>
        </w:rPr>
        <w:t>. Our historical financial statements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only include our Miami Facility, our Montego Bay Terminal and certain small-scale customers and do not include future revenue resulting from long-term, take-or-pay contracts with downstream customers expected from projects under development, including the 190MW Old Harbour power plant operated by JPC in Old Harbour, Jamaica (the “Old Harbour Power Plant”), the dual-fired combined heat and power facility in Clarendon, Jamaica (the “CHP Plant”), the multi-fuel handling facility located in the Port of San Juan, Puerto Rico (the “San Juan Facility”), the LNG regasification terminal in La Paz, Baja California Sur, Mexico (the “La Paz Terminal”), the LNG terminal on the Shannon Estuary near Ballylongford, Ireland (the “Ireland Terminal” and, together with the Old Harbour Terminal (defined below), the Montego Bay Terminal, the San Juan Facility and the La Paz Terminal, our “Terminals”) and the Pennsylvania Facility. Construction of the Old Harbour Power Plant was substantially completed by JPC in December 2018, and commercial operations will begin in the second quarter of 2019.</w:t>
      </w:r>
    </w:p>
    <w:p>
      <w:pPr>
        <w:spacing w:after="0" w:line="170" w:lineRule="exact"/>
        <w:rPr>
          <w:rFonts w:ascii="Arial" w:cs="Arial" w:eastAsia="Arial" w:hAnsi="Arial"/>
          <w:sz w:val="14"/>
          <w:szCs w:val="14"/>
          <w:color w:val="auto"/>
        </w:rPr>
      </w:pPr>
    </w:p>
    <w:p>
      <w:pPr>
        <w:ind w:left="580"/>
        <w:spacing w:after="0" w:line="259" w:lineRule="auto"/>
        <w:rPr>
          <w:rFonts w:ascii="Arial" w:cs="Arial" w:eastAsia="Arial" w:hAnsi="Arial"/>
          <w:sz w:val="14"/>
          <w:szCs w:val="14"/>
          <w:color w:val="auto"/>
        </w:rPr>
      </w:pPr>
      <w:r>
        <w:rPr>
          <w:rFonts w:ascii="Arial" w:cs="Arial" w:eastAsia="Arial" w:hAnsi="Arial"/>
          <w:sz w:val="16"/>
          <w:szCs w:val="16"/>
          <w:color w:val="auto"/>
        </w:rPr>
        <w:t>In addition, we currently purchase the majority of our supply of LNG from third parties. For the three months ended March 31, 2019 and 2018, we sourced 95% and 88%, respectively, of our LNG volumes from third parties. We are in the process of developing in-basin liquefaction facilities that will vertically integrate our supply and substantially reduce the need to source LNG from third parties, which, when combined with lower cost production, should significantly impact our results of operations and cash flows from both contracted and expected downstream sales.</w:t>
      </w:r>
    </w:p>
    <w:p>
      <w:pPr>
        <w:spacing w:after="0" w:line="190" w:lineRule="exact"/>
        <w:rPr>
          <w:rFonts w:ascii="Arial" w:cs="Arial" w:eastAsia="Arial" w:hAnsi="Arial"/>
          <w:sz w:val="14"/>
          <w:szCs w:val="14"/>
          <w:color w:val="auto"/>
        </w:rPr>
      </w:pPr>
    </w:p>
    <w:p>
      <w:pPr>
        <w:ind w:left="580" w:right="20" w:hanging="296"/>
        <w:spacing w:after="0" w:line="256"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Our organizational structure has changed as a result of reorganization transactions completed at the time of our IPO</w:t>
      </w:r>
      <w:r>
        <w:rPr>
          <w:rFonts w:ascii="Arial" w:cs="Arial" w:eastAsia="Arial" w:hAnsi="Arial"/>
          <w:sz w:val="16"/>
          <w:szCs w:val="16"/>
          <w:color w:val="auto"/>
        </w:rPr>
        <w:t>. We completed our IPO on February 4,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net proceeds from the IPO were contributed to New Fortress Intermediate LLC (“NFI”), an entity formed in conjunction with the IPO, in exchange for limited liability company units in NFI (“NFI LLC Units”). In addition, New Fortress Energy Holdings contributed all of its interests in consolidated subsidiaries that comprised substantially all of its historical operations to NFI in exchange for NFI LLC Units. NFE is a holding company whose sole material asset is a controlling equity interest in NFI. As the sole managing member of NFI, the Company operates and controls all of the business and affairs of NFI, and through NFI and its subsidiaries, conducts the Company’s historical business.</w:t>
      </w:r>
    </w:p>
    <w:p>
      <w:pPr>
        <w:spacing w:after="0" w:line="191" w:lineRule="exact"/>
        <w:rPr>
          <w:rFonts w:ascii="Arial" w:cs="Arial" w:eastAsia="Arial" w:hAnsi="Arial"/>
          <w:sz w:val="16"/>
          <w:szCs w:val="16"/>
          <w:color w:val="auto"/>
        </w:rPr>
      </w:pPr>
    </w:p>
    <w:p>
      <w:pPr>
        <w:ind w:left="580" w:right="60"/>
        <w:spacing w:after="0" w:line="277" w:lineRule="auto"/>
        <w:rPr>
          <w:rFonts w:ascii="Arial" w:cs="Arial" w:eastAsia="Arial" w:hAnsi="Arial"/>
          <w:sz w:val="16"/>
          <w:szCs w:val="16"/>
          <w:color w:val="auto"/>
        </w:rPr>
      </w:pPr>
      <w:r>
        <w:rPr>
          <w:rFonts w:ascii="Arial" w:cs="Arial" w:eastAsia="Arial" w:hAnsi="Arial"/>
          <w:sz w:val="16"/>
          <w:szCs w:val="16"/>
          <w:color w:val="auto"/>
        </w:rPr>
        <w:t>The contribution of the assets of New Fortress Energy Holdings and net proceeds from the IPO to NFI was treated as a reorganization of entities under common control. NFE has presented the condensed consolidated financial statements of New Fortress Energy Holdings for periods prior to the IPO.</w:t>
      </w:r>
    </w:p>
    <w:p>
      <w:pPr>
        <w:spacing w:after="0" w:line="175" w:lineRule="exact"/>
        <w:rPr>
          <w:rFonts w:ascii="Arial" w:cs="Arial" w:eastAsia="Arial" w:hAnsi="Arial"/>
          <w:sz w:val="16"/>
          <w:szCs w:val="16"/>
          <w:color w:val="auto"/>
        </w:rPr>
      </w:pPr>
    </w:p>
    <w:p>
      <w:pPr>
        <w:ind w:left="580"/>
        <w:spacing w:after="0" w:line="259" w:lineRule="auto"/>
        <w:rPr>
          <w:rFonts w:ascii="Arial" w:cs="Arial" w:eastAsia="Arial" w:hAnsi="Arial"/>
          <w:sz w:val="16"/>
          <w:szCs w:val="16"/>
          <w:color w:val="auto"/>
        </w:rPr>
      </w:pPr>
      <w:r>
        <w:rPr>
          <w:rFonts w:ascii="Arial" w:cs="Arial" w:eastAsia="Arial" w:hAnsi="Arial"/>
          <w:sz w:val="16"/>
          <w:szCs w:val="16"/>
          <w:color w:val="auto"/>
        </w:rPr>
        <w:t>The financial statements of NFE beginning in the first quarter of 2019 allocates a significant portion of the results of operations to New Fortress Energy Holdings, through its non-controlling interest in NFI. NFE has elected to be taxed as a corporation and is subject to U.S. federal and state income taxes, and as such, may recognize a tax expense (benefit), as well as associated deferred tax accounts. For the three months ended March 31, 2019, NFE recorded a valuation allowance on all of its deferred taxes associated with U.S. federal and state income taxes.</w:t>
      </w:r>
    </w:p>
    <w:p>
      <w:pPr>
        <w:spacing w:after="0" w:line="190" w:lineRule="exact"/>
        <w:rPr>
          <w:rFonts w:ascii="Arial" w:cs="Arial" w:eastAsia="Arial" w:hAnsi="Arial"/>
          <w:sz w:val="16"/>
          <w:szCs w:val="16"/>
          <w:color w:val="auto"/>
        </w:rPr>
      </w:pPr>
    </w:p>
    <w:p>
      <w:pPr>
        <w:ind w:left="580" w:hanging="296"/>
        <w:spacing w:after="0" w:line="255"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We expect to incur incremental selling, general and administrative expenses related to our transition to a publicly traded company</w:t>
      </w:r>
      <w:r>
        <w:rPr>
          <w:rFonts w:ascii="Arial" w:cs="Arial" w:eastAsia="Arial" w:hAnsi="Arial"/>
          <w:sz w:val="16"/>
          <w:szCs w:val="16"/>
          <w:color w:val="auto"/>
        </w:rPr>
        <w:t>. We completed our IPO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4, 2019, and we expect to incur direct, incremental general and administrative expenses as a result of being a publicly traded company, including costs associated with the employment of additional personnel, compliance under the Securities Exchange Act of 1934, as amended (the “Exchange Act”), annual and quarterly reports to our common shareholders, registrar and transfer agent fees, national stock exchange fees, the costs associated with the initial implementation of our Sarbanes-Oxley Act of 2002 (“Sarbanes-Oxley Act”) Section 404 internal controls and testing, audit fees, incremental director and officer liability insurance costs and director and officer compensation. These direct, incremental general and administrative expenses are not included in our historical results of operations for the three months ended March 31, 2018.</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8" w:name="page29"/>
    <w:bookmarkEnd w:id="2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believe we will have sufficient liquidity, cash flow from operations and access to additional capital sources, to fund our capital expenditures and working capital needs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for the next 12 months. We expect to fund our current operations and continued development of additional facilities through a combination of cash on hand, borrowings from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New Term Loan Facility and the proceeds from our IPO. The IPO was completed on February 4, 2019, and we issued and sold 20,000,000 Class A shares at an IPO price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$14.00 per share, raising net proceeds of approximately $257,000. On March 1, 2019, the underwriters exercised their option to purchase an additional 837,272 Class A shares at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IPO price of $14.00 per share, less underwriting discounts, raising additional net proceeds of $11,048. On March 21, 2019, we drew the remaining availability on our New</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Term Loan Facility and have $498,750 outstanding as of March 31, 2019. We have assumed total expenditures for all completed and existing projects to be approximately $786</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million, with approximately $450 million having already been spent through March 31, 2019. This estimate represents the expenditures necessary to complete construction of our</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marine LNG storage and regasification terminal in Old Harbour, Jamaica (the “Old Harbour Terminal”), the San Juan Facility, the La Paz Terminal and the CHP Plant. We are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currently exploring opportunities to expand our business into new markets, including the Caribbean and Mexico, and we will require significant additional capital to implement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our strategy.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Cash Flows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08"/>
        </w:trPr>
        <w:tc>
          <w:tcPr>
            <w:tcW w:w="280" w:type="dxa"/>
            <w:vAlign w:val="bottom"/>
          </w:tcPr>
          <w:p>
            <w:pPr>
              <w:spacing w:after="0"/>
              <w:rPr>
                <w:sz w:val="24"/>
                <w:szCs w:val="24"/>
                <w:color w:val="auto"/>
              </w:rPr>
            </w:pPr>
          </w:p>
        </w:tc>
        <w:tc>
          <w:tcPr>
            <w:tcW w:w="7480" w:type="dxa"/>
            <w:vAlign w:val="bottom"/>
            <w:gridSpan w:val="4"/>
          </w:tcPr>
          <w:p>
            <w:pPr>
              <w:spacing w:after="0"/>
              <w:rPr>
                <w:sz w:val="20"/>
                <w:szCs w:val="20"/>
                <w:color w:val="auto"/>
              </w:rPr>
            </w:pPr>
            <w:r>
              <w:rPr>
                <w:rFonts w:ascii="Arial" w:cs="Arial" w:eastAsia="Arial" w:hAnsi="Arial"/>
                <w:sz w:val="16"/>
                <w:szCs w:val="16"/>
                <w:color w:val="auto"/>
              </w:rPr>
              <w:t>The following table summarizes the changes to our cash flows for the three months ended March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8"/>
        </w:trPr>
        <w:tc>
          <w:tcPr>
            <w:tcW w:w="2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jc w:val="right"/>
              <w:ind w:right="260"/>
              <w:spacing w:after="0"/>
              <w:rPr>
                <w:sz w:val="20"/>
                <w:szCs w:val="20"/>
                <w:color w:val="auto"/>
              </w:rPr>
            </w:pPr>
            <w:r>
              <w:rPr>
                <w:rFonts w:ascii="Arial" w:cs="Arial" w:eastAsia="Arial" w:hAnsi="Arial"/>
                <w:sz w:val="16"/>
                <w:szCs w:val="16"/>
                <w:b w:val="1"/>
                <w:bCs w:val="1"/>
                <w:color w:val="auto"/>
                <w:w w:val="93"/>
              </w:rPr>
              <w:t>Three Months Ended March 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7"/>
                <w:szCs w:val="17"/>
                <w:color w:val="auto"/>
              </w:rPr>
            </w:pPr>
          </w:p>
        </w:tc>
      </w:tr>
      <w:tr>
        <w:trPr>
          <w:trHeight w:val="192"/>
        </w:trPr>
        <w:tc>
          <w:tcPr>
            <w:tcW w:w="280" w:type="dxa"/>
            <w:vAlign w:val="bottom"/>
          </w:tcPr>
          <w:p>
            <w:pPr>
              <w:spacing w:after="0"/>
              <w:rPr>
                <w:sz w:val="16"/>
                <w:szCs w:val="16"/>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Cash flows from:</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80" w:type="dxa"/>
            <w:vAlign w:val="bottom"/>
          </w:tcPr>
          <w:p>
            <w:pPr>
              <w:spacing w:after="0"/>
              <w:rPr>
                <w:sz w:val="16"/>
                <w:szCs w:val="16"/>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(31,048)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(17,966)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(13,082)</w:t>
            </w:r>
          </w:p>
        </w:tc>
      </w:tr>
      <w:tr>
        <w:trPr>
          <w:trHeight w:val="192"/>
        </w:trPr>
        <w:tc>
          <w:tcPr>
            <w:tcW w:w="280" w:type="dxa"/>
            <w:vAlign w:val="bottom"/>
          </w:tcPr>
          <w:p>
            <w:pPr>
              <w:spacing w:after="0"/>
              <w:rPr>
                <w:sz w:val="16"/>
                <w:szCs w:val="16"/>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Investing activities</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(135,997)</w:t>
            </w: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(40,970)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(95,027)</w:t>
            </w:r>
          </w:p>
        </w:tc>
      </w:tr>
      <w:tr>
        <w:trPr>
          <w:trHeight w:val="196"/>
        </w:trPr>
        <w:tc>
          <w:tcPr>
            <w:tcW w:w="280" w:type="dxa"/>
            <w:vAlign w:val="bottom"/>
          </w:tcPr>
          <w:p>
            <w:pPr>
              <w:spacing w:after="0"/>
              <w:rPr>
                <w:sz w:val="17"/>
                <w:szCs w:val="17"/>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483,193</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68,693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414,500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92"/>
        </w:trPr>
        <w:tc>
          <w:tcPr>
            <w:tcW w:w="280" w:type="dxa"/>
            <w:vAlign w:val="bottom"/>
          </w:tcPr>
          <w:p>
            <w:pPr>
              <w:spacing w:after="0"/>
              <w:rPr>
                <w:sz w:val="16"/>
                <w:szCs w:val="16"/>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Net change in cash, cash equivalents and restricted 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316,148</w:t>
            </w:r>
          </w:p>
        </w:tc>
        <w:tc>
          <w:tcPr>
            <w:tcW w:w="22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9,757</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306,391</w:t>
            </w:r>
          </w:p>
        </w:tc>
        <w:tc>
          <w:tcPr>
            <w:tcW w:w="12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Cash (used in) operating activities</w:t>
      </w:r>
    </w:p>
    <w:p>
      <w:pPr>
        <w:spacing w:after="0" w:line="224" w:lineRule="exact"/>
        <w:rPr>
          <w:sz w:val="20"/>
          <w:szCs w:val="20"/>
          <w:color w:val="auto"/>
        </w:rPr>
      </w:pPr>
    </w:p>
    <w:p>
      <w:pPr>
        <w:ind w:right="120" w:firstLine="288"/>
        <w:spacing w:after="0" w:line="259" w:lineRule="auto"/>
        <w:rPr>
          <w:sz w:val="20"/>
          <w:szCs w:val="20"/>
          <w:color w:val="auto"/>
        </w:rPr>
      </w:pPr>
      <w:r>
        <w:rPr>
          <w:rFonts w:ascii="Arial" w:cs="Arial" w:eastAsia="Arial" w:hAnsi="Arial"/>
          <w:sz w:val="16"/>
          <w:szCs w:val="16"/>
          <w:color w:val="auto"/>
        </w:rPr>
        <w:t>Our cash flow used in operating activities was $31,048 for the three months ended March 31, 2019, which increased by $13,082 from $17,966 for the three months ended March 31, 2018. For both the three-month periods ended March 31, 2019 and 2018, we had losses that comprised a significant portion of cash used in operating activities due to the continued expansion of our business activities. Cash flows used in operating activities for the three months ended March 31, 2019 was also significantly impacted by an increase in LNG and natural gas inventory.</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Cash (used in) investing activities</w:t>
      </w:r>
    </w:p>
    <w:p>
      <w:pPr>
        <w:spacing w:after="0" w:line="224" w:lineRule="exact"/>
        <w:rPr>
          <w:sz w:val="20"/>
          <w:szCs w:val="20"/>
          <w:color w:val="auto"/>
        </w:rPr>
      </w:pPr>
    </w:p>
    <w:p>
      <w:pPr>
        <w:ind w:right="80" w:firstLine="288"/>
        <w:spacing w:after="0" w:line="264" w:lineRule="auto"/>
        <w:rPr>
          <w:sz w:val="20"/>
          <w:szCs w:val="20"/>
          <w:color w:val="auto"/>
        </w:rPr>
      </w:pPr>
      <w:r>
        <w:rPr>
          <w:rFonts w:ascii="Arial" w:cs="Arial" w:eastAsia="Arial" w:hAnsi="Arial"/>
          <w:sz w:val="16"/>
          <w:szCs w:val="16"/>
          <w:color w:val="auto"/>
        </w:rPr>
        <w:t>Our cash flow used in investing activities was $135,997 for the three months ended March 31, 2019, which increased by $95,027 from $40,970 for the three months ended March 31, 2018. The increase in cash flow used in investing activities is due to the increase in capital expenditures to complete the Old Harbour Terminal as well as construction of the Pennsylvania Facility and the CHP Plant.</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Cash provided by financing activities</w:t>
      </w:r>
    </w:p>
    <w:p>
      <w:pPr>
        <w:spacing w:after="0" w:line="224" w:lineRule="exact"/>
        <w:rPr>
          <w:sz w:val="20"/>
          <w:szCs w:val="20"/>
          <w:color w:val="auto"/>
        </w:rPr>
      </w:pPr>
    </w:p>
    <w:p>
      <w:pPr>
        <w:ind w:right="220" w:firstLine="288"/>
        <w:spacing w:after="0" w:line="264" w:lineRule="auto"/>
        <w:rPr>
          <w:sz w:val="20"/>
          <w:szCs w:val="20"/>
          <w:color w:val="auto"/>
        </w:rPr>
      </w:pPr>
      <w:r>
        <w:rPr>
          <w:rFonts w:ascii="Arial" w:cs="Arial" w:eastAsia="Arial" w:hAnsi="Arial"/>
          <w:sz w:val="16"/>
          <w:szCs w:val="16"/>
          <w:color w:val="auto"/>
        </w:rPr>
        <w:t>Our cash flow provided by financing activities was $483,193 for the three months ended March 31, 2019, which increased by $414,500 from $68,693 for the three months ended March 31, 2018. The increase in cash flow provided by financing activities is due to additional borrowings under the New Term Loan Facility of $220,000 and the net proceeds received from the IPO in February 2019.</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Term Loan Facility</w:t>
      </w:r>
    </w:p>
    <w:p>
      <w:pPr>
        <w:spacing w:after="0" w:line="224" w:lineRule="exact"/>
        <w:rPr>
          <w:sz w:val="20"/>
          <w:szCs w:val="20"/>
          <w:color w:val="auto"/>
        </w:rPr>
      </w:pPr>
    </w:p>
    <w:p>
      <w:pPr>
        <w:ind w:firstLine="288"/>
        <w:spacing w:after="0" w:line="271" w:lineRule="auto"/>
        <w:rPr>
          <w:sz w:val="20"/>
          <w:szCs w:val="20"/>
          <w:color w:val="auto"/>
        </w:rPr>
      </w:pPr>
      <w:r>
        <w:rPr>
          <w:rFonts w:ascii="Arial" w:cs="Arial" w:eastAsia="Arial" w:hAnsi="Arial"/>
          <w:sz w:val="15"/>
          <w:szCs w:val="15"/>
          <w:color w:val="auto"/>
        </w:rPr>
        <w:t>On August 16, 2018, the Company entered into a Term Loan Facility (as may be amended, from time to time, the “Term Loan Facility”) to borrow term loans, available in three draws, up to an aggregate principal amount of $240,000. On December 31, 2018, the Company amended its Term Loan Facility (the “New Term Loan Facility”) to, among other things, (i) increase the amount available for borrowing thereunder from $240,000 to $500,000, (ii) extend the initial maturity date to December 31, 2019, (iii) modify certain provisions relating to restrictive covenants and existing financial covenants, and (iv) remove the mandatory prepayment required with the net proceeds received in connection with an initial public offering. Borrowings under the New Term Loan Facility bear interest at a rate selected by the Company of either (i) the LIBOR divided by one minus the applicable reserve requirement plus a spread of 4.0%, or (ii) subject to a floor of 1.0%, a Base Rate equal to the highest of (a) the Prime Rate, (b) the Federal Funds Rate plus 1/2 of 1.0% or (c) the 1-month LIBOR rate plus the difference between the applicable LIBOR margin and Base Rate margin, plus a spread of 3.0%. The Company initially borrowed $280,000 under the New Term Loan Facility. The New Term Loan Facility is set to mature on December 31, 2019 and is repayable in quarterly installments of $1,250, with a balloon payment due on the maturity date. The Company has the option to extend the maturity date for two additional six-month periods; upon the exercise of each extension option, the interest rate spread on LIBOR and Base Rate increases by 0.5%. To exercise each extension option, the Company must pay a fee equal to 1.0% of the outstanding principal balance at the time of the exercise of the option.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9" w:name="page30"/>
    <w:bookmarkEnd w:id="2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20" w:firstLine="288"/>
        <w:spacing w:after="0" w:line="259" w:lineRule="auto"/>
        <w:rPr>
          <w:sz w:val="20"/>
          <w:szCs w:val="20"/>
          <w:color w:val="auto"/>
        </w:rPr>
      </w:pPr>
      <w:r>
        <w:rPr>
          <w:rFonts w:ascii="Arial" w:cs="Arial" w:eastAsia="Arial" w:hAnsi="Arial"/>
          <w:sz w:val="16"/>
          <w:szCs w:val="16"/>
          <w:color w:val="auto"/>
        </w:rPr>
        <w:t>The New Term Loan Facility is secured by mortgages on certain properties owned by the Company’s subsidiaries, in addition to other collateral. The Company is required to comply with certain financial covenants and other restrictive covenants, including restrictions on indebtedness, liens, acquisitions and investments, restricted payments and dispositions. The New Term Loan Facility also provides for customary events of default, prepayment and cure provisions. As of March 31, 2019, the Company was in compliance with all required covenants under the New Term Loan Facility.</w:t>
      </w:r>
    </w:p>
    <w:p>
      <w:pPr>
        <w:spacing w:after="0" w:line="191" w:lineRule="exact"/>
        <w:rPr>
          <w:sz w:val="20"/>
          <w:szCs w:val="20"/>
          <w:color w:val="auto"/>
        </w:rPr>
      </w:pPr>
    </w:p>
    <w:p>
      <w:pPr>
        <w:ind w:firstLine="288"/>
        <w:spacing w:after="0" w:line="299" w:lineRule="auto"/>
        <w:rPr>
          <w:sz w:val="20"/>
          <w:szCs w:val="20"/>
          <w:color w:val="auto"/>
        </w:rPr>
      </w:pPr>
      <w:r>
        <w:rPr>
          <w:rFonts w:ascii="Arial" w:cs="Arial" w:eastAsia="Arial" w:hAnsi="Arial"/>
          <w:sz w:val="14"/>
          <w:szCs w:val="14"/>
          <w:color w:val="auto"/>
        </w:rPr>
        <w:t>In March 2019, the Company drew the remaining $220,000 available capacity under the New Term Loan Facility, and as of March 31, 2019, the total principal amount outstanding under the New Term Loan Facility was $498,750. The Company plans to use the $220,000 drawn in the first quarter of 2019 to make capital expenditures to complete the CHP Plant and San Juan Facility, as well as for additional storage and regasification facilities for our small-scale customers. The Company paid $4,400 of additional fees in connection with the $220,000 draw on the New Term Loan Facility. These fees were capitalized as a reduction to the New Term Loan Facility on the condensed consolidated balance sheet. The total unamortized deferred financing costs as of March 31, 2019 was $10,419. In addition, the Company incurred $4,760 of costs for financing activities during the three months ended March 31, 2019 that were recognized as an expense within the condensed consolidated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 Balance Sheet Arrangements</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As of March 31, 2019, we had no off-balance sheet arrangements that may have a current or future material effect on our consolidated financial position or operating results.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are committed to make cash payments in the future pursuant to certain of our contracts. The following table summarizes certain contractual obligations in place as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w:t>
      </w:r>
    </w:p>
    <w:p>
      <w:pPr>
        <w:spacing w:after="0" w:line="184"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0"/>
              </w:rPr>
              <w:t>Less than 1</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9"/>
              </w:rPr>
              <w:t>More than</w:t>
            </w:r>
          </w:p>
        </w:tc>
      </w:tr>
      <w:tr>
        <w:trPr>
          <w:trHeight w:val="213"/>
        </w:trPr>
        <w:tc>
          <w:tcPr>
            <w:tcW w:w="348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1"/>
              </w:rPr>
              <w:t>Years 2 to 3</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Years 4 to 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5 years</w:t>
            </w:r>
          </w:p>
        </w:tc>
      </w:tr>
      <w:tr>
        <w:trPr>
          <w:trHeight w:val="192"/>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Long-term debt obligations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298,187</w:t>
            </w: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298,187</w:t>
            </w: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92"/>
        </w:trPr>
        <w:tc>
          <w:tcPr>
            <w:tcW w:w="3480" w:type="dxa"/>
            <w:vAlign w:val="bottom"/>
          </w:tcPr>
          <w:p>
            <w:pPr>
              <w:spacing w:after="0"/>
              <w:rPr>
                <w:sz w:val="20"/>
                <w:szCs w:val="20"/>
                <w:color w:val="auto"/>
              </w:rPr>
            </w:pPr>
            <w:r>
              <w:rPr>
                <w:rFonts w:ascii="Arial" w:cs="Arial" w:eastAsia="Arial" w:hAnsi="Arial"/>
                <w:sz w:val="16"/>
                <w:szCs w:val="16"/>
                <w:color w:val="auto"/>
              </w:rPr>
              <w:t>Purchase obligations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631,599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175,496</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456,103</w:t>
            </w:r>
          </w:p>
        </w:tc>
        <w:tc>
          <w:tcPr>
            <w:tcW w:w="12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2"/>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obligations</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60,877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13,361</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14,035</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20,480</w:t>
            </w:r>
          </w:p>
        </w:tc>
      </w:tr>
      <w:tr>
        <w:trPr>
          <w:trHeight w:val="24"/>
        </w:trPr>
        <w:tc>
          <w:tcPr>
            <w:tcW w:w="34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3480" w:type="dxa"/>
            <w:vAlign w:val="bottom"/>
          </w:tcPr>
          <w:p>
            <w:pPr>
              <w:spacing w:after="0"/>
              <w:rPr>
                <w:sz w:val="20"/>
                <w:szCs w:val="20"/>
                <w:color w:val="auto"/>
              </w:rPr>
            </w:pPr>
            <w:r>
              <w:rPr>
                <w:rFonts w:ascii="Arial" w:cs="Arial" w:eastAsia="Arial" w:hAnsi="Arial"/>
                <w:sz w:val="16"/>
                <w:szCs w:val="16"/>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990,663</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487,044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470,138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13,001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20,480</w:t>
            </w:r>
          </w:p>
        </w:tc>
      </w:tr>
      <w:tr>
        <w:trPr>
          <w:trHeight w:val="20"/>
        </w:trPr>
        <w:tc>
          <w:tcPr>
            <w:tcW w:w="3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80" w:firstLine="288"/>
        <w:spacing w:after="0" w:line="277" w:lineRule="auto"/>
        <w:rPr>
          <w:sz w:val="20"/>
          <w:szCs w:val="20"/>
          <w:color w:val="auto"/>
        </w:rPr>
      </w:pPr>
      <w:r>
        <w:rPr>
          <w:rFonts w:ascii="Arial" w:cs="Arial" w:eastAsia="Arial" w:hAnsi="Arial"/>
          <w:sz w:val="16"/>
          <w:szCs w:val="16"/>
          <w:color w:val="auto"/>
        </w:rPr>
        <w:t>As of March 31, 2019, there have been no material changes to the commitments and contractual obligations table above outside the ordinary course of business, except as noted below.</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Long-Term debt obligations</w:t>
      </w:r>
    </w:p>
    <w:p>
      <w:pPr>
        <w:spacing w:after="0" w:line="224" w:lineRule="exact"/>
        <w:rPr>
          <w:sz w:val="20"/>
          <w:szCs w:val="20"/>
          <w:color w:val="auto"/>
        </w:rPr>
      </w:pPr>
    </w:p>
    <w:p>
      <w:pPr>
        <w:ind w:right="480" w:firstLine="288"/>
        <w:spacing w:after="0" w:line="277" w:lineRule="auto"/>
        <w:rPr>
          <w:sz w:val="20"/>
          <w:szCs w:val="20"/>
          <w:color w:val="auto"/>
        </w:rPr>
      </w:pPr>
      <w:r>
        <w:rPr>
          <w:rFonts w:ascii="Arial" w:cs="Arial" w:eastAsia="Arial" w:hAnsi="Arial"/>
          <w:sz w:val="16"/>
          <w:szCs w:val="16"/>
          <w:color w:val="auto"/>
        </w:rPr>
        <w:t>For information on our debt obligations, see “—Liquidity and Capital Resources—Debt.” The amounts included in the table above are based on the total debt balance, scheduled maturities and interest rates in effect as of December 31, 2018.</w:t>
      </w:r>
    </w:p>
    <w:p>
      <w:pPr>
        <w:spacing w:after="0" w:line="176" w:lineRule="exact"/>
        <w:rPr>
          <w:sz w:val="20"/>
          <w:szCs w:val="20"/>
          <w:color w:val="auto"/>
        </w:rPr>
      </w:pPr>
    </w:p>
    <w:p>
      <w:pPr>
        <w:ind w:right="660" w:firstLine="288"/>
        <w:spacing w:after="0" w:line="277" w:lineRule="auto"/>
        <w:rPr>
          <w:sz w:val="20"/>
          <w:szCs w:val="20"/>
          <w:color w:val="auto"/>
        </w:rPr>
      </w:pPr>
      <w:r>
        <w:rPr>
          <w:rFonts w:ascii="Arial" w:cs="Arial" w:eastAsia="Arial" w:hAnsi="Arial"/>
          <w:sz w:val="16"/>
          <w:szCs w:val="16"/>
          <w:color w:val="auto"/>
        </w:rPr>
        <w:t>In March 2019, the Company drew the remaining $220,000 available capacity on the New Term Loan Facility, and as of March 31, 2019, the total principal amount outstanding under the New Term Loan Facility was $498,750. The Company expects to pay $30,000 in interest payments in 2019.</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Purchase obligations</w:t>
      </w:r>
    </w:p>
    <w:p>
      <w:pPr>
        <w:spacing w:after="0" w:line="224" w:lineRule="exact"/>
        <w:rPr>
          <w:sz w:val="20"/>
          <w:szCs w:val="20"/>
          <w:color w:val="auto"/>
        </w:rPr>
      </w:pPr>
    </w:p>
    <w:p>
      <w:pPr>
        <w:ind w:right="20" w:firstLine="288"/>
        <w:spacing w:after="0" w:line="264" w:lineRule="auto"/>
        <w:rPr>
          <w:sz w:val="20"/>
          <w:szCs w:val="20"/>
          <w:color w:val="auto"/>
        </w:rPr>
      </w:pPr>
      <w:r>
        <w:rPr>
          <w:rFonts w:ascii="Arial" w:cs="Arial" w:eastAsia="Arial" w:hAnsi="Arial"/>
          <w:sz w:val="16"/>
          <w:szCs w:val="16"/>
          <w:color w:val="auto"/>
        </w:rPr>
        <w:t>As of March 31, 2019, the Company is party to contractual purchase commitments with terms of 19 months and 80 months, including additional contracts entered into subsequent to December 31, 2018. These contracts are principally take-or-pay contracts, which require the purchase of minimum quantities of natural gas, and these commitments are designed to assure sources of supply and are not expected to be in excess of normal requirements.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0" w:name="page31"/>
    <w:bookmarkEnd w:id="3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40" w:firstLine="288"/>
        <w:spacing w:after="0" w:line="277" w:lineRule="auto"/>
        <w:rPr>
          <w:sz w:val="20"/>
          <w:szCs w:val="20"/>
          <w:color w:val="auto"/>
        </w:rPr>
      </w:pPr>
      <w:r>
        <w:rPr>
          <w:rFonts w:ascii="Arial" w:cs="Arial" w:eastAsia="Arial" w:hAnsi="Arial"/>
          <w:sz w:val="16"/>
          <w:szCs w:val="16"/>
          <w:color w:val="auto"/>
        </w:rPr>
        <w:t>In March 2019, the Company entered into a contract with Peninsula Energy Services Company Inc. for the purchase of 60,500 gallons of natural gas (5,000 MMBtu) per day for a total of 152.5 million gallons of natural gas (12.6 TBtu). The delivery is scheduled between March 2019 and November 2025.</w:t>
      </w:r>
    </w:p>
    <w:p>
      <w:pPr>
        <w:spacing w:after="0" w:line="176" w:lineRule="exact"/>
        <w:rPr>
          <w:sz w:val="20"/>
          <w:szCs w:val="20"/>
          <w:color w:val="auto"/>
        </w:rPr>
      </w:pPr>
    </w:p>
    <w:p>
      <w:pPr>
        <w:ind w:firstLine="288"/>
        <w:spacing w:after="0" w:line="257" w:lineRule="auto"/>
        <w:rPr>
          <w:sz w:val="20"/>
          <w:szCs w:val="20"/>
          <w:color w:val="auto"/>
        </w:rPr>
      </w:pPr>
      <w:r>
        <w:rPr>
          <w:rFonts w:ascii="Arial" w:cs="Arial" w:eastAsia="Arial" w:hAnsi="Arial"/>
          <w:sz w:val="16"/>
          <w:szCs w:val="16"/>
          <w:color w:val="auto"/>
        </w:rPr>
        <w:t>In March 2018, the Company entered into a 15-year agreement with an affiliate of Chesapeake Energy Corporation (“Chesapeake”), a large production company for gas supply to our Pennsylvania Facility, which was subsequently amended and restated in September 2018. This agreement provides for 100% of the required supply of feedgas to the Pennsylvania Facility, inclusive of all support functions of the plant, including transportation and power supply. The terms of the agreement require the Company to obtain all requisite permits and make a final investment decision before the agreement is effective. A final investment decision has not yet been made, and as such, this commitment is excluded from the table above.</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Operating Lease obligations</w:t>
      </w:r>
    </w:p>
    <w:p>
      <w:pPr>
        <w:spacing w:after="0" w:line="224" w:lineRule="exact"/>
        <w:rPr>
          <w:sz w:val="20"/>
          <w:szCs w:val="20"/>
          <w:color w:val="auto"/>
        </w:rPr>
      </w:pPr>
    </w:p>
    <w:p>
      <w:pPr>
        <w:ind w:right="440" w:firstLine="288"/>
        <w:spacing w:after="0" w:line="277" w:lineRule="auto"/>
        <w:rPr>
          <w:sz w:val="20"/>
          <w:szCs w:val="20"/>
          <w:color w:val="auto"/>
        </w:rPr>
      </w:pPr>
      <w:r>
        <w:rPr>
          <w:rFonts w:ascii="Arial" w:cs="Arial" w:eastAsia="Arial" w:hAnsi="Arial"/>
          <w:sz w:val="16"/>
          <w:szCs w:val="16"/>
          <w:color w:val="auto"/>
        </w:rPr>
        <w:t>Future minimum lease payments under non-cancellable operating leases are noted in the above table and further described below. The Company’s lease obligations are primarily related to LNG vessel time charters, office space, a land site lease and a marine port berth lease.</w:t>
      </w:r>
    </w:p>
    <w:p>
      <w:pPr>
        <w:spacing w:after="0" w:line="176" w:lineRule="exact"/>
        <w:rPr>
          <w:sz w:val="20"/>
          <w:szCs w:val="20"/>
          <w:color w:val="auto"/>
        </w:rPr>
      </w:pPr>
    </w:p>
    <w:p>
      <w:pPr>
        <w:ind w:right="40" w:firstLine="288"/>
        <w:spacing w:after="0" w:line="259" w:lineRule="auto"/>
        <w:rPr>
          <w:sz w:val="20"/>
          <w:szCs w:val="20"/>
          <w:color w:val="auto"/>
        </w:rPr>
      </w:pPr>
      <w:r>
        <w:rPr>
          <w:rFonts w:ascii="Arial" w:cs="Arial" w:eastAsia="Arial" w:hAnsi="Arial"/>
          <w:sz w:val="16"/>
          <w:szCs w:val="16"/>
          <w:color w:val="auto"/>
        </w:rPr>
        <w:t>The Company entered into several lease agreements during 2018 in Mexico and Puerto Rico. Such agreements include securing certain facilities, wharf areas, office space and specified port areas for development of terminals. Terms for these leases range from 20 to 30 years, and certain of these leases contain extension terms. One-time fees paid subsequent to December 31, 2017 to secure leases were $21,871. Fixed lease payments under these leases are expected to be approximately $106 per month and $29,946 over the respective lease terms. Some of these leases contain variable components based on LNG processed.</w:t>
      </w:r>
    </w:p>
    <w:p>
      <w:pPr>
        <w:spacing w:after="0" w:line="191" w:lineRule="exact"/>
        <w:rPr>
          <w:sz w:val="20"/>
          <w:szCs w:val="20"/>
          <w:color w:val="auto"/>
        </w:rPr>
      </w:pPr>
    </w:p>
    <w:p>
      <w:pPr>
        <w:ind w:right="40" w:firstLine="288"/>
        <w:spacing w:after="0" w:line="257" w:lineRule="auto"/>
        <w:rPr>
          <w:sz w:val="20"/>
          <w:szCs w:val="20"/>
          <w:color w:val="auto"/>
        </w:rPr>
      </w:pPr>
      <w:r>
        <w:rPr>
          <w:rFonts w:ascii="Arial" w:cs="Arial" w:eastAsia="Arial" w:hAnsi="Arial"/>
          <w:sz w:val="16"/>
          <w:szCs w:val="16"/>
          <w:color w:val="auto"/>
        </w:rPr>
        <w:t>The Company entered into an agreement to lease a floating storage regasification unit for an initial non-cancellable term of three years. The Company may continue to lease the vessel for up to 15 years with an option to renew for an additional five years. As of January 2019, the Company is using the vessel for floating storage for the cost of $18 per day. The leased asset is currently undergoing acceptance procedures. Once the acceptance procedures are deemed completed, which is expected to occur in 2019, the units will be leased for $50 per day. Subsequent to December 31, 2018, the Company also entered into two additional LNG vessel time charters for contract terms ranging from three to five years.</w:t>
      </w:r>
    </w:p>
    <w:p>
      <w:pPr>
        <w:spacing w:after="0" w:line="192" w:lineRule="exact"/>
        <w:rPr>
          <w:sz w:val="20"/>
          <w:szCs w:val="20"/>
          <w:color w:val="auto"/>
        </w:rPr>
      </w:pPr>
    </w:p>
    <w:p>
      <w:pPr>
        <w:ind w:firstLine="288"/>
        <w:spacing w:after="0" w:line="264" w:lineRule="auto"/>
        <w:rPr>
          <w:sz w:val="20"/>
          <w:szCs w:val="20"/>
          <w:color w:val="auto"/>
        </w:rPr>
      </w:pPr>
      <w:r>
        <w:rPr>
          <w:rFonts w:ascii="Arial" w:cs="Arial" w:eastAsia="Arial" w:hAnsi="Arial"/>
          <w:sz w:val="16"/>
          <w:szCs w:val="16"/>
          <w:color w:val="auto"/>
        </w:rPr>
        <w:t>Office space includes a newly fabricated space shared with affiliated companies in New York with a month-to-month lease, and an office space under construction in downtown Miami, Florida, with a lease term of 84 months. The land site lease is held with an affiliate of the Company and has an initial term up to five years, and the marine port berth lease had an initial term up to 10 years. Both leases contain renewal options.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Critical Accounting Estimates</w:t>
      </w:r>
    </w:p>
    <w:p>
      <w:pPr>
        <w:spacing w:after="0" w:line="228" w:lineRule="exact"/>
        <w:rPr>
          <w:sz w:val="20"/>
          <w:szCs w:val="20"/>
          <w:color w:val="auto"/>
        </w:rPr>
      </w:pPr>
    </w:p>
    <w:p>
      <w:pPr>
        <w:ind w:right="140" w:firstLine="288"/>
        <w:spacing w:after="0" w:line="257"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launch and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Revenue recognition</w:t>
      </w:r>
    </w:p>
    <w:p>
      <w:pPr>
        <w:spacing w:after="0" w:line="224" w:lineRule="exact"/>
        <w:rPr>
          <w:sz w:val="20"/>
          <w:szCs w:val="20"/>
          <w:color w:val="auto"/>
        </w:rPr>
      </w:pPr>
    </w:p>
    <w:p>
      <w:pPr>
        <w:ind w:right="20" w:firstLine="288"/>
        <w:spacing w:after="0" w:line="256" w:lineRule="auto"/>
        <w:rPr>
          <w:sz w:val="20"/>
          <w:szCs w:val="20"/>
          <w:color w:val="auto"/>
        </w:rPr>
      </w:pPr>
      <w:r>
        <w:rPr>
          <w:rFonts w:ascii="Arial" w:cs="Arial" w:eastAsia="Arial" w:hAnsi="Arial"/>
          <w:sz w:val="16"/>
          <w:szCs w:val="16"/>
          <w:color w:val="auto"/>
        </w:rPr>
        <w:t>The Company’s primary revenue stream is the sale of LNG and natural gas to customers, which is presented as Operating revenue in the condensed consolidated statement of operations and comprehensive loss. LNG or natural gas is delivered either by pipeline into the customer’s power generation facilities or in containers delivered by truck to customer sites, respectively. Revenues from sales delivered by pipeline to a power generation facility are recognized over time under the output method, as the customer takes control of the natural gas. Revenues from sales delivered by truck are recognized at the point in time at which legal title, physical possession and the risks and rewards of ownership transfer to the customer. Title typically transfers either when the containers are shipped or delivered to the customers’ storage facilities, depending on the terms of the contract.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1" w:name="page32"/>
    <w:bookmarkEnd w:id="3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80" w:firstLine="288"/>
        <w:spacing w:after="0" w:line="264" w:lineRule="auto"/>
        <w:rPr>
          <w:sz w:val="20"/>
          <w:szCs w:val="20"/>
          <w:color w:val="auto"/>
        </w:rPr>
      </w:pPr>
      <w:r>
        <w:rPr>
          <w:rFonts w:ascii="Arial" w:cs="Arial" w:eastAsia="Arial" w:hAnsi="Arial"/>
          <w:sz w:val="16"/>
          <w:szCs w:val="16"/>
          <w:color w:val="auto"/>
        </w:rPr>
        <w:t>The Company has concluded that variable consideration included in these agreements meets the exception for allocating variable consideration. As such, the variable consideration for these contracts is allocated to each distinct unit of LNG or natural gas delivered and recognized when that distinct unit of LNG or natural gas is delivered to the customer.</w:t>
      </w:r>
    </w:p>
    <w:p>
      <w:pPr>
        <w:spacing w:after="0" w:line="186" w:lineRule="exact"/>
        <w:rPr>
          <w:sz w:val="20"/>
          <w:szCs w:val="20"/>
          <w:color w:val="auto"/>
        </w:rPr>
      </w:pPr>
    </w:p>
    <w:p>
      <w:pPr>
        <w:ind w:right="100" w:firstLine="288"/>
        <w:spacing w:after="0" w:line="241" w:lineRule="auto"/>
        <w:rPr>
          <w:sz w:val="20"/>
          <w:szCs w:val="20"/>
          <w:color w:val="auto"/>
        </w:rPr>
      </w:pPr>
      <w:r>
        <w:rPr>
          <w:rFonts w:ascii="Arial" w:cs="Arial" w:eastAsia="Arial" w:hAnsi="Arial"/>
          <w:sz w:val="16"/>
          <w:szCs w:val="16"/>
          <w:color w:val="auto"/>
        </w:rPr>
        <w:t xml:space="preserve">The Company’s contracts with customers to supply LNG or natural gas may contain a lease of equipment. The Company allocates consideration received from customers between lease and non-lease components based on the relative fair value of each component. The fair value of the lease component is estimated based on the market value of the same or similar equipment leased to the customer. </w:t>
      </w:r>
      <w:r>
        <w:rPr>
          <w:rFonts w:ascii="Arial" w:cs="Arial" w:eastAsia="Arial" w:hAnsi="Arial"/>
          <w:sz w:val="19"/>
          <w:szCs w:val="19"/>
          <w:color w:val="auto"/>
        </w:rPr>
        <w:t>The Company estimates the fair value of the non-lease component by forecasting volumes and pricing of</w:t>
      </w:r>
      <w:r>
        <w:rPr>
          <w:rFonts w:ascii="Arial" w:cs="Arial" w:eastAsia="Arial" w:hAnsi="Arial"/>
          <w:sz w:val="16"/>
          <w:szCs w:val="16"/>
          <w:color w:val="auto"/>
        </w:rPr>
        <w:t xml:space="preserve"> </w:t>
      </w:r>
      <w:r>
        <w:rPr>
          <w:rFonts w:ascii="Arial" w:cs="Arial" w:eastAsia="Arial" w:hAnsi="Arial"/>
          <w:sz w:val="19"/>
          <w:szCs w:val="19"/>
          <w:color w:val="auto"/>
        </w:rPr>
        <w:t xml:space="preserve">gas to be delivered to the customer over the lease term. </w:t>
      </w:r>
      <w:r>
        <w:rPr>
          <w:rFonts w:ascii="Arial" w:cs="Arial" w:eastAsia="Arial" w:hAnsi="Arial"/>
          <w:sz w:val="16"/>
          <w:szCs w:val="16"/>
          <w:color w:val="auto"/>
        </w:rPr>
        <w:t>The estimated fair value of the leased equipment, as a percentage of the estimated total revenue from LNG or</w:t>
      </w:r>
      <w:r>
        <w:rPr>
          <w:rFonts w:ascii="Arial" w:cs="Arial" w:eastAsia="Arial" w:hAnsi="Arial"/>
          <w:sz w:val="19"/>
          <w:szCs w:val="19"/>
          <w:color w:val="auto"/>
        </w:rPr>
        <w:t xml:space="preserve"> </w:t>
      </w:r>
      <w:r>
        <w:rPr>
          <w:rFonts w:ascii="Arial" w:cs="Arial" w:eastAsia="Arial" w:hAnsi="Arial"/>
          <w:sz w:val="16"/>
          <w:szCs w:val="16"/>
          <w:color w:val="auto"/>
        </w:rPr>
        <w:t>natural gas and leased equipment at inception, will establish the allocation percentage to determine the minimum lease payments and the amount to be accounted for under the revenue recognition guidance.</w:t>
      </w:r>
    </w:p>
    <w:p>
      <w:pPr>
        <w:spacing w:after="0" w:line="205" w:lineRule="exact"/>
        <w:rPr>
          <w:sz w:val="20"/>
          <w:szCs w:val="20"/>
          <w:color w:val="auto"/>
        </w:rPr>
      </w:pPr>
    </w:p>
    <w:p>
      <w:pPr>
        <w:ind w:firstLine="288"/>
        <w:spacing w:after="0" w:line="302" w:lineRule="auto"/>
        <w:rPr>
          <w:sz w:val="20"/>
          <w:szCs w:val="20"/>
          <w:color w:val="auto"/>
        </w:rPr>
      </w:pPr>
      <w:r>
        <w:rPr>
          <w:rFonts w:ascii="Arial" w:cs="Arial" w:eastAsia="Arial" w:hAnsi="Arial"/>
          <w:sz w:val="14"/>
          <w:szCs w:val="14"/>
          <w:color w:val="auto"/>
        </w:rPr>
        <w:t>The leases of certain facilities and equipment to customers are accounted for as direct financing or operating leases. Direct financing leases, net represents the minimum lease payments due, net of unearned revenue. The lease payments are segregated into principal and interest components similar to a loan. Unearned revenue is recognized on an effective interest method over the lease term and Other revenue in the condensed consolidated statements of operations and comprehensive loss is primarily comprised of such interest revenue. The principal components of the lease payment are reflected as a reduction to the net investment in the finance lease. For the Company’s operating leases, the amount allocated to the leasing component is recognized over the lease term as Other revenue in the condensed consolidated statements of operations and comprehensive loss.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Impairment</w:t>
      </w:r>
    </w:p>
    <w:p>
      <w:pPr>
        <w:spacing w:after="0" w:line="224" w:lineRule="exact"/>
        <w:rPr>
          <w:sz w:val="20"/>
          <w:szCs w:val="20"/>
          <w:color w:val="auto"/>
        </w:rPr>
      </w:pPr>
    </w:p>
    <w:p>
      <w:pPr>
        <w:ind w:right="60" w:firstLine="288"/>
        <w:spacing w:after="0" w:line="255" w:lineRule="auto"/>
        <w:rPr>
          <w:sz w:val="20"/>
          <w:szCs w:val="20"/>
          <w:color w:val="auto"/>
        </w:rPr>
      </w:pPr>
      <w:r>
        <w:rPr>
          <w:rFonts w:ascii="Arial" w:cs="Arial" w:eastAsia="Arial" w:hAnsi="Arial"/>
          <w:sz w:val="16"/>
          <w:szCs w:val="16"/>
          <w:color w:val="auto"/>
        </w:rPr>
        <w:t>LNG liquefaction facilities, and other long-lived assets held and used by the Company are reviewed periodically for potential impairment whenever events or changes in circumstances indicate that a particular asset’s carrying value may not be recoverable. Recoverability generally is determined by comparing the carrying value for the asset to the expected undiscounted future cash flows of the asset. If the carrying value of the asset is not recoverable, the amount of impairment loss is measured as the excess, if any, of the carrying value of the asset over its estimated fair value. The estimated undiscounted future cash flows are based on projections of future operating results; these projections contain estimates of the value of future contracts that have not yet been obtained, future commodity pricing and our future cost structure, among others. Projections of future operating results and cash flows may vary significantly from actual results. Management reviews its estimates of cash flows on an ongoing basis using historical experience, business plans, overall market conditions and other factors.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Share-based compensation</w:t>
      </w:r>
    </w:p>
    <w:p>
      <w:pPr>
        <w:spacing w:after="0" w:line="224" w:lineRule="exact"/>
        <w:rPr>
          <w:sz w:val="20"/>
          <w:szCs w:val="20"/>
          <w:color w:val="auto"/>
        </w:rPr>
      </w:pPr>
    </w:p>
    <w:p>
      <w:pPr>
        <w:ind w:right="140" w:firstLine="326"/>
        <w:spacing w:after="0" w:line="277" w:lineRule="auto"/>
        <w:rPr>
          <w:sz w:val="20"/>
          <w:szCs w:val="20"/>
          <w:color w:val="auto"/>
        </w:rPr>
      </w:pPr>
      <w:r>
        <w:rPr>
          <w:rFonts w:ascii="Arial" w:cs="Arial" w:eastAsia="Arial" w:hAnsi="Arial"/>
          <w:sz w:val="16"/>
          <w:szCs w:val="16"/>
          <w:color w:val="auto"/>
        </w:rPr>
        <w:t>The Company estimates the fair value of RSUs on the grant date based on the closing price of the underlying shares on the date and other fair value adjustments to account for a post-vesting holding period. These fair value adjustments were estimated based on the Finnerty model.</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w:t>
      </w:r>
    </w:p>
    <w:p>
      <w:pPr>
        <w:spacing w:after="0" w:line="228" w:lineRule="exact"/>
        <w:rPr>
          <w:sz w:val="20"/>
          <w:szCs w:val="20"/>
          <w:color w:val="auto"/>
        </w:rPr>
      </w:pPr>
    </w:p>
    <w:p>
      <w:pPr>
        <w:ind w:firstLine="288"/>
        <w:spacing w:after="0" w:line="257"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taken advantage of the exemptions discussed above. Accordingly, the information contained herein may be different than the information you receive from other public companies.</w:t>
      </w:r>
    </w:p>
    <w:p>
      <w:pPr>
        <w:spacing w:after="0" w:line="192" w:lineRule="exact"/>
        <w:rPr>
          <w:sz w:val="20"/>
          <w:szCs w:val="20"/>
          <w:color w:val="auto"/>
        </w:rPr>
      </w:pPr>
    </w:p>
    <w:p>
      <w:pPr>
        <w:ind w:right="20" w:firstLine="288"/>
        <w:spacing w:after="0" w:line="274" w:lineRule="auto"/>
        <w:rPr>
          <w:sz w:val="20"/>
          <w:szCs w:val="20"/>
          <w:color w:val="auto"/>
        </w:rPr>
      </w:pPr>
      <w:r>
        <w:rPr>
          <w:rFonts w:ascii="Arial" w:cs="Arial" w:eastAsia="Arial" w:hAnsi="Arial"/>
          <w:sz w:val="15"/>
          <w:szCs w:val="15"/>
          <w:color w:val="auto"/>
        </w:rPr>
        <w:t>Subject to certain conditions, as an EGC, we have elected to rely on certain of these exemptions, including without limitation, (1) providing an auditor’s attestation report on our system of internal controls over financial reporting pursuant to Section 404(b) of the Sarbanes-Oxley Act and (2)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$1.07 billion or more; (ii) the last day of the fiscal year following the fifth anniversary of the date of the completion of our IPO, December 31, 2024; (iii) the date on which we have issued more than $1.00 billion in nonconvertible debt during the previous three years; or (iv) the date on which we are deemed to be a large accelerated filer under the rules of the Securities and Exchange Commission or SEC.</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2" w:name="page33"/>
    <w:bookmarkEnd w:id="3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Standards</w:t>
      </w:r>
    </w:p>
    <w:p>
      <w:pPr>
        <w:spacing w:after="0" w:line="228" w:lineRule="exact"/>
        <w:rPr>
          <w:sz w:val="20"/>
          <w:szCs w:val="20"/>
          <w:color w:val="auto"/>
        </w:rPr>
      </w:pPr>
    </w:p>
    <w:p>
      <w:pPr>
        <w:ind w:right="220" w:firstLine="288"/>
        <w:spacing w:after="0" w:line="277" w:lineRule="auto"/>
        <w:rPr>
          <w:sz w:val="20"/>
          <w:szCs w:val="20"/>
          <w:color w:val="auto"/>
        </w:rPr>
      </w:pPr>
      <w:r>
        <w:rPr>
          <w:rFonts w:ascii="Arial" w:cs="Arial" w:eastAsia="Arial" w:hAnsi="Arial"/>
          <w:sz w:val="16"/>
          <w:szCs w:val="16"/>
          <w:color w:val="auto"/>
        </w:rPr>
        <w:t>For descriptions of recently issued accounting standards, see “Note 3. Adoption of new and revised standards” to our notes to condensed consolidated financial statements included elsewhere in this Quarterly Report.</w:t>
      </w:r>
    </w:p>
    <w:p>
      <w:pPr>
        <w:spacing w:after="0" w:line="17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Risks.</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the normal course of business, the Company encounters several significant types of market risks including commodity and interest rate risks.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Commodity Price Risk</w:t>
      </w:r>
    </w:p>
    <w:p>
      <w:pPr>
        <w:spacing w:after="0" w:line="224" w:lineRule="exact"/>
        <w:rPr>
          <w:sz w:val="20"/>
          <w:szCs w:val="20"/>
          <w:color w:val="auto"/>
        </w:rPr>
      </w:pPr>
    </w:p>
    <w:p>
      <w:pPr>
        <w:ind w:right="40" w:firstLine="288"/>
        <w:spacing w:after="0" w:line="256" w:lineRule="auto"/>
        <w:rPr>
          <w:sz w:val="20"/>
          <w:szCs w:val="20"/>
          <w:color w:val="auto"/>
        </w:rPr>
      </w:pPr>
      <w:r>
        <w:rPr>
          <w:rFonts w:ascii="Arial" w:cs="Arial" w:eastAsia="Arial" w:hAnsi="Arial"/>
          <w:sz w:val="16"/>
          <w:szCs w:val="16"/>
          <w:color w:val="auto"/>
        </w:rPr>
        <w:t>Commodity price risk is the risk of loss arising from adverse changes in market rates and prices. We may be impacted by the fluctuations in natural gas prices, and our exposure to market risk associated with LNG price changes may adversely impact our business. However, we are generally able to limit our exposure given our pricing in contracts with customers is based on the Henry Hub index price plus a contractual spread. Also, we have a strategic sourcing and price strategy to mitigate risk from commodity price fluctuation. We will continue to evaluate the need for future price changes in light of trends, our competitive landscape and our financial results. Furthermore, we do not currently have any derivative arrangements to protect against fluctuations in commodity prices, but to mitigate the effect of fluctuations in LNG prices on our operations, we may enter into various derivative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224" w:lineRule="exact"/>
        <w:rPr>
          <w:sz w:val="20"/>
          <w:szCs w:val="20"/>
          <w:color w:val="auto"/>
        </w:rPr>
      </w:pPr>
    </w:p>
    <w:p>
      <w:pPr>
        <w:ind w:right="20" w:firstLine="288"/>
        <w:spacing w:after="0" w:line="302" w:lineRule="auto"/>
        <w:rPr>
          <w:sz w:val="20"/>
          <w:szCs w:val="20"/>
          <w:color w:val="auto"/>
        </w:rPr>
      </w:pPr>
      <w:r>
        <w:rPr>
          <w:rFonts w:ascii="Arial" w:cs="Arial" w:eastAsia="Arial" w:hAnsi="Arial"/>
          <w:sz w:val="14"/>
          <w:szCs w:val="14"/>
          <w:color w:val="auto"/>
        </w:rPr>
        <w:t>Debt that we incurred under the Term Loan Facility bears interest at variable rates and exposes us to interest rate risk. Interest is calculated under the terms of the New Term Loan Facility based on our selection, from time to time, of one of the index rates available to us plus an applicable margin that varies based on certain factors. See “Item 2. Management’s Discussion and Analysis of Financial Condition and Results of Operations—Liquidity and Capital Resources—Debt.” With the full $500 million principal amount drawn and outstanding, the impact on interest expense of a 1% increase or decrease in the interest rate of the New Term Loan Facility would be approximately $5 million per year. We do not currently have or intend to enter into any derivative arrangements to protect against fluctuations in interest rates applicable to our outstanding indebtedness.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224" w:lineRule="exact"/>
        <w:rPr>
          <w:sz w:val="20"/>
          <w:szCs w:val="20"/>
          <w:color w:val="auto"/>
        </w:rPr>
      </w:pPr>
    </w:p>
    <w:p>
      <w:pPr>
        <w:jc w:val="both"/>
        <w:ind w:right="120" w:firstLine="288"/>
        <w:spacing w:after="0" w:line="319" w:lineRule="auto"/>
        <w:rPr>
          <w:sz w:val="20"/>
          <w:szCs w:val="20"/>
          <w:color w:val="auto"/>
        </w:rPr>
      </w:pPr>
      <w:r>
        <w:rPr>
          <w:rFonts w:ascii="Arial" w:cs="Arial" w:eastAsia="Arial" w:hAnsi="Arial"/>
          <w:sz w:val="14"/>
          <w:szCs w:val="14"/>
          <w:color w:val="auto"/>
        </w:rPr>
        <w:t>We primarily conduct our operations in U.S. dollars, and as such, our results of operations and cash flows have not materially been impacted by fluctuations due to changes in foreign currency exchange rates. We expect our international operations to continue to grow in the near term. We do not currently have any derivative arrangements to protect against fluctuations in foreign exchange rates, but to mitigate the effect of fluctuations in exchange rates on our operations, we may enter into various derivative instruments.</w:t>
      </w:r>
    </w:p>
    <w:p>
      <w:pPr>
        <w:spacing w:after="0" w:line="147"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24" w:lineRule="exact"/>
        <w:rPr>
          <w:sz w:val="20"/>
          <w:szCs w:val="20"/>
          <w:color w:val="auto"/>
        </w:rPr>
      </w:pPr>
    </w:p>
    <w:p>
      <w:pPr>
        <w:jc w:val="both"/>
        <w:ind w:firstLine="288"/>
        <w:spacing w:after="0" w:line="274" w:lineRule="auto"/>
        <w:rPr>
          <w:sz w:val="20"/>
          <w:szCs w:val="20"/>
          <w:color w:val="auto"/>
        </w:rPr>
      </w:pPr>
      <w:r>
        <w:rPr>
          <w:rFonts w:ascii="Arial" w:cs="Arial" w:eastAsia="Arial" w:hAnsi="Arial"/>
          <w:sz w:val="15"/>
          <w:szCs w:val="15"/>
          <w:color w:val="auto"/>
        </w:rPr>
        <w:t>In accordance with Rules 13a-15(b) of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March 31, 2019.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March 31, 2019 at the reasonable assurance level.</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3" w:name="page34"/>
    <w:bookmarkEnd w:id="3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Internal Control over Financial Reporting</w:t>
      </w:r>
    </w:p>
    <w:p>
      <w:pPr>
        <w:spacing w:after="0" w:line="196" w:lineRule="exact"/>
        <w:rPr>
          <w:sz w:val="20"/>
          <w:szCs w:val="20"/>
          <w:color w:val="auto"/>
        </w:rPr>
      </w:pPr>
    </w:p>
    <w:p>
      <w:pPr>
        <w:ind w:right="220" w:firstLine="360"/>
        <w:spacing w:after="0" w:line="312" w:lineRule="auto"/>
        <w:rPr>
          <w:sz w:val="20"/>
          <w:szCs w:val="20"/>
          <w:color w:val="auto"/>
        </w:rPr>
      </w:pPr>
      <w:r>
        <w:rPr>
          <w:rFonts w:ascii="Arial" w:cs="Arial" w:eastAsia="Arial" w:hAnsi="Arial"/>
          <w:sz w:val="15"/>
          <w:szCs w:val="15"/>
          <w:color w:val="auto"/>
        </w:rPr>
        <w:t>There were no changes in our internal control over financial reporting (as defined in Rule 13a-15(f) and Rule 15d-15(f) under the Exchange Act) that occurred during the quarter ended March 31,2019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OTHER INFORMATION</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3"/>
          <w:szCs w:val="13"/>
          <w:b w:val="1"/>
          <w:bCs w:val="1"/>
          <w:color w:val="auto"/>
        </w:rPr>
        <w:t>Legal Proceedings.</w:t>
      </w:r>
    </w:p>
    <w:p>
      <w:pPr>
        <w:spacing w:after="0" w:line="228" w:lineRule="exact"/>
        <w:rPr>
          <w:sz w:val="20"/>
          <w:szCs w:val="20"/>
          <w:color w:val="auto"/>
        </w:rPr>
      </w:pPr>
    </w:p>
    <w:p>
      <w:pPr>
        <w:ind w:right="280" w:firstLine="288"/>
        <w:spacing w:after="0" w:line="351" w:lineRule="auto"/>
        <w:rPr>
          <w:sz w:val="20"/>
          <w:szCs w:val="20"/>
          <w:color w:val="auto"/>
        </w:rPr>
      </w:pPr>
      <w:r>
        <w:rPr>
          <w:rFonts w:ascii="Arial" w:cs="Arial" w:eastAsia="Arial" w:hAnsi="Arial"/>
          <w:sz w:val="14"/>
          <w:szCs w:val="14"/>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10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28" w:lineRule="exact"/>
        <w:rPr>
          <w:sz w:val="20"/>
          <w:szCs w:val="20"/>
          <w:color w:val="auto"/>
        </w:rPr>
      </w:pPr>
    </w:p>
    <w:p>
      <w:pPr>
        <w:ind w:right="220" w:firstLine="320"/>
        <w:spacing w:after="0" w:line="257" w:lineRule="auto"/>
        <w:rPr>
          <w:sz w:val="20"/>
          <w:szCs w:val="20"/>
          <w:color w:val="auto"/>
        </w:rPr>
      </w:pPr>
      <w:r>
        <w:rPr>
          <w:rFonts w:ascii="Arial" w:cs="Arial" w:eastAsia="Arial" w:hAnsi="Arial"/>
          <w:sz w:val="16"/>
          <w:szCs w:val="16"/>
          <w:i w:val="1"/>
          <w:iCs w:val="1"/>
          <w:color w:val="auto"/>
        </w:rPr>
        <w:t>You should carefully consider the following risk factors together with all of the other information included in this Quarterly Report, including the information under “Cautionary Statement on Forward-Looking Statements.” If any of the following risks were to occur, our business, financial condition and results of operations could be materially adversely affected. Additional risks not presently known to us or that we currently deem immaterial could also materially affect our business. This Quarterly Report includes forward-looking statements regarding, among other things, our plans, strategies, prospects and projections, both business and financial. As a result, you should not place undue reliance on any such statements included in this Quarterly Report.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204"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b w:val="1"/>
          <w:bCs w:val="1"/>
          <w:i w:val="1"/>
          <w:iCs w:val="1"/>
          <w:color w:val="auto"/>
        </w:rPr>
        <w:t>We have not yet completed contracting, construction and commissioning of all of our Terminals and Liquefaction Facilities. There can be no assurance that our Terminals and Liquefaction Facilities will operate as expected, or at all.</w:t>
      </w:r>
    </w:p>
    <w:p>
      <w:pPr>
        <w:spacing w:after="0" w:line="152" w:lineRule="exact"/>
        <w:rPr>
          <w:sz w:val="20"/>
          <w:szCs w:val="20"/>
          <w:color w:val="auto"/>
        </w:rPr>
      </w:pPr>
    </w:p>
    <w:p>
      <w:pPr>
        <w:ind w:firstLine="288"/>
        <w:spacing w:after="0" w:line="291" w:lineRule="auto"/>
        <w:rPr>
          <w:sz w:val="20"/>
          <w:szCs w:val="20"/>
          <w:color w:val="auto"/>
        </w:rPr>
      </w:pPr>
      <w:r>
        <w:rPr>
          <w:rFonts w:ascii="Arial" w:cs="Arial" w:eastAsia="Arial" w:hAnsi="Arial"/>
          <w:sz w:val="14"/>
          <w:szCs w:val="14"/>
          <w:color w:val="auto"/>
        </w:rPr>
        <w:t>While the Old Harbour Terminal is substantially complete, it must still undergo extensive testing and commissioning. There can be no assurance that we will not need to make adjustments to these facilities as a result of such testing or commissioning, which could cause delays and be costly. Additionally, we have not yet entered into binding construction contracts, issued “final notice to proceed” or obtained all necessary environmental, regulatory, construction and zoning permissions for all of our Terminals and Liquefaction Facilities. There can be no assurance that we will be able to enter into the contracts required for the development of our Terminals and Liquefaction Facilities on commercially favorable terms, if at all, or that we will be able to obtain all of the environmental, regulatory, construction and zoning permissions we need. In particular, we will require agreements with ports proximate to our Liquefaction Facilities capable of handling the transload of LNG directly from our transportation assets to our occupying vessel. If we are unable to enter into favorable contracts or to obtain the necessary regulatory and land use approvals on favorable terms, we may not be able to construct and operate these assets as expected, or at all. Additionally, the construction of these kinds of facilities is inherently subject to the risks of cost overruns and delays.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Terminals and Liquefaction Facilities as expected, or, when and if constructed, they do not accomplish the goals described in this Quarterly Report or our Annual Report, or if we experience delays or cost overruns in construction, our business, operating results, cash flows and liquidity could be materially and adversely affected. Expenses related to our pursuit of contracts and regulatory approvals related to our Terminals and Liquefaction Facilities still under development may be significant and will be incurred by us regardless of whether these assets are ultimately constructed and operational.</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4" w:name="page35"/>
    <w:bookmarkEnd w:id="3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implement our business strategy may be materially and adversely affected by many known and unknown factors.</w:t>
      </w:r>
    </w:p>
    <w:p>
      <w:pPr>
        <w:spacing w:after="0" w:line="200" w:lineRule="exact"/>
        <w:rPr>
          <w:sz w:val="20"/>
          <w:szCs w:val="20"/>
          <w:color w:val="auto"/>
        </w:rPr>
      </w:pPr>
    </w:p>
    <w:p>
      <w:pPr>
        <w:ind w:right="40" w:firstLine="288"/>
        <w:spacing w:after="0" w:line="271" w:lineRule="auto"/>
        <w:rPr>
          <w:sz w:val="20"/>
          <w:szCs w:val="20"/>
          <w:color w:val="auto"/>
        </w:rPr>
      </w:pPr>
      <w:r>
        <w:rPr>
          <w:rFonts w:ascii="Arial" w:cs="Arial" w:eastAsia="Arial" w:hAnsi="Arial"/>
          <w:sz w:val="15"/>
          <w:szCs w:val="15"/>
          <w:color w:val="auto"/>
        </w:rPr>
        <w:t>Our business strategy relies upon our future ability to successfully market natural gas to end-users, develop and maintain cost-effective logistics in our supply chain and construct, develop and operate energy-related infrastructure in the U.S., Jamaica, Mexico, Puerto Rico, Ireland, the Dominican Republic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Pennsylvania Facility and the CHP Plant,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long-term capital appreciation and liquidity with respect to such investments. We cannot assure you if or when we will enter into contracts for the sale of LNG and/or natural gas, the price at which we will be able to sell such LNG and/or natural gas or our costs for such LNG and/or natural gas. Thus, there can be no assurance that we will achieve our target pricing, costs or margins.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159" w:lineRule="exact"/>
        <w:rPr>
          <w:sz w:val="20"/>
          <w:szCs w:val="20"/>
          <w:color w:val="auto"/>
        </w:rPr>
      </w:pPr>
    </w:p>
    <w:p>
      <w:pPr>
        <w:ind w:firstLine="288"/>
        <w:spacing w:after="0" w:line="264" w:lineRule="auto"/>
        <w:rPr>
          <w:sz w:val="20"/>
          <w:szCs w:val="20"/>
          <w:color w:val="auto"/>
        </w:rPr>
      </w:pPr>
      <w:r>
        <w:rPr>
          <w:rFonts w:ascii="Arial" w:cs="Arial" w:eastAsia="Arial" w:hAnsi="Arial"/>
          <w:sz w:val="16"/>
          <w:szCs w:val="16"/>
          <w:color w:val="auto"/>
        </w:rPr>
        <w:t>Additionally, our strategy may evolve over time. Our future ability to execute our business strategy is uncertain, and it can be expected that one or more of our assumptions will prove to be incorrect and that we will face unanticipated events and circumstances that may adversely affect our business. Any one or more of the following factors may have a material adverse effect on our ability to implement our strategy and achieve our targets:</w:t>
      </w:r>
    </w:p>
    <w:p>
      <w:pPr>
        <w:spacing w:after="0" w:line="162" w:lineRule="exact"/>
        <w:rPr>
          <w:sz w:val="20"/>
          <w:szCs w:val="20"/>
          <w:color w:val="auto"/>
        </w:rPr>
      </w:pPr>
    </w:p>
    <w:p>
      <w:pPr>
        <w:ind w:left="580" w:hanging="296"/>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inability to achieve our target costs for the purchase, liquefaction and export of natural gas and/or LNG and our target pricing for long-term contracts;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to develop cost-effective logistics solutions;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to manage expanding operations in the projected time frame;</w:t>
      </w:r>
    </w:p>
    <w:p>
      <w:pPr>
        <w:spacing w:after="0" w:line="224" w:lineRule="exact"/>
        <w:rPr>
          <w:rFonts w:ascii="Arial" w:cs="Arial" w:eastAsia="Arial" w:hAnsi="Arial"/>
          <w:sz w:val="16"/>
          <w:szCs w:val="16"/>
          <w:color w:val="auto"/>
        </w:rPr>
      </w:pPr>
    </w:p>
    <w:p>
      <w:pPr>
        <w:ind w:left="580" w:right="560" w:hanging="296"/>
        <w:spacing w:after="0" w:line="277"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inability to structure innovative and profitable energy-related transactions as part of our sales and trading operations and to optimally price and manage position, performance and counterparty risks;</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inability to develop infrastructure, including our Terminals and Liquefaction Facilities, as well as other future projects, in a timely and cost-effective manner;</w:t>
      </w:r>
    </w:p>
    <w:p>
      <w:pPr>
        <w:spacing w:after="0" w:line="235" w:lineRule="exact"/>
        <w:rPr>
          <w:rFonts w:ascii="Arial" w:cs="Arial" w:eastAsia="Arial" w:hAnsi="Arial"/>
          <w:sz w:val="15"/>
          <w:szCs w:val="15"/>
          <w:color w:val="auto"/>
        </w:rPr>
      </w:pPr>
    </w:p>
    <w:p>
      <w:pPr>
        <w:ind w:left="580" w:hanging="296"/>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inability to attract and retain personnel in a timely and cost-effective manner;</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of investments in technology and machinery, such as liquefaction technology or LNG tank truck technology, to perform as expected;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increases in competition which could increase our costs and undermine our profits;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inability to source LNG and/or natural gas in sufficient quantities and/or at economically attractive prices;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to anticipate and adapt to new trends in the energy sector in the U.S., Jamaica, the Caribbean, Mexico, Ireland and elsewhere;</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increases in operating costs, including the need for capital improvements, insurance premiums, general taxes, real estate taxes and utilities, affecting our profit margins;</w:t>
      </w:r>
    </w:p>
    <w:p>
      <w:pPr>
        <w:spacing w:after="0" w:line="247" w:lineRule="exact"/>
        <w:rPr>
          <w:rFonts w:ascii="Arial" w:cs="Arial" w:eastAsia="Arial" w:hAnsi="Arial"/>
          <w:sz w:val="14"/>
          <w:szCs w:val="14"/>
          <w:color w:val="auto"/>
        </w:rPr>
      </w:pPr>
    </w:p>
    <w:p>
      <w:pPr>
        <w:ind w:left="580" w:hanging="296"/>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inability to raise significant additional debt and equity capital in the future to implement our strategy as well as to operate and expand our business;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general economic, political and business conditions in the U.S., Jamaica, the Caribbean, Mexico, Ireland and in the other geographic areas in which we intend to operate;</w:t>
      </w:r>
    </w:p>
    <w:p>
      <w:pPr>
        <w:spacing w:after="0" w:line="247" w:lineRule="exact"/>
        <w:rPr>
          <w:rFonts w:ascii="Arial" w:cs="Arial" w:eastAsia="Arial" w:hAnsi="Arial"/>
          <w:sz w:val="14"/>
          <w:szCs w:val="14"/>
          <w:color w:val="auto"/>
        </w:rPr>
      </w:pPr>
    </w:p>
    <w:p>
      <w:pPr>
        <w:ind w:left="580" w:hanging="296"/>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inflation, depreciation of the currencies of the countries in which we operate and fluctuations in interest rates;</w:t>
      </w:r>
    </w:p>
    <w:p>
      <w:pPr>
        <w:spacing w:after="0" w:line="224" w:lineRule="exact"/>
        <w:rPr>
          <w:rFonts w:ascii="Arial" w:cs="Arial" w:eastAsia="Arial" w:hAnsi="Arial"/>
          <w:sz w:val="16"/>
          <w:szCs w:val="16"/>
          <w:color w:val="auto"/>
        </w:rPr>
      </w:pPr>
    </w:p>
    <w:p>
      <w:pPr>
        <w:ind w:left="580" w:right="520" w:hanging="296"/>
        <w:spacing w:after="0" w:line="277"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to obtain approvals from the Pennsylvania Department of Environmental Protection and relevant local authorities for the construction and operation of the Pennsylvania Facility and other relevant approvals;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5" w:name="page36"/>
    <w:bookmarkEnd w:id="3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580" w:hanging="296"/>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failure to win new bids or contracts on the terms, size and within the time frame we need to execute our business strategy;</w:t>
      </w:r>
    </w:p>
    <w:p>
      <w:pPr>
        <w:spacing w:after="0" w:line="224" w:lineRule="exact"/>
        <w:rPr>
          <w:rFonts w:ascii="Arial" w:cs="Arial" w:eastAsia="Arial" w:hAnsi="Arial"/>
          <w:sz w:val="16"/>
          <w:szCs w:val="16"/>
          <w:color w:val="auto"/>
        </w:rPr>
      </w:pPr>
    </w:p>
    <w:p>
      <w:pPr>
        <w:ind w:left="580" w:right="160" w:hanging="296"/>
        <w:spacing w:after="0" w:line="277"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failure to obtain approvals from governmental regulators and relevant local authorities for the construction and operation of potential future projects and other relevant approvals;</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existing and future governmental laws and regulations; or</w:t>
      </w:r>
    </w:p>
    <w:p>
      <w:pPr>
        <w:spacing w:after="0" w:line="224" w:lineRule="exact"/>
        <w:rPr>
          <w:rFonts w:ascii="Arial" w:cs="Arial" w:eastAsia="Arial" w:hAnsi="Arial"/>
          <w:sz w:val="16"/>
          <w:szCs w:val="16"/>
          <w:color w:val="auto"/>
        </w:rPr>
      </w:pPr>
    </w:p>
    <w:p>
      <w:pPr>
        <w:ind w:left="580" w:hanging="296"/>
        <w:spacing w:after="0" w:line="259"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inability, or failure, of any customer or contract counterparty to perform their contractual obligations to us (for further discussion of counterparty risk, see “—Our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If we experience any of these failures, such failure may adversely affect our financial condition, results of operations and ability to execute our business strategy.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operating history, which may not be sufficient to evaluate our business and prospects.</w:t>
      </w:r>
    </w:p>
    <w:p>
      <w:pPr>
        <w:spacing w:after="0" w:line="200" w:lineRule="exact"/>
        <w:rPr>
          <w:sz w:val="20"/>
          <w:szCs w:val="20"/>
          <w:color w:val="auto"/>
        </w:rPr>
      </w:pPr>
    </w:p>
    <w:p>
      <w:pPr>
        <w:ind w:right="80" w:firstLine="288"/>
        <w:spacing w:after="0" w:line="276" w:lineRule="auto"/>
        <w:rPr>
          <w:sz w:val="20"/>
          <w:szCs w:val="20"/>
          <w:color w:val="auto"/>
        </w:rPr>
      </w:pPr>
      <w:r>
        <w:rPr>
          <w:rFonts w:ascii="Arial" w:cs="Arial" w:eastAsia="Arial" w:hAnsi="Arial"/>
          <w:sz w:val="15"/>
          <w:szCs w:val="15"/>
          <w:color w:val="auto"/>
        </w:rPr>
        <w:t>We have a limited operating history and track record. As a result, our prior operating history and historical financial statements may not be a reliable basis for evaluating our business prospects or the future value of our Class A shares. We commenced operations on February 25, 2014, and we had net losses of approximately $1.6 million in 2014, $14.2 million in 2015, $32.9 million in 2016, $31.7 million in 2017 and $78.2 million in 2018.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Our limited operating history also means that we continue to develop and implement various policies and procedures including those related to data privacy and other matters. We will need to continue to build our team to implement our strategies.</w:t>
      </w:r>
    </w:p>
    <w:p>
      <w:pPr>
        <w:spacing w:after="0" w:line="155" w:lineRule="exact"/>
        <w:rPr>
          <w:sz w:val="20"/>
          <w:szCs w:val="20"/>
          <w:color w:val="auto"/>
        </w:rPr>
      </w:pPr>
    </w:p>
    <w:p>
      <w:pPr>
        <w:ind w:firstLine="288"/>
        <w:spacing w:after="0" w:line="273" w:lineRule="auto"/>
        <w:rPr>
          <w:sz w:val="20"/>
          <w:szCs w:val="20"/>
          <w:color w:val="auto"/>
        </w:rPr>
      </w:pPr>
      <w:r>
        <w:rPr>
          <w:rFonts w:ascii="Arial" w:cs="Arial" w:eastAsia="Arial" w:hAnsi="Arial"/>
          <w:sz w:val="15"/>
          <w:szCs w:val="15"/>
          <w:color w:val="auto"/>
        </w:rPr>
        <w:t>We will continue to incur significant capital and operating expenditures while we develop infrastructure for our supply chain, including for the completion of our Terminals and Liquefaction Facilities under construction, as well as other future projects. We will need to invest significant amounts of additional capital to implement our strategy. We have not yet entered into all arrangements necessary to obtain and ship LNG to the Old Harbour Terminal and Montego Bay Terminal (together, the “Jamaica Terminals”), and we have not completed constructing all of our Terminals and Liquefaction Facilities and our strategy includes the construction of additional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and successfully and timely complete necessary infrastructure, including our Terminals and Liquefaction Facilities under construction, and fulfill our gas delivery obligations under our customer contracts.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dependent upon obtaining substantial additional funding from various sources, which may not be available or may only be available on unfavorable terms.</w:t>
      </w:r>
    </w:p>
    <w:p>
      <w:pPr>
        <w:spacing w:after="0" w:line="223" w:lineRule="exact"/>
        <w:rPr>
          <w:sz w:val="20"/>
          <w:szCs w:val="20"/>
          <w:color w:val="auto"/>
        </w:rPr>
      </w:pPr>
    </w:p>
    <w:p>
      <w:pPr>
        <w:ind w:firstLine="288"/>
        <w:spacing w:after="0" w:line="291" w:lineRule="auto"/>
        <w:rPr>
          <w:sz w:val="20"/>
          <w:szCs w:val="20"/>
          <w:color w:val="auto"/>
        </w:rPr>
      </w:pPr>
      <w:r>
        <w:rPr>
          <w:rFonts w:ascii="Arial" w:cs="Arial" w:eastAsia="Arial" w:hAnsi="Arial"/>
          <w:sz w:val="14"/>
          <w:szCs w:val="14"/>
          <w:color w:val="auto"/>
        </w:rPr>
        <w:t>We believe we will have sufficient liquidity, cash flow from operations and access to additional capital sources to fund our capital expenditures and working capital needs for the next 12 months. In the future, we expect to incur additional indebtedness to assist us in developing our operations and we are considering alternative financing options, including in local markets, or the opportunistic sale of one of our non-core assets. See “Part II, Item 7. Management’s Discussion and Analysis of Financial Condition and Results of Operations” in our Annual Report and “Part I, Item 2. Management’s Discussion and Analysis of Financial Condition and Results of Operations” in this Quarterly Report for more information on our Term Loan Facility. If we are unable to secure additional funding, or amendments to existing financing, or if additional funding is only available on terms that we determine are not acceptable to us, we may be unable to fully execute our business plan and our business, financial condition or results of operations may be adversely affected. Additionally, we may need to adjust the timing of our planned capital expenditures and facilities development depending on the availability of such additional funding. Our ability to raise additional capital will depend on financial, economic and market conditions, our progress in executing our business strategy and other factors, many of which are beyond our control. We cannot assure you that such additional funding will be available on acceptable terms, or at all. To the extent that we raise additional equity capital by issuing additional securities at any point in the future, our then-existing shareholders may experience dilution. Debt financing, if available, may subject us to restrictive covenants that could limit our flexibility in conducting future business activities and could result in us expending significant resources to service our obligations. If we are unable to comply with these covenants and service our debt, we may lose control of our business and be forced to reduce or delay planned investments or capital expenditures, sell assets, restructure our operations or submit to foreclosure proceedings, all of which could result in a material adverse effect upon our business.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6" w:name="page37"/>
    <w:bookmarkEnd w:id="3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20" w:firstLine="288"/>
        <w:spacing w:after="0" w:line="274" w:lineRule="auto"/>
        <w:rPr>
          <w:sz w:val="20"/>
          <w:szCs w:val="20"/>
          <w:color w:val="auto"/>
        </w:rPr>
      </w:pPr>
      <w:r>
        <w:rPr>
          <w:rFonts w:ascii="Arial" w:cs="Arial" w:eastAsia="Arial" w:hAnsi="Arial"/>
          <w:sz w:val="15"/>
          <w:szCs w:val="15"/>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rely on borrowings under our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profitable for an indeterminate period of time.</w:t>
      </w:r>
    </w:p>
    <w:p>
      <w:pPr>
        <w:spacing w:after="0" w:line="200" w:lineRule="exact"/>
        <w:rPr>
          <w:sz w:val="20"/>
          <w:szCs w:val="20"/>
          <w:color w:val="auto"/>
        </w:rPr>
      </w:pPr>
    </w:p>
    <w:p>
      <w:pPr>
        <w:ind w:right="40" w:firstLine="288"/>
        <w:spacing w:after="0" w:line="256" w:lineRule="auto"/>
        <w:rPr>
          <w:sz w:val="20"/>
          <w:szCs w:val="20"/>
          <w:color w:val="auto"/>
        </w:rPr>
      </w:pPr>
      <w:r>
        <w:rPr>
          <w:rFonts w:ascii="Arial" w:cs="Arial" w:eastAsia="Arial" w:hAnsi="Arial"/>
          <w:sz w:val="16"/>
          <w:szCs w:val="16"/>
          <w:color w:val="auto"/>
        </w:rPr>
        <w:t>We have a limited operating history and did not commence revenue-generating activities until 2016, and therefore did not achieve profitability as of March 31, 2019. We will need to make a significant initial investment to complete construction and begin operations of all of our Terminals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We also expect to incur significant expenses in connection with the launch and growth of our business, including costs for LNG purchases, rail and truck transportation, shipping and logistics and personnel. We will need to raise significant additional debt and equity capital to achieve our goals.</w:t>
      </w:r>
    </w:p>
    <w:p>
      <w:pPr>
        <w:spacing w:after="0" w:line="168" w:lineRule="exact"/>
        <w:rPr>
          <w:sz w:val="20"/>
          <w:szCs w:val="20"/>
          <w:color w:val="auto"/>
        </w:rPr>
      </w:pPr>
    </w:p>
    <w:p>
      <w:pPr>
        <w:ind w:right="340" w:firstLine="288"/>
        <w:spacing w:after="0" w:line="277" w:lineRule="auto"/>
        <w:rPr>
          <w:sz w:val="20"/>
          <w:szCs w:val="20"/>
          <w:color w:val="auto"/>
        </w:rPr>
      </w:pPr>
      <w:r>
        <w:rPr>
          <w:rFonts w:ascii="Arial" w:cs="Arial" w:eastAsia="Arial" w:hAnsi="Arial"/>
          <w:sz w:val="16"/>
          <w:szCs w:val="16"/>
          <w:color w:val="auto"/>
        </w:rPr>
        <w:t>We may not be able to achieve profitability, and if we do, we cannot assure you that we would be able to sustain such profitability in the future. Our failure to achieve or sustain profitability would have a material adverse effect on our business and the value of our Class A shares.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heavily dependent upon our international operations, particularly in Jamaica, and any disruption to those operations would adversely affect us.</w:t>
      </w:r>
    </w:p>
    <w:p>
      <w:pPr>
        <w:spacing w:after="0" w:line="212" w:lineRule="exact"/>
        <w:rPr>
          <w:sz w:val="20"/>
          <w:szCs w:val="20"/>
          <w:color w:val="auto"/>
        </w:rPr>
      </w:pPr>
    </w:p>
    <w:p>
      <w:pPr>
        <w:ind w:right="20" w:firstLine="288"/>
        <w:spacing w:after="0" w:line="273" w:lineRule="auto"/>
        <w:rPr>
          <w:sz w:val="20"/>
          <w:szCs w:val="20"/>
          <w:color w:val="auto"/>
        </w:rPr>
      </w:pPr>
      <w:r>
        <w:rPr>
          <w:rFonts w:ascii="Arial" w:cs="Arial" w:eastAsia="Arial" w:hAnsi="Arial"/>
          <w:sz w:val="15"/>
          <w:szCs w:val="15"/>
          <w:color w:val="auto"/>
        </w:rPr>
        <w:t>Our operations in Jamaica began in October 2016, when our Montego Bay Terminal commenced commercial operations, and continue to grow. Jamaica is subject to political instability, acts of terrorism, natural disasters, in particular hurricanes, extreme weather conditions, crime and similar other risks which may negatively impact our operations in the region. We may also be affected by trade restrictions, such as tariffs or other trade controls. Additionally, tourism is a significant driver of economic activity in the Caribbean. As a result, tourism directly and indirectly affects local demand for our LNG and therefore our results of operations. Trends in tourism in the Caribbean are primarily driven by the economic condition of the tourists’ home country or territory, the condition of their destination, and the affordability and desirability of air travel and cruises. Additionally, unexpected factors could reduce tourism at any time, including, local or global economic recessions, terrorism, pandemics, severe weather or natural disasters. If we are unable to continue to leverage on the skills and experience of our international workforce and members of management with experience in the jurisdictions in which we operate to manage such risks, we may be unable to provide LNG at an attractive price and our business could be materially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are currently dependent upon a limited number of customers, the loss of a significant customer could adversely affect our operating results.</w:t>
      </w:r>
    </w:p>
    <w:p>
      <w:pPr>
        <w:spacing w:after="0" w:line="212" w:lineRule="exact"/>
        <w:rPr>
          <w:sz w:val="20"/>
          <w:szCs w:val="20"/>
          <w:color w:val="auto"/>
        </w:rPr>
      </w:pPr>
    </w:p>
    <w:p>
      <w:pPr>
        <w:ind w:firstLine="288"/>
        <w:spacing w:after="0" w:line="256" w:lineRule="auto"/>
        <w:rPr>
          <w:sz w:val="20"/>
          <w:szCs w:val="20"/>
          <w:color w:val="auto"/>
        </w:rPr>
      </w:pPr>
      <w:r>
        <w:rPr>
          <w:rFonts w:ascii="Arial" w:cs="Arial" w:eastAsia="Arial" w:hAnsi="Arial"/>
          <w:sz w:val="16"/>
          <w:szCs w:val="16"/>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customers in the Caribbean, and as a result, are subject to any risks specific to those customers and the jurisdictions and markets in which they operate. We may be unable to accomplish our business plan to diversify and expand our customer base by attracting a broad array of customers, which could negatively affect our business, results of operations and financial condition.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7" w:name="page38"/>
    <w:bookmarkEnd w:id="3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b w:val="1"/>
          <w:bCs w:val="1"/>
          <w:i w:val="1"/>
          <w:iCs w:val="1"/>
          <w:color w:val="auto"/>
        </w:rPr>
        <w:t>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62" w:lineRule="exact"/>
        <w:rPr>
          <w:sz w:val="20"/>
          <w:szCs w:val="20"/>
          <w:color w:val="auto"/>
        </w:rPr>
      </w:pPr>
    </w:p>
    <w:p>
      <w:pPr>
        <w:ind w:right="60" w:firstLine="288"/>
        <w:spacing w:after="0" w:line="273" w:lineRule="auto"/>
        <w:rPr>
          <w:sz w:val="20"/>
          <w:szCs w:val="20"/>
          <w:color w:val="auto"/>
        </w:rPr>
      </w:pPr>
      <w:r>
        <w:rPr>
          <w:rFonts w:ascii="Arial" w:cs="Arial" w:eastAsia="Arial" w:hAnsi="Arial"/>
          <w:sz w:val="15"/>
          <w:szCs w:val="15"/>
          <w:color w:val="auto"/>
        </w:rPr>
        <w:t>Our current results of operations and liquidity are, and will continue to be in the near future, substantially dependent upon performance by JPS and JPC, which have each entered into long-term GSAs and, in the case of JPS, a PPA in relation to the power produced at the CHP Plant, with us, and Jamalco, which has entered into a long-term SSA with us. While certain of our long-term contracts contain minimum volume commitments, our expected sales to customers under existing contracts is substantially in excess of such minimum volume commitments. Our near term ability to generate cash is dependent on JPS’s, JPC’s and Jamalco’s continued willingness and ability to continue purchasing our products and services and to perform their obligations under their respective contracts. If any of JPS, JPC or Jamalco fails to perform its obligations under its contract, our operating results, cash flow and liquidity could be materially and adversely affected, even if we were ultimately successful in seeking damages from JPS, JPC or Jamalco for a breach of contract. Additionally, as many of our facilities are still in developmental stages, our entry into long-term contracts before such facilities are fully operational exposes us to extended counterparty credit risk.</w:t>
      </w:r>
    </w:p>
    <w:p>
      <w:pPr>
        <w:spacing w:after="0" w:line="160" w:lineRule="exact"/>
        <w:rPr>
          <w:sz w:val="20"/>
          <w:szCs w:val="20"/>
          <w:color w:val="auto"/>
        </w:rPr>
      </w:pPr>
    </w:p>
    <w:p>
      <w:pPr>
        <w:ind w:firstLine="288"/>
        <w:spacing w:after="0" w:line="289" w:lineRule="auto"/>
        <w:rPr>
          <w:sz w:val="20"/>
          <w:szCs w:val="20"/>
          <w:color w:val="auto"/>
        </w:rPr>
      </w:pPr>
      <w:r>
        <w:rPr>
          <w:rFonts w:ascii="Arial" w:cs="Arial" w:eastAsia="Arial" w:hAnsi="Arial"/>
          <w:sz w:val="14"/>
          <w:szCs w:val="14"/>
          <w:color w:val="auto"/>
        </w:rPr>
        <w:t>Risks of nonpayment and nonperformance by customers are a consideration in our business, and our credit procedures and policies may be inadequate to sufficiently eliminate customer credit risk. In assessing customer credit risk, we perform background checks on our potential customers before we enter into a long-term contract with them. As part of the background check, we assess a potential customer’s credit profile and financial position, including their operating results, liquidity and outstanding debt, as well as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In particular, JPS and 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JPC’s ability to make payments under their long-term GSAs and, in the case of JPS, its ability to make payments under its PPA, with us. In addition, our ability to operate the CHP Plant is dependent on our ability to enforce the related lease. GAJ, one of the lessors, is a subsidiary of Noble Group, which recently completed a financial restructuring.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 On March 5, 2019, after review by the Puerto Rico Energy Bureau and the Financial Oversight and Management Board for Puerto Rico, our subsidiary, NFEnergía entered into a Fuel Sale and Purchase Agreement with the Puerto Rico Electric Power Authority (“PREPA”) for the supply of natural gas and conversion of Units 5 and 6 of the San Juan Combined Cycle Power Plant.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 Additionally, we may face difficulties in enforcing our contractual rights against contractual counterparties that have not submitted to the jurisdiction of U.S. courts.</w:t>
      </w:r>
    </w:p>
    <w:p>
      <w:pPr>
        <w:spacing w:after="0" w:line="349" w:lineRule="exact"/>
        <w:rPr>
          <w:sz w:val="20"/>
          <w:szCs w:val="20"/>
          <w:color w:val="auto"/>
        </w:rPr>
      </w:pPr>
    </w:p>
    <w:p>
      <w:pPr>
        <w:ind w:right="80" w:firstLine="288"/>
        <w:spacing w:after="0" w:line="257" w:lineRule="auto"/>
        <w:rPr>
          <w:sz w:val="20"/>
          <w:szCs w:val="20"/>
          <w:color w:val="auto"/>
        </w:rPr>
      </w:pPr>
      <w:r>
        <w:rPr>
          <w:rFonts w:ascii="Arial" w:cs="Arial" w:eastAsia="Arial" w:hAnsi="Arial"/>
          <w:sz w:val="16"/>
          <w:szCs w:val="16"/>
          <w:color w:val="auto"/>
        </w:rPr>
        <w:t>PREPA has commenced a bidding process through which potential bidders could take control and ownership of PREPA’s transmission and distribution system. PREPA will solicit proposals from four selected bidders and expects to select a winner in the third quarter of 2019. We cannot predict how our relationship with PREPA could change if PREPA’s transmission and distribution system were to become privatized. If such event were to occur, PREPA may seek to find alternative power sources or purchase substantially less natural gas from us than what we currently expect to sell to PREPA, which could have a material adverse effect on our financial condition, results of operations and cash flows.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8" w:name="page39"/>
    <w:bookmarkEnd w:id="3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240" w:firstLine="288"/>
        <w:spacing w:after="0" w:line="277" w:lineRule="auto"/>
        <w:rPr>
          <w:sz w:val="20"/>
          <w:szCs w:val="20"/>
          <w:color w:val="auto"/>
        </w:rPr>
      </w:pPr>
      <w:r>
        <w:rPr>
          <w:rFonts w:ascii="Arial" w:cs="Arial" w:eastAsia="Arial" w:hAnsi="Arial"/>
          <w:sz w:val="16"/>
          <w:szCs w:val="16"/>
          <w:color w:val="auto"/>
        </w:rPr>
        <w:t>Further, adverse economic conditions in our industry increase the risk of nonpayment and nonperformance by customers, particularly customers that have sub-investment grade credit ratings.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contracts with our customers are subject to termination under certain circumstances.</w:t>
      </w:r>
    </w:p>
    <w:p>
      <w:pPr>
        <w:spacing w:after="0" w:line="200" w:lineRule="exact"/>
        <w:rPr>
          <w:sz w:val="20"/>
          <w:szCs w:val="20"/>
          <w:color w:val="auto"/>
        </w:rPr>
      </w:pPr>
    </w:p>
    <w:p>
      <w:pPr>
        <w:ind w:right="80" w:firstLine="288"/>
        <w:spacing w:after="0" w:line="277" w:lineRule="auto"/>
        <w:rPr>
          <w:sz w:val="20"/>
          <w:szCs w:val="20"/>
          <w:color w:val="auto"/>
        </w:rPr>
      </w:pPr>
      <w:r>
        <w:rPr>
          <w:rFonts w:ascii="Arial" w:cs="Arial" w:eastAsia="Arial" w:hAnsi="Arial"/>
          <w:sz w:val="16"/>
          <w:szCs w:val="16"/>
          <w:color w:val="auto"/>
        </w:rPr>
        <w:t>Our contracts with our customers contain various termination rights. For example, each of our long-term customer contracts, including the contracts with JPS, JPC, Jamalco and PREPA, contain various termination rights allowing our customers to terminate the contract, including, without limitation:</w:t>
      </w:r>
    </w:p>
    <w:p>
      <w:pPr>
        <w:spacing w:after="0" w:line="152" w:lineRule="exact"/>
        <w:rPr>
          <w:sz w:val="20"/>
          <w:szCs w:val="20"/>
          <w:color w:val="auto"/>
        </w:rPr>
      </w:pPr>
    </w:p>
    <w:p>
      <w:pPr>
        <w:ind w:left="580" w:hanging="296"/>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upon the occurrence of certain events of force majeure;</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we fail to make available specified scheduled cargo quantities;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occurrence of certain uncured payment defaults;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occurrence of an insolvency event;</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occurrence of certain uncured, material breaches; and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we fail to commence commercial operations or achieve financial close within the agreed timeframes.</w:t>
      </w:r>
    </w:p>
    <w:p>
      <w:pPr>
        <w:spacing w:after="0" w:line="224" w:lineRule="exact"/>
        <w:rPr>
          <w:sz w:val="20"/>
          <w:szCs w:val="20"/>
          <w:color w:val="auto"/>
        </w:rPr>
      </w:pPr>
    </w:p>
    <w:p>
      <w:pPr>
        <w:jc w:val="both"/>
        <w:ind w:right="80" w:firstLine="288"/>
        <w:spacing w:after="0" w:line="264" w:lineRule="auto"/>
        <w:rPr>
          <w:sz w:val="20"/>
          <w:szCs w:val="20"/>
          <w:color w:val="auto"/>
        </w:rPr>
      </w:pPr>
      <w:r>
        <w:rPr>
          <w:rFonts w:ascii="Arial" w:cs="Arial" w:eastAsia="Arial" w:hAnsi="Arial"/>
          <w:sz w:val="16"/>
          <w:szCs w:val="16"/>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62" w:lineRule="exact"/>
        <w:rPr>
          <w:sz w:val="20"/>
          <w:szCs w:val="20"/>
          <w:color w:val="auto"/>
        </w:rPr>
      </w:pPr>
    </w:p>
    <w:p>
      <w:pPr>
        <w:ind w:right="240"/>
        <w:spacing w:after="0" w:line="312" w:lineRule="auto"/>
        <w:rPr>
          <w:sz w:val="20"/>
          <w:szCs w:val="20"/>
          <w:color w:val="auto"/>
        </w:rPr>
      </w:pPr>
      <w:r>
        <w:rPr>
          <w:rFonts w:ascii="Arial" w:cs="Arial" w:eastAsia="Arial" w:hAnsi="Arial"/>
          <w:sz w:val="15"/>
          <w:szCs w:val="15"/>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128" w:lineRule="exact"/>
        <w:rPr>
          <w:sz w:val="20"/>
          <w:szCs w:val="20"/>
          <w:color w:val="auto"/>
        </w:rPr>
      </w:pPr>
    </w:p>
    <w:p>
      <w:pPr>
        <w:ind w:firstLine="288"/>
        <w:spacing w:after="0" w:line="264" w:lineRule="auto"/>
        <w:rPr>
          <w:sz w:val="20"/>
          <w:szCs w:val="20"/>
          <w:color w:val="auto"/>
        </w:rPr>
      </w:pPr>
      <w:r>
        <w:rPr>
          <w:rFonts w:ascii="Arial" w:cs="Arial" w:eastAsia="Arial" w:hAnsi="Arial"/>
          <w:sz w:val="16"/>
          <w:szCs w:val="16"/>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162" w:lineRule="exact"/>
        <w:rPr>
          <w:sz w:val="20"/>
          <w:szCs w:val="20"/>
          <w:color w:val="auto"/>
        </w:rPr>
      </w:pPr>
    </w:p>
    <w:p>
      <w:pPr>
        <w:ind w:left="580" w:hanging="296"/>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additions to competitive regasification capacity in North America, Europe, Asia and other markets, which could divert LNG or natural gas from our business;</w:t>
      </w:r>
    </w:p>
    <w:p>
      <w:pPr>
        <w:spacing w:after="0" w:line="235" w:lineRule="exact"/>
        <w:rPr>
          <w:rFonts w:ascii="Arial" w:cs="Arial" w:eastAsia="Arial" w:hAnsi="Arial"/>
          <w:sz w:val="15"/>
          <w:szCs w:val="15"/>
          <w:color w:val="auto"/>
        </w:rPr>
      </w:pPr>
    </w:p>
    <w:p>
      <w:pPr>
        <w:ind w:left="580" w:hanging="296"/>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imposition of tariffs by China or any other jurisdiction on imports of LNG from the United States;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insufficient or oversupply of natural gas liquefaction or export capacity worldwide;</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insufficient LNG tanker capacity;</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weather conditions and natural disasters;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reduced demand and lower prices for natural gas;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increased natural gas production deliverable by pipelines, which could suppress demand for LNG;</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decreased oil and natural gas exploration activities, which may decrease the production of natural gas;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cost improvements that allow competitors to offer LNG regasification services at reduced prices;</w:t>
      </w:r>
    </w:p>
    <w:p>
      <w:pPr>
        <w:spacing w:after="0" w:line="224" w:lineRule="exact"/>
        <w:rPr>
          <w:rFonts w:ascii="Arial" w:cs="Arial" w:eastAsia="Arial" w:hAnsi="Arial"/>
          <w:sz w:val="16"/>
          <w:szCs w:val="16"/>
          <w:color w:val="auto"/>
        </w:rPr>
      </w:pPr>
    </w:p>
    <w:p>
      <w:pPr>
        <w:ind w:left="580" w:right="420" w:hanging="296"/>
        <w:spacing w:after="0" w:line="277"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in supplies of, and prices for, alternative energy sources such as coal, oil, nuclear, hydroelectric, wind and solar energy, which may reduce the demand for natural gas;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9" w:name="page40"/>
    <w:bookmarkEnd w:id="39"/>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584" w:right="100" w:hanging="296"/>
        <w:spacing w:after="0" w:line="277" w:lineRule="auto"/>
        <w:tabs>
          <w:tab w:leader="none" w:pos="5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in regulatory, tax or other governmental policies regarding imported or exported LNG, natural gas or alternative energy sources, which may reduce the demand for imported or exported LNG and/or natural gas;</w:t>
      </w:r>
    </w:p>
    <w:p>
      <w:pPr>
        <w:spacing w:after="0" w:line="175" w:lineRule="exact"/>
        <w:rPr>
          <w:rFonts w:ascii="Arial" w:cs="Arial" w:eastAsia="Arial" w:hAnsi="Arial"/>
          <w:sz w:val="16"/>
          <w:szCs w:val="16"/>
          <w:color w:val="auto"/>
        </w:rPr>
      </w:pPr>
    </w:p>
    <w:p>
      <w:pPr>
        <w:ind w:left="584" w:hanging="296"/>
        <w:spacing w:after="0"/>
        <w:tabs>
          <w:tab w:leader="none" w:pos="5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political conditions in natural gas producing regions;</w:t>
      </w:r>
    </w:p>
    <w:p>
      <w:pPr>
        <w:spacing w:after="0" w:line="224" w:lineRule="exact"/>
        <w:rPr>
          <w:rFonts w:ascii="Arial" w:cs="Arial" w:eastAsia="Arial" w:hAnsi="Arial"/>
          <w:sz w:val="16"/>
          <w:szCs w:val="16"/>
          <w:color w:val="auto"/>
        </w:rPr>
      </w:pPr>
    </w:p>
    <w:p>
      <w:pPr>
        <w:ind w:left="584" w:hanging="296"/>
        <w:spacing w:after="0"/>
        <w:tabs>
          <w:tab w:leader="none" w:pos="5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adverse relative demand for LNG compared to other markets, which may decrease LNG imports into or exports from North America; and</w:t>
      </w:r>
    </w:p>
    <w:p>
      <w:pPr>
        <w:spacing w:after="0" w:line="224" w:lineRule="exact"/>
        <w:rPr>
          <w:rFonts w:ascii="Arial" w:cs="Arial" w:eastAsia="Arial" w:hAnsi="Arial"/>
          <w:sz w:val="16"/>
          <w:szCs w:val="16"/>
          <w:color w:val="auto"/>
        </w:rPr>
      </w:pPr>
    </w:p>
    <w:p>
      <w:pPr>
        <w:ind w:left="584" w:hanging="296"/>
        <w:spacing w:after="0"/>
        <w:tabs>
          <w:tab w:leader="none" w:pos="5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cyclical trends in general business and economic conditions that cause changes in the demand for natural gas.</w:t>
      </w:r>
    </w:p>
    <w:p>
      <w:pPr>
        <w:spacing w:after="0" w:line="224" w:lineRule="exact"/>
        <w:rPr>
          <w:sz w:val="20"/>
          <w:szCs w:val="20"/>
          <w:color w:val="auto"/>
        </w:rPr>
      </w:pPr>
    </w:p>
    <w:p>
      <w:pPr>
        <w:ind w:left="4" w:right="20" w:firstLine="288"/>
        <w:spacing w:after="0" w:line="295" w:lineRule="auto"/>
        <w:rPr>
          <w:sz w:val="20"/>
          <w:szCs w:val="20"/>
          <w:color w:val="auto"/>
        </w:rPr>
      </w:pPr>
      <w:r>
        <w:rPr>
          <w:rFonts w:ascii="Arial" w:cs="Arial" w:eastAsia="Arial" w:hAnsi="Arial"/>
          <w:sz w:val="14"/>
          <w:szCs w:val="14"/>
          <w:color w:val="auto"/>
        </w:rPr>
        <w:t>Adverse trends or developments affecting any of these factors – in particular prior to our Pennsylvania Facility becoming operational – could result in decreases in the prices at which we are able to sell LNG and natural gas or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There can be no assurance we will achieve our target cost or pricing goals. In particular, because we have not currently procured fixed-price, long-term LNG supply (our plan being to liquefy natural gas ourselves in our Liquefaction Facilities), increases in LNG prices and/or shortages of LNG supply could be material and adverse to our business. Additionally, we intend to rely on long-term,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w:t>
      </w:r>
    </w:p>
    <w:p>
      <w:pPr>
        <w:spacing w:after="0" w:line="147" w:lineRule="exact"/>
        <w:rPr>
          <w:sz w:val="20"/>
          <w:szCs w:val="20"/>
          <w:color w:val="auto"/>
        </w:rPr>
      </w:pPr>
    </w:p>
    <w:p>
      <w:pPr>
        <w:ind w:left="4" w:right="240"/>
        <w:spacing w:after="0" w:line="277" w:lineRule="auto"/>
        <w:rPr>
          <w:sz w:val="20"/>
          <w:szCs w:val="20"/>
          <w:color w:val="auto"/>
        </w:rPr>
      </w:pPr>
      <w:r>
        <w:rPr>
          <w:rFonts w:ascii="Arial" w:cs="Arial" w:eastAsia="Arial" w:hAnsi="Arial"/>
          <w:sz w:val="16"/>
          <w:szCs w:val="16"/>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52" w:lineRule="exact"/>
        <w:rPr>
          <w:sz w:val="20"/>
          <w:szCs w:val="20"/>
          <w:color w:val="auto"/>
        </w:rPr>
      </w:pPr>
    </w:p>
    <w:p>
      <w:pPr>
        <w:ind w:left="4" w:right="60" w:firstLine="288"/>
        <w:spacing w:after="0" w:line="274" w:lineRule="auto"/>
        <w:rPr>
          <w:sz w:val="20"/>
          <w:szCs w:val="20"/>
          <w:color w:val="auto"/>
        </w:rPr>
      </w:pPr>
      <w:r>
        <w:rPr>
          <w:rFonts w:ascii="Arial" w:cs="Arial" w:eastAsia="Arial" w:hAnsi="Arial"/>
          <w:sz w:val="15"/>
          <w:szCs w:val="15"/>
          <w:color w:val="auto"/>
        </w:rPr>
        <w:t>Our ability to make scheduled payments on or to refinance our existing or future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fund our day-to-day operations or to pay the principal, premium, if any, and interest on our indebtedness. As of December 31, 2018, we had $280 million of total indebtedness outstanding, excluding deferred financing costs. On March 21, 2019, the Company drew an additional $220 million on the Term Loan Facility. Total principal amounts outstanding after this draw are $500 million. See “Part II, Item 7. Management’s Discussion and Analysis of Financial Condition and Results of Operations” in our Annual Report and “Part I, Item 2. Management’s Discussion and Analysis of Financial Condition and Results of Operation” of this Quarterly Report for more information on our Term Loan Facility.</w:t>
      </w:r>
    </w:p>
    <w:p>
      <w:pPr>
        <w:spacing w:after="0" w:line="159" w:lineRule="exact"/>
        <w:rPr>
          <w:sz w:val="20"/>
          <w:szCs w:val="20"/>
          <w:color w:val="auto"/>
        </w:rPr>
      </w:pPr>
    </w:p>
    <w:p>
      <w:pPr>
        <w:ind w:left="4" w:right="160" w:firstLine="288"/>
        <w:spacing w:after="0" w:line="276" w:lineRule="auto"/>
        <w:rPr>
          <w:sz w:val="20"/>
          <w:szCs w:val="20"/>
          <w:color w:val="auto"/>
        </w:rPr>
      </w:pPr>
      <w:r>
        <w:rPr>
          <w:rFonts w:ascii="Arial" w:cs="Arial" w:eastAsia="Arial" w:hAnsi="Arial"/>
          <w:sz w:val="15"/>
          <w:szCs w:val="15"/>
          <w:color w:val="auto"/>
        </w:rPr>
        <w:t>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indebtedness or operations. We may not be able to affect any such alternative measures, if necessary, on commercially reasonable terms or at all and, even if successful, such alternative actions may not allow us to meet our scheduled debt service obligations. The agreements that govern our indebtedness restrict our ability to dispose of assets and use the proceeds from any such dispositions and our ability to raise debt capital to be used to repay our indebtedness when it becomes due. We may not be able to consummate those dispositions or to obtain proceeds in an amount sufficient to meet any debt service obligations then due.</w:t>
      </w:r>
    </w:p>
    <w:p>
      <w:pPr>
        <w:spacing w:after="0" w:line="155" w:lineRule="exact"/>
        <w:rPr>
          <w:sz w:val="20"/>
          <w:szCs w:val="20"/>
          <w:color w:val="auto"/>
        </w:rPr>
      </w:pPr>
    </w:p>
    <w:p>
      <w:pPr>
        <w:ind w:left="4" w:right="180" w:firstLine="288"/>
        <w:spacing w:after="0" w:line="277" w:lineRule="auto"/>
        <w:rPr>
          <w:sz w:val="20"/>
          <w:szCs w:val="20"/>
          <w:color w:val="auto"/>
        </w:rPr>
      </w:pPr>
      <w:r>
        <w:rPr>
          <w:rFonts w:ascii="Arial" w:cs="Arial" w:eastAsia="Arial" w:hAnsi="Arial"/>
          <w:sz w:val="16"/>
          <w:szCs w:val="16"/>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w:t>
      </w:r>
    </w:p>
    <w:p>
      <w:pPr>
        <w:spacing w:after="0" w:line="152" w:lineRule="exact"/>
        <w:rPr>
          <w:sz w:val="20"/>
          <w:szCs w:val="20"/>
          <w:color w:val="auto"/>
        </w:rPr>
      </w:pPr>
    </w:p>
    <w:p>
      <w:pPr>
        <w:ind w:left="4" w:right="360" w:firstLine="288"/>
        <w:spacing w:after="0" w:line="264" w:lineRule="auto"/>
        <w:rPr>
          <w:sz w:val="20"/>
          <w:szCs w:val="20"/>
          <w:color w:val="auto"/>
        </w:rPr>
      </w:pPr>
      <w:r>
        <w:rPr>
          <w:rFonts w:ascii="Arial" w:cs="Arial" w:eastAsia="Arial" w:hAnsi="Arial"/>
          <w:sz w:val="16"/>
          <w:szCs w:val="16"/>
          <w:color w:val="auto"/>
        </w:rPr>
        <w:t>If we cannot make scheduled payments on our debt, we will be in default and, as a result, lenders under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4"/>
          <w:szCs w:val="14"/>
          <w:b w:val="1"/>
          <w:bCs w:val="1"/>
          <w:i w:val="1"/>
          <w:iCs w:val="1"/>
          <w:color w:val="auto"/>
        </w:rPr>
        <w:t>The agreements governing our indebtedness place restrictions on us and our subsidiaries, reducing operational and financing flexibility and creating default risks.</w:t>
      </w:r>
    </w:p>
    <w:p>
      <w:pPr>
        <w:spacing w:after="0" w:line="247" w:lineRule="exact"/>
        <w:rPr>
          <w:sz w:val="20"/>
          <w:szCs w:val="20"/>
          <w:color w:val="auto"/>
        </w:rPr>
      </w:pPr>
    </w:p>
    <w:p>
      <w:pPr>
        <w:ind w:left="4"/>
        <w:spacing w:after="0" w:line="312" w:lineRule="auto"/>
        <w:rPr>
          <w:sz w:val="20"/>
          <w:szCs w:val="20"/>
          <w:color w:val="auto"/>
        </w:rPr>
      </w:pPr>
      <w:r>
        <w:rPr>
          <w:rFonts w:ascii="Arial" w:cs="Arial" w:eastAsia="Arial" w:hAnsi="Arial"/>
          <w:sz w:val="15"/>
          <w:szCs w:val="15"/>
          <w:color w:val="auto"/>
        </w:rPr>
        <w:t>The agreements governing our indebtedness, including, but not limited to, our New Term Loan Facility, entered into on December 31, 2018, contain covenants that place restrictions on us and our subsidiaries. The terms governing our New Term Loan Facility restrict among other things, our and certain of our subsidiaries’ ability to:</w:t>
      </w:r>
    </w:p>
    <w:p>
      <w:pPr>
        <w:spacing w:after="0" w:line="152" w:lineRule="exact"/>
        <w:rPr>
          <w:sz w:val="20"/>
          <w:szCs w:val="20"/>
          <w:color w:val="auto"/>
        </w:rPr>
      </w:pPr>
    </w:p>
    <w:p>
      <w:pPr>
        <w:ind w:left="424" w:hanging="424"/>
        <w:spacing w:after="0"/>
        <w:tabs>
          <w:tab w:leader="none" w:pos="424" w:val="left"/>
        </w:tabs>
        <w:numPr>
          <w:ilvl w:val="0"/>
          <w:numId w:val="42"/>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224" w:lineRule="exact"/>
        <w:rPr>
          <w:rFonts w:ascii="Arial" w:cs="Arial" w:eastAsia="Arial" w:hAnsi="Arial"/>
          <w:sz w:val="16"/>
          <w:szCs w:val="16"/>
          <w:color w:val="auto"/>
        </w:rPr>
      </w:pPr>
    </w:p>
    <w:p>
      <w:pPr>
        <w:ind w:left="424" w:hanging="424"/>
        <w:spacing w:after="0"/>
        <w:tabs>
          <w:tab w:leader="none" w:pos="424"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224" w:lineRule="exact"/>
        <w:rPr>
          <w:rFonts w:ascii="Arial" w:cs="Arial" w:eastAsia="Arial" w:hAnsi="Arial"/>
          <w:sz w:val="16"/>
          <w:szCs w:val="16"/>
          <w:color w:val="auto"/>
        </w:rPr>
      </w:pPr>
    </w:p>
    <w:p>
      <w:pPr>
        <w:ind w:left="424" w:hanging="424"/>
        <w:spacing w:after="0"/>
        <w:tabs>
          <w:tab w:leader="none" w:pos="424"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224" w:lineRule="exact"/>
        <w:rPr>
          <w:rFonts w:ascii="Arial" w:cs="Arial" w:eastAsia="Arial" w:hAnsi="Arial"/>
          <w:sz w:val="16"/>
          <w:szCs w:val="16"/>
          <w:color w:val="auto"/>
        </w:rPr>
      </w:pPr>
    </w:p>
    <w:p>
      <w:pPr>
        <w:ind w:left="424" w:hanging="424"/>
        <w:spacing w:after="0"/>
        <w:tabs>
          <w:tab w:leader="none" w:pos="424" w:val="left"/>
        </w:tabs>
        <w:numPr>
          <w:ilvl w:val="0"/>
          <w:numId w:val="42"/>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224" w:lineRule="exact"/>
        <w:rPr>
          <w:rFonts w:ascii="Arial" w:cs="Arial" w:eastAsia="Arial" w:hAnsi="Arial"/>
          <w:sz w:val="16"/>
          <w:szCs w:val="16"/>
          <w:color w:val="auto"/>
        </w:rPr>
      </w:pPr>
    </w:p>
    <w:p>
      <w:pPr>
        <w:ind w:left="424" w:hanging="424"/>
        <w:spacing w:after="0"/>
        <w:tabs>
          <w:tab w:leader="none" w:pos="424"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224" w:lineRule="exact"/>
        <w:rPr>
          <w:rFonts w:ascii="Arial" w:cs="Arial" w:eastAsia="Arial" w:hAnsi="Arial"/>
          <w:sz w:val="16"/>
          <w:szCs w:val="16"/>
          <w:color w:val="auto"/>
        </w:rPr>
      </w:pPr>
    </w:p>
    <w:p>
      <w:pPr>
        <w:ind w:left="424" w:hanging="424"/>
        <w:spacing w:after="0"/>
        <w:tabs>
          <w:tab w:leader="none" w:pos="424"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224" w:lineRule="exact"/>
        <w:rPr>
          <w:rFonts w:ascii="Arial" w:cs="Arial" w:eastAsia="Arial" w:hAnsi="Arial"/>
          <w:sz w:val="16"/>
          <w:szCs w:val="16"/>
          <w:color w:val="auto"/>
        </w:rPr>
      </w:pPr>
    </w:p>
    <w:p>
      <w:pPr>
        <w:ind w:left="424" w:hanging="424"/>
        <w:spacing w:after="0"/>
        <w:tabs>
          <w:tab w:leader="none" w:pos="424" w:val="left"/>
        </w:tabs>
        <w:numPr>
          <w:ilvl w:val="0"/>
          <w:numId w:val="42"/>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224" w:lineRule="exact"/>
        <w:rPr>
          <w:rFonts w:ascii="Arial" w:cs="Arial" w:eastAsia="Arial" w:hAnsi="Arial"/>
          <w:sz w:val="16"/>
          <w:szCs w:val="16"/>
          <w:color w:val="auto"/>
        </w:rPr>
      </w:pPr>
    </w:p>
    <w:p>
      <w:pPr>
        <w:ind w:left="424" w:hanging="424"/>
        <w:spacing w:after="0"/>
        <w:tabs>
          <w:tab w:leader="none" w:pos="424" w:val="left"/>
        </w:tabs>
        <w:numPr>
          <w:ilvl w:val="0"/>
          <w:numId w:val="42"/>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224" w:lineRule="exact"/>
        <w:rPr>
          <w:sz w:val="20"/>
          <w:szCs w:val="20"/>
          <w:color w:val="auto"/>
        </w:rPr>
      </w:pPr>
    </w:p>
    <w:p>
      <w:pPr>
        <w:ind w:left="4" w:right="20"/>
        <w:spacing w:after="0" w:line="278" w:lineRule="auto"/>
        <w:rPr>
          <w:sz w:val="20"/>
          <w:szCs w:val="20"/>
          <w:color w:val="auto"/>
        </w:rPr>
      </w:pPr>
      <w:r>
        <w:rPr>
          <w:rFonts w:ascii="Arial" w:cs="Arial" w:eastAsia="Arial" w:hAnsi="Arial"/>
          <w:sz w:val="15"/>
          <w:szCs w:val="15"/>
          <w:color w:val="auto"/>
        </w:rPr>
        <w:t>In addition, our failure to satisfy certain covenants and tests can result in an event of default. These covenants could impair our ability to grow our business, take advantage of attractive business opportunities or successfully compete. In addition, these covenants could restrict our ability to optimize our capital structure with asset-level debt or equity financings.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ectPr>
          <w:pgSz w:w="11900" w:h="16838" w:orient="portrait"/>
          <w:cols w:equalWidth="0" w:num="1">
            <w:col w:w="11424"/>
          </w:cols>
          <w:pgMar w:left="236" w:top="124" w:right="239" w:bottom="1440" w:gutter="0" w:footer="0" w:header="0"/>
        </w:sectPr>
      </w:pPr>
    </w:p>
    <w:p>
      <w:pPr>
        <w:spacing w:after="0" w:line="343" w:lineRule="exact"/>
        <w:rPr>
          <w:sz w:val="20"/>
          <w:szCs w:val="20"/>
          <w:color w:val="auto"/>
        </w:rPr>
      </w:pPr>
    </w:p>
    <w:p>
      <w:pPr>
        <w:jc w:val="center"/>
        <w:ind w:right="-23"/>
        <w:spacing w:after="0"/>
        <w:rPr>
          <w:sz w:val="20"/>
          <w:szCs w:val="20"/>
          <w:color w:val="auto"/>
        </w:rPr>
      </w:pPr>
      <w:r>
        <w:rPr>
          <w:rFonts w:ascii="Arial" w:cs="Arial" w:eastAsia="Arial" w:hAnsi="Arial"/>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26186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type w:val="continuous"/>
        </w:sectPr>
      </w:pPr>
    </w:p>
    <w:bookmarkStart w:id="40" w:name="page41"/>
    <w:bookmarkEnd w:id="4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maintain sufficient working capital could limit our growth and harm our business, financial condition and results of operations.</w:t>
      </w:r>
    </w:p>
    <w:p>
      <w:pPr>
        <w:spacing w:after="0" w:line="200" w:lineRule="exact"/>
        <w:rPr>
          <w:sz w:val="20"/>
          <w:szCs w:val="20"/>
          <w:color w:val="auto"/>
        </w:rPr>
      </w:pPr>
    </w:p>
    <w:p>
      <w:pPr>
        <w:ind w:firstLine="288"/>
        <w:spacing w:after="0" w:line="257" w:lineRule="auto"/>
        <w:rPr>
          <w:sz w:val="20"/>
          <w:szCs w:val="20"/>
          <w:color w:val="auto"/>
        </w:rPr>
      </w:pPr>
      <w:r>
        <w:rPr>
          <w:rFonts w:ascii="Arial" w:cs="Arial" w:eastAsia="Arial" w:hAnsi="Arial"/>
          <w:sz w:val="16"/>
          <w:szCs w:val="16"/>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Operation of our LNG infrastructure and other facilities that we may construct involves significant risks.</w:t>
      </w:r>
    </w:p>
    <w:p>
      <w:pPr>
        <w:spacing w:after="0" w:line="200" w:lineRule="exact"/>
        <w:rPr>
          <w:sz w:val="20"/>
          <w:szCs w:val="20"/>
          <w:color w:val="auto"/>
        </w:rPr>
      </w:pPr>
    </w:p>
    <w:p>
      <w:pPr>
        <w:ind w:right="100" w:firstLine="288"/>
        <w:spacing w:after="0" w:line="259" w:lineRule="auto"/>
        <w:rPr>
          <w:sz w:val="20"/>
          <w:szCs w:val="20"/>
          <w:color w:val="auto"/>
        </w:rPr>
      </w:pPr>
      <w:r>
        <w:rPr>
          <w:rFonts w:ascii="Arial" w:cs="Arial" w:eastAsia="Arial" w:hAnsi="Arial"/>
          <w:sz w:val="16"/>
          <w:szCs w:val="16"/>
          <w:color w:val="auto"/>
        </w:rPr>
        <w:t>As more fully discussed in our Annual Report and elsewhere in this Quarterly Report, our existing facilities and expected future facilities face operational risks, including, but not limited to, the following: performing below expected levels of efficiency, breakdowns or failures of equipment, operational errors by trucks, including trucking accidents while transporting natural gas, tankers or tug operators, operational errors by us or any contracted facility operator, labor disputes and weather-related or natural disaster interruptions of operations.</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Any of these risks could disrupt our operations and increase our costs, which would adversely affect our business, operating results, cash flows and liquidity.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operation of the CHP Plant will involve particular, significant risks.</w:t>
      </w:r>
    </w:p>
    <w:p>
      <w:pPr>
        <w:spacing w:after="0" w:line="200" w:lineRule="exact"/>
        <w:rPr>
          <w:sz w:val="20"/>
          <w:szCs w:val="20"/>
          <w:color w:val="auto"/>
        </w:rPr>
      </w:pPr>
    </w:p>
    <w:p>
      <w:pPr>
        <w:ind w:right="20" w:firstLine="288"/>
        <w:spacing w:after="0" w:line="271" w:lineRule="auto"/>
        <w:rPr>
          <w:sz w:val="20"/>
          <w:szCs w:val="20"/>
          <w:color w:val="auto"/>
        </w:rPr>
      </w:pPr>
      <w:r>
        <w:rPr>
          <w:rFonts w:ascii="Arial" w:cs="Arial" w:eastAsia="Arial" w:hAnsi="Arial"/>
          <w:sz w:val="15"/>
          <w:szCs w:val="15"/>
          <w:color w:val="auto"/>
        </w:rPr>
        <w:t>The operation of the CHP Plant will involve particular, significant risks, including, among others: failure to maintain the required power generation license(s) or other permits required to operate the CHP Plant; pollution or environmental contamination affecting operation of the CHP Plant; the inability, or failure, of any counterparty to any plant-related agreements to perform their contractual obligations to us including, but not limited to, the lessor’s obligations to us under the CHP Plant lease;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If the CHP Plant is unable to generate or deliver power to JPS, pursuant to the PPA, or steam (or gas to power Jamalco’s boilers in lieu of steam) to Jamalco, pursuant to the SSA, JPS or Jamalco, as applicable, may not be required to make payments under their respective agreements so long as the event continues. JPS and Jamalco, as counterparties to the PPA and SSA, respectively, and the counterparties to any other key plant-related agreements may have the right to terminate those agreements for certain failures to generate or deliver power or steam, as applicable. As a consequence, there may be reduced or no revenues from the CHP Plant, which could have a material adverse effect on our business, contracts, financial condition, operating results, cash flow, liquidity and prospects. In addition, termination of the SSA may give rise to termination rights under the CHP Plant lease. If JPS terminates the PPA, Jamalco terminates the SSA, or any counterparty to any other key plant-related agreement terminates such agreement, we may not be able to enter into a replacement agreement with respect to the CHP Plant on terms as favorable as the terminated agreement.</w:t>
      </w:r>
    </w:p>
    <w:p>
      <w:pPr>
        <w:spacing w:after="0" w:line="161"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b w:val="1"/>
          <w:bCs w:val="1"/>
          <w:i w:val="1"/>
          <w:iCs w:val="1"/>
          <w:color w:val="auto"/>
        </w:rPr>
        <w:t>Global climate change may in the future increase the frequency and severity of weather events and the losses resulting therefrom, which could have a material adverse effect on the economies in the markets in which we operate or plan to operate in the future and therefore on our business.</w:t>
      </w:r>
    </w:p>
    <w:p>
      <w:pPr>
        <w:spacing w:after="0" w:line="152" w:lineRule="exact"/>
        <w:rPr>
          <w:sz w:val="20"/>
          <w:szCs w:val="20"/>
          <w:color w:val="auto"/>
        </w:rPr>
      </w:pPr>
    </w:p>
    <w:p>
      <w:pPr>
        <w:ind w:right="20" w:firstLine="288"/>
        <w:spacing w:after="0" w:line="273" w:lineRule="auto"/>
        <w:rPr>
          <w:sz w:val="20"/>
          <w:szCs w:val="20"/>
          <w:color w:val="auto"/>
        </w:rPr>
      </w:pPr>
      <w:r>
        <w:rPr>
          <w:rFonts w:ascii="Arial" w:cs="Arial" w:eastAsia="Arial" w:hAnsi="Arial"/>
          <w:sz w:val="15"/>
          <w:szCs w:val="15"/>
          <w:color w:val="auto"/>
        </w:rPr>
        <w:t>Over the past several years, changing weather patterns and climatic conditions, such as global warming, have added to the unpredictability and frequency of natural disasters in certain parts of the world, including the markets in which we operate and intend to operate, and have created additional uncertainty as to future trends. There is a growing consensus today that climate change increases the frequency and severity of extreme weather events and, in recent years, the frequency of major weather events appears to have increased. We cannot predict whether or to what extent damage that may be caused by natural events, such as severe tropical storms and hurricanes, will affect our operations or the economies in our current or future market areas, but the increased frequency and severity of such weather events could increase the negative impacts to economic conditions in these regions and result in a decline in the value or the destruction of our liquefiers and downstream facilities or affect our ability to transmit LNG. In particular, if one of the regions in which our Terminals are operating or under development is impacted by such a natural catastrophe in the future, it could have a material adverse effect on our business. Further, the economies of such impacted areas may require significant time to recover and there is no assurance that a full recovery will occur. Even the threat of a severe weather event could impact our business, financial condition or the price of our Class A shares.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1" w:name="page42"/>
    <w:bookmarkEnd w:id="4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660"/>
        <w:spacing w:after="0" w:line="351" w:lineRule="auto"/>
        <w:rPr>
          <w:sz w:val="20"/>
          <w:szCs w:val="20"/>
          <w:color w:val="auto"/>
        </w:rPr>
      </w:pPr>
      <w:r>
        <w:rPr>
          <w:rFonts w:ascii="Arial" w:cs="Arial" w:eastAsia="Arial" w:hAnsi="Arial"/>
          <w:sz w:val="14"/>
          <w:szCs w:val="14"/>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106" w:lineRule="exact"/>
        <w:rPr>
          <w:sz w:val="20"/>
          <w:szCs w:val="20"/>
          <w:color w:val="auto"/>
        </w:rPr>
      </w:pPr>
    </w:p>
    <w:p>
      <w:pPr>
        <w:ind w:firstLine="288"/>
        <w:spacing w:after="0" w:line="274" w:lineRule="auto"/>
        <w:rPr>
          <w:sz w:val="20"/>
          <w:szCs w:val="20"/>
          <w:color w:val="auto"/>
        </w:rPr>
      </w:pPr>
      <w:r>
        <w:rPr>
          <w:rFonts w:ascii="Arial" w:cs="Arial" w:eastAsia="Arial" w:hAnsi="Arial"/>
          <w:sz w:val="15"/>
          <w:szCs w:val="15"/>
          <w:color w:val="auto"/>
        </w:rPr>
        <w:t>Storms and related storm activity and collateral effects, or other disasters such as explosions, fires, seismic events, floods or accidents, could result in damage to, or interruption of operations in our supply chain, including at our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We are unable to predict with certainty the impact of future storms on our customers, our infrastructure or our operations.</w:t>
      </w:r>
    </w:p>
    <w:p>
      <w:pPr>
        <w:spacing w:after="0" w:line="159" w:lineRule="exact"/>
        <w:rPr>
          <w:sz w:val="20"/>
          <w:szCs w:val="20"/>
          <w:color w:val="auto"/>
        </w:rPr>
      </w:pPr>
    </w:p>
    <w:p>
      <w:pPr>
        <w:ind w:right="60" w:firstLine="288"/>
        <w:spacing w:after="0" w:line="256" w:lineRule="auto"/>
        <w:rPr>
          <w:sz w:val="20"/>
          <w:szCs w:val="20"/>
          <w:color w:val="auto"/>
        </w:rPr>
      </w:pPr>
      <w:r>
        <w:rPr>
          <w:rFonts w:ascii="Arial" w:cs="Arial" w:eastAsia="Arial" w:hAnsi="Arial"/>
          <w:sz w:val="16"/>
          <w:szCs w:val="16"/>
          <w:color w:val="auto"/>
        </w:rPr>
        <w:t>If one or more tankers, terminals, pipelines, facilities, equipment or electronic systems that we own, lease or operate or that deliver products to us or that supply our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could have a material adverse effect on our business, contracts, financial condition, operating results, cash flow, liquidity and prospects.</w:t>
      </w:r>
    </w:p>
    <w:p>
      <w:pPr>
        <w:spacing w:after="0" w:line="168" w:lineRule="exact"/>
        <w:rPr>
          <w:sz w:val="20"/>
          <w:szCs w:val="20"/>
          <w:color w:val="auto"/>
        </w:rPr>
      </w:pPr>
    </w:p>
    <w:p>
      <w:pPr>
        <w:ind w:right="260" w:firstLine="288"/>
        <w:spacing w:after="0" w:line="264" w:lineRule="auto"/>
        <w:rPr>
          <w:sz w:val="20"/>
          <w:szCs w:val="20"/>
          <w:color w:val="auto"/>
        </w:rPr>
      </w:pPr>
      <w:r>
        <w:rPr>
          <w:rFonts w:ascii="Arial" w:cs="Arial" w:eastAsia="Arial" w:hAnsi="Arial"/>
          <w:sz w:val="16"/>
          <w:szCs w:val="16"/>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may be insufficient to cover losses that may occur to our property or result from our operations.</w:t>
      </w:r>
    </w:p>
    <w:p>
      <w:pPr>
        <w:spacing w:after="0" w:line="200" w:lineRule="exact"/>
        <w:rPr>
          <w:sz w:val="20"/>
          <w:szCs w:val="20"/>
          <w:color w:val="auto"/>
        </w:rPr>
      </w:pPr>
    </w:p>
    <w:p>
      <w:pPr>
        <w:ind w:right="40" w:firstLine="288"/>
        <w:spacing w:after="0" w:line="254" w:lineRule="auto"/>
        <w:rPr>
          <w:sz w:val="20"/>
          <w:szCs w:val="20"/>
          <w:color w:val="auto"/>
        </w:rPr>
      </w:pPr>
      <w:r>
        <w:rPr>
          <w:rFonts w:ascii="Arial" w:cs="Arial" w:eastAsia="Arial" w:hAnsi="Arial"/>
          <w:sz w:val="16"/>
          <w:szCs w:val="16"/>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our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172" w:lineRule="exact"/>
        <w:rPr>
          <w:sz w:val="20"/>
          <w:szCs w:val="20"/>
          <w:color w:val="auto"/>
        </w:rPr>
      </w:pPr>
    </w:p>
    <w:p>
      <w:pPr>
        <w:ind w:right="140" w:firstLine="288"/>
        <w:spacing w:after="0" w:line="308" w:lineRule="auto"/>
        <w:rPr>
          <w:sz w:val="20"/>
          <w:szCs w:val="20"/>
          <w:color w:val="auto"/>
        </w:rPr>
      </w:pPr>
      <w:r>
        <w:rPr>
          <w:rFonts w:ascii="Arial" w:cs="Arial" w:eastAsia="Arial" w:hAnsi="Arial"/>
          <w:sz w:val="14"/>
          <w:szCs w:val="14"/>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135" w:lineRule="exact"/>
        <w:rPr>
          <w:sz w:val="20"/>
          <w:szCs w:val="20"/>
          <w:color w:val="auto"/>
        </w:rPr>
      </w:pPr>
    </w:p>
    <w:p>
      <w:pPr>
        <w:ind w:right="120" w:firstLine="288"/>
        <w:spacing w:after="0" w:line="277" w:lineRule="auto"/>
        <w:rPr>
          <w:sz w:val="20"/>
          <w:szCs w:val="20"/>
          <w:color w:val="auto"/>
        </w:rPr>
      </w:pPr>
      <w:r>
        <w:rPr>
          <w:rFonts w:ascii="Arial" w:cs="Arial" w:eastAsia="Arial" w:hAnsi="Arial"/>
          <w:sz w:val="16"/>
          <w:szCs w:val="16"/>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From time to time, we may be involved in legal proceedings and may experience unfavorable outcomes.</w:t>
      </w:r>
    </w:p>
    <w:p>
      <w:pPr>
        <w:spacing w:after="0" w:line="200" w:lineRule="exact"/>
        <w:rPr>
          <w:sz w:val="20"/>
          <w:szCs w:val="20"/>
          <w:color w:val="auto"/>
        </w:rPr>
      </w:pPr>
    </w:p>
    <w:p>
      <w:pPr>
        <w:ind w:right="160" w:firstLine="288"/>
        <w:spacing w:after="0" w:line="282" w:lineRule="auto"/>
        <w:rPr>
          <w:sz w:val="20"/>
          <w:szCs w:val="20"/>
          <w:color w:val="auto"/>
        </w:rPr>
      </w:pPr>
      <w:r>
        <w:rPr>
          <w:rFonts w:ascii="Arial" w:cs="Arial" w:eastAsia="Arial" w:hAnsi="Arial"/>
          <w:sz w:val="15"/>
          <w:szCs w:val="15"/>
          <w:color w:val="auto"/>
        </w:rPr>
        <w:t>In the future we may be subject to material legal proceedings in the course of our business, including, but not limited to, actions relating to contract disputes, business practices, intellectual property and other commercial and tax matters. Such legal proceedings may involve claims for substantial amounts of money or for other relief or might necessitate changes to our business or operations, and the defense of such actions may be both time consuming and expensive. Further, if any such proceedings were to result in an unfavorable outcome, it could have a material adverse effect on our business, financial position and results of operations.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2" w:name="page43"/>
    <w:bookmarkEnd w:id="4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key members of our management, the loss of any of whom could disrupt our business operations.</w:t>
      </w:r>
    </w:p>
    <w:p>
      <w:pPr>
        <w:spacing w:after="0" w:line="200" w:lineRule="exact"/>
        <w:rPr>
          <w:sz w:val="20"/>
          <w:szCs w:val="20"/>
          <w:color w:val="auto"/>
        </w:rPr>
      </w:pPr>
    </w:p>
    <w:p>
      <w:pPr>
        <w:ind w:right="180" w:firstLine="288"/>
        <w:spacing w:after="0" w:line="259" w:lineRule="auto"/>
        <w:rPr>
          <w:sz w:val="20"/>
          <w:szCs w:val="20"/>
          <w:color w:val="auto"/>
        </w:rPr>
      </w:pPr>
      <w:r>
        <w:rPr>
          <w:rFonts w:ascii="Arial" w:cs="Arial" w:eastAsia="Arial" w:hAnsi="Arial"/>
          <w:sz w:val="16"/>
          <w:szCs w:val="16"/>
          <w:color w:val="auto"/>
        </w:rPr>
        <w:t>We depend to a large extent on the services of our chief executive officer, Wesley R. Edens, and some of our other executive officers. Mr. Edens does not have an employment agreement with us. The loss of the services of Mr. Edens or one or more of our other key executives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67" w:lineRule="exact"/>
        <w:rPr>
          <w:sz w:val="20"/>
          <w:szCs w:val="20"/>
          <w:color w:val="auto"/>
        </w:rPr>
      </w:pPr>
    </w:p>
    <w:p>
      <w:pPr>
        <w:ind w:right="520"/>
        <w:spacing w:after="0" w:line="277" w:lineRule="auto"/>
        <w:rPr>
          <w:sz w:val="20"/>
          <w:szCs w:val="20"/>
          <w:color w:val="auto"/>
        </w:rPr>
      </w:pPr>
      <w:r>
        <w:rPr>
          <w:rFonts w:ascii="Arial" w:cs="Arial" w:eastAsia="Arial" w:hAnsi="Arial"/>
          <w:sz w:val="16"/>
          <w:szCs w:val="16"/>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152" w:lineRule="exact"/>
        <w:rPr>
          <w:sz w:val="20"/>
          <w:szCs w:val="20"/>
          <w:color w:val="auto"/>
        </w:rPr>
      </w:pPr>
    </w:p>
    <w:p>
      <w:pPr>
        <w:jc w:val="both"/>
        <w:ind w:right="420" w:firstLine="288"/>
        <w:spacing w:after="0" w:line="264" w:lineRule="auto"/>
        <w:rPr>
          <w:sz w:val="20"/>
          <w:szCs w:val="20"/>
          <w:color w:val="auto"/>
        </w:rPr>
      </w:pPr>
      <w:r>
        <w:rPr>
          <w:rFonts w:ascii="Arial" w:cs="Arial" w:eastAsia="Arial" w:hAnsi="Arial"/>
          <w:sz w:val="16"/>
          <w:szCs w:val="16"/>
          <w:color w:val="auto"/>
        </w:rPr>
        <w:t>The construction of energy-related infrastructure, including our Terminals and Liquefaction Facilities,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162" w:lineRule="exact"/>
        <w:rPr>
          <w:sz w:val="20"/>
          <w:szCs w:val="20"/>
          <w:color w:val="auto"/>
        </w:rPr>
      </w:pPr>
    </w:p>
    <w:p>
      <w:pPr>
        <w:ind w:left="580" w:right="520" w:hanging="296"/>
        <w:spacing w:after="0" w:line="277"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may be unable to complete construction projects on schedule or at the budgeted cost due to the unavailability of required construction personnel or materials, accidents or weather conditions;</w:t>
      </w:r>
    </w:p>
    <w:p>
      <w:pPr>
        <w:spacing w:after="0" w:line="175" w:lineRule="exact"/>
        <w:rPr>
          <w:rFonts w:ascii="Arial" w:cs="Arial" w:eastAsia="Arial" w:hAnsi="Arial"/>
          <w:sz w:val="16"/>
          <w:szCs w:val="16"/>
          <w:color w:val="auto"/>
        </w:rPr>
      </w:pPr>
    </w:p>
    <w:p>
      <w:pPr>
        <w:ind w:left="580" w:right="200" w:hanging="296"/>
        <w:spacing w:after="0" w:line="312" w:lineRule="auto"/>
        <w:tabs>
          <w:tab w:leader="none" w:pos="5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we may change orders under existing or future engineering, procurement and construction (“EPC”) contracts resulting from the occurrence of certain specified events that may give our customers the right to cause us to enter into change orders or resulting from changes with which we otherwise agree;</w:t>
      </w:r>
    </w:p>
    <w:p>
      <w:pPr>
        <w:spacing w:after="0" w:line="152" w:lineRule="exact"/>
        <w:rPr>
          <w:rFonts w:ascii="Arial" w:cs="Arial" w:eastAsia="Arial" w:hAnsi="Arial"/>
          <w:sz w:val="15"/>
          <w:szCs w:val="15"/>
          <w:color w:val="auto"/>
        </w:rPr>
      </w:pPr>
    </w:p>
    <w:p>
      <w:pPr>
        <w:ind w:left="580" w:right="520" w:hanging="296"/>
        <w:spacing w:after="0" w:line="277"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will not receive any material increase in operating cash flows until a project is completed, even though we may have expended considerable funds during the construction phase, which may be prolonged;</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may construct facilities to capture anticipated future energy consumption growth in a region in which such growth does not materialize;</w:t>
      </w:r>
    </w:p>
    <w:p>
      <w:pPr>
        <w:spacing w:after="0" w:line="224" w:lineRule="exact"/>
        <w:rPr>
          <w:rFonts w:ascii="Arial" w:cs="Arial" w:eastAsia="Arial" w:hAnsi="Arial"/>
          <w:sz w:val="16"/>
          <w:szCs w:val="16"/>
          <w:color w:val="auto"/>
        </w:rPr>
      </w:pPr>
    </w:p>
    <w:p>
      <w:pPr>
        <w:ind w:left="580" w:right="200" w:hanging="296"/>
        <w:spacing w:after="0" w:line="277"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completion or success of our construction projects may depend on the completion of a third-party construction project (e.g., additional public utility infrastructure projects) that we do not control and that may be subject to numerous additional potential risks, delays and complexities;</w:t>
      </w:r>
    </w:p>
    <w:p>
      <w:pPr>
        <w:spacing w:after="0" w:line="175" w:lineRule="exact"/>
        <w:rPr>
          <w:rFonts w:ascii="Arial" w:cs="Arial" w:eastAsia="Arial" w:hAnsi="Arial"/>
          <w:sz w:val="16"/>
          <w:szCs w:val="16"/>
          <w:color w:val="auto"/>
        </w:rPr>
      </w:pPr>
    </w:p>
    <w:p>
      <w:pPr>
        <w:ind w:left="580" w:right="140" w:hanging="296"/>
        <w:spacing w:after="0" w:line="277"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purchase of the project company holding the rights to develop and operate the Ireland Terminal is subject to a number of contingencies, many of which are beyond our control and could cause us to not complete the acquisition of the project company or delay construction of our Ireland Terminal;</w:t>
      </w:r>
    </w:p>
    <w:p>
      <w:pPr>
        <w:spacing w:after="0" w:line="175" w:lineRule="exact"/>
        <w:rPr>
          <w:rFonts w:ascii="Arial" w:cs="Arial" w:eastAsia="Arial" w:hAnsi="Arial"/>
          <w:sz w:val="16"/>
          <w:szCs w:val="16"/>
          <w:color w:val="auto"/>
        </w:rPr>
      </w:pPr>
    </w:p>
    <w:p>
      <w:pPr>
        <w:ind w:left="580" w:hanging="296"/>
        <w:spacing w:after="0" w:line="264"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w:t>
      </w:r>
    </w:p>
    <w:p>
      <w:pPr>
        <w:spacing w:after="0" w:line="185" w:lineRule="exact"/>
        <w:rPr>
          <w:rFonts w:ascii="Arial" w:cs="Arial" w:eastAsia="Arial" w:hAnsi="Arial"/>
          <w:sz w:val="16"/>
          <w:szCs w:val="16"/>
          <w:color w:val="auto"/>
        </w:rPr>
      </w:pPr>
    </w:p>
    <w:p>
      <w:pPr>
        <w:ind w:left="580" w:right="200" w:hanging="296"/>
        <w:spacing w:after="0" w:line="277"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may be (and have been in select circumstances) subject to local opposition, including the efforts by environmental groups, which may attract negative publicity or have an adverse impact on our reputation; and</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may be unable to obtain rights-of-way to construct additional energy-related infrastructure or the cost to do so may be uneconomical.</w:t>
      </w:r>
    </w:p>
    <w:p>
      <w:pPr>
        <w:spacing w:after="0" w:line="224" w:lineRule="exact"/>
        <w:rPr>
          <w:sz w:val="20"/>
          <w:szCs w:val="20"/>
          <w:color w:val="auto"/>
        </w:rPr>
      </w:pPr>
    </w:p>
    <w:p>
      <w:pPr>
        <w:ind w:right="40" w:firstLine="288"/>
        <w:spacing w:after="0" w:line="277" w:lineRule="auto"/>
        <w:rPr>
          <w:sz w:val="20"/>
          <w:szCs w:val="20"/>
          <w:color w:val="auto"/>
        </w:rPr>
      </w:pPr>
      <w:r>
        <w:rPr>
          <w:rFonts w:ascii="Arial" w:cs="Arial" w:eastAsia="Arial" w:hAnsi="Arial"/>
          <w:sz w:val="16"/>
          <w:szCs w:val="16"/>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43" w:name="page44"/>
    <w:bookmarkEnd w:id="4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be dependent on our primary building contractor and other contractors for the successful completion of our energy-related infrastructure.</w:t>
      </w:r>
    </w:p>
    <w:p>
      <w:pPr>
        <w:spacing w:after="0" w:line="212" w:lineRule="exact"/>
        <w:rPr>
          <w:sz w:val="20"/>
          <w:szCs w:val="20"/>
          <w:color w:val="auto"/>
        </w:rPr>
      </w:pPr>
    </w:p>
    <w:p>
      <w:pPr>
        <w:ind w:right="100" w:firstLine="288"/>
        <w:spacing w:after="0" w:line="259" w:lineRule="auto"/>
        <w:rPr>
          <w:sz w:val="20"/>
          <w:szCs w:val="20"/>
          <w:color w:val="auto"/>
        </w:rPr>
      </w:pPr>
      <w:r>
        <w:rPr>
          <w:rFonts w:ascii="Arial" w:cs="Arial" w:eastAsia="Arial" w:hAnsi="Arial"/>
          <w:sz w:val="16"/>
          <w:szCs w:val="16"/>
          <w:color w:val="auto"/>
        </w:rPr>
        <w:t>Timely and cost-effective completion of our energy-related infrastructure, including our Terminals and Liquefaction Facilities,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167" w:lineRule="exact"/>
        <w:rPr>
          <w:sz w:val="20"/>
          <w:szCs w:val="20"/>
          <w:color w:val="auto"/>
        </w:rPr>
      </w:pPr>
    </w:p>
    <w:p>
      <w:pPr>
        <w:ind w:left="580" w:hanging="296"/>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design and engineer each of our facilities to operate in accordance with specifications;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engage and retain third-party subcontractors and procure equipment and supplies;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respond to difficulties such as equipment failure, delivery delays, schedule changes and failures to perform by subcontractors, some of which are beyond their control;</w:t>
      </w:r>
    </w:p>
    <w:p>
      <w:pPr>
        <w:spacing w:after="0" w:line="247" w:lineRule="exact"/>
        <w:rPr>
          <w:rFonts w:ascii="Arial" w:cs="Arial" w:eastAsia="Arial" w:hAnsi="Arial"/>
          <w:sz w:val="14"/>
          <w:szCs w:val="14"/>
          <w:color w:val="auto"/>
        </w:rPr>
      </w:pPr>
    </w:p>
    <w:p>
      <w:pPr>
        <w:ind w:left="580" w:hanging="296"/>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attract, develop and retain skilled personnel, including engineers;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post required construction bonds and comply with the terms thereof;</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manage the construction process generally, including coordinating with other contractors and regulatory agencies; and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maintain their own financial condition, including adequate working capital.</w:t>
      </w:r>
    </w:p>
    <w:p>
      <w:pPr>
        <w:spacing w:after="0" w:line="224" w:lineRule="exact"/>
        <w:rPr>
          <w:sz w:val="20"/>
          <w:szCs w:val="20"/>
          <w:color w:val="auto"/>
        </w:rPr>
      </w:pPr>
    </w:p>
    <w:p>
      <w:pPr>
        <w:ind w:right="40" w:firstLine="288"/>
        <w:spacing w:after="0" w:line="293" w:lineRule="auto"/>
        <w:rPr>
          <w:sz w:val="20"/>
          <w:szCs w:val="20"/>
          <w:color w:val="auto"/>
        </w:rPr>
      </w:pPr>
      <w:r>
        <w:rPr>
          <w:rFonts w:ascii="Arial" w:cs="Arial" w:eastAsia="Arial" w:hAnsi="Arial"/>
          <w:sz w:val="14"/>
          <w:szCs w:val="14"/>
          <w:color w:val="auto"/>
        </w:rPr>
        <w:t>Until we have entered into an EPC contract for a particular project, in which the EPC contractor agrees to meet our planned schedule and projected total costs for a project, we are subject to potential fluctuations in construction costs and other related project costs.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with us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This would likely result in significant project delays and increased costs, which could have a material adverse effect on our business, contracts, financial condition, operating results, cash flow, liquidity and prospects.</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b w:val="1"/>
          <w:bCs w:val="1"/>
          <w:i w:val="1"/>
          <w:iCs w:val="1"/>
          <w:color w:val="auto"/>
        </w:rPr>
        <w:t>We are relying on third-party engineers to estimate the future rated capacity and performance capabilities of our existing and future facilities, and these estimates may prove to be inaccurate.</w:t>
      </w:r>
    </w:p>
    <w:p>
      <w:pPr>
        <w:spacing w:after="0" w:line="152" w:lineRule="exact"/>
        <w:rPr>
          <w:sz w:val="20"/>
          <w:szCs w:val="20"/>
          <w:color w:val="auto"/>
        </w:rPr>
      </w:pPr>
    </w:p>
    <w:p>
      <w:pPr>
        <w:ind w:firstLine="288"/>
        <w:spacing w:after="0" w:line="257" w:lineRule="auto"/>
        <w:rPr>
          <w:sz w:val="20"/>
          <w:szCs w:val="20"/>
          <w:color w:val="auto"/>
        </w:rPr>
      </w:pPr>
      <w:r>
        <w:rPr>
          <w:rFonts w:ascii="Arial" w:cs="Arial" w:eastAsia="Arial" w:hAnsi="Arial"/>
          <w:sz w:val="16"/>
          <w:szCs w:val="16"/>
          <w:color w:val="auto"/>
        </w:rPr>
        <w:t>We are relying on third parties for the design and engineering services underlying our estimates of the future rated capacity and performance capabilities of our Terminals and Liquefaction Facilities, as well as other future projects. If any of these facilities, when actually constructed, fails to have the rated capacity and performance capabilities that we intend, our estimates may not be accurate. Failure of any of our existing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168"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152" w:lineRule="exact"/>
        <w:rPr>
          <w:sz w:val="20"/>
          <w:szCs w:val="20"/>
          <w:color w:val="auto"/>
        </w:rPr>
      </w:pPr>
    </w:p>
    <w:p>
      <w:pPr>
        <w:ind w:right="20" w:firstLine="288"/>
        <w:spacing w:after="0" w:line="257" w:lineRule="auto"/>
        <w:rPr>
          <w:sz w:val="20"/>
          <w:szCs w:val="20"/>
          <w:color w:val="auto"/>
        </w:rPr>
      </w:pPr>
      <w:r>
        <w:rPr>
          <w:rFonts w:ascii="Arial" w:cs="Arial" w:eastAsia="Arial" w:hAnsi="Arial"/>
          <w:sz w:val="16"/>
          <w:szCs w:val="16"/>
          <w:color w:val="auto"/>
        </w:rPr>
        <w:t>Under the GSAs with JPS, JPC and PREPA, we are required to deliver to JPS, JPC and PREPA specified amounts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JPC or PREPA or Jamalco with the right to terminate its GSA, PPA or SSA, as applicable. In addition, price fluctuations in natural gas and LNG may make it expensive or uneconomical for us to acquire adequate supply of these items.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4" w:name="page45"/>
    <w:bookmarkEnd w:id="4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100" w:firstLine="288"/>
        <w:spacing w:after="0" w:line="273" w:lineRule="auto"/>
        <w:rPr>
          <w:sz w:val="20"/>
          <w:szCs w:val="20"/>
          <w:color w:val="auto"/>
        </w:rPr>
      </w:pPr>
      <w:r>
        <w:rPr>
          <w:rFonts w:ascii="Arial" w:cs="Arial" w:eastAsia="Arial" w:hAnsi="Arial"/>
          <w:sz w:val="15"/>
          <w:szCs w:val="15"/>
          <w:color w:val="auto"/>
        </w:rPr>
        <w:t>We are dependent upon third-party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If any third parties, such as the affiliate of Chesapeake that is party to our Chesapeake GSA, were to default on their obligations under our contracts or seek bankruptcy protection, we may not be able to purchase or receive a sufficient quantity of natural gas in order to satisfy our delivery obligations under our GSAs, PPA and SSA with LNG produced at our own Liquefaction Facilities.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156" w:lineRule="exact"/>
        <w:rPr>
          <w:sz w:val="20"/>
          <w:szCs w:val="20"/>
          <w:color w:val="auto"/>
        </w:rPr>
      </w:pPr>
    </w:p>
    <w:p>
      <w:pPr>
        <w:jc w:val="both"/>
        <w:ind w:firstLine="288"/>
        <w:spacing w:after="0" w:line="264" w:lineRule="auto"/>
        <w:rPr>
          <w:sz w:val="20"/>
          <w:szCs w:val="20"/>
          <w:color w:val="auto"/>
        </w:rPr>
      </w:pPr>
      <w:r>
        <w:rPr>
          <w:rFonts w:ascii="Arial" w:cs="Arial" w:eastAsia="Arial" w:hAnsi="Arial"/>
          <w:sz w:val="16"/>
          <w:szCs w:val="16"/>
          <w:color w:val="auto"/>
        </w:rPr>
        <w:t>While we have entered into contracts with Centrica LNG Company Limited to purchase a substantial portion of our expected LNG volumes for 2019 and 2020, we will need to purchase significant additional LNG volumes to meet our delivery obligations to our downstream customers. Failure to secure contracts for the purchase of a sufficient amount of natural gas could materially and adversely affect our business, operating results, cash flows and liquidity.</w:t>
      </w:r>
    </w:p>
    <w:p>
      <w:pPr>
        <w:spacing w:after="0" w:line="162" w:lineRule="exact"/>
        <w:rPr>
          <w:sz w:val="20"/>
          <w:szCs w:val="20"/>
          <w:color w:val="auto"/>
        </w:rPr>
      </w:pPr>
    </w:p>
    <w:p>
      <w:pPr>
        <w:ind w:right="120" w:firstLine="288"/>
        <w:spacing w:after="0" w:line="257" w:lineRule="auto"/>
        <w:rPr>
          <w:sz w:val="20"/>
          <w:szCs w:val="20"/>
          <w:color w:val="auto"/>
        </w:rPr>
      </w:pPr>
      <w:r>
        <w:rPr>
          <w:rFonts w:ascii="Arial" w:cs="Arial" w:eastAsia="Arial" w:hAnsi="Arial"/>
          <w:sz w:val="16"/>
          <w:szCs w:val="16"/>
          <w:color w:val="auto"/>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Facility or be able to supply our facilities with LNG produced at our own facilities. Even if we do complete the Pennsylvania Facility, there can be no assurance that it will operate as we expect or that we will succeed in our goal of reducing the risk to our operations of future LNG price variations.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competition based upon the international market price for LNG or natural gas.</w:t>
      </w:r>
    </w:p>
    <w:p>
      <w:pPr>
        <w:spacing w:after="0" w:line="200" w:lineRule="exact"/>
        <w:rPr>
          <w:sz w:val="20"/>
          <w:szCs w:val="20"/>
          <w:color w:val="auto"/>
        </w:rPr>
      </w:pPr>
    </w:p>
    <w:p>
      <w:pPr>
        <w:ind w:right="160" w:firstLine="288"/>
        <w:spacing w:after="0" w:line="257" w:lineRule="auto"/>
        <w:rPr>
          <w:sz w:val="20"/>
          <w:szCs w:val="20"/>
          <w:color w:val="auto"/>
        </w:rPr>
      </w:pPr>
      <w:r>
        <w:rPr>
          <w:rFonts w:ascii="Arial" w:cs="Arial" w:eastAsia="Arial" w:hAnsi="Arial"/>
          <w:sz w:val="16"/>
          <w:szCs w:val="16"/>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168" w:lineRule="exact"/>
        <w:rPr>
          <w:sz w:val="20"/>
          <w:szCs w:val="20"/>
          <w:color w:val="auto"/>
        </w:rPr>
      </w:pPr>
    </w:p>
    <w:p>
      <w:pPr>
        <w:ind w:left="580" w:hanging="296"/>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increases in worldwide LNG production capacity and availability of LNG for market supply;</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increases in demand for natural gas but at levels below those required to maintain current price equilibrium with respect to supply;</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increases in the cost to supply natural gas feedstock to our liquefaction projects;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increases in the cost to supply LNG feedstock to our facilities;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decreases in the cost of competing sources of natural gas, LNG or alternate fuels such as coal, HFO and diesel;</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decreases in the price of LNG; and</w:t>
      </w:r>
    </w:p>
    <w:p>
      <w:pPr>
        <w:spacing w:after="0" w:line="224" w:lineRule="exact"/>
        <w:rPr>
          <w:rFonts w:ascii="Arial" w:cs="Arial" w:eastAsia="Arial" w:hAnsi="Arial"/>
          <w:sz w:val="16"/>
          <w:szCs w:val="16"/>
          <w:color w:val="auto"/>
        </w:rPr>
      </w:pPr>
    </w:p>
    <w:p>
      <w:pPr>
        <w:ind w:left="580" w:right="300" w:hanging="296"/>
        <w:spacing w:after="0" w:line="277"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176" w:lineRule="exact"/>
        <w:rPr>
          <w:sz w:val="20"/>
          <w:szCs w:val="20"/>
          <w:color w:val="auto"/>
        </w:rPr>
      </w:pPr>
    </w:p>
    <w:p>
      <w:pPr>
        <w:ind w:right="120" w:firstLine="288"/>
        <w:spacing w:after="0" w:line="264" w:lineRule="auto"/>
        <w:rPr>
          <w:sz w:val="20"/>
          <w:szCs w:val="20"/>
          <w:color w:val="auto"/>
        </w:rPr>
      </w:pPr>
      <w:r>
        <w:rPr>
          <w:rFonts w:ascii="Arial" w:cs="Arial" w:eastAsia="Arial" w:hAnsi="Arial"/>
          <w:sz w:val="16"/>
          <w:szCs w:val="16"/>
          <w:color w:val="auto"/>
        </w:rPr>
        <w:t>In addition, we may not be able to successfully execute on our strategy to supply our existing and future customers with LNG produced primarily at our own facilities upon completion of the Pennsylvania Facility. See “—We have not yet completed contracting, construction and commissioning of all of our Terminals and Liquefaction Facilities. There can be no assurance that our Terminals and Liquefaction Facilities will operate as expected, or at all.”</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45" w:name="page46"/>
    <w:bookmarkEnd w:id="4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Technological innovation may render our processes obsolete.</w:t>
      </w:r>
    </w:p>
    <w:p>
      <w:pPr>
        <w:spacing w:after="0" w:line="200" w:lineRule="exact"/>
        <w:rPr>
          <w:sz w:val="20"/>
          <w:szCs w:val="20"/>
          <w:color w:val="auto"/>
        </w:rPr>
      </w:pPr>
    </w:p>
    <w:p>
      <w:pPr>
        <w:ind w:right="40" w:firstLine="288"/>
        <w:spacing w:after="0" w:line="302" w:lineRule="auto"/>
        <w:rPr>
          <w:sz w:val="20"/>
          <w:szCs w:val="20"/>
          <w:color w:val="auto"/>
        </w:rPr>
      </w:pPr>
      <w:r>
        <w:rPr>
          <w:rFonts w:ascii="Arial" w:cs="Arial" w:eastAsia="Arial" w:hAnsi="Arial"/>
          <w:sz w:val="14"/>
          <w:szCs w:val="14"/>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legislation and regulations could have a material adverse impact on our business, results of operations, financial condition, liquidity and prospects.</w:t>
      </w:r>
    </w:p>
    <w:p>
      <w:pPr>
        <w:spacing w:after="0" w:line="212" w:lineRule="exact"/>
        <w:rPr>
          <w:sz w:val="20"/>
          <w:szCs w:val="20"/>
          <w:color w:val="auto"/>
        </w:rPr>
      </w:pPr>
    </w:p>
    <w:p>
      <w:pPr>
        <w:ind w:firstLine="288"/>
        <w:spacing w:after="0" w:line="295" w:lineRule="auto"/>
        <w:rPr>
          <w:sz w:val="20"/>
          <w:szCs w:val="20"/>
          <w:color w:val="auto"/>
        </w:rPr>
      </w:pPr>
      <w:r>
        <w:rPr>
          <w:rFonts w:ascii="Arial" w:cs="Arial" w:eastAsia="Arial" w:hAnsi="Arial"/>
          <w:sz w:val="14"/>
          <w:szCs w:val="14"/>
          <w:color w:val="auto"/>
        </w:rPr>
        <w:t>Our business is subject to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Increasing trucking regulations may increase our costs and negatively impact our results of operations.</w:t>
      </w:r>
    </w:p>
    <w:p>
      <w:pPr>
        <w:spacing w:after="0" w:line="200" w:lineRule="exact"/>
        <w:rPr>
          <w:sz w:val="20"/>
          <w:szCs w:val="20"/>
          <w:color w:val="auto"/>
        </w:rPr>
      </w:pPr>
    </w:p>
    <w:p>
      <w:pPr>
        <w:ind w:right="100" w:firstLine="288"/>
        <w:spacing w:after="0" w:line="299" w:lineRule="auto"/>
        <w:rPr>
          <w:sz w:val="20"/>
          <w:szCs w:val="20"/>
          <w:color w:val="auto"/>
        </w:rPr>
      </w:pPr>
      <w:r>
        <w:rPr>
          <w:rFonts w:ascii="Arial" w:cs="Arial" w:eastAsia="Arial" w:hAnsi="Arial"/>
          <w:sz w:val="14"/>
          <w:szCs w:val="14"/>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142" w:lineRule="exact"/>
        <w:rPr>
          <w:sz w:val="20"/>
          <w:szCs w:val="20"/>
          <w:color w:val="auto"/>
        </w:rPr>
      </w:pPr>
    </w:p>
    <w:p>
      <w:pPr>
        <w:ind w:right="60" w:firstLine="288"/>
        <w:spacing w:after="0" w:line="255" w:lineRule="auto"/>
        <w:rPr>
          <w:sz w:val="20"/>
          <w:szCs w:val="20"/>
          <w:color w:val="auto"/>
        </w:rPr>
      </w:pPr>
      <w:r>
        <w:rPr>
          <w:rFonts w:ascii="Arial" w:cs="Arial" w:eastAsia="Arial" w:hAnsi="Arial"/>
          <w:sz w:val="16"/>
          <w:szCs w:val="16"/>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169" w:lineRule="exact"/>
        <w:rPr>
          <w:sz w:val="20"/>
          <w:szCs w:val="20"/>
          <w:color w:val="auto"/>
        </w:rPr>
      </w:pPr>
    </w:p>
    <w:p>
      <w:pPr>
        <w:jc w:val="both"/>
        <w:ind w:right="300" w:firstLine="288"/>
        <w:spacing w:after="0" w:line="264" w:lineRule="auto"/>
        <w:rPr>
          <w:sz w:val="20"/>
          <w:szCs w:val="20"/>
          <w:color w:val="auto"/>
        </w:rPr>
      </w:pPr>
      <w:r>
        <w:rPr>
          <w:rFonts w:ascii="Arial" w:cs="Arial" w:eastAsia="Arial" w:hAnsi="Arial"/>
          <w:sz w:val="16"/>
          <w:szCs w:val="16"/>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46" w:name="page47"/>
    <w:bookmarkEnd w:id="4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152" w:lineRule="exact"/>
        <w:rPr>
          <w:sz w:val="20"/>
          <w:szCs w:val="20"/>
          <w:color w:val="auto"/>
        </w:rPr>
      </w:pPr>
    </w:p>
    <w:p>
      <w:pPr>
        <w:ind w:right="40" w:firstLine="288"/>
        <w:spacing w:after="0" w:line="256" w:lineRule="auto"/>
        <w:rPr>
          <w:sz w:val="20"/>
          <w:szCs w:val="20"/>
          <w:color w:val="auto"/>
        </w:rPr>
      </w:pPr>
      <w:r>
        <w:rPr>
          <w:rFonts w:ascii="Arial" w:cs="Arial" w:eastAsia="Arial" w:hAnsi="Arial"/>
          <w:sz w:val="16"/>
          <w:szCs w:val="16"/>
          <w:color w:val="auto"/>
        </w:rPr>
        <w:t>We have obtained long-term leases and corresponding rights-of-way agreements with respect to the land on which the Jamaica Terminals, the pipeline connecting the Montego Bay Terminal to the Bogue Power Plant, the Miami Facility, the San Juan Facility and the CHP Plant are situated. However, we do not own the land. As a result, we are subject to the possibility of increased costs to retain necessary land use rights as well as local law.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Terminals.</w:t>
      </w:r>
    </w:p>
    <w:p>
      <w:pPr>
        <w:spacing w:after="0" w:line="168" w:lineRule="exact"/>
        <w:rPr>
          <w:sz w:val="20"/>
          <w:szCs w:val="20"/>
          <w:color w:val="auto"/>
        </w:rPr>
      </w:pPr>
    </w:p>
    <w:p>
      <w:pPr>
        <w:ind w:right="60" w:firstLine="288"/>
        <w:spacing w:after="0" w:line="278" w:lineRule="auto"/>
        <w:rPr>
          <w:sz w:val="20"/>
          <w:szCs w:val="20"/>
          <w:color w:val="auto"/>
        </w:rPr>
      </w:pPr>
      <w:r>
        <w:rPr>
          <w:rFonts w:ascii="Arial" w:cs="Arial" w:eastAsia="Arial" w:hAnsi="Arial"/>
          <w:sz w:val="15"/>
          <w:szCs w:val="15"/>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54" w:lineRule="exact"/>
        <w:rPr>
          <w:sz w:val="20"/>
          <w:szCs w:val="20"/>
          <w:color w:val="auto"/>
        </w:rPr>
      </w:pPr>
    </w:p>
    <w:p>
      <w:pPr>
        <w:ind w:right="580"/>
        <w:spacing w:after="0" w:line="277" w:lineRule="auto"/>
        <w:rPr>
          <w:sz w:val="20"/>
          <w:szCs w:val="20"/>
          <w:color w:val="auto"/>
        </w:rPr>
      </w:pPr>
      <w:r>
        <w:rPr>
          <w:rFonts w:ascii="Arial" w:cs="Arial" w:eastAsia="Arial" w:hAnsi="Arial"/>
          <w:sz w:val="16"/>
          <w:szCs w:val="16"/>
          <w:b w:val="1"/>
          <w:bCs w:val="1"/>
          <w:i w:val="1"/>
          <w:iCs w:val="1"/>
          <w:color w:val="auto"/>
        </w:rPr>
        <w:t>We may not be able to successfully enter into contracts or renew existing contracts to charter tankers in the future, which may result in us not being able to meet our obligations.</w:t>
      </w:r>
    </w:p>
    <w:p>
      <w:pPr>
        <w:spacing w:after="0" w:line="152" w:lineRule="exact"/>
        <w:rPr>
          <w:sz w:val="20"/>
          <w:szCs w:val="20"/>
          <w:color w:val="auto"/>
        </w:rPr>
      </w:pPr>
    </w:p>
    <w:p>
      <w:pPr>
        <w:ind w:firstLine="288"/>
        <w:spacing w:after="0" w:line="257" w:lineRule="auto"/>
        <w:rPr>
          <w:sz w:val="20"/>
          <w:szCs w:val="20"/>
          <w:color w:val="auto"/>
        </w:rPr>
      </w:pPr>
      <w:r>
        <w:rPr>
          <w:rFonts w:ascii="Arial" w:cs="Arial" w:eastAsia="Arial" w:hAnsi="Arial"/>
          <w:sz w:val="16"/>
          <w:szCs w:val="16"/>
          <w:color w:val="auto"/>
        </w:rPr>
        <w:t>We enter into time charters of ocean-going tankers for the transportation of LNG, which extend for varying lengths of time. We may not be able to successfully enter into contracts or renew existing contracts to charter tankers in the future, which may result in us not being able to meet our obligations. We are also exposed to changes in market rates and availability for tankers,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168" w:lineRule="exact"/>
        <w:rPr>
          <w:sz w:val="20"/>
          <w:szCs w:val="20"/>
          <w:color w:val="auto"/>
        </w:rPr>
      </w:pPr>
    </w:p>
    <w:p>
      <w:pPr>
        <w:ind w:right="500" w:firstLine="288"/>
        <w:spacing w:after="0" w:line="277" w:lineRule="auto"/>
        <w:rPr>
          <w:sz w:val="20"/>
          <w:szCs w:val="20"/>
          <w:color w:val="auto"/>
        </w:rPr>
      </w:pPr>
      <w:r>
        <w:rPr>
          <w:rFonts w:ascii="Arial" w:cs="Arial" w:eastAsia="Arial" w:hAnsi="Arial"/>
          <w:sz w:val="16"/>
          <w:szCs w:val="16"/>
          <w:color w:val="auto"/>
        </w:rPr>
        <w:t>We rely on the operation of tankers under our time charters and ship-to-ship kits to transfer LNG between ships. The operation of ocean-going tankers and kits carries inherent risks. These risks include the possibility of:</w:t>
      </w:r>
    </w:p>
    <w:p>
      <w:pPr>
        <w:spacing w:after="0" w:line="152" w:lineRule="exact"/>
        <w:rPr>
          <w:sz w:val="20"/>
          <w:szCs w:val="20"/>
          <w:color w:val="auto"/>
        </w:rPr>
      </w:pPr>
    </w:p>
    <w:p>
      <w:pPr>
        <w:ind w:left="580" w:hanging="296"/>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natural disasters;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mechanical failures;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grounding, fire, explosions and collisions;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piracy;</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human error; and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war and terrorism.</w:t>
      </w:r>
    </w:p>
    <w:p>
      <w:pPr>
        <w:spacing w:after="0" w:line="224" w:lineRule="exact"/>
        <w:rPr>
          <w:sz w:val="20"/>
          <w:szCs w:val="20"/>
          <w:color w:val="auto"/>
        </w:rPr>
      </w:pPr>
    </w:p>
    <w:p>
      <w:pPr>
        <w:ind w:right="100" w:firstLine="288"/>
        <w:spacing w:after="0" w:line="289" w:lineRule="auto"/>
        <w:rPr>
          <w:sz w:val="20"/>
          <w:szCs w:val="20"/>
          <w:color w:val="auto"/>
        </w:rPr>
      </w:pPr>
      <w:r>
        <w:rPr>
          <w:rFonts w:ascii="Arial" w:cs="Arial" w:eastAsia="Arial" w:hAnsi="Arial"/>
          <w:sz w:val="15"/>
          <w:szCs w:val="15"/>
          <w:color w:val="auto"/>
        </w:rPr>
        <w:t>We do not currently maintain a redundant supply of ships, ship-to-ship kits or other equipment. As a result, if our current equipment fails, is unavailable or insufficient to service our LNG production, we may need to procure new equipment, which may not be available or be expensive to obtain. Any such occurrence could interrupt our operations and increase our operating costs. Any of these results could have a material adverse effect on our business, financial condition and operating results.</w:t>
      </w:r>
    </w:p>
    <w:p>
      <w:pPr>
        <w:spacing w:after="0" w:line="146" w:lineRule="exact"/>
        <w:rPr>
          <w:sz w:val="20"/>
          <w:szCs w:val="20"/>
          <w:color w:val="auto"/>
        </w:rPr>
      </w:pPr>
    </w:p>
    <w:p>
      <w:pPr>
        <w:ind w:right="380"/>
        <w:spacing w:after="0" w:line="277" w:lineRule="auto"/>
        <w:rPr>
          <w:sz w:val="20"/>
          <w:szCs w:val="20"/>
          <w:color w:val="auto"/>
        </w:rPr>
      </w:pPr>
      <w:r>
        <w:rPr>
          <w:rFonts w:ascii="Arial" w:cs="Arial" w:eastAsia="Arial" w:hAnsi="Arial"/>
          <w:sz w:val="16"/>
          <w:szCs w:val="16"/>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Cargoes of LNG and our chartered vessels are at risk of being damaged or lost because of events such as:</w:t>
      </w:r>
    </w:p>
    <w:p>
      <w:pPr>
        <w:spacing w:after="0" w:line="200" w:lineRule="exact"/>
        <w:rPr>
          <w:sz w:val="20"/>
          <w:szCs w:val="20"/>
          <w:color w:val="auto"/>
        </w:rPr>
      </w:pPr>
    </w:p>
    <w:p>
      <w:pPr>
        <w:ind w:left="580" w:hanging="296"/>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marine disasters;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piracy;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7" w:name="page48"/>
    <w:bookmarkEnd w:id="4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580" w:hanging="296"/>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bad weather;</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mechanical failures;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environmental accidents;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grounding, fire, explosions and collisions;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human error; and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war and terrorism.</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An accident involving our cargoes or any of our chartered vessels could result in any of the following:</w:t>
      </w:r>
    </w:p>
    <w:p>
      <w:pPr>
        <w:spacing w:after="0" w:line="200" w:lineRule="exact"/>
        <w:rPr>
          <w:sz w:val="20"/>
          <w:szCs w:val="20"/>
          <w:color w:val="auto"/>
        </w:rPr>
      </w:pPr>
    </w:p>
    <w:p>
      <w:pPr>
        <w:ind w:left="580" w:hanging="296"/>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death or injury to persons, loss of property or environmental damage;</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delays in the delivery of cargo;</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loss of revenues;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termination of charter contracts;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governmental fines, penalties or restrictions on conducting business;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higher insurance rates; and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damage to our reputation and customer relationships generally.</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Any of these circumstances or events could increase our costs or lower our revenues.</w:t>
      </w:r>
    </w:p>
    <w:p>
      <w:pPr>
        <w:spacing w:after="0" w:line="200" w:lineRule="exact"/>
        <w:rPr>
          <w:sz w:val="20"/>
          <w:szCs w:val="20"/>
          <w:color w:val="auto"/>
        </w:rPr>
      </w:pPr>
    </w:p>
    <w:p>
      <w:pPr>
        <w:ind w:right="400" w:firstLine="288"/>
        <w:spacing w:after="0" w:line="319" w:lineRule="auto"/>
        <w:rPr>
          <w:sz w:val="20"/>
          <w:szCs w:val="20"/>
          <w:color w:val="auto"/>
        </w:rPr>
      </w:pPr>
      <w:r>
        <w:rPr>
          <w:rFonts w:ascii="Arial" w:cs="Arial" w:eastAsia="Arial" w:hAnsi="Arial"/>
          <w:sz w:val="14"/>
          <w:szCs w:val="14"/>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152" w:lineRule="exact"/>
        <w:rPr>
          <w:sz w:val="20"/>
          <w:szCs w:val="20"/>
          <w:color w:val="auto"/>
        </w:rPr>
      </w:pPr>
    </w:p>
    <w:p>
      <w:pPr>
        <w:ind w:firstLine="288"/>
        <w:spacing w:after="0" w:line="271" w:lineRule="auto"/>
        <w:rPr>
          <w:sz w:val="20"/>
          <w:szCs w:val="20"/>
          <w:color w:val="auto"/>
        </w:rPr>
      </w:pPr>
      <w:r>
        <w:rPr>
          <w:rFonts w:ascii="Arial" w:cs="Arial" w:eastAsia="Arial" w:hAnsi="Arial"/>
          <w:sz w:val="15"/>
          <w:szCs w:val="15"/>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and the handling and disposal of hazardous substances and wastes.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164" w:lineRule="exact"/>
        <w:rPr>
          <w:sz w:val="20"/>
          <w:szCs w:val="20"/>
          <w:color w:val="auto"/>
        </w:rPr>
      </w:pPr>
    </w:p>
    <w:p>
      <w:pPr>
        <w:jc w:val="both"/>
        <w:ind w:right="180" w:firstLine="288"/>
        <w:spacing w:after="0" w:line="259" w:lineRule="auto"/>
        <w:rPr>
          <w:sz w:val="20"/>
          <w:szCs w:val="20"/>
          <w:color w:val="auto"/>
        </w:rPr>
      </w:pPr>
      <w:r>
        <w:rPr>
          <w:rFonts w:ascii="Arial" w:cs="Arial" w:eastAsia="Arial" w:hAnsi="Arial"/>
          <w:sz w:val="16"/>
          <w:szCs w:val="16"/>
          <w:color w:val="auto"/>
        </w:rPr>
        <w:t>Moreover, the overall trends are towards more regulations and more stringent requirements which are likely to add to our costs of doing business.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8" w:name="page49"/>
    <w:bookmarkEnd w:id="4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firstLine="288"/>
        <w:spacing w:after="0" w:line="302" w:lineRule="auto"/>
        <w:rPr>
          <w:sz w:val="20"/>
          <w:szCs w:val="20"/>
          <w:color w:val="auto"/>
        </w:rPr>
      </w:pPr>
      <w:r>
        <w:rPr>
          <w:rFonts w:ascii="Arial" w:cs="Arial" w:eastAsia="Arial" w:hAnsi="Arial"/>
          <w:sz w:val="14"/>
          <w:szCs w:val="14"/>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40"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152" w:lineRule="exact"/>
        <w:rPr>
          <w:sz w:val="20"/>
          <w:szCs w:val="20"/>
          <w:color w:val="auto"/>
        </w:rPr>
      </w:pPr>
    </w:p>
    <w:p>
      <w:pPr>
        <w:ind w:right="160" w:firstLine="288"/>
        <w:spacing w:after="0" w:line="308" w:lineRule="auto"/>
        <w:rPr>
          <w:sz w:val="20"/>
          <w:szCs w:val="20"/>
          <w:color w:val="auto"/>
        </w:rPr>
      </w:pPr>
      <w:r>
        <w:rPr>
          <w:rFonts w:ascii="Arial" w:cs="Arial" w:eastAsia="Arial" w:hAnsi="Arial"/>
          <w:sz w:val="14"/>
          <w:szCs w:val="14"/>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135" w:lineRule="exact"/>
        <w:rPr>
          <w:sz w:val="20"/>
          <w:szCs w:val="20"/>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 inadequate number of shipyards constructing LNG tankers and a backlog of orders at these shipyards;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political or economic disturbances in the countries where the tankers are being constructed;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changes in governmental regulations or maritime self-regulatory organizations;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work stoppages or other labor disturbances at the shipyards;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bankruptcy or other financial crisis of shipbuilders;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quality or engineering problems;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weather interference or a catastrophic event, such as a major earthquake, tsunami or fire; or</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shortages of or delays in the receipt of necessary construction materials.</w:t>
      </w:r>
    </w:p>
    <w:p>
      <w:pPr>
        <w:spacing w:after="0" w:line="224" w:lineRule="exact"/>
        <w:rPr>
          <w:sz w:val="20"/>
          <w:szCs w:val="20"/>
          <w:color w:val="auto"/>
        </w:rPr>
      </w:pPr>
    </w:p>
    <w:p>
      <w:pPr>
        <w:jc w:val="both"/>
        <w:ind w:right="140" w:firstLine="288"/>
        <w:spacing w:after="0" w:line="289" w:lineRule="auto"/>
        <w:rPr>
          <w:sz w:val="20"/>
          <w:szCs w:val="20"/>
          <w:color w:val="auto"/>
        </w:rPr>
      </w:pPr>
      <w:r>
        <w:rPr>
          <w:rFonts w:ascii="Arial" w:cs="Arial" w:eastAsia="Arial" w:hAnsi="Arial"/>
          <w:sz w:val="15"/>
          <w:szCs w:val="15"/>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Competition in the LNG industry is intense, and some of our competitors have greater financial, technological and other resources than we currently possess.</w:t>
      </w:r>
    </w:p>
    <w:p>
      <w:pPr>
        <w:spacing w:after="0" w:line="212" w:lineRule="exact"/>
        <w:rPr>
          <w:sz w:val="20"/>
          <w:szCs w:val="20"/>
          <w:color w:val="auto"/>
        </w:rPr>
      </w:pPr>
    </w:p>
    <w:p>
      <w:pPr>
        <w:ind w:right="120" w:firstLine="288"/>
        <w:spacing w:after="0" w:line="258" w:lineRule="auto"/>
        <w:rPr>
          <w:sz w:val="20"/>
          <w:szCs w:val="20"/>
          <w:color w:val="auto"/>
        </w:rPr>
      </w:pPr>
      <w:r>
        <w:rPr>
          <w:rFonts w:ascii="Arial" w:cs="Arial" w:eastAsia="Arial" w:hAnsi="Arial"/>
          <w:sz w:val="16"/>
          <w:szCs w:val="16"/>
          <w:color w:val="auto"/>
        </w:rPr>
        <w:t>We operate in the highly competitive area of LNG production and face intense competition from independent, technology-driven companies as well as from both major and other independent oil and natural gas companies and utilities, many of which have been in operation longer than us.</w:t>
      </w:r>
    </w:p>
    <w:p>
      <w:pPr>
        <w:spacing w:after="0" w:line="1" w:lineRule="exact"/>
        <w:rPr>
          <w:sz w:val="20"/>
          <w:szCs w:val="20"/>
          <w:color w:val="auto"/>
        </w:rPr>
      </w:pPr>
    </w:p>
    <w:p>
      <w:pPr>
        <w:ind w:right="120" w:firstLine="288"/>
        <w:spacing w:after="0" w:line="252" w:lineRule="auto"/>
        <w:rPr>
          <w:sz w:val="20"/>
          <w:szCs w:val="20"/>
          <w:color w:val="auto"/>
        </w:rPr>
      </w:pPr>
      <w:r>
        <w:rPr>
          <w:rFonts w:ascii="Arial" w:cs="Arial" w:eastAsia="Arial" w:hAnsi="Arial"/>
          <w:sz w:val="16"/>
          <w:szCs w:val="16"/>
          <w:color w:val="auto"/>
        </w:rPr>
        <w:t>Many competing companies have secured access to, or are pursuing development or acquisition of, LNG facilities in North America. We may face competition from major energy companies and others in pursuing our proposed business strategy to provide liquefaction and export products and services. In addition, competitors have and are developing LNG terminals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49" w:name="page50"/>
    <w:bookmarkEnd w:id="4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of LNG to be a competitive source of energy in the markets in which we operate, and seek to operate, could adversely affect our expansion strategy.</w:t>
      </w:r>
    </w:p>
    <w:p>
      <w:pPr>
        <w:spacing w:after="0" w:line="212" w:lineRule="exact"/>
        <w:rPr>
          <w:sz w:val="20"/>
          <w:szCs w:val="20"/>
          <w:color w:val="auto"/>
        </w:rPr>
      </w:pPr>
    </w:p>
    <w:p>
      <w:pPr>
        <w:ind w:right="20" w:firstLine="288"/>
        <w:spacing w:after="0" w:line="257" w:lineRule="auto"/>
        <w:rPr>
          <w:sz w:val="20"/>
          <w:szCs w:val="20"/>
          <w:color w:val="auto"/>
        </w:rPr>
      </w:pPr>
      <w:r>
        <w:rPr>
          <w:rFonts w:ascii="Arial" w:cs="Arial" w:eastAsia="Arial" w:hAnsi="Arial"/>
          <w:sz w:val="16"/>
          <w:szCs w:val="16"/>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w:t>
      </w:r>
    </w:p>
    <w:p>
      <w:pPr>
        <w:spacing w:after="0" w:line="168" w:lineRule="exact"/>
        <w:rPr>
          <w:sz w:val="20"/>
          <w:szCs w:val="20"/>
          <w:color w:val="auto"/>
        </w:rPr>
      </w:pPr>
    </w:p>
    <w:p>
      <w:pPr>
        <w:ind w:firstLine="288"/>
        <w:spacing w:after="0" w:line="308" w:lineRule="auto"/>
        <w:rPr>
          <w:sz w:val="20"/>
          <w:szCs w:val="20"/>
          <w:color w:val="auto"/>
        </w:rPr>
      </w:pPr>
      <w:r>
        <w:rPr>
          <w:rFonts w:ascii="Arial" w:cs="Arial" w:eastAsia="Arial" w:hAnsi="Arial"/>
          <w:sz w:val="14"/>
          <w:szCs w:val="14"/>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135" w:lineRule="exact"/>
        <w:rPr>
          <w:sz w:val="20"/>
          <w:szCs w:val="20"/>
          <w:color w:val="auto"/>
        </w:rPr>
      </w:pPr>
    </w:p>
    <w:p>
      <w:pPr>
        <w:ind w:right="200" w:firstLine="288"/>
        <w:spacing w:after="0" w:line="259" w:lineRule="auto"/>
        <w:rPr>
          <w:sz w:val="20"/>
          <w:szCs w:val="20"/>
          <w:color w:val="auto"/>
        </w:rPr>
      </w:pPr>
      <w:r>
        <w:rPr>
          <w:rFonts w:ascii="Arial" w:cs="Arial" w:eastAsia="Arial" w:hAnsi="Arial"/>
          <w:sz w:val="16"/>
          <w:szCs w:val="16"/>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167" w:lineRule="exact"/>
        <w:rPr>
          <w:sz w:val="20"/>
          <w:szCs w:val="20"/>
          <w:color w:val="auto"/>
        </w:rPr>
      </w:pPr>
    </w:p>
    <w:p>
      <w:pPr>
        <w:ind w:right="100" w:firstLine="288"/>
        <w:spacing w:after="0" w:line="264" w:lineRule="auto"/>
        <w:rPr>
          <w:sz w:val="20"/>
          <w:szCs w:val="20"/>
          <w:color w:val="auto"/>
        </w:rPr>
      </w:pPr>
      <w:r>
        <w:rPr>
          <w:rFonts w:ascii="Arial" w:cs="Arial" w:eastAsia="Arial" w:hAnsi="Arial"/>
          <w:sz w:val="16"/>
          <w:szCs w:val="16"/>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use of hedging arrangements may adversely affect our future operating results or liquidity.</w:t>
      </w:r>
    </w:p>
    <w:p>
      <w:pPr>
        <w:spacing w:after="0" w:line="200" w:lineRule="exact"/>
        <w:rPr>
          <w:sz w:val="20"/>
          <w:szCs w:val="20"/>
          <w:color w:val="auto"/>
        </w:rPr>
      </w:pPr>
    </w:p>
    <w:p>
      <w:pPr>
        <w:jc w:val="both"/>
        <w:ind w:right="60" w:firstLine="288"/>
        <w:spacing w:after="0" w:line="289" w:lineRule="auto"/>
        <w:rPr>
          <w:sz w:val="20"/>
          <w:szCs w:val="20"/>
          <w:color w:val="auto"/>
        </w:rPr>
      </w:pPr>
      <w:r>
        <w:rPr>
          <w:rFonts w:ascii="Arial" w:cs="Arial" w:eastAsia="Arial" w:hAnsi="Arial"/>
          <w:sz w:val="15"/>
          <w:szCs w:val="15"/>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146" w:lineRule="exact"/>
        <w:rPr>
          <w:sz w:val="20"/>
          <w:szCs w:val="20"/>
          <w:color w:val="auto"/>
        </w:rPr>
      </w:pPr>
    </w:p>
    <w:p>
      <w:pPr>
        <w:ind w:left="580" w:hanging="296"/>
        <w:spacing w:after="0"/>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expected supply is less than the amount hedged;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counterparty to the hedging contract defaults on its contractual obligations; or</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there is a change in the expected differential between the underlying price in the hedging agreement and actual prices received.</w:t>
      </w:r>
    </w:p>
    <w:p>
      <w:pPr>
        <w:spacing w:after="0" w:line="224" w:lineRule="exact"/>
        <w:rPr>
          <w:sz w:val="20"/>
          <w:szCs w:val="20"/>
          <w:color w:val="auto"/>
        </w:rPr>
      </w:pPr>
    </w:p>
    <w:p>
      <w:pPr>
        <w:ind w:right="20" w:firstLine="288"/>
        <w:spacing w:after="0" w:line="264" w:lineRule="auto"/>
        <w:rPr>
          <w:sz w:val="20"/>
          <w:szCs w:val="20"/>
          <w:color w:val="auto"/>
        </w:rPr>
      </w:pPr>
      <w:r>
        <w:rPr>
          <w:rFonts w:ascii="Arial" w:cs="Arial" w:eastAsia="Arial" w:hAnsi="Arial"/>
          <w:sz w:val="16"/>
          <w:szCs w:val="16"/>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also have a material adverse effect on our business, financial condition and operating results.</w:t>
      </w:r>
    </w:p>
    <w:p>
      <w:pPr>
        <w:spacing w:after="0" w:line="162" w:lineRule="exact"/>
        <w:rPr>
          <w:sz w:val="20"/>
          <w:szCs w:val="20"/>
          <w:color w:val="auto"/>
        </w:rPr>
      </w:pPr>
    </w:p>
    <w:p>
      <w:pPr>
        <w:ind w:right="460"/>
        <w:spacing w:after="0" w:line="277" w:lineRule="auto"/>
        <w:rPr>
          <w:sz w:val="20"/>
          <w:szCs w:val="20"/>
          <w:color w:val="auto"/>
        </w:rPr>
      </w:pPr>
      <w:r>
        <w:rPr>
          <w:rFonts w:ascii="Arial" w:cs="Arial" w:eastAsia="Arial" w:hAnsi="Arial"/>
          <w:sz w:val="16"/>
          <w:szCs w:val="16"/>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52" w:lineRule="exact"/>
        <w:rPr>
          <w:sz w:val="20"/>
          <w:szCs w:val="20"/>
          <w:color w:val="auto"/>
        </w:rPr>
      </w:pPr>
    </w:p>
    <w:p>
      <w:pPr>
        <w:ind w:firstLine="288"/>
        <w:spacing w:after="0" w:line="271" w:lineRule="auto"/>
        <w:rPr>
          <w:sz w:val="20"/>
          <w:szCs w:val="20"/>
          <w:color w:val="auto"/>
        </w:rPr>
      </w:pPr>
      <w:r>
        <w:rPr>
          <w:rFonts w:ascii="Arial" w:cs="Arial" w:eastAsia="Arial" w:hAnsi="Arial"/>
          <w:sz w:val="15"/>
          <w:szCs w:val="15"/>
          <w:color w:val="auto"/>
        </w:rPr>
        <w:t>When engaged in marketing activities, it is our strategy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diesel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In addition, our marketing operations involve the risk of non-compliance with our risk management policies. We cannot assure you that our processes and procedures will detect and prevent all violations of our risk management strategies, particularly if deception or other intentional misconduct is involved. If we were to incur a material loss related to commodity price risks, including non-compliance with our risk management strategies, it could have a material adverse effect on our financial position, results of operations and cash flows. There can be no assurance that we will complete the Pennsylvania Facility or be able to supply our facilities and the CHP Plant with LNG produced at our own facilities. Even if we do complete the Pennsylvania Facility, there can be no assurance that it will operate as expected or that we will succeed in our goal of reducing the risk to our operations of future LNG price variations.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0" w:name="page51"/>
    <w:bookmarkEnd w:id="5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increased labor costs, and the unavailability of skilled workers or our failure to attract and retain qualified personnel could adversely affect us.</w:t>
      </w:r>
    </w:p>
    <w:p>
      <w:pPr>
        <w:spacing w:after="0" w:line="223" w:lineRule="exact"/>
        <w:rPr>
          <w:sz w:val="20"/>
          <w:szCs w:val="20"/>
          <w:color w:val="auto"/>
        </w:rPr>
      </w:pPr>
    </w:p>
    <w:p>
      <w:pPr>
        <w:ind w:firstLine="288"/>
        <w:spacing w:after="0" w:line="294" w:lineRule="auto"/>
        <w:rPr>
          <w:sz w:val="20"/>
          <w:szCs w:val="20"/>
          <w:color w:val="auto"/>
        </w:rPr>
      </w:pPr>
      <w:r>
        <w:rPr>
          <w:rFonts w:ascii="Arial" w:cs="Arial" w:eastAsia="Arial" w:hAnsi="Arial"/>
          <w:sz w:val="14"/>
          <w:szCs w:val="14"/>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52" w:lineRule="exact"/>
        <w:rPr>
          <w:sz w:val="20"/>
          <w:szCs w:val="20"/>
          <w:color w:val="auto"/>
        </w:rPr>
      </w:pPr>
    </w:p>
    <w:p>
      <w:pPr>
        <w:ind w:firstLine="288"/>
        <w:spacing w:after="0" w:line="308" w:lineRule="auto"/>
        <w:rPr>
          <w:sz w:val="20"/>
          <w:szCs w:val="20"/>
          <w:color w:val="auto"/>
        </w:rPr>
      </w:pPr>
      <w:r>
        <w:rPr>
          <w:rFonts w:ascii="Arial" w:cs="Arial" w:eastAsia="Arial" w:hAnsi="Arial"/>
          <w:sz w:val="14"/>
          <w:szCs w:val="14"/>
          <w:color w:val="auto"/>
        </w:rPr>
        <w:t>The substantial majority of our anticipated revenue in 2019 will be dependent upon our assets and customers in Jamaica. Jamaica has historically experienced economic volatility and the general condition and performance of the Jamaican economy, over which we have no control, may affect our business, financial condition and results of operations. Due to our current lack of asset and geographic diversification, an adverse development at the Jamaica Terminals, in the energy industry or in the economic conditions in Jamaica, would have a significantly greater impact on our financial condition and operating results than if we maintained more diverse assets and operating areas.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impairments to long-lived assets.</w:t>
      </w:r>
    </w:p>
    <w:p>
      <w:pPr>
        <w:spacing w:after="0" w:line="200" w:lineRule="exact"/>
        <w:rPr>
          <w:sz w:val="20"/>
          <w:szCs w:val="20"/>
          <w:color w:val="auto"/>
        </w:rPr>
      </w:pPr>
    </w:p>
    <w:p>
      <w:pPr>
        <w:ind w:right="100" w:firstLine="288"/>
        <w:spacing w:after="0" w:line="276" w:lineRule="auto"/>
        <w:rPr>
          <w:sz w:val="20"/>
          <w:szCs w:val="20"/>
          <w:color w:val="auto"/>
        </w:rPr>
      </w:pPr>
      <w:r>
        <w:rPr>
          <w:rFonts w:ascii="Arial" w:cs="Arial" w:eastAsia="Arial" w:hAnsi="Arial"/>
          <w:sz w:val="15"/>
          <w:szCs w:val="15"/>
          <w:color w:val="auto"/>
        </w:rPr>
        <w:t>We test our long-lived assets for impairment whenever events or changes in circumstances indicate that the carrying amount of these assets may not be recoverable. Significant negative industry or economic trends, and decline of our market capitalization, reduced estimates of future cash flows for our business segments or disruptions to our business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155" w:lineRule="exact"/>
        <w:rPr>
          <w:sz w:val="20"/>
          <w:szCs w:val="20"/>
          <w:color w:val="auto"/>
        </w:rPr>
      </w:pPr>
    </w:p>
    <w:p>
      <w:pPr>
        <w:jc w:val="both"/>
        <w:ind w:right="60"/>
        <w:spacing w:after="0" w:line="264" w:lineRule="auto"/>
        <w:rPr>
          <w:sz w:val="20"/>
          <w:szCs w:val="20"/>
          <w:color w:val="auto"/>
        </w:rPr>
      </w:pPr>
      <w:r>
        <w:rPr>
          <w:rFonts w:ascii="Arial" w:cs="Arial" w:eastAsia="Arial" w:hAnsi="Arial"/>
          <w:sz w:val="16"/>
          <w:szCs w:val="16"/>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162" w:lineRule="exact"/>
        <w:rPr>
          <w:sz w:val="20"/>
          <w:szCs w:val="20"/>
          <w:color w:val="auto"/>
        </w:rPr>
      </w:pPr>
    </w:p>
    <w:p>
      <w:pPr>
        <w:ind w:firstLine="288"/>
        <w:spacing w:after="0" w:line="273" w:lineRule="auto"/>
        <w:rPr>
          <w:sz w:val="20"/>
          <w:szCs w:val="20"/>
          <w:color w:val="auto"/>
        </w:rPr>
      </w:pPr>
      <w:r>
        <w:rPr>
          <w:rFonts w:ascii="Arial" w:cs="Arial" w:eastAsia="Arial" w:hAnsi="Arial"/>
          <w:sz w:val="15"/>
          <w:szCs w:val="15"/>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1" w:name="page52"/>
    <w:bookmarkEnd w:id="5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180"/>
        <w:spacing w:after="0" w:line="289" w:lineRule="auto"/>
        <w:rPr>
          <w:sz w:val="20"/>
          <w:szCs w:val="20"/>
          <w:color w:val="auto"/>
        </w:rPr>
      </w:pPr>
      <w:r>
        <w:rPr>
          <w:rFonts w:ascii="Arial" w:cs="Arial" w:eastAsia="Arial" w:hAnsi="Arial"/>
          <w:sz w:val="15"/>
          <w:szCs w:val="15"/>
          <w:b w:val="1"/>
          <w:bCs w:val="1"/>
          <w:i w:val="1"/>
          <w:iCs w:val="1"/>
          <w:color w:val="auto"/>
        </w:rPr>
        <w:t>The swaps regulatory and other provisions of the Dodd-Frank Wall Street Reform and Consumer Protection Act (the “Dodd-Frank Act”) and the rules adopted thereunder and other regulations, including European Market Infrastructure Regulation (“EMIR”) and Regulation on Wholesale Energy Market Integrity and Transparency (“REMIT”), could adversely affect our ability to hedge risks associated with our business and our operating results and cash flows.</w:t>
      </w:r>
    </w:p>
    <w:p>
      <w:pPr>
        <w:spacing w:after="0" w:line="146" w:lineRule="exact"/>
        <w:rPr>
          <w:sz w:val="20"/>
          <w:szCs w:val="20"/>
          <w:color w:val="auto"/>
        </w:rPr>
      </w:pPr>
    </w:p>
    <w:p>
      <w:pPr>
        <w:ind w:right="60" w:firstLine="288"/>
        <w:spacing w:after="0" w:line="302" w:lineRule="auto"/>
        <w:rPr>
          <w:sz w:val="20"/>
          <w:szCs w:val="20"/>
          <w:color w:val="auto"/>
        </w:rPr>
      </w:pPr>
      <w:r>
        <w:rPr>
          <w:rFonts w:ascii="Arial" w:cs="Arial" w:eastAsia="Arial" w:hAnsi="Arial"/>
          <w:sz w:val="14"/>
          <w:szCs w:val="14"/>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our Liquefaction Facilities.</w:t>
      </w:r>
    </w:p>
    <w:p>
      <w:pPr>
        <w:spacing w:after="0" w:line="140" w:lineRule="exact"/>
        <w:rPr>
          <w:sz w:val="20"/>
          <w:szCs w:val="20"/>
          <w:color w:val="auto"/>
        </w:rPr>
      </w:pPr>
    </w:p>
    <w:p>
      <w:pPr>
        <w:ind w:right="60" w:firstLine="288"/>
        <w:spacing w:after="0" w:line="254" w:lineRule="auto"/>
        <w:rPr>
          <w:sz w:val="20"/>
          <w:szCs w:val="20"/>
          <w:color w:val="auto"/>
        </w:rPr>
      </w:pPr>
      <w:r>
        <w:rPr>
          <w:rFonts w:ascii="Arial" w:cs="Arial" w:eastAsia="Arial" w:hAnsi="Arial"/>
          <w:sz w:val="16"/>
          <w:szCs w:val="16"/>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relief—until August 12, 2019—from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172" w:lineRule="exact"/>
        <w:rPr>
          <w:sz w:val="20"/>
          <w:szCs w:val="20"/>
          <w:color w:val="auto"/>
        </w:rPr>
      </w:pPr>
    </w:p>
    <w:p>
      <w:pPr>
        <w:ind w:firstLine="288"/>
        <w:spacing w:after="0" w:line="273" w:lineRule="auto"/>
        <w:rPr>
          <w:sz w:val="20"/>
          <w:szCs w:val="20"/>
          <w:color w:val="auto"/>
        </w:rPr>
      </w:pPr>
      <w:r>
        <w:rPr>
          <w:rFonts w:ascii="Arial" w:cs="Arial" w:eastAsia="Arial" w:hAnsi="Arial"/>
          <w:sz w:val="15"/>
          <w:szCs w:val="15"/>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enter. Moreover, the application of the mandatory clearing and trade execution requirements to other market participants, such as Swap Dealers, may change the cost and availability of the swaps that we use for hedging.</w:t>
      </w:r>
    </w:p>
    <w:p>
      <w:pPr>
        <w:spacing w:after="0" w:line="160" w:lineRule="exact"/>
        <w:rPr>
          <w:sz w:val="20"/>
          <w:szCs w:val="20"/>
          <w:color w:val="auto"/>
        </w:rPr>
      </w:pPr>
    </w:p>
    <w:p>
      <w:pPr>
        <w:ind w:right="20" w:firstLine="288"/>
        <w:spacing w:after="0" w:line="273" w:lineRule="auto"/>
        <w:rPr>
          <w:sz w:val="20"/>
          <w:szCs w:val="20"/>
          <w:color w:val="auto"/>
        </w:rPr>
      </w:pPr>
      <w:r>
        <w:rPr>
          <w:rFonts w:ascii="Arial" w:cs="Arial" w:eastAsia="Arial" w:hAnsi="Arial"/>
          <w:sz w:val="15"/>
          <w:szCs w:val="15"/>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In June 2011, the Basel Committee on the Banking Supervision, an international trade body comprised of senior representatives of bank supervisory authorities and central banks from 27 countries, including the United States and the European Union, announced the final framework for a comprehensive set of capital and liquidity standards, commonly referred to as “Basel III.”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2" w:name="page53"/>
    <w:bookmarkEnd w:id="5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20" w:firstLine="288"/>
        <w:spacing w:after="0" w:line="274" w:lineRule="auto"/>
        <w:rPr>
          <w:sz w:val="20"/>
          <w:szCs w:val="20"/>
          <w:color w:val="auto"/>
        </w:rPr>
      </w:pPr>
      <w:r>
        <w:rPr>
          <w:rFonts w:ascii="Arial" w:cs="Arial" w:eastAsia="Arial" w:hAnsi="Arial"/>
          <w:sz w:val="15"/>
          <w:szCs w:val="15"/>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 III 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our existing derivative contracts and to execute our hedging strategies. If, as a result of the swaps regulatory regime discussed above, we were to forgo or reduce our use of swaps to hedge our risks, such as commodity price risks that we encounter in our operations, our operating results and cash flows may become more volatile and could be otherwise adversely affected.</w:t>
      </w:r>
    </w:p>
    <w:p>
      <w:pPr>
        <w:spacing w:after="0" w:line="159" w:lineRule="exact"/>
        <w:rPr>
          <w:sz w:val="20"/>
          <w:szCs w:val="20"/>
          <w:color w:val="auto"/>
        </w:rPr>
      </w:pPr>
    </w:p>
    <w:p>
      <w:pPr>
        <w:ind w:right="60" w:firstLine="288"/>
        <w:spacing w:after="0" w:line="276" w:lineRule="auto"/>
        <w:rPr>
          <w:sz w:val="20"/>
          <w:szCs w:val="20"/>
          <w:color w:val="auto"/>
        </w:rPr>
      </w:pPr>
      <w:r>
        <w:rPr>
          <w:rFonts w:ascii="Arial" w:cs="Arial" w:eastAsia="Arial" w:hAnsi="Arial"/>
          <w:sz w:val="15"/>
          <w:szCs w:val="15"/>
          <w:color w:val="auto"/>
        </w:rPr>
        <w:t>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155" w:lineRule="exact"/>
        <w:rPr>
          <w:sz w:val="20"/>
          <w:szCs w:val="20"/>
          <w:color w:val="auto"/>
        </w:rPr>
      </w:pPr>
    </w:p>
    <w:p>
      <w:pPr>
        <w:ind w:right="40" w:firstLine="288"/>
        <w:spacing w:after="0" w:line="259" w:lineRule="auto"/>
        <w:rPr>
          <w:sz w:val="20"/>
          <w:szCs w:val="20"/>
          <w:color w:val="auto"/>
        </w:rPr>
      </w:pPr>
      <w:r>
        <w:rPr>
          <w:rFonts w:ascii="Arial" w:cs="Arial" w:eastAsia="Arial" w:hAnsi="Arial"/>
          <w:sz w:val="16"/>
          <w:szCs w:val="16"/>
          <w:color w:val="auto"/>
        </w:rPr>
        <w:t>Our subsidiaries and affiliates operating in the Caribbean may be subject to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152" w:lineRule="exact"/>
        <w:rPr>
          <w:sz w:val="20"/>
          <w:szCs w:val="20"/>
          <w:color w:val="auto"/>
        </w:rPr>
      </w:pPr>
    </w:p>
    <w:p>
      <w:pPr>
        <w:ind w:firstLine="288"/>
        <w:spacing w:after="0" w:line="253" w:lineRule="auto"/>
        <w:rPr>
          <w:sz w:val="20"/>
          <w:szCs w:val="20"/>
          <w:color w:val="auto"/>
        </w:rPr>
      </w:pPr>
      <w:r>
        <w:rPr>
          <w:rFonts w:ascii="Arial" w:cs="Arial" w:eastAsia="Arial" w:hAnsi="Arial"/>
          <w:sz w:val="16"/>
          <w:szCs w:val="16"/>
          <w:color w:val="auto"/>
        </w:rPr>
        <w:t>The design, construction and operation of energy-related infrastructure, including our existing and proposed facilities, the import and export of LNG and the transportation of natural gas, are highly regulated activities at the federal, state and local levels.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FERC,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We may also be subject to yet additional requirements in Jamaica, Mexico, Ireland or other jurisdictions, including with respect to land use approvals needed to construct and operate our facilities.</w:t>
      </w:r>
    </w:p>
    <w:p>
      <w:pPr>
        <w:spacing w:after="0" w:line="175" w:lineRule="exact"/>
        <w:rPr>
          <w:sz w:val="20"/>
          <w:szCs w:val="20"/>
          <w:color w:val="auto"/>
        </w:rPr>
      </w:pPr>
    </w:p>
    <w:p>
      <w:pPr>
        <w:ind w:right="20" w:firstLine="288"/>
        <w:spacing w:after="0" w:line="254" w:lineRule="auto"/>
        <w:rPr>
          <w:sz w:val="20"/>
          <w:szCs w:val="20"/>
          <w:color w:val="auto"/>
        </w:rPr>
      </w:pPr>
      <w:r>
        <w:rPr>
          <w:rFonts w:ascii="Arial" w:cs="Arial" w:eastAsia="Arial" w:hAnsi="Arial"/>
          <w:sz w:val="16"/>
          <w:szCs w:val="16"/>
          <w:color w:val="auto"/>
        </w:rPr>
        <w:t>We cannot control the outcome of any review and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3" w:name="page54"/>
    <w:bookmarkEnd w:id="5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152" w:lineRule="exact"/>
        <w:rPr>
          <w:sz w:val="20"/>
          <w:szCs w:val="20"/>
          <w:color w:val="auto"/>
        </w:rPr>
      </w:pPr>
    </w:p>
    <w:p>
      <w:pPr>
        <w:ind w:right="40" w:firstLine="288"/>
        <w:spacing w:after="0" w:line="274" w:lineRule="auto"/>
        <w:rPr>
          <w:sz w:val="20"/>
          <w:szCs w:val="20"/>
          <w:color w:val="auto"/>
        </w:rPr>
      </w:pPr>
      <w:r>
        <w:rPr>
          <w:rFonts w:ascii="Arial" w:cs="Arial" w:eastAsia="Arial" w:hAnsi="Arial"/>
          <w:sz w:val="15"/>
          <w:szCs w:val="15"/>
          <w:color w:val="auto"/>
        </w:rPr>
        <w:t>Our business is now and will in the future be subject to extensive federal, state and local laws and regulations both in the United States and in other jurisdictions where we operate that regulate and restrict, among other things, the siting and design of our facilities, discharges to air, land and water, with particular respect to the protection of human health, the environment and natural resources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LNG facility siting, design, construction, equipment, operations, maintenance, personnel qualifications and training, fire protection and security. While the Miami Facility is subject to these regulations, none of our LNG facilities currently under development are subject to PHMSA’s jurisdiction, but state and local regulators can impose similar siting, design, construction and operational requirements.</w:t>
      </w:r>
    </w:p>
    <w:p>
      <w:pPr>
        <w:spacing w:after="0" w:line="159" w:lineRule="exact"/>
        <w:rPr>
          <w:sz w:val="20"/>
          <w:szCs w:val="20"/>
          <w:color w:val="auto"/>
        </w:rPr>
      </w:pPr>
    </w:p>
    <w:p>
      <w:pPr>
        <w:ind w:right="120" w:firstLine="288"/>
        <w:spacing w:after="0" w:line="264" w:lineRule="auto"/>
        <w:rPr>
          <w:sz w:val="20"/>
          <w:szCs w:val="20"/>
          <w:color w:val="auto"/>
        </w:rPr>
      </w:pPr>
      <w:r>
        <w:rPr>
          <w:rFonts w:ascii="Arial" w:cs="Arial" w:eastAsia="Arial" w:hAnsi="Arial"/>
          <w:sz w:val="16"/>
          <w:szCs w:val="16"/>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resulting damage to natural resources.</w:t>
      </w:r>
    </w:p>
    <w:p>
      <w:pPr>
        <w:spacing w:after="0" w:line="162" w:lineRule="exact"/>
        <w:rPr>
          <w:sz w:val="20"/>
          <w:szCs w:val="20"/>
          <w:color w:val="auto"/>
        </w:rPr>
      </w:pPr>
    </w:p>
    <w:p>
      <w:pPr>
        <w:ind w:right="80" w:firstLine="288"/>
        <w:spacing w:after="0" w:line="297" w:lineRule="auto"/>
        <w:rPr>
          <w:sz w:val="20"/>
          <w:szCs w:val="20"/>
          <w:color w:val="auto"/>
        </w:rPr>
      </w:pPr>
      <w:r>
        <w:rPr>
          <w:rFonts w:ascii="Arial" w:cs="Arial" w:eastAsia="Arial" w:hAnsi="Arial"/>
          <w:sz w:val="14"/>
          <w:szCs w:val="14"/>
          <w:color w:val="auto"/>
        </w:rPr>
        <w:t>Many of these laws and regulations, such as the CAA and the CWA, and analogous state laws and regulations, restrict or prohibit the types, quantities and concentration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143" w:lineRule="exact"/>
        <w:rPr>
          <w:sz w:val="20"/>
          <w:szCs w:val="20"/>
          <w:color w:val="auto"/>
        </w:rPr>
      </w:pPr>
    </w:p>
    <w:p>
      <w:pPr>
        <w:ind w:firstLine="288"/>
        <w:spacing w:after="0" w:line="255" w:lineRule="auto"/>
        <w:rPr>
          <w:sz w:val="20"/>
          <w:szCs w:val="20"/>
          <w:color w:val="auto"/>
        </w:rPr>
      </w:pPr>
      <w:r>
        <w:rPr>
          <w:rFonts w:ascii="Arial" w:cs="Arial" w:eastAsia="Arial" w:hAnsi="Arial"/>
          <w:sz w:val="16"/>
          <w:szCs w:val="16"/>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169" w:lineRule="exact"/>
        <w:rPr>
          <w:sz w:val="20"/>
          <w:szCs w:val="20"/>
          <w:color w:val="auto"/>
        </w:rPr>
      </w:pPr>
    </w:p>
    <w:p>
      <w:pPr>
        <w:jc w:val="both"/>
        <w:ind w:right="20" w:firstLine="288"/>
        <w:spacing w:after="0" w:line="264" w:lineRule="auto"/>
        <w:rPr>
          <w:sz w:val="20"/>
          <w:szCs w:val="20"/>
          <w:color w:val="auto"/>
        </w:rPr>
      </w:pPr>
      <w:r>
        <w:rPr>
          <w:rFonts w:ascii="Arial" w:cs="Arial" w:eastAsia="Arial" w:hAnsi="Arial"/>
          <w:sz w:val="16"/>
          <w:szCs w:val="16"/>
          <w:i w:val="1"/>
          <w:iCs w:val="1"/>
          <w:color w:val="auto"/>
        </w:rPr>
        <w:t>Greenhouse Gases/Climate Change</w:t>
      </w:r>
      <w:r>
        <w:rPr>
          <w:rFonts w:ascii="Arial" w:cs="Arial" w:eastAsia="Arial" w:hAnsi="Arial"/>
          <w:sz w:val="16"/>
          <w:szCs w:val="16"/>
          <w:color w:val="auto"/>
        </w:rPr>
        <w:t>. From time to time, there may be federal and state regulatory and policy initiatives to reduce GHG emissions in the United States from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sources. Other federal and state initiatives are being considered or may be considered in the future to address GHG emissions through, for example, United States treaty commitments or other international agreements, direct regulation, a carbon emissions tax, or cap-and-trade programs.</w:t>
      </w:r>
    </w:p>
    <w:p>
      <w:pPr>
        <w:spacing w:after="0" w:line="162" w:lineRule="exact"/>
        <w:rPr>
          <w:sz w:val="20"/>
          <w:szCs w:val="20"/>
          <w:color w:val="auto"/>
        </w:rPr>
      </w:pPr>
    </w:p>
    <w:p>
      <w:pPr>
        <w:ind w:right="140" w:firstLine="288"/>
        <w:spacing w:after="0" w:line="259" w:lineRule="auto"/>
        <w:rPr>
          <w:sz w:val="20"/>
          <w:szCs w:val="20"/>
          <w:color w:val="auto"/>
        </w:rPr>
      </w:pPr>
      <w:r>
        <w:rPr>
          <w:rFonts w:ascii="Arial" w:cs="Arial" w:eastAsia="Arial" w:hAnsi="Arial"/>
          <w:sz w:val="16"/>
          <w:szCs w:val="16"/>
          <w:color w:val="auto"/>
        </w:rPr>
        <w:t>Responding to scientific reports regarding threats posed by global climate change, the U.S. Congress has in the past considered legislation to reduce emissions of GHGs. In addition, some states and foreign jurisdictions have individually or in regional cooperation, imposed restrictions on GHG emissions under various policies and approaches, including establishing a cap on emissions, requiring efficiency measures, or providing incentives for pollution reduction, use of renewable energy sources, or use of replacement fuels with lower carbon content.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4" w:name="page55"/>
    <w:bookmarkEnd w:id="5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40" w:firstLine="288"/>
        <w:spacing w:after="0" w:line="274" w:lineRule="auto"/>
        <w:rPr>
          <w:sz w:val="20"/>
          <w:szCs w:val="20"/>
          <w:color w:val="auto"/>
        </w:rPr>
      </w:pPr>
      <w:r>
        <w:rPr>
          <w:rFonts w:ascii="Arial" w:cs="Arial" w:eastAsia="Arial" w:hAnsi="Arial"/>
          <w:sz w:val="15"/>
          <w:szCs w:val="15"/>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159" w:lineRule="exact"/>
        <w:rPr>
          <w:sz w:val="20"/>
          <w:szCs w:val="20"/>
          <w:color w:val="auto"/>
        </w:rPr>
      </w:pPr>
    </w:p>
    <w:p>
      <w:pPr>
        <w:ind w:right="20" w:firstLine="288"/>
        <w:spacing w:after="0" w:line="271" w:lineRule="auto"/>
        <w:rPr>
          <w:sz w:val="20"/>
          <w:szCs w:val="20"/>
          <w:color w:val="auto"/>
        </w:rPr>
      </w:pPr>
      <w:r>
        <w:rPr>
          <w:rFonts w:ascii="Arial" w:cs="Arial" w:eastAsia="Arial" w:hAnsi="Arial"/>
          <w:sz w:val="15"/>
          <w:szCs w:val="15"/>
          <w:color w:val="auto"/>
        </w:rPr>
        <w:t>In addition, due to concerns over climate change, numerous countries around the world have adopted or are considering adopting laws or regulations to reduce GHG emissions. In December 2015, the U.S. and 195 other nations attending the United Nations Climate Change Conference adopted the Paris Agreement on global climate change, which establishes a universal framework for addressing GHG emissions based on nationally determined contributions. The Paris Agreement calls for zero net anthropogenic GHG emission to be reached during the second half of the 21st century. Each party is to prepare a plan on its contributions to reach this goal; each plan is to be filed in a publicly available registry. The Paris Agreement does not create any binding obligations for nations to limit their GHG emissions but rather includes pledges to voluntarily limit or reduce future emissions. It also creates a process for participating countries to review and increase their intended emissions reduction goals every five years. The ultimate impact of the Paris Agreement depends on its ratification and implementation by participating countries, and cannot be determined at this time. Although the United States became a party to the Paris Agreement in April 2016, the Trump administration subsequently announced in June 2017 its intention either to withdraw from the Paris Agreement or renegotiate more favorable terms. However, the Paris Agreement stipulates that participating countries must wait four years before withdrawing from the agreement. It is not possible to know how quickly renewable energy technologies may advance, but the increased use of renewable energy could ultimately reduce future demand for hydrocarbons. These developments could have a material adverse effect on our financial position, results of operations and cash flows.</w:t>
      </w:r>
    </w:p>
    <w:p>
      <w:pPr>
        <w:spacing w:after="0" w:line="164" w:lineRule="exact"/>
        <w:rPr>
          <w:sz w:val="20"/>
          <w:szCs w:val="20"/>
          <w:color w:val="auto"/>
        </w:rPr>
      </w:pPr>
    </w:p>
    <w:p>
      <w:pPr>
        <w:ind w:firstLine="288"/>
        <w:spacing w:after="0" w:line="276" w:lineRule="auto"/>
        <w:rPr>
          <w:sz w:val="20"/>
          <w:szCs w:val="20"/>
          <w:color w:val="auto"/>
        </w:rPr>
      </w:pPr>
      <w:r>
        <w:rPr>
          <w:rFonts w:ascii="Arial" w:cs="Arial" w:eastAsia="Arial" w:hAnsi="Arial"/>
          <w:sz w:val="15"/>
          <w:szCs w:val="15"/>
          <w:i w:val="1"/>
          <w:iCs w:val="1"/>
          <w:color w:val="auto"/>
        </w:rPr>
        <w:t>Fossil Fuels</w:t>
      </w:r>
      <w:r>
        <w:rPr>
          <w:rFonts w:ascii="Arial" w:cs="Arial" w:eastAsia="Arial" w:hAnsi="Arial"/>
          <w:sz w:val="15"/>
          <w:szCs w:val="15"/>
          <w:color w:val="auto"/>
        </w:rPr>
        <w:t>. Our business activities depend upon a sufficient and reliable supply of natural gas feedstock, and are therefore subject to concerns in certain sectors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155" w:lineRule="exact"/>
        <w:rPr>
          <w:sz w:val="20"/>
          <w:szCs w:val="20"/>
          <w:color w:val="auto"/>
        </w:rPr>
      </w:pPr>
    </w:p>
    <w:p>
      <w:pPr>
        <w:ind w:firstLine="288"/>
        <w:spacing w:after="0" w:line="271" w:lineRule="auto"/>
        <w:rPr>
          <w:sz w:val="20"/>
          <w:szCs w:val="20"/>
          <w:color w:val="auto"/>
        </w:rPr>
      </w:pPr>
      <w:r>
        <w:rPr>
          <w:rFonts w:ascii="Arial" w:cs="Arial" w:eastAsia="Arial" w:hAnsi="Arial"/>
          <w:sz w:val="15"/>
          <w:szCs w:val="15"/>
          <w:i w:val="1"/>
          <w:iCs w:val="1"/>
          <w:color w:val="auto"/>
        </w:rPr>
        <w:t>Hydraulic Fracturing</w:t>
      </w:r>
      <w:r>
        <w:rPr>
          <w:rFonts w:ascii="Arial" w:cs="Arial" w:eastAsia="Arial" w:hAnsi="Arial"/>
          <w:sz w:val="15"/>
          <w:szCs w:val="15"/>
          <w:color w:val="auto"/>
        </w:rPr>
        <w:t>. Certain of our suppliers of natural gas and LNG employ hydraulic fracturing techniques to stimulate natural gas production from unconventional</w:t>
      </w:r>
      <w:r>
        <w:rPr>
          <w:rFonts w:ascii="Arial" w:cs="Arial" w:eastAsia="Arial" w:hAnsi="Arial"/>
          <w:sz w:val="15"/>
          <w:szCs w:val="15"/>
          <w:i w:val="1"/>
          <w:iCs w:val="1"/>
          <w:color w:val="auto"/>
        </w:rPr>
        <w:t xml:space="preserve"> </w:t>
      </w:r>
      <w:r>
        <w:rPr>
          <w:rFonts w:ascii="Arial" w:cs="Arial" w:eastAsia="Arial" w:hAnsi="Arial"/>
          <w:sz w:val="15"/>
          <w:szCs w:val="15"/>
          <w:color w:val="auto"/>
        </w:rPr>
        <w:t>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 to conduct these activities vary depending on the location where such drilling and completion activities will be conducted. Several states have adopted or are considering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are considering adopting land use restrictions, such as city ordinances, that may restrict the performance of or prohibit the well drilling in general and/or hydraulic fracturing in particular.</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5" w:name="page56"/>
    <w:bookmarkEnd w:id="5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firstLine="288"/>
        <w:spacing w:after="0" w:line="272" w:lineRule="auto"/>
        <w:rPr>
          <w:sz w:val="20"/>
          <w:szCs w:val="20"/>
          <w:color w:val="auto"/>
        </w:rPr>
      </w:pPr>
      <w:r>
        <w:rPr>
          <w:rFonts w:ascii="Arial" w:cs="Arial" w:eastAsia="Arial" w:hAnsi="Arial"/>
          <w:sz w:val="15"/>
          <w:szCs w:val="15"/>
          <w:color w:val="auto"/>
        </w:rPr>
        <w:t>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59"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b w:val="1"/>
          <w:bCs w:val="1"/>
          <w:i w:val="1"/>
          <w:iCs w:val="1"/>
          <w:color w:val="auto"/>
        </w:rPr>
        <w:t>We are subject to numerous governmental export laws and trade and economic sanctions laws and regulations. Our failure to comply with such laws and regulations could subject us to liability and have a material adverse impact on our business, results of operations or financial condition.</w:t>
      </w:r>
    </w:p>
    <w:p>
      <w:pPr>
        <w:spacing w:after="0" w:line="152" w:lineRule="exact"/>
        <w:rPr>
          <w:sz w:val="20"/>
          <w:szCs w:val="20"/>
          <w:color w:val="auto"/>
        </w:rPr>
      </w:pPr>
    </w:p>
    <w:p>
      <w:pPr>
        <w:ind w:right="60" w:firstLine="288"/>
        <w:spacing w:after="0" w:line="276" w:lineRule="auto"/>
        <w:rPr>
          <w:sz w:val="20"/>
          <w:szCs w:val="20"/>
          <w:color w:val="auto"/>
        </w:rPr>
      </w:pPr>
      <w:r>
        <w:rPr>
          <w:rFonts w:ascii="Arial" w:cs="Arial" w:eastAsia="Arial" w:hAnsi="Arial"/>
          <w:sz w:val="15"/>
          <w:szCs w:val="15"/>
          <w:color w:val="auto"/>
        </w:rPr>
        <w:t>We conduct business throughout the world and our business activities and services are subject to various applicable import and export control laws and regulations of the United States and other countries, particularly countries in the Caribbean.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w:t>
      </w:r>
    </w:p>
    <w:p>
      <w:pPr>
        <w:spacing w:after="0" w:line="155" w:lineRule="exact"/>
        <w:rPr>
          <w:sz w:val="20"/>
          <w:szCs w:val="20"/>
          <w:color w:val="auto"/>
        </w:rPr>
      </w:pPr>
    </w:p>
    <w:p>
      <w:pPr>
        <w:ind w:right="20" w:firstLine="288"/>
        <w:spacing w:after="0" w:line="297" w:lineRule="auto"/>
        <w:rPr>
          <w:sz w:val="20"/>
          <w:szCs w:val="20"/>
          <w:color w:val="auto"/>
        </w:rPr>
      </w:pPr>
      <w:r>
        <w:rPr>
          <w:rFonts w:ascii="Arial" w:cs="Arial" w:eastAsia="Arial" w:hAnsi="Arial"/>
          <w:sz w:val="14"/>
          <w:szCs w:val="14"/>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Although we have adopted policies and procedures that are designed to ensure that we, our employees and other intermediaries comply with the FCPA,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 If we are not in compliance with anti-corruption laws and regulations, including the FCPA, we may be subject to criminal and civil penalties and other remedial measures, including changes or enhancements to our procedures, policies and control, as well as potential personnel change and disciplinary actions, which could have an adverse impact on our business, results of operations and financial condition.</w:t>
      </w:r>
    </w:p>
    <w:p>
      <w:pPr>
        <w:spacing w:after="0" w:line="143" w:lineRule="exact"/>
        <w:rPr>
          <w:sz w:val="20"/>
          <w:szCs w:val="20"/>
          <w:color w:val="auto"/>
        </w:rPr>
      </w:pPr>
    </w:p>
    <w:p>
      <w:pPr>
        <w:ind w:right="500" w:firstLine="288"/>
        <w:spacing w:after="0" w:line="282" w:lineRule="auto"/>
        <w:rPr>
          <w:sz w:val="20"/>
          <w:szCs w:val="20"/>
          <w:color w:val="auto"/>
        </w:rPr>
      </w:pPr>
      <w:r>
        <w:rPr>
          <w:rFonts w:ascii="Arial" w:cs="Arial" w:eastAsia="Arial" w:hAnsi="Arial"/>
          <w:sz w:val="15"/>
          <w:szCs w:val="15"/>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the Jurisdictions in Which We Operate</w:t>
      </w:r>
    </w:p>
    <w:p>
      <w:pPr>
        <w:spacing w:after="0" w:line="204" w:lineRule="exact"/>
        <w:rPr>
          <w:sz w:val="20"/>
          <w:szCs w:val="20"/>
          <w:color w:val="auto"/>
        </w:rPr>
      </w:pPr>
    </w:p>
    <w:p>
      <w:pPr>
        <w:ind w:right="260"/>
        <w:spacing w:after="0" w:line="277" w:lineRule="auto"/>
        <w:rPr>
          <w:sz w:val="20"/>
          <w:szCs w:val="20"/>
          <w:color w:val="auto"/>
        </w:rPr>
      </w:pPr>
      <w:r>
        <w:rPr>
          <w:rFonts w:ascii="Arial" w:cs="Arial" w:eastAsia="Arial" w:hAnsi="Arial"/>
          <w:sz w:val="16"/>
          <w:szCs w:val="16"/>
          <w:b w:val="1"/>
          <w:bCs w:val="1"/>
          <w:i w:val="1"/>
          <w:iCs w:val="1"/>
          <w:color w:val="auto"/>
        </w:rPr>
        <w:t>We are currently highly dependent upon economic, political and other conditions and developments in the Caribbean, particularly Jamaica, and the other jurisdictions in which we operate.</w:t>
      </w:r>
    </w:p>
    <w:p>
      <w:pPr>
        <w:spacing w:after="0" w:line="152" w:lineRule="exact"/>
        <w:rPr>
          <w:sz w:val="20"/>
          <w:szCs w:val="20"/>
          <w:color w:val="auto"/>
        </w:rPr>
      </w:pPr>
    </w:p>
    <w:p>
      <w:pPr>
        <w:ind w:right="20" w:firstLine="288"/>
        <w:spacing w:after="0" w:line="277" w:lineRule="auto"/>
        <w:rPr>
          <w:sz w:val="20"/>
          <w:szCs w:val="20"/>
          <w:color w:val="auto"/>
        </w:rPr>
      </w:pPr>
      <w:r>
        <w:rPr>
          <w:rFonts w:ascii="Arial" w:cs="Arial" w:eastAsia="Arial" w:hAnsi="Arial"/>
          <w:sz w:val="16"/>
          <w:szCs w:val="16"/>
          <w:color w:val="auto"/>
        </w:rPr>
        <w:t>We currently conduct a meaningful portion of our business in Jamaica. As a result, our current business, results of operations, financial condition and prospects are materially dependent upon economic, political and other conditions and developments in Jamaica.</w:t>
      </w:r>
    </w:p>
    <w:p>
      <w:pPr>
        <w:spacing w:after="0" w:line="152" w:lineRule="exact"/>
        <w:rPr>
          <w:sz w:val="20"/>
          <w:szCs w:val="20"/>
          <w:color w:val="auto"/>
        </w:rPr>
      </w:pPr>
    </w:p>
    <w:p>
      <w:pPr>
        <w:ind w:firstLine="288"/>
        <w:spacing w:after="0" w:line="299" w:lineRule="auto"/>
        <w:rPr>
          <w:sz w:val="20"/>
          <w:szCs w:val="20"/>
          <w:color w:val="auto"/>
        </w:rPr>
      </w:pPr>
      <w:r>
        <w:rPr>
          <w:rFonts w:ascii="Arial" w:cs="Arial" w:eastAsia="Arial" w:hAnsi="Arial"/>
          <w:sz w:val="14"/>
          <w:szCs w:val="14"/>
          <w:color w:val="auto"/>
        </w:rPr>
        <w:t>We currently have interests and operations in Jamaica and the United States and currently intend to expand into additional markets in the Caribbean (including Puerto Rico and the Dominican Republic), Mexico, Ireland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countries have experienced political, security and economic instability in the recent past and may experience instability in the future.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6" w:name="page57"/>
    <w:bookmarkEnd w:id="5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jc w:val="both"/>
        <w:ind w:right="60" w:firstLine="288"/>
        <w:spacing w:after="0" w:line="264" w:lineRule="auto"/>
        <w:rPr>
          <w:sz w:val="20"/>
          <w:szCs w:val="20"/>
          <w:color w:val="auto"/>
        </w:rPr>
      </w:pPr>
      <w:r>
        <w:rPr>
          <w:rFonts w:ascii="Arial" w:cs="Arial" w:eastAsia="Arial" w:hAnsi="Arial"/>
          <w:sz w:val="16"/>
          <w:szCs w:val="16"/>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Jamaica or other jurisdictions in which we operate worsens because of, for example:</w:t>
      </w:r>
    </w:p>
    <w:p>
      <w:pPr>
        <w:spacing w:after="0" w:line="162" w:lineRule="exact"/>
        <w:rPr>
          <w:sz w:val="20"/>
          <w:szCs w:val="20"/>
          <w:color w:val="auto"/>
        </w:rPr>
      </w:pPr>
    </w:p>
    <w:p>
      <w:pPr>
        <w:ind w:left="580" w:hanging="296"/>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lower economic activity;</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 increase in oil, natural gas or petrochemical prices;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devaluation of the applicable currency;</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higher inflation; or</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 increase in domestic interest rates,</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then our business, results of operations, financial condition and prospects may also be significantly affected by actions taken by the government in the jurisdictions in which we operate.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adversely affect our business, financial condition, results of operations or prospects.</w:t>
      </w:r>
    </w:p>
    <w:p>
      <w:pPr>
        <w:spacing w:after="0" w:line="140" w:lineRule="exact"/>
        <w:rPr>
          <w:sz w:val="20"/>
          <w:szCs w:val="20"/>
          <w:color w:val="auto"/>
        </w:rPr>
      </w:pPr>
    </w:p>
    <w:p>
      <w:pPr>
        <w:ind w:right="360" w:firstLine="288"/>
        <w:spacing w:after="0" w:line="259" w:lineRule="auto"/>
        <w:rPr>
          <w:sz w:val="20"/>
          <w:szCs w:val="20"/>
          <w:color w:val="auto"/>
        </w:rPr>
      </w:pPr>
      <w:r>
        <w:rPr>
          <w:rFonts w:ascii="Arial" w:cs="Arial" w:eastAsia="Arial" w:hAnsi="Arial"/>
          <w:sz w:val="16"/>
          <w:szCs w:val="16"/>
          <w:color w:val="auto"/>
        </w:rPr>
        <w:t>For example, JPS and JPC are subject to the mandate of the OUR. The OUR regulates the amount of money that power utilities in Jamaica, including JPS and JPC, can charge their customers. Though the OUR cannot impact 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condition and operating results may be adversely affected by foreign exchange fluctuations.</w:t>
      </w:r>
    </w:p>
    <w:p>
      <w:pPr>
        <w:spacing w:after="0" w:line="200" w:lineRule="exact"/>
        <w:rPr>
          <w:sz w:val="20"/>
          <w:szCs w:val="20"/>
          <w:color w:val="auto"/>
        </w:rPr>
      </w:pPr>
    </w:p>
    <w:p>
      <w:pPr>
        <w:ind w:right="120" w:firstLine="288"/>
        <w:spacing w:after="0" w:line="259" w:lineRule="auto"/>
        <w:rPr>
          <w:sz w:val="20"/>
          <w:szCs w:val="20"/>
          <w:color w:val="auto"/>
        </w:rPr>
      </w:pPr>
      <w:r>
        <w:rPr>
          <w:rFonts w:ascii="Arial" w:cs="Arial" w:eastAsia="Arial" w:hAnsi="Arial"/>
          <w:sz w:val="16"/>
          <w:szCs w:val="16"/>
          <w:color w:val="auto"/>
        </w:rPr>
        <w:t>Our condensed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167" w:lineRule="exact"/>
        <w:rPr>
          <w:sz w:val="20"/>
          <w:szCs w:val="20"/>
          <w:color w:val="auto"/>
        </w:rPr>
      </w:pPr>
    </w:p>
    <w:p>
      <w:pPr>
        <w:ind w:right="60" w:firstLine="288"/>
        <w:spacing w:after="0" w:line="256" w:lineRule="auto"/>
        <w:rPr>
          <w:sz w:val="20"/>
          <w:szCs w:val="20"/>
          <w:color w:val="auto"/>
        </w:rPr>
      </w:pPr>
      <w:r>
        <w:rPr>
          <w:rFonts w:ascii="Arial" w:cs="Arial" w:eastAsia="Arial" w:hAnsi="Arial"/>
          <w:sz w:val="16"/>
          <w:szCs w:val="16"/>
          <w:color w:val="auto"/>
        </w:rPr>
        <w:t>A portion of our cash flows and expenses may in the future be incurred in currencies other than the U.S. dollar. Our material counterparties’ cash flows and expenses may be incurred in currencies other than the U.S. dollar. There can be no assurance that non-U.S. currencies will not be subject to volatility and depreciation or that the current exchange rate policies affecting these currencies will remain the same. We may choose not to hedge, or we may not be effective in efforts to hedge, this foreign currency risk. 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68"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162" w:lineRule="exact"/>
        <w:rPr>
          <w:sz w:val="20"/>
          <w:szCs w:val="20"/>
          <w:color w:val="auto"/>
        </w:rPr>
      </w:pPr>
    </w:p>
    <w:p>
      <w:pPr>
        <w:ind w:right="40" w:firstLine="288"/>
        <w:spacing w:after="0" w:line="278" w:lineRule="auto"/>
        <w:rPr>
          <w:sz w:val="20"/>
          <w:szCs w:val="20"/>
          <w:color w:val="auto"/>
        </w:rPr>
      </w:pPr>
      <w:r>
        <w:rPr>
          <w:rFonts w:ascii="Arial" w:cs="Arial" w:eastAsia="Arial" w:hAnsi="Arial"/>
          <w:sz w:val="15"/>
          <w:szCs w:val="15"/>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7" w:name="page58"/>
    <w:bookmarkEnd w:id="5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120" w:firstLine="288"/>
        <w:spacing w:after="0" w:line="274" w:lineRule="auto"/>
        <w:rPr>
          <w:sz w:val="20"/>
          <w:szCs w:val="20"/>
          <w:color w:val="auto"/>
        </w:rPr>
      </w:pPr>
      <w:r>
        <w:rPr>
          <w:rFonts w:ascii="Arial" w:cs="Arial" w:eastAsia="Arial" w:hAnsi="Arial"/>
          <w:sz w:val="15"/>
          <w:szCs w:val="15"/>
          <w:color w:val="auto"/>
        </w:rPr>
        <w:t>Our after-tax profitability may also be affected by changes in the relevant tax laws and tax rates, regulations, administrative practices and principles, judicial decisions, and interpretations, in each case, possibly with retroactive effect. The United States recently enacted tax reform legislation in Public Law No. 115-97, commonly referred to as the Tax Cuts and Jobs Act. Additionally, the Multilateral Convention to Implement Tax Treaty Related Measures to Prevent Base Erosion and Profit Shifting recently entered into force among the jurisdictions that have ratified it. Both of these recent changes could result in further changes to our global taxation. These tax reforms provided for new and complex provisions that significantly change how the United States and other jurisdictions tax entities and operations, and those provisions are subject to further legislative change and administrative guidance and interpretation, all of which may differ from our interpretation. Other countries in which we operate may also undergo tax reforms that could adversely impact our after-tax profitability.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Inherent in Owning Class A shares</w:t>
      </w:r>
    </w:p>
    <w:p>
      <w:pPr>
        <w:spacing w:after="0" w:line="204" w:lineRule="exact"/>
        <w:rPr>
          <w:sz w:val="20"/>
          <w:szCs w:val="20"/>
          <w:color w:val="auto"/>
        </w:rPr>
      </w:pPr>
    </w:p>
    <w:p>
      <w:pPr>
        <w:ind w:right="400"/>
        <w:spacing w:after="0" w:line="277" w:lineRule="auto"/>
        <w:rPr>
          <w:sz w:val="20"/>
          <w:szCs w:val="20"/>
          <w:color w:val="auto"/>
        </w:rPr>
      </w:pPr>
      <w:r>
        <w:rPr>
          <w:rFonts w:ascii="Arial" w:cs="Arial" w:eastAsia="Arial" w:hAnsi="Arial"/>
          <w:sz w:val="16"/>
          <w:szCs w:val="16"/>
          <w:b w:val="1"/>
          <w:bCs w:val="1"/>
          <w:i w:val="1"/>
          <w:iCs w:val="1"/>
          <w:color w:val="auto"/>
        </w:rPr>
        <w:t>We are a “controlled company” within the meaning of NASDAQ rules and, as a result, qualify for and intend to rely on exemptions from certain corporate governance requirements.</w:t>
      </w:r>
    </w:p>
    <w:p>
      <w:pPr>
        <w:spacing w:after="0" w:line="152" w:lineRule="exact"/>
        <w:rPr>
          <w:sz w:val="20"/>
          <w:szCs w:val="20"/>
          <w:color w:val="auto"/>
        </w:rPr>
      </w:pPr>
    </w:p>
    <w:p>
      <w:pPr>
        <w:ind w:right="180" w:firstLine="288"/>
        <w:spacing w:after="0" w:line="319" w:lineRule="auto"/>
        <w:rPr>
          <w:sz w:val="20"/>
          <w:szCs w:val="20"/>
          <w:color w:val="auto"/>
        </w:rPr>
      </w:pPr>
      <w:r>
        <w:rPr>
          <w:rFonts w:ascii="Arial" w:cs="Arial" w:eastAsia="Arial" w:hAnsi="Arial"/>
          <w:sz w:val="14"/>
          <w:szCs w:val="14"/>
          <w:color w:val="auto"/>
        </w:rPr>
        <w:t>New Fortress Energy Holdings holds a majority of the voting power of our shares. As a result, we are a controlled company within the meaning of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127" w:lineRule="exact"/>
        <w:rPr>
          <w:sz w:val="20"/>
          <w:szCs w:val="20"/>
          <w:color w:val="auto"/>
        </w:rPr>
      </w:pPr>
    </w:p>
    <w:p>
      <w:pPr>
        <w:ind w:left="580" w:hanging="296"/>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majority of the board of directors consist of independent directors as defined under the rules of NASDAQ;</w:t>
      </w:r>
    </w:p>
    <w:p>
      <w:pPr>
        <w:spacing w:after="0" w:line="224" w:lineRule="exact"/>
        <w:rPr>
          <w:rFonts w:ascii="Arial" w:cs="Arial" w:eastAsia="Arial" w:hAnsi="Arial"/>
          <w:sz w:val="16"/>
          <w:szCs w:val="16"/>
          <w:color w:val="auto"/>
        </w:rPr>
      </w:pPr>
    </w:p>
    <w:p>
      <w:pPr>
        <w:ind w:left="580" w:hanging="296"/>
        <w:spacing w:after="0" w:line="277"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nominating and governance committee be composed entirely of independent directors with a written charter addressing the committee’s purpose and responsibilities; and</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compensation committee be composed entirely of independent directors with a written charter addressing the committee’s purpose and responsibilities.</w:t>
      </w:r>
    </w:p>
    <w:p>
      <w:pPr>
        <w:spacing w:after="0" w:line="236" w:lineRule="exact"/>
        <w:rPr>
          <w:sz w:val="20"/>
          <w:szCs w:val="20"/>
          <w:color w:val="auto"/>
        </w:rPr>
      </w:pPr>
    </w:p>
    <w:p>
      <w:pPr>
        <w:ind w:right="380" w:firstLine="288"/>
        <w:spacing w:after="0" w:line="319" w:lineRule="auto"/>
        <w:rPr>
          <w:sz w:val="20"/>
          <w:szCs w:val="20"/>
          <w:color w:val="auto"/>
        </w:rPr>
      </w:pPr>
      <w:r>
        <w:rPr>
          <w:rFonts w:ascii="Arial" w:cs="Arial" w:eastAsia="Arial" w:hAnsi="Arial"/>
          <w:sz w:val="14"/>
          <w:szCs w:val="14"/>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shareholders may not have the same protections afforded to shareholders of companies that are subject to all of the corporate governance requirements of NASDAQ.</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New Fortress Energy Holdings has the ability to direct the voting of a majority of our shares, and its interests may conflict with those of our other shareholders.</w:t>
      </w:r>
    </w:p>
    <w:p>
      <w:pPr>
        <w:spacing w:after="0" w:line="223" w:lineRule="exact"/>
        <w:rPr>
          <w:sz w:val="20"/>
          <w:szCs w:val="20"/>
          <w:color w:val="auto"/>
        </w:rPr>
      </w:pPr>
    </w:p>
    <w:p>
      <w:pPr>
        <w:ind w:right="160" w:firstLine="288"/>
        <w:spacing w:after="0" w:line="297" w:lineRule="auto"/>
        <w:rPr>
          <w:sz w:val="20"/>
          <w:szCs w:val="20"/>
          <w:color w:val="auto"/>
        </w:rPr>
      </w:pPr>
      <w:r>
        <w:rPr>
          <w:rFonts w:ascii="Arial" w:cs="Arial" w:eastAsia="Arial" w:hAnsi="Arial"/>
          <w:sz w:val="14"/>
          <w:szCs w:val="14"/>
          <w:color w:val="auto"/>
        </w:rPr>
        <w:t>As of May 9, 2019, New Fortress Energy Holdings owns an aggregate of approximately 147,058,824 Class B shares representing 87.6% of our voting power. In addition, Wesley R. Edens and Randal A. Nardone, who are members of New Fortress Energy Holdings, own 3,278,199 Class A shares and 3,080,000 Class A shares, respectively, representing 15.7% and 14.8% voting power, respectively. New Fortress Energy Holdings’ beneficial ownership of greater than 50% of our voting shares means New Fortress Energy Holdings will be able to control matters requiring shareholder approval, including the election of directors, changes to our organizational documents and significant corporate transactions. This concentration of ownership makes it unlikely that any other holder or group of holders of our Class A shares will be able to affect the way we are managed or the direction of our business. The interests of New Fortress Energy Holdings with respect to matters potentially or actually involving or affecting us, such as future acquisitions, financings and other corporate opportunities and attempts to acquire us, may conflict with the interests of our other shareholders.</w:t>
      </w:r>
    </w:p>
    <w:p>
      <w:pPr>
        <w:spacing w:after="0" w:line="143" w:lineRule="exact"/>
        <w:rPr>
          <w:sz w:val="20"/>
          <w:szCs w:val="20"/>
          <w:color w:val="auto"/>
        </w:rPr>
      </w:pPr>
    </w:p>
    <w:p>
      <w:pPr>
        <w:ind w:firstLine="288"/>
        <w:spacing w:after="0" w:line="276" w:lineRule="auto"/>
        <w:rPr>
          <w:sz w:val="20"/>
          <w:szCs w:val="20"/>
          <w:color w:val="auto"/>
        </w:rPr>
      </w:pPr>
      <w:r>
        <w:rPr>
          <w:rFonts w:ascii="Arial" w:cs="Arial" w:eastAsia="Arial" w:hAnsi="Arial"/>
          <w:sz w:val="15"/>
          <w:szCs w:val="15"/>
          <w:color w:val="auto"/>
        </w:rPr>
        <w:t>Furthermore, in connection with the IPO, we entered into a shareholders’ agreement (the “Shareholders’ Agreement”) with New Fortress Energy Holdings and its affiliates. The Shareholders’ Agreement provides New Fortress Energy Holdings with the right to designate a certain number of nominees to our board of directors so long as New Fortress Energy Holdings and its affiliates collectively beneficially own at least 5% of the outstanding Class A shares and Class B shares. In addition, our operating agreement provides certain entities controlled by Wesley R. Edens and Randal A. Nardone (the “Consenting Entities”) the right to approve certain material transactions so long as the Consenting Entities and their affiliates collectively, directly or indirectly, own at least 30% of the outstanding Class A shares and Class B shares. See “Part III, Item 13. Certain Relationships and Related Transactions, and Director Independence—Shareholders’ Agreement” in our Annual Report.</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58" w:name="page59"/>
    <w:bookmarkEnd w:id="5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100" w:firstLine="288"/>
        <w:spacing w:after="0" w:line="282" w:lineRule="auto"/>
        <w:rPr>
          <w:sz w:val="20"/>
          <w:szCs w:val="20"/>
          <w:color w:val="auto"/>
        </w:rPr>
      </w:pPr>
      <w:r>
        <w:rPr>
          <w:rFonts w:ascii="Arial" w:cs="Arial" w:eastAsia="Arial" w:hAnsi="Arial"/>
          <w:sz w:val="15"/>
          <w:szCs w:val="15"/>
          <w:color w:val="auto"/>
        </w:rPr>
        <w:t>Given this concentrated ownership, New Fortress Energy Holdings would have to approve any potential acquisition of us. The existence of a significant shareholder may have the effect of deterring hostile takeovers, delaying or preventing changes in control or changes in management, or limiting the ability of our other shareholders to approve transactions that they may deem to be in the best interests of our company. Moreover, New Fortress Energy Holdings’ concentration of share ownership may adversely affect the trading price of our Class A shares to the extent investors perceive a disadvantage in owning stock of a company with a significant shareholder.</w:t>
      </w:r>
    </w:p>
    <w:p>
      <w:pPr>
        <w:spacing w:after="0" w:line="150" w:lineRule="exact"/>
        <w:rPr>
          <w:sz w:val="20"/>
          <w:szCs w:val="20"/>
          <w:color w:val="auto"/>
        </w:rPr>
      </w:pPr>
    </w:p>
    <w:p>
      <w:pPr>
        <w:ind w:right="60" w:firstLine="288"/>
        <w:spacing w:after="0" w:line="259" w:lineRule="auto"/>
        <w:rPr>
          <w:sz w:val="20"/>
          <w:szCs w:val="20"/>
          <w:color w:val="auto"/>
        </w:rPr>
      </w:pPr>
      <w:r>
        <w:rPr>
          <w:rFonts w:ascii="Arial" w:cs="Arial" w:eastAsia="Arial" w:hAnsi="Arial"/>
          <w:sz w:val="16"/>
          <w:szCs w:val="16"/>
          <w:color w:val="auto"/>
        </w:rPr>
        <w:t>In addition, New Fortress Energy Holdings may have different tax positions from us that could influence its decisions regarding whether and when to support the disposition of assets and the incurrence or refinancing of new or existing indebtedness. In addition, the determination of future tax reporting positions, the structuring of future transactions and the handling of any challenge by any taxing authority to our tax reporting positions may take into consideration New Fortress Energy Holdings’ tax or other considerations, which may differ from the considerations of NFE or our other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Fortress Energy Holdings may compete with us.</w:t>
      </w:r>
    </w:p>
    <w:p>
      <w:pPr>
        <w:spacing w:after="0" w:line="200" w:lineRule="exact"/>
        <w:rPr>
          <w:sz w:val="20"/>
          <w:szCs w:val="20"/>
          <w:color w:val="auto"/>
        </w:rPr>
      </w:pPr>
    </w:p>
    <w:p>
      <w:pPr>
        <w:ind w:firstLine="288"/>
        <w:spacing w:after="0" w:line="256" w:lineRule="auto"/>
        <w:rPr>
          <w:sz w:val="20"/>
          <w:szCs w:val="20"/>
          <w:color w:val="auto"/>
        </w:rPr>
      </w:pPr>
      <w:r>
        <w:rPr>
          <w:rFonts w:ascii="Arial" w:cs="Arial" w:eastAsia="Arial" w:hAnsi="Arial"/>
          <w:sz w:val="16"/>
          <w:szCs w:val="16"/>
          <w:color w:val="auto"/>
        </w:rPr>
        <w:t>Our governing documents provide that New Fortress Energy Holdings is not prohibited from engaging in other businesses or activities, including those that might be in direct competition with us. In addition, New Fortress Energy Holdings may compete with us for investment opportunities and may own an interest in entities that compete with us. Additionally, our operating agreement provides that if New Fortress Energy Holdings or an affiliate or any of their officers, directors or employees acquire knowledge of a potential transaction that could be a corporate opportunity, they have no duty, to the fullest extent permitted by law, to offer such corporate opportunity to us, our Class A shareholders or our affiliates. This may create actual and potential conflicts of interest between us and New Fortress Energy Holdings and result in less than favorable treatment of us and our Class A shareholders.</w:t>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b w:val="1"/>
          <w:bCs w:val="1"/>
          <w:i w:val="1"/>
          <w:iCs w:val="1"/>
          <w:color w:val="auto"/>
        </w:rPr>
        <w:t>Our operating agreement, as well as Delaware law, contains provisions that could discourage acquisition bids or merger proposals, which may adversely affect the market price of our Class A shares and could deprive our investors of the opportunity to receive a premium for their shares.</w:t>
      </w:r>
    </w:p>
    <w:p>
      <w:pPr>
        <w:spacing w:after="0" w:line="152" w:lineRule="exact"/>
        <w:rPr>
          <w:sz w:val="20"/>
          <w:szCs w:val="20"/>
          <w:color w:val="auto"/>
        </w:rPr>
      </w:pPr>
    </w:p>
    <w:p>
      <w:pPr>
        <w:ind w:right="200" w:firstLine="288"/>
        <w:spacing w:after="0" w:line="257" w:lineRule="auto"/>
        <w:rPr>
          <w:sz w:val="20"/>
          <w:szCs w:val="20"/>
          <w:color w:val="auto"/>
        </w:rPr>
      </w:pPr>
      <w:r>
        <w:rPr>
          <w:rFonts w:ascii="Arial" w:cs="Arial" w:eastAsia="Arial" w:hAnsi="Arial"/>
          <w:sz w:val="16"/>
          <w:szCs w:val="16"/>
          <w:color w:val="auto"/>
        </w:rPr>
        <w:t>Our operating agreement authorizes our board of directors to issue preferred shares without shareholder approval in one or more series, designate the number of shares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shares, it could be more difficult for a third party to acquire us. In addition, some provisions of our operating agreement could make it more difficult for a third party to acquire control of us, even if the change of control would be beneficial to our shareholders. These provisions include:</w:t>
      </w:r>
    </w:p>
    <w:p>
      <w:pPr>
        <w:spacing w:after="0" w:line="168" w:lineRule="exact"/>
        <w:rPr>
          <w:sz w:val="20"/>
          <w:szCs w:val="20"/>
          <w:color w:val="auto"/>
        </w:rPr>
      </w:pPr>
    </w:p>
    <w:p>
      <w:pPr>
        <w:ind w:left="580" w:hanging="296"/>
        <w:spacing w:after="0"/>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dividing our board of directors into three classes of directors, with each class serving staggered three-year terms;</w:t>
      </w:r>
    </w:p>
    <w:p>
      <w:pPr>
        <w:spacing w:after="0" w:line="224" w:lineRule="exact"/>
        <w:rPr>
          <w:rFonts w:ascii="Arial" w:cs="Arial" w:eastAsia="Arial" w:hAnsi="Arial"/>
          <w:sz w:val="16"/>
          <w:szCs w:val="16"/>
          <w:color w:val="auto"/>
        </w:rPr>
      </w:pPr>
    </w:p>
    <w:p>
      <w:pPr>
        <w:ind w:left="580" w:right="580" w:hanging="296"/>
        <w:spacing w:after="0" w:line="277" w:lineRule="auto"/>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providing that all vacancies, including newly created directorships, may, except as otherwise required by law, or, if applicable, the rights of holders of a series of preferred shares, only be filled by the affirmative vote of a majority of directors then in office, even if less than a quorum;</w:t>
      </w:r>
    </w:p>
    <w:p>
      <w:pPr>
        <w:spacing w:after="0" w:line="175" w:lineRule="exact"/>
        <w:rPr>
          <w:rFonts w:ascii="Arial" w:cs="Arial" w:eastAsia="Arial" w:hAnsi="Arial"/>
          <w:sz w:val="16"/>
          <w:szCs w:val="16"/>
          <w:color w:val="auto"/>
        </w:rPr>
      </w:pPr>
    </w:p>
    <w:p>
      <w:pPr>
        <w:ind w:left="580" w:right="120" w:hanging="296"/>
        <w:spacing w:after="0" w:line="277" w:lineRule="auto"/>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permitting any action by shareholders to be taken only at an annual meeting or special meeting rather than by a written consent of the shareholders, subject to the rights of any series of preferred shares with respect to such rights;</w:t>
      </w:r>
    </w:p>
    <w:p>
      <w:pPr>
        <w:spacing w:after="0" w:line="175" w:lineRule="exact"/>
        <w:rPr>
          <w:rFonts w:ascii="Arial" w:cs="Arial" w:eastAsia="Arial" w:hAnsi="Arial"/>
          <w:sz w:val="16"/>
          <w:szCs w:val="16"/>
          <w:color w:val="auto"/>
        </w:rPr>
      </w:pPr>
    </w:p>
    <w:p>
      <w:pPr>
        <w:ind w:left="580" w:right="200" w:hanging="296"/>
        <w:spacing w:after="0" w:line="277" w:lineRule="auto"/>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permitting special meetings of our shareholders to be called only by our board of directors pursuant to a resolution adopted by the affirmative vote of a majority of the total number of authorized directors whether or not there exist any vacancies in previously authorized directorships;</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prohibiting cumulative voting in the election of directors;</w:t>
      </w:r>
    </w:p>
    <w:p>
      <w:pPr>
        <w:spacing w:after="0" w:line="224" w:lineRule="exact"/>
        <w:rPr>
          <w:rFonts w:ascii="Arial" w:cs="Arial" w:eastAsia="Arial" w:hAnsi="Arial"/>
          <w:sz w:val="16"/>
          <w:szCs w:val="16"/>
          <w:color w:val="auto"/>
        </w:rPr>
      </w:pPr>
    </w:p>
    <w:p>
      <w:pPr>
        <w:ind w:left="580" w:right="20" w:hanging="296"/>
        <w:spacing w:after="0" w:line="277" w:lineRule="auto"/>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establishing advance notice provisions for shareholder proposals and nominations for elections to the board of directors to be acted upon at meetings of the shareholders; and</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9" w:name="page60"/>
    <w:bookmarkEnd w:id="5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580" w:hanging="296"/>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providing that the board of directors is expressly authorized to adopt, or to alter or repeal our operating agreement.</w:t>
      </w:r>
    </w:p>
    <w:p>
      <w:pPr>
        <w:spacing w:after="0" w:line="224" w:lineRule="exact"/>
        <w:rPr>
          <w:sz w:val="20"/>
          <w:szCs w:val="20"/>
          <w:color w:val="auto"/>
        </w:rPr>
      </w:pPr>
    </w:p>
    <w:p>
      <w:pPr>
        <w:ind w:right="380"/>
        <w:spacing w:after="0" w:line="277"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(“DGCL”) in a manner that may be less protective of the interests of our Class A shareholders.</w:t>
      </w:r>
    </w:p>
    <w:p>
      <w:pPr>
        <w:spacing w:after="0" w:line="152" w:lineRule="exact"/>
        <w:rPr>
          <w:sz w:val="20"/>
          <w:szCs w:val="20"/>
          <w:color w:val="auto"/>
        </w:rPr>
      </w:pPr>
    </w:p>
    <w:p>
      <w:pPr>
        <w:ind w:right="40" w:firstLine="288"/>
        <w:spacing w:after="0" w:line="297" w:lineRule="auto"/>
        <w:rPr>
          <w:sz w:val="20"/>
          <w:szCs w:val="20"/>
          <w:color w:val="auto"/>
        </w:rPr>
      </w:pPr>
      <w:r>
        <w:rPr>
          <w:rFonts w:ascii="Arial" w:cs="Arial" w:eastAsia="Arial" w:hAnsi="Arial"/>
          <w:sz w:val="14"/>
          <w:szCs w:val="14"/>
          <w:color w:val="auto"/>
        </w:rPr>
        <w:t>Our operating agreement provides that to the fullest extent permitted by applicable law our directors or officers will not be liable to us. By contrast, under the DGCL, a director or officer would be liable to us for (i) breach of duty of loyalty to us or our shareholders, (ii) intentional misconduct or knowing violations of the law that are not done in good faith, (iii) improper redemption of shares or declaration of dividends, or (iv) a transaction from which the director derived an improper personal benefit. In addition, our operating agreement provides that we indemnify our directors and officers for acts or omissions to the fullest extent provided by law. By contrast,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Class A shareholders, when compared to the DGCL, insofar as it relates to the exculpation and indemnification of our officers and directors.</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b w:val="1"/>
          <w:bCs w:val="1"/>
          <w:i w:val="1"/>
          <w:iCs w:val="1"/>
          <w:color w:val="auto"/>
        </w:rPr>
        <w:t>We do not currently plan to pay cash dividends on our Class A shares. Consequently, a shareholder’s only opportunity to achieve a return on its investment is if the price of our Class A shares appreciates.</w:t>
      </w:r>
    </w:p>
    <w:p>
      <w:pPr>
        <w:spacing w:after="0" w:line="152" w:lineRule="exact"/>
        <w:rPr>
          <w:sz w:val="20"/>
          <w:szCs w:val="20"/>
          <w:color w:val="auto"/>
        </w:rPr>
      </w:pPr>
    </w:p>
    <w:p>
      <w:pPr>
        <w:ind w:right="20" w:firstLine="288"/>
        <w:spacing w:after="0" w:line="264" w:lineRule="auto"/>
        <w:rPr>
          <w:sz w:val="20"/>
          <w:szCs w:val="20"/>
          <w:color w:val="auto"/>
        </w:rPr>
      </w:pPr>
      <w:r>
        <w:rPr>
          <w:rFonts w:ascii="Arial" w:cs="Arial" w:eastAsia="Arial" w:hAnsi="Arial"/>
          <w:sz w:val="16"/>
          <w:szCs w:val="16"/>
          <w:color w:val="auto"/>
        </w:rPr>
        <w:t>We do not currently plan to declare regular cash dividends on our Class A shares in the foreseeable future. Consequently, a shareholder’s only opportunity to achieve a return on investment in us will be if the shareholder sells its Class A share at a price greater than it paid for such Class A shares. There is no guarantee that the price of our Class A shares that will prevail in the market will ever exceed the price paid to purchase such Class A shares.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issue preferred shares, the terms of which could adversely affect the voting power or value of our Class A shares.</w:t>
      </w:r>
    </w:p>
    <w:p>
      <w:pPr>
        <w:spacing w:after="0" w:line="200" w:lineRule="exact"/>
        <w:rPr>
          <w:sz w:val="20"/>
          <w:szCs w:val="20"/>
          <w:color w:val="auto"/>
        </w:rPr>
      </w:pPr>
    </w:p>
    <w:p>
      <w:pPr>
        <w:ind w:right="240" w:firstLine="288"/>
        <w:spacing w:after="0" w:line="302" w:lineRule="auto"/>
        <w:rPr>
          <w:sz w:val="20"/>
          <w:szCs w:val="20"/>
          <w:color w:val="auto"/>
        </w:rPr>
      </w:pPr>
      <w:r>
        <w:rPr>
          <w:rFonts w:ascii="Arial" w:cs="Arial" w:eastAsia="Arial" w:hAnsi="Arial"/>
          <w:sz w:val="14"/>
          <w:szCs w:val="14"/>
          <w:color w:val="auto"/>
        </w:rPr>
        <w:t>Our operating agreement authorizes us to issue, without the approval of our shareholders, one or more classes or series of preferred shares having such designations, preferences, limitations and relative rights, including preferences over our Class A shares respecting dividends and distributions, as our board of directors may determine. The terms of one or more classes or series of preferred shares could adversely impact the voting power or value of our Class A shares. For example, we might grant holders of preferred shares the right to elect some number of our directors in all events or on the happening of specified events or the right to veto specified transactions. Similarly, the repurchase or redemption rights or liquidation preferences we might assign to holders of preferred shares could affect the residual value of the Class A shares.</w:t>
      </w:r>
    </w:p>
    <w:p>
      <w:pPr>
        <w:spacing w:after="0" w:line="140"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b w:val="1"/>
          <w:bCs w:val="1"/>
          <w:i w:val="1"/>
          <w:iCs w:val="1"/>
          <w:color w:val="auto"/>
        </w:rPr>
        <w:t>The market price of our Class A shares could be adversely affected by sales of substantial amounts of our Class A shares in the public or private markets or the perception in the public markets that these sales may occur, including sales by New Fortress Energy Holdings after the exercise of the redemption right pursuant to NFI’s limited liability company agreement (the “NFI LLC Agreement”) or other large holders.</w:t>
      </w:r>
    </w:p>
    <w:p>
      <w:pPr>
        <w:spacing w:after="0" w:line="162" w:lineRule="exact"/>
        <w:rPr>
          <w:sz w:val="20"/>
          <w:szCs w:val="20"/>
          <w:color w:val="auto"/>
        </w:rPr>
      </w:pPr>
    </w:p>
    <w:p>
      <w:pPr>
        <w:ind w:firstLine="288"/>
        <w:spacing w:after="0" w:line="271" w:lineRule="auto"/>
        <w:rPr>
          <w:sz w:val="20"/>
          <w:szCs w:val="20"/>
          <w:color w:val="auto"/>
        </w:rPr>
      </w:pPr>
      <w:r>
        <w:rPr>
          <w:rFonts w:ascii="Arial" w:cs="Arial" w:eastAsia="Arial" w:hAnsi="Arial"/>
          <w:sz w:val="15"/>
          <w:szCs w:val="15"/>
          <w:color w:val="auto"/>
        </w:rPr>
        <w:t>As of May 9, 2019, we have 20,837,272 Class A shares and 147,058,824 Class B shares outstanding. The Class A shares sold in the IPO are freely tradable without restriction under the Securities Act except for any Class A shares that may be held or acquired by our directors, officers or affiliates, which will be restricted securities under the Securities Act. Under the NFI LLC Agreement, New Fortress Energy Holdings and any permitted transferees of New Fortress Energy Holdings’ NFI LLC Units, subject to certain limitations, have the right (the “Redemption Right”) to cause NFI to acquire all or a portion of their NFI LLC Units for, at NFI’s election, (i) Class A shares at a redemption ratio of one Class A share for each NFI LLC Unit redeemed, subject to conversion rate adjustments for equity splits, equity dividends and reclassification and other similar transactions or (ii) an equivalent amount of cash. The NFI LLC Units held by New Fortress Energy Holdings and any Class A shares New Fortress Energy Holdings acquired through the exercise of the Redemption Right are subject to resale restrictions under a 180-day lock-up agreement with the underwriters. Each of the lock-up agreements with the underwriters may be waived in the discretion of certain of the underwriters. Sales by New Fortress Energy Holdings after the exercise of the Redemption Right or other large holders of a substantial number of our Class A shares in the public markets, or the perception that such sales might occur, could have a material adverse effect on the price of our Class A shares or could impair our ability to obtain capital through an offering of equity securities. In addition, we have agreed to provide registration rights to New Fortress Energy Holdings. Alternatively, we may be required to undertake a future public or private offering of Class A shares and use the net proceeds from such offering to purchase an equal number of NFI LLC Units from New Fortress Energy Holdings.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60" w:name="page61"/>
    <w:bookmarkEnd w:id="6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active, liquid and orderly trading market for our Class A shares may not be maintained and the price of our Class A shares may fluctuate significantly.</w:t>
      </w:r>
    </w:p>
    <w:p>
      <w:pPr>
        <w:spacing w:after="0" w:line="212" w:lineRule="exact"/>
        <w:rPr>
          <w:sz w:val="20"/>
          <w:szCs w:val="20"/>
          <w:color w:val="auto"/>
        </w:rPr>
      </w:pPr>
    </w:p>
    <w:p>
      <w:pPr>
        <w:ind w:right="60" w:firstLine="288"/>
        <w:spacing w:after="0" w:line="259" w:lineRule="auto"/>
        <w:rPr>
          <w:sz w:val="20"/>
          <w:szCs w:val="20"/>
          <w:color w:val="auto"/>
        </w:rPr>
      </w:pPr>
      <w:r>
        <w:rPr>
          <w:rFonts w:ascii="Arial" w:cs="Arial" w:eastAsia="Arial" w:hAnsi="Arial"/>
          <w:sz w:val="16"/>
          <w:szCs w:val="16"/>
          <w:color w:val="auto"/>
        </w:rPr>
        <w:t>Prior to January 2019, there was no public market for our Class A shares. An active, liquid and orderly trading market for our Class A shares may not be maintained. Active, liquid and orderly trading markets usually result in less price volatility and more efficiency in carrying out investors’ purchase and sale orders. The market price of our Class A shares could vary significantly as a result of a number of factors, some of which are beyond our control. In the event of a drop in the market price of our Class A shares, you could lose a substantial part or all of your investment in our Class A shares.</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b w:val="1"/>
          <w:bCs w:val="1"/>
          <w:i w:val="1"/>
          <w:iCs w:val="1"/>
          <w:color w:val="auto"/>
        </w:rPr>
        <w:t>For as long as we are an emerging growth company, we will not be required to comply with certain reporting requirements that apply to other public companies, including those relating to auditing standards and disclosure about our executive compensation.</w:t>
      </w:r>
    </w:p>
    <w:p>
      <w:pPr>
        <w:spacing w:after="0" w:line="152" w:lineRule="exact"/>
        <w:rPr>
          <w:sz w:val="20"/>
          <w:szCs w:val="20"/>
          <w:color w:val="auto"/>
        </w:rPr>
      </w:pPr>
    </w:p>
    <w:p>
      <w:pPr>
        <w:ind w:firstLine="288"/>
        <w:spacing w:after="0" w:line="271" w:lineRule="auto"/>
        <w:rPr>
          <w:sz w:val="20"/>
          <w:szCs w:val="20"/>
          <w:color w:val="auto"/>
        </w:rPr>
      </w:pPr>
      <w:r>
        <w:rPr>
          <w:rFonts w:ascii="Arial" w:cs="Arial" w:eastAsia="Arial" w:hAnsi="Arial"/>
          <w:sz w:val="15"/>
          <w:szCs w:val="15"/>
          <w:color w:val="auto"/>
        </w:rPr>
        <w:t>The Jumpstart Our Business Startups Act, or “JOBS Act,” contains provisions that, among other things, relax certain reporting requirements for “emerging growth companies,” including certain requirements relating to auditing standards and compensation disclosure. We are classified as an emerging growth company. For as long as we are an emerging growth company, which may be up to five full fiscal years, unlike other public companies, we will not be required to, among other things, (i) provide an auditor’s attestation report on management’s assessment of the effectiveness of our system of internal control over financial reporting pursuant to Section 404(b) of the Sarbanes-Oxley Act,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We currently intend to take advantage of the exemptions described above. We have also elected to use the extended transition period for complying with new or revised accounting standards under Section 102(b)(2) of the JOBS Act. This election allows us to delay the adoption of new or revised accounting standards that have different effective dates for public and private companies until those standards apply to private companies. As a result, our financial statements may not be comparable to companies that comply with public company effective dates, and our shareholders and potential investors may have difficulty in analyzing our operating results if comparing us to such companies. We will remain an emerging growth company for up to five years, although we will lose that status sooner if we have more than $1.07 billion of revenues in a fiscal year, have more than $700.0 million in market value of our Class A shareholders held by non-affiliates, or issue more than $1.0 billion of non-convertible debt over a three-year period.</w:t>
      </w:r>
    </w:p>
    <w:p>
      <w:pPr>
        <w:spacing w:after="0" w:line="159" w:lineRule="exact"/>
        <w:rPr>
          <w:sz w:val="20"/>
          <w:szCs w:val="20"/>
          <w:color w:val="auto"/>
        </w:rPr>
      </w:pPr>
    </w:p>
    <w:p>
      <w:pPr>
        <w:ind w:right="100" w:firstLine="288"/>
        <w:spacing w:after="0" w:line="264" w:lineRule="auto"/>
        <w:rPr>
          <w:sz w:val="20"/>
          <w:szCs w:val="20"/>
          <w:color w:val="auto"/>
        </w:rPr>
      </w:pPr>
      <w:r>
        <w:rPr>
          <w:rFonts w:ascii="Arial" w:cs="Arial" w:eastAsia="Arial" w:hAnsi="Arial"/>
          <w:sz w:val="16"/>
          <w:szCs w:val="16"/>
          <w:color w:val="auto"/>
        </w:rPr>
        <w:t>To the extent that we rely on any of the exemptions available to emerging growth companies, you will receive less information about our executive compensation and internal control over financial reporting than issuers that are not emerging growth companies. If some investors find our Class A shares to be less attractive as a result, there may be a less active trading market for our Class A shares and our Class A share price may be more volatile.</w:t>
      </w:r>
    </w:p>
    <w:p>
      <w:pPr>
        <w:spacing w:after="0" w:line="162" w:lineRule="exact"/>
        <w:rPr>
          <w:sz w:val="20"/>
          <w:szCs w:val="20"/>
          <w:color w:val="auto"/>
        </w:rPr>
      </w:pPr>
    </w:p>
    <w:p>
      <w:pPr>
        <w:ind w:right="200"/>
        <w:spacing w:after="0" w:line="351" w:lineRule="auto"/>
        <w:rPr>
          <w:sz w:val="20"/>
          <w:szCs w:val="20"/>
          <w:color w:val="auto"/>
        </w:rPr>
      </w:pPr>
      <w:r>
        <w:rPr>
          <w:rFonts w:ascii="Arial" w:cs="Arial" w:eastAsia="Arial" w:hAnsi="Arial"/>
          <w:sz w:val="14"/>
          <w:szCs w:val="14"/>
          <w:b w:val="1"/>
          <w:bCs w:val="1"/>
          <w:i w:val="1"/>
          <w:iCs w:val="1"/>
          <w:color w:val="auto"/>
        </w:rPr>
        <w:t>If we fail to develop or maintain an effective system of internal controls, we may not be able to accurately report our financial results or prevent fraud. As a result, current and potential shareholders could lose confidence in our financial reporting, which would harm our business and the trading price of our Class A shares.</w:t>
      </w:r>
    </w:p>
    <w:p>
      <w:pPr>
        <w:spacing w:after="0" w:line="106" w:lineRule="exact"/>
        <w:rPr>
          <w:sz w:val="20"/>
          <w:szCs w:val="20"/>
          <w:color w:val="auto"/>
        </w:rPr>
      </w:pPr>
    </w:p>
    <w:p>
      <w:pPr>
        <w:ind w:firstLine="288"/>
        <w:spacing w:after="0" w:line="273" w:lineRule="auto"/>
        <w:rPr>
          <w:sz w:val="20"/>
          <w:szCs w:val="20"/>
          <w:color w:val="auto"/>
        </w:rPr>
      </w:pPr>
      <w:r>
        <w:rPr>
          <w:rFonts w:ascii="Arial" w:cs="Arial" w:eastAsia="Arial" w:hAnsi="Arial"/>
          <w:sz w:val="15"/>
          <w:szCs w:val="15"/>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In connection with the preparation of our financial statements for the year ended December 31, 2017, we concluded there was a significant deficiency in our internal controls over financial reporting. While we continue to implement measures to address this deficiency, we cannot be certain that our efforts to develop and maintain our internal controls will be successful, that we will be able to maintain adequate controls over our financial processes and reporting in the future or that we will be able to comply with our obligations under Section 404 of the Sarbanes-Oxley Act. In connection with our efforts to maintain effective internal controls, we will need to hire additional accounting personnel as well as to make additional investments in software and systems.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shares.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1" w:name="page62"/>
    <w:bookmarkEnd w:id="6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200"/>
        <w:spacing w:after="0" w:line="351" w:lineRule="auto"/>
        <w:rPr>
          <w:sz w:val="20"/>
          <w:szCs w:val="20"/>
          <w:color w:val="auto"/>
        </w:rPr>
      </w:pPr>
      <w:r>
        <w:rPr>
          <w:rFonts w:ascii="Arial" w:cs="Arial" w:eastAsia="Arial" w:hAnsi="Arial"/>
          <w:sz w:val="14"/>
          <w:szCs w:val="14"/>
          <w:b w:val="1"/>
          <w:bCs w:val="1"/>
          <w:i w:val="1"/>
          <w:iCs w:val="1"/>
          <w:color w:val="auto"/>
        </w:rPr>
        <w:t>The requirements of being a public company, including compliance with the reporting requirements of the Exchange Act and the requirements of the Sarbanes-Oxley Act, may strain our resources, increase costs and distract management, and we may be unable to comply with these requirements in a timely or cost-effective manner.</w:t>
      </w:r>
    </w:p>
    <w:p>
      <w:pPr>
        <w:spacing w:after="0" w:line="106" w:lineRule="exact"/>
        <w:rPr>
          <w:sz w:val="20"/>
          <w:szCs w:val="20"/>
          <w:color w:val="auto"/>
        </w:rPr>
      </w:pPr>
    </w:p>
    <w:p>
      <w:pPr>
        <w:ind w:firstLine="288"/>
        <w:spacing w:after="0" w:line="272" w:lineRule="auto"/>
        <w:rPr>
          <w:sz w:val="20"/>
          <w:szCs w:val="20"/>
          <w:color w:val="auto"/>
        </w:rPr>
      </w:pPr>
      <w:r>
        <w:rPr>
          <w:rFonts w:ascii="Arial" w:cs="Arial" w:eastAsia="Arial" w:hAnsi="Arial"/>
          <w:sz w:val="15"/>
          <w:szCs w:val="15"/>
          <w:color w:val="auto"/>
        </w:rPr>
        <w:t>As a newly public company with shares listed on NASDAQ, we are and will be subject to an extensive body of regulations that did not apply to us previously, including certain provisions of the Sarbanes-Oxley Act, the Dodd-Frank’s Act, regulations of the SEC and NASDAQ requirements. Compliance with these rules and regulations will increase our legal, accounting, compliance and other expenses that we did not incur prior to the IPO and make some activities more time-consuming and costly. For example, as a result of becoming a public company, we added independent directors and created additional board committees. We entered into an administrative services agreement with FIG LLC, an affiliate of Fortress, in connection with the IPO, pursuant to which FIG LLC provides us with certain back-office services and charges us for selling, general and administrative expenses incurred to provide these services. FIG LLC will also continue to provide compliance services for the foreseeable future and any transition will take place over time. In addition, we may incur additional costs associated with our public company reporting requirements and maintaining directors’ and officers’ liability insurance. Because of the limitations in coverage for directors, it may be more difficult for us to attract and retain qualified persons to serve on our board of directors or as executive officers.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159"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Class A shares or if our operating results do not meet their expectations, our share price could decline.</w:t>
      </w:r>
    </w:p>
    <w:p>
      <w:pPr>
        <w:spacing w:after="0" w:line="152" w:lineRule="exact"/>
        <w:rPr>
          <w:sz w:val="20"/>
          <w:szCs w:val="20"/>
          <w:color w:val="auto"/>
        </w:rPr>
      </w:pPr>
    </w:p>
    <w:p>
      <w:pPr>
        <w:ind w:firstLine="288"/>
        <w:spacing w:after="0" w:line="264" w:lineRule="auto"/>
        <w:rPr>
          <w:sz w:val="20"/>
          <w:szCs w:val="20"/>
          <w:color w:val="auto"/>
        </w:rPr>
      </w:pPr>
      <w:r>
        <w:rPr>
          <w:rFonts w:ascii="Arial" w:cs="Arial" w:eastAsia="Arial" w:hAnsi="Arial"/>
          <w:sz w:val="16"/>
          <w:szCs w:val="16"/>
          <w:color w:val="auto"/>
        </w:rPr>
        <w:t>The trading market for our Class A shares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b w:val="1"/>
          <w:bCs w:val="1"/>
          <w:i w:val="1"/>
          <w:iCs w:val="1"/>
          <w:color w:val="auto"/>
        </w:rPr>
        <w:t>NFE is a holding company. NFE’s sole material asset is its equity interest in NFI, and accordingly, NFE is dependent upon distributions from NFI to pay taxes and cover its corporate and other overhead expenses.</w:t>
      </w:r>
    </w:p>
    <w:p>
      <w:pPr>
        <w:spacing w:after="0" w:line="152" w:lineRule="exact"/>
        <w:rPr>
          <w:sz w:val="20"/>
          <w:szCs w:val="20"/>
          <w:color w:val="auto"/>
        </w:rPr>
      </w:pPr>
    </w:p>
    <w:p>
      <w:pPr>
        <w:ind w:right="40" w:firstLine="288"/>
        <w:spacing w:after="0" w:line="273" w:lineRule="auto"/>
        <w:rPr>
          <w:sz w:val="20"/>
          <w:szCs w:val="20"/>
          <w:color w:val="auto"/>
        </w:rPr>
      </w:pPr>
      <w:r>
        <w:rPr>
          <w:rFonts w:ascii="Arial" w:cs="Arial" w:eastAsia="Arial" w:hAnsi="Arial"/>
          <w:sz w:val="15"/>
          <w:szCs w:val="15"/>
          <w:color w:val="auto"/>
        </w:rPr>
        <w:t>NFE is a holding company and has no material assets other than its equity interest in NFI. NFE has no independent means of generating revenue. To the extent NFI has available cash and subject to the terms of NFI’s credit agreements and any other debt instruments, we will cause NFI to make (i) pro rata distributions to holders of NFI LLC Units, including NFE, in an amount sufficient to allow NFE to pay its taxes, (ii) additional pro rata distributions to all holders of NFI LLC Units in an amount generally intended to allow holders of NFI LLC Units (other than NFE) to satisfy their respective income tax liabilities with respect to their allocable share of the income of NFI (based on certain assumptions and conventions and as determined by an entity controlled by Wesley R. Edens and Randal A. Nardone (“NFI Holdings”)) and (iii) non pro rata distributions to NFE in an amount at least sufficient to reimburse NFE for its corporate and other overhead expenses. To the extent that NFE needs funds and NFI or its subsidiaries are restricted from making such distributions under applicable law or regulation or under the terms of their financing arrangements or are otherwise unable to provide such funds, NFE’s liquidity and financial condition could be adversely affected.</w:t>
      </w:r>
    </w:p>
    <w:p>
      <w:pPr>
        <w:spacing w:after="0" w:line="160"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b w:val="1"/>
          <w:bCs w:val="1"/>
          <w:i w:val="1"/>
          <w:iCs w:val="1"/>
          <w:color w:val="auto"/>
        </w:rPr>
        <w:t>In certain circumstances, NFI is required to make tax distributions to holders of NFI LLC Units, and such tax distributions may be substantial. To the extent NFE receives tax distributions in excess of its actual tax liabilities and retains such excess cash, the holders of NFI LLC Units would benefit from such accumulated cash balances if they exercise their Redemption Right.</w:t>
      </w:r>
    </w:p>
    <w:p>
      <w:pPr>
        <w:spacing w:after="0" w:line="162" w:lineRule="exact"/>
        <w:rPr>
          <w:sz w:val="20"/>
          <w:szCs w:val="20"/>
          <w:color w:val="auto"/>
        </w:rPr>
      </w:pPr>
    </w:p>
    <w:p>
      <w:pPr>
        <w:ind w:right="60" w:firstLine="288"/>
        <w:spacing w:after="0" w:line="276" w:lineRule="auto"/>
        <w:rPr>
          <w:sz w:val="20"/>
          <w:szCs w:val="20"/>
          <w:color w:val="auto"/>
        </w:rPr>
      </w:pPr>
      <w:r>
        <w:rPr>
          <w:rFonts w:ascii="Arial" w:cs="Arial" w:eastAsia="Arial" w:hAnsi="Arial"/>
          <w:sz w:val="15"/>
          <w:szCs w:val="15"/>
          <w:color w:val="auto"/>
        </w:rPr>
        <w:t>Pursuant to the NFI LLC Agreement, NFI must make generally pro rata distributions to the holders of NFI LLC Units, including NFE, in an amount sufficient to allow NFE to satisfy its actual tax liabilities. In addition, to the extent NFI has available cash, NFI is required to make additional pro rata tax distributions to all holders of NFI LLC Units in an amount generally intended to allow the holders of NFI LLC Units (other than NFE) to satisfy their assumed tax liabilities with respect to their allocable share of the income of NFI (based on certain assumptions and conventions and as determined by NFI Holdings). For this purpose, the determination of available cash takes into account, among other factors, (i) the existing indebtedness and other obligations of NFI and its subsidiaries and their anticipated borrowing needs, (ii) the ability of NFI and its subsidiaries to take on additional indebtedness on commercially reasonable terms and (iii) any necessary or appropriate reserves.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2" w:name="page63"/>
    <w:bookmarkEnd w:id="6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right="140" w:firstLine="288"/>
        <w:spacing w:after="0" w:line="302" w:lineRule="auto"/>
        <w:rPr>
          <w:sz w:val="20"/>
          <w:szCs w:val="20"/>
          <w:color w:val="auto"/>
        </w:rPr>
      </w:pPr>
      <w:r>
        <w:rPr>
          <w:rFonts w:ascii="Arial" w:cs="Arial" w:eastAsia="Arial" w:hAnsi="Arial"/>
          <w:sz w:val="14"/>
          <w:szCs w:val="14"/>
          <w:color w:val="auto"/>
        </w:rPr>
        <w:t>The amount of such additional tax distributions is determined based on certain assumptions, including assumed income tax rates, and is calculated after taking into account other distributions (including other tax distributions) made by NFI. Additional tax distributions may significantly exceed the actual tax liability for many of the holders of NFI LLC Units, including NFE. If NFE retains the excess cash it receives from such distributions, the holders of NFI LLC Units would benefit from any value attributable to such accumulated cash balances as a result of their exercise of the Redemption Right. However, we intend to take steps to eliminate any material excess cash balances, which could include, but is not necessarily limited to, a distribution of the excess cash to holders of our Class A shares or the reinvestment of such cash in NFI for additional NFI LLC Units.</w:t>
      </w:r>
    </w:p>
    <w:p>
      <w:pPr>
        <w:spacing w:after="0" w:line="140" w:lineRule="exact"/>
        <w:rPr>
          <w:sz w:val="20"/>
          <w:szCs w:val="20"/>
          <w:color w:val="auto"/>
        </w:rPr>
      </w:pPr>
    </w:p>
    <w:p>
      <w:pPr>
        <w:ind w:right="20" w:firstLine="288"/>
        <w:spacing w:after="0" w:line="255" w:lineRule="auto"/>
        <w:rPr>
          <w:sz w:val="20"/>
          <w:szCs w:val="20"/>
          <w:color w:val="auto"/>
        </w:rPr>
      </w:pPr>
      <w:r>
        <w:rPr>
          <w:rFonts w:ascii="Arial" w:cs="Arial" w:eastAsia="Arial" w:hAnsi="Arial"/>
          <w:sz w:val="16"/>
          <w:szCs w:val="16"/>
          <w:color w:val="auto"/>
        </w:rPr>
        <w:t>In addition, the tax distributions that NFI may be required to make may be substantial. In addition, the amount of any additional tax distributions NFI is required to make likely will exceed the tax liabilities that would be owed by a corporate taxpayer similarly situated to NFI. Funds used by NFI to satisfy its obligation to make tax distributions will not be available for reinvestment in our business, except to the extent NFE or certain other holders of NFI LLC Units use any excess cash received to reinvest in NFI for additional NFI LLC Units. In addition, because cash available for additional tax distributions is determined taking into account the ability of NFI and its subsidiaries to take on additional borrowing, NFI may be required to increase its indebtedness in order to fund additional tax distributions. Such additional borrowing may adversely affect our financial condition and business operations by, without limitation, limiting our ability to borrow in the future for other purposes, such as capital expenditures, and increasing our interest expense and leverage ratios.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NFI were to become a publicly traded partnership taxable as a corporation for U.S. federal income tax purposes, significant tax inefficiencies might result.</w:t>
      </w:r>
    </w:p>
    <w:p>
      <w:pPr>
        <w:spacing w:after="0" w:line="212" w:lineRule="exact"/>
        <w:rPr>
          <w:sz w:val="20"/>
          <w:szCs w:val="20"/>
          <w:color w:val="auto"/>
        </w:rPr>
      </w:pPr>
    </w:p>
    <w:p>
      <w:pPr>
        <w:ind w:right="80" w:firstLine="288"/>
        <w:spacing w:after="0" w:line="271" w:lineRule="auto"/>
        <w:rPr>
          <w:sz w:val="20"/>
          <w:szCs w:val="20"/>
          <w:color w:val="auto"/>
        </w:rPr>
      </w:pPr>
      <w:r>
        <w:rPr>
          <w:rFonts w:ascii="Arial" w:cs="Arial" w:eastAsia="Arial" w:hAnsi="Arial"/>
          <w:sz w:val="15"/>
          <w:szCs w:val="15"/>
          <w:color w:val="auto"/>
        </w:rPr>
        <w:t>We intend to operate such that NFI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of NFI LLC Units pursuant to the Redemption Right (or, the right of NFE (instead of NFI) upon the exercise of the Redemption Right to, for administrative convenience, acquire each tendered NFI LLC Unit directly from the redeeming NFI unitholder for, at its election, (x) one Class A share, subject to conversion rate adjustments for equity splits, equity dividends and reclassification and other similar transactions or (y) an equivalent amount of cash (our Call Right, which the decision to exercise such right shall be made by a committee of our board of directors)) or other transfers of NFI LLC Units could cause NFI to be treated as a publicly traded partnership. Applicable U.S. Treasury regulations provide for certain safe harbors from treatment as a publicly traded partnership, and we intend to operate such that redemptions or other transfers of NFI LLC Units qualify for one or more such safe harbors. For example, we intend to limit the number of unitholders of NFI, and the NFI LLC Agreement provides for limitations on the ability of unitholders of NFI to transfer their NFI LLC Units and provides us, as managing member of NFI, with the right to impose restrictions (in addition to those already in place) on the ability of unitholders of NFI to redeem their NFI LLC Units pursuant to the Redemption Right to the extent we believe it is necessary to ensure that NFI will continue to be treated as a partnership for U.S. federal income tax purposes.</w:t>
      </w:r>
    </w:p>
    <w:p>
      <w:pPr>
        <w:spacing w:after="0" w:line="164" w:lineRule="exact"/>
        <w:rPr>
          <w:sz w:val="20"/>
          <w:szCs w:val="20"/>
          <w:color w:val="auto"/>
        </w:rPr>
      </w:pPr>
    </w:p>
    <w:p>
      <w:pPr>
        <w:ind w:firstLine="320"/>
        <w:spacing w:after="0" w:line="277" w:lineRule="auto"/>
        <w:rPr>
          <w:sz w:val="20"/>
          <w:szCs w:val="20"/>
          <w:color w:val="auto"/>
        </w:rPr>
      </w:pPr>
      <w:r>
        <w:rPr>
          <w:rFonts w:ascii="Arial" w:cs="Arial" w:eastAsia="Arial" w:hAnsi="Arial"/>
          <w:sz w:val="16"/>
          <w:szCs w:val="16"/>
          <w:color w:val="auto"/>
        </w:rPr>
        <w:t>If NFI were to become a publicly traded partnership, significant tax inefficiencies might result for us and for NFI, including as a result of our inability to file a consolidated U.S. federal income tax return with NFI.</w:t>
      </w:r>
    </w:p>
    <w:p>
      <w:pPr>
        <w:spacing w:after="0" w:line="148"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2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None.</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63" w:name="page64"/>
    <w:bookmarkEnd w:id="6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 w:type="dxa"/>
            <w:vAlign w:val="bottom"/>
            <w:gridSpan w:val="5"/>
          </w:tcPr>
          <w:p>
            <w:pPr>
              <w:spacing w:after="0"/>
              <w:rPr>
                <w:sz w:val="20"/>
                <w:szCs w:val="20"/>
                <w:color w:val="auto"/>
              </w:rPr>
            </w:pPr>
            <w:r>
              <w:rPr>
                <w:rFonts w:ascii="Arial" w:cs="Arial" w:eastAsia="Arial" w:hAnsi="Arial"/>
                <w:sz w:val="16"/>
                <w:szCs w:val="16"/>
                <w:b w:val="1"/>
                <w:bCs w:val="1"/>
                <w:color w:val="auto"/>
              </w:rPr>
              <w:t>Item 6.</w:t>
            </w:r>
          </w:p>
        </w:tc>
        <w:tc>
          <w:tcPr>
            <w:tcW w:w="10620" w:type="dxa"/>
            <w:vAlign w:val="bottom"/>
            <w:gridSpan w:val="3"/>
          </w:tcPr>
          <w:p>
            <w:pPr>
              <w:jc w:val="right"/>
              <w:ind w:right="9880"/>
              <w:spacing w:after="0"/>
              <w:rPr>
                <w:sz w:val="20"/>
                <w:szCs w:val="20"/>
                <w:color w:val="auto"/>
              </w:rPr>
            </w:pPr>
            <w:r>
              <w:rPr>
                <w:rFonts w:ascii="Arial" w:cs="Arial" w:eastAsia="Arial" w:hAnsi="Arial"/>
                <w:sz w:val="16"/>
                <w:szCs w:val="16"/>
                <w:b w:val="1"/>
                <w:bCs w:val="1"/>
                <w:color w:val="auto"/>
                <w:w w:val="95"/>
              </w:rPr>
              <w:t>Exhibits.</w:t>
            </w:r>
          </w:p>
        </w:tc>
      </w:tr>
      <w:tr>
        <w:trPr>
          <w:trHeight w:val="392"/>
        </w:trPr>
        <w:tc>
          <w:tcPr>
            <w:tcW w:w="200" w:type="dxa"/>
            <w:vAlign w:val="bottom"/>
          </w:tcPr>
          <w:p>
            <w:pPr>
              <w:spacing w:after="0"/>
              <w:rPr>
                <w:sz w:val="24"/>
                <w:szCs w:val="24"/>
                <w:color w:val="auto"/>
              </w:rPr>
            </w:pPr>
          </w:p>
        </w:tc>
        <w:tc>
          <w:tcPr>
            <w:tcW w:w="6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Exhibit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00" w:type="dxa"/>
            <w:vAlign w:val="bottom"/>
          </w:tcPr>
          <w:p>
            <w:pPr>
              <w:spacing w:after="0"/>
              <w:rPr>
                <w:sz w:val="24"/>
                <w:szCs w:val="24"/>
                <w:color w:val="auto"/>
              </w:rPr>
            </w:pPr>
          </w:p>
        </w:tc>
      </w:tr>
      <w:tr>
        <w:trPr>
          <w:trHeight w:val="213"/>
        </w:trPr>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5"/>
              </w:rPr>
              <w:t>Number</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300" w:type="dxa"/>
            <w:vAlign w:val="bottom"/>
            <w:tcBorders>
              <w:bottom w:val="single" w:sz="8" w:color="auto"/>
            </w:tcBorders>
          </w:tcPr>
          <w:p>
            <w:pPr>
              <w:jc w:val="right"/>
              <w:ind w:right="4680"/>
              <w:spacing w:after="0"/>
              <w:rPr>
                <w:sz w:val="20"/>
                <w:szCs w:val="20"/>
                <w:color w:val="auto"/>
              </w:rPr>
            </w:pPr>
            <w:r>
              <w:rPr>
                <w:rFonts w:ascii="Arial" w:cs="Arial" w:eastAsia="Arial" w:hAnsi="Arial"/>
                <w:sz w:val="16"/>
                <w:szCs w:val="16"/>
                <w:b w:val="1"/>
                <w:bCs w:val="1"/>
                <w:color w:val="auto"/>
              </w:rPr>
              <w:t>Description</w:t>
            </w:r>
          </w:p>
        </w:tc>
      </w:tr>
      <w:tr>
        <w:trPr>
          <w:trHeight w:val="156"/>
        </w:trPr>
        <w:tc>
          <w:tcPr>
            <w:tcW w:w="280" w:type="dxa"/>
            <w:vAlign w:val="bottom"/>
            <w:gridSpan w:val="2"/>
            <w:shd w:val="clear" w:color="auto" w:fill="CCEEFF"/>
          </w:tcPr>
          <w:p>
            <w:pPr>
              <w:spacing w:after="0" w:line="156" w:lineRule="exact"/>
              <w:rPr>
                <w:rFonts w:ascii="Arial" w:cs="Arial" w:eastAsia="Arial" w:hAnsi="Arial"/>
                <w:sz w:val="16"/>
                <w:szCs w:val="16"/>
                <w:color w:val="0000EE"/>
              </w:rPr>
            </w:pPr>
            <w:hyperlink r:id="rId81">
              <w:r>
                <w:rPr>
                  <w:rFonts w:ascii="Arial" w:cs="Arial" w:eastAsia="Arial" w:hAnsi="Arial"/>
                  <w:sz w:val="16"/>
                  <w:szCs w:val="16"/>
                  <w:color w:val="0000EE"/>
                </w:rPr>
                <w:t>3.</w:t>
              </w:r>
              <w:r>
                <w:rPr>
                  <w:rFonts w:ascii="Arial" w:cs="Arial" w:eastAsia="Arial" w:hAnsi="Arial"/>
                  <w:sz w:val="16"/>
                  <w:szCs w:val="16"/>
                  <w:u w:val="single" w:color="auto"/>
                  <w:color w:val="0000EE"/>
                </w:rPr>
                <w:t>1</w:t>
              </w:r>
            </w:hyperlink>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300" w:type="dxa"/>
            <w:vAlign w:val="bottom"/>
            <w:shd w:val="clear" w:color="auto" w:fill="CCEEFF"/>
          </w:tcPr>
          <w:p>
            <w:pPr>
              <w:spacing w:after="0" w:line="156" w:lineRule="exact"/>
              <w:rPr>
                <w:sz w:val="20"/>
                <w:szCs w:val="20"/>
                <w:color w:val="auto"/>
              </w:rPr>
            </w:pPr>
            <w:r>
              <w:rPr>
                <w:rFonts w:ascii="Arial" w:cs="Arial" w:eastAsia="Arial" w:hAnsi="Arial"/>
                <w:sz w:val="16"/>
                <w:szCs w:val="16"/>
                <w:color w:val="auto"/>
                <w:w w:val="94"/>
              </w:rPr>
              <w:t>Certificate of Formation of New Fortress Energy LLC (incorporated by reference to Exhibit 3.1 to the Registrant’s Registration Statement on Form S-1 (File</w:t>
            </w:r>
          </w:p>
        </w:tc>
      </w:tr>
      <w:tr>
        <w:trPr>
          <w:trHeight w:val="208"/>
        </w:trPr>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No. 333-228339), filed with the SEC on November 9, 2018)</w:t>
            </w:r>
          </w:p>
        </w:tc>
      </w:tr>
      <w:tr>
        <w:trPr>
          <w:trHeight w:val="156"/>
        </w:trPr>
        <w:tc>
          <w:tcPr>
            <w:tcW w:w="280" w:type="dxa"/>
            <w:vAlign w:val="bottom"/>
            <w:gridSpan w:val="2"/>
          </w:tcPr>
          <w:p>
            <w:pPr>
              <w:spacing w:after="0" w:line="156" w:lineRule="exact"/>
              <w:rPr>
                <w:rFonts w:ascii="Arial" w:cs="Arial" w:eastAsia="Arial" w:hAnsi="Arial"/>
                <w:sz w:val="16"/>
                <w:szCs w:val="16"/>
                <w:color w:val="0000EE"/>
              </w:rPr>
            </w:pPr>
            <w:hyperlink r:id="rId82">
              <w:r>
                <w:rPr>
                  <w:rFonts w:ascii="Arial" w:cs="Arial" w:eastAsia="Arial" w:hAnsi="Arial"/>
                  <w:sz w:val="16"/>
                  <w:szCs w:val="16"/>
                  <w:color w:val="0000EE"/>
                </w:rPr>
                <w:t>3.</w:t>
              </w:r>
              <w:r>
                <w:rPr>
                  <w:rFonts w:ascii="Arial" w:cs="Arial" w:eastAsia="Arial" w:hAnsi="Arial"/>
                  <w:sz w:val="16"/>
                  <w:szCs w:val="16"/>
                  <w:u w:val="single" w:color="auto"/>
                  <w:color w:val="0000EE"/>
                </w:rPr>
                <w:t>2</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20" w:type="dxa"/>
            <w:vAlign w:val="bottom"/>
            <w:gridSpan w:val="2"/>
          </w:tcPr>
          <w:p>
            <w:pPr>
              <w:ind w:left="120"/>
              <w:spacing w:after="0" w:line="156" w:lineRule="exact"/>
              <w:rPr>
                <w:sz w:val="20"/>
                <w:szCs w:val="20"/>
                <w:color w:val="auto"/>
              </w:rPr>
            </w:pPr>
            <w:r>
              <w:rPr>
                <w:rFonts w:ascii="Arial" w:cs="Arial" w:eastAsia="Arial" w:hAnsi="Arial"/>
                <w:sz w:val="16"/>
                <w:szCs w:val="16"/>
                <w:color w:val="auto"/>
                <w:w w:val="94"/>
              </w:rPr>
              <w:t>Certificate of Amendment to Certificate of Formation of New Fortress Energy LLC (incorporated by reference to Exhibit 3.2 to the Registrant’s Registration</w:t>
            </w:r>
          </w:p>
        </w:tc>
      </w:tr>
      <w:tr>
        <w:trPr>
          <w:trHeight w:val="208"/>
        </w:trPr>
        <w:tc>
          <w:tcPr>
            <w:tcW w:w="2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20" w:type="dxa"/>
            <w:vAlign w:val="bottom"/>
            <w:gridSpan w:val="2"/>
          </w:tcPr>
          <w:p>
            <w:pPr>
              <w:ind w:left="120"/>
              <w:spacing w:after="0"/>
              <w:rPr>
                <w:sz w:val="20"/>
                <w:szCs w:val="20"/>
                <w:color w:val="auto"/>
              </w:rPr>
            </w:pPr>
            <w:r>
              <w:rPr>
                <w:rFonts w:ascii="Arial" w:cs="Arial" w:eastAsia="Arial" w:hAnsi="Arial"/>
                <w:sz w:val="16"/>
                <w:szCs w:val="16"/>
                <w:color w:val="auto"/>
              </w:rPr>
              <w:t>Statement on Form S-1 (File No. 333-228339), filed with the SEC on November 9, 2018)</w:t>
            </w:r>
          </w:p>
        </w:tc>
      </w:tr>
      <w:tr>
        <w:trPr>
          <w:trHeight w:val="156"/>
        </w:trPr>
        <w:tc>
          <w:tcPr>
            <w:tcW w:w="280" w:type="dxa"/>
            <w:vAlign w:val="bottom"/>
            <w:gridSpan w:val="2"/>
            <w:shd w:val="clear" w:color="auto" w:fill="CCEEFF"/>
          </w:tcPr>
          <w:p>
            <w:pPr>
              <w:spacing w:after="0" w:line="156" w:lineRule="exact"/>
              <w:rPr>
                <w:rFonts w:ascii="Arial" w:cs="Arial" w:eastAsia="Arial" w:hAnsi="Arial"/>
                <w:sz w:val="16"/>
                <w:szCs w:val="16"/>
                <w:color w:val="0000EE"/>
              </w:rPr>
            </w:pPr>
            <w:hyperlink r:id="rId83">
              <w:r>
                <w:rPr>
                  <w:rFonts w:ascii="Arial" w:cs="Arial" w:eastAsia="Arial" w:hAnsi="Arial"/>
                  <w:sz w:val="16"/>
                  <w:szCs w:val="16"/>
                  <w:color w:val="0000EE"/>
                </w:rPr>
                <w:t>3.</w:t>
              </w:r>
              <w:r>
                <w:rPr>
                  <w:rFonts w:ascii="Arial" w:cs="Arial" w:eastAsia="Arial" w:hAnsi="Arial"/>
                  <w:sz w:val="16"/>
                  <w:szCs w:val="16"/>
                  <w:u w:val="single" w:color="auto"/>
                  <w:color w:val="0000EE"/>
                </w:rPr>
                <w:t>3</w:t>
              </w:r>
            </w:hyperlink>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2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6"/>
                <w:szCs w:val="16"/>
                <w:color w:val="auto"/>
                <w:w w:val="92"/>
              </w:rPr>
              <w:t>First Amended and Restated Limited Liability Company Agreement of New Fortress Energy LLC, dated February 4, 2019 (incorporated by reference to Exhibit</w:t>
            </w:r>
          </w:p>
        </w:tc>
      </w:tr>
      <w:tr>
        <w:trPr>
          <w:trHeight w:val="208"/>
        </w:trPr>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3.1 to the Registrant’s Form 8-K (File No. 001-38790), filed with the SEC on February 5, 2019)</w:t>
            </w:r>
          </w:p>
        </w:tc>
      </w:tr>
      <w:tr>
        <w:trPr>
          <w:trHeight w:val="156"/>
        </w:trPr>
        <w:tc>
          <w:tcPr>
            <w:tcW w:w="360" w:type="dxa"/>
            <w:vAlign w:val="bottom"/>
            <w:gridSpan w:val="3"/>
          </w:tcPr>
          <w:p>
            <w:pPr>
              <w:spacing w:after="0" w:line="156" w:lineRule="exact"/>
              <w:rPr>
                <w:rFonts w:ascii="Arial" w:cs="Arial" w:eastAsia="Arial" w:hAnsi="Arial"/>
                <w:sz w:val="16"/>
                <w:szCs w:val="16"/>
                <w:color w:val="0000EE"/>
              </w:rPr>
            </w:pPr>
            <w:hyperlink r:id="rId84">
              <w:r>
                <w:rPr>
                  <w:rFonts w:ascii="Arial" w:cs="Arial" w:eastAsia="Arial" w:hAnsi="Arial"/>
                  <w:sz w:val="16"/>
                  <w:szCs w:val="16"/>
                  <w:color w:val="0000EE"/>
                </w:rPr>
                <w:t>10.</w:t>
              </w:r>
              <w:r>
                <w:rPr>
                  <w:rFonts w:ascii="Arial" w:cs="Arial" w:eastAsia="Arial" w:hAnsi="Arial"/>
                  <w:sz w:val="16"/>
                  <w:szCs w:val="16"/>
                  <w:u w:val="single" w:color="auto"/>
                  <w:color w:val="0000EE"/>
                </w:rPr>
                <w:t>1</w:t>
              </w:r>
            </w:hyperlink>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20" w:type="dxa"/>
            <w:vAlign w:val="bottom"/>
            <w:gridSpan w:val="2"/>
          </w:tcPr>
          <w:p>
            <w:pPr>
              <w:ind w:left="120"/>
              <w:spacing w:after="0" w:line="156" w:lineRule="exact"/>
              <w:rPr>
                <w:sz w:val="20"/>
                <w:szCs w:val="20"/>
                <w:color w:val="auto"/>
              </w:rPr>
            </w:pPr>
            <w:r>
              <w:rPr>
                <w:rFonts w:ascii="Arial" w:cs="Arial" w:eastAsia="Arial" w:hAnsi="Arial"/>
                <w:sz w:val="16"/>
                <w:szCs w:val="16"/>
                <w:color w:val="auto"/>
                <w:w w:val="93"/>
              </w:rPr>
              <w:t>Contribution Agreement, dated February 4, 2019, by and among New Fortress Energy LLC, New Fortress Intermediate LLC, New Fortress Energy Holdings</w:t>
            </w:r>
          </w:p>
        </w:tc>
      </w:tr>
      <w:tr>
        <w:trPr>
          <w:trHeight w:val="196"/>
        </w:trPr>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20" w:type="dxa"/>
            <w:vAlign w:val="bottom"/>
            <w:gridSpan w:val="2"/>
          </w:tcPr>
          <w:p>
            <w:pPr>
              <w:ind w:left="120"/>
              <w:spacing w:after="0"/>
              <w:rPr>
                <w:sz w:val="20"/>
                <w:szCs w:val="20"/>
                <w:color w:val="auto"/>
              </w:rPr>
            </w:pPr>
            <w:r>
              <w:rPr>
                <w:rFonts w:ascii="Arial" w:cs="Arial" w:eastAsia="Arial" w:hAnsi="Arial"/>
                <w:sz w:val="16"/>
                <w:szCs w:val="16"/>
                <w:color w:val="auto"/>
                <w:w w:val="94"/>
              </w:rPr>
              <w:t>LLC, NFE Atlantic Holdings LLC and NFE Sub LLC (incorporated by reference to Exhibit 10.1 to the Registrant’s Form 8-K (File No. 001-38790), filed with</w:t>
            </w:r>
          </w:p>
        </w:tc>
      </w:tr>
      <w:tr>
        <w:trPr>
          <w:trHeight w:val="205"/>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20" w:type="dxa"/>
            <w:vAlign w:val="bottom"/>
            <w:gridSpan w:val="2"/>
          </w:tcPr>
          <w:p>
            <w:pPr>
              <w:ind w:left="120"/>
              <w:spacing w:after="0"/>
              <w:rPr>
                <w:sz w:val="20"/>
                <w:szCs w:val="20"/>
                <w:color w:val="auto"/>
              </w:rPr>
            </w:pPr>
            <w:r>
              <w:rPr>
                <w:rFonts w:ascii="Arial" w:cs="Arial" w:eastAsia="Arial" w:hAnsi="Arial"/>
                <w:sz w:val="16"/>
                <w:szCs w:val="16"/>
                <w:color w:val="auto"/>
              </w:rPr>
              <w:t>the SEC on February 5, 2019)</w:t>
            </w:r>
          </w:p>
        </w:tc>
      </w:tr>
      <w:tr>
        <w:trPr>
          <w:trHeight w:val="156"/>
        </w:trPr>
        <w:tc>
          <w:tcPr>
            <w:tcW w:w="360" w:type="dxa"/>
            <w:vAlign w:val="bottom"/>
            <w:gridSpan w:val="3"/>
            <w:shd w:val="clear" w:color="auto" w:fill="CCEEFF"/>
          </w:tcPr>
          <w:p>
            <w:pPr>
              <w:spacing w:after="0" w:line="156" w:lineRule="exact"/>
              <w:rPr>
                <w:rFonts w:ascii="Arial" w:cs="Arial" w:eastAsia="Arial" w:hAnsi="Arial"/>
                <w:sz w:val="16"/>
                <w:szCs w:val="16"/>
                <w:color w:val="0000EE"/>
              </w:rPr>
            </w:pPr>
            <w:hyperlink r:id="rId85">
              <w:r>
                <w:rPr>
                  <w:rFonts w:ascii="Arial" w:cs="Arial" w:eastAsia="Arial" w:hAnsi="Arial"/>
                  <w:sz w:val="16"/>
                  <w:szCs w:val="16"/>
                  <w:color w:val="0000EE"/>
                </w:rPr>
                <w:t>10.</w:t>
              </w:r>
              <w:r>
                <w:rPr>
                  <w:rFonts w:ascii="Arial" w:cs="Arial" w:eastAsia="Arial" w:hAnsi="Arial"/>
                  <w:sz w:val="16"/>
                  <w:szCs w:val="16"/>
                  <w:u w:val="single" w:color="auto"/>
                  <w:color w:val="0000EE"/>
                </w:rPr>
                <w:t>2</w:t>
              </w:r>
            </w:hyperlink>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2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6"/>
                <w:szCs w:val="16"/>
                <w:color w:val="auto"/>
                <w:w w:val="91"/>
              </w:rPr>
              <w:t>Amended and Restated Limited Liability Company Agreement of New Fortress Intermediate LLC, dated February 4, 2019 (incorporated by reference to Exhibit</w:t>
            </w:r>
          </w:p>
        </w:tc>
      </w:tr>
      <w:tr>
        <w:trPr>
          <w:trHeight w:val="208"/>
        </w:trPr>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10.2 to the Registrant’s Form 8-K (File No. 001-38790), filed with the SEC on February 5, 2019)</w:t>
            </w:r>
          </w:p>
        </w:tc>
      </w:tr>
      <w:tr>
        <w:trPr>
          <w:trHeight w:val="156"/>
        </w:trPr>
        <w:tc>
          <w:tcPr>
            <w:tcW w:w="820" w:type="dxa"/>
            <w:vAlign w:val="bottom"/>
            <w:gridSpan w:val="5"/>
          </w:tcPr>
          <w:p>
            <w:pPr>
              <w:spacing w:after="0" w:line="156" w:lineRule="exact"/>
              <w:rPr>
                <w:rFonts w:ascii="Arial" w:cs="Arial" w:eastAsia="Arial" w:hAnsi="Arial"/>
                <w:sz w:val="16"/>
                <w:szCs w:val="16"/>
                <w:color w:val="0000EE"/>
              </w:rPr>
            </w:pPr>
            <w:hyperlink r:id="rId86">
              <w:r>
                <w:rPr>
                  <w:rFonts w:ascii="Arial" w:cs="Arial" w:eastAsia="Arial" w:hAnsi="Arial"/>
                  <w:sz w:val="16"/>
                  <w:szCs w:val="16"/>
                  <w:color w:val="0000EE"/>
                </w:rPr>
                <w:t>10.</w:t>
              </w:r>
              <w:r>
                <w:rPr>
                  <w:rFonts w:ascii="Arial" w:cs="Arial" w:eastAsia="Arial" w:hAnsi="Arial"/>
                  <w:sz w:val="16"/>
                  <w:szCs w:val="16"/>
                  <w:u w:val="single" w:color="auto"/>
                  <w:color w:val="0000EE"/>
                </w:rPr>
                <w:t>3†</w:t>
              </w:r>
            </w:hyperlink>
          </w:p>
        </w:tc>
        <w:tc>
          <w:tcPr>
            <w:tcW w:w="200" w:type="dxa"/>
            <w:vAlign w:val="bottom"/>
          </w:tcPr>
          <w:p>
            <w:pPr>
              <w:spacing w:after="0"/>
              <w:rPr>
                <w:sz w:val="13"/>
                <w:szCs w:val="13"/>
                <w:color w:val="auto"/>
              </w:rPr>
            </w:pPr>
          </w:p>
        </w:tc>
        <w:tc>
          <w:tcPr>
            <w:tcW w:w="10420" w:type="dxa"/>
            <w:vAlign w:val="bottom"/>
            <w:gridSpan w:val="2"/>
          </w:tcPr>
          <w:p>
            <w:pPr>
              <w:ind w:left="120"/>
              <w:spacing w:after="0" w:line="156" w:lineRule="exact"/>
              <w:rPr>
                <w:sz w:val="20"/>
                <w:szCs w:val="20"/>
                <w:color w:val="auto"/>
              </w:rPr>
            </w:pPr>
            <w:r>
              <w:rPr>
                <w:rFonts w:ascii="Arial" w:cs="Arial" w:eastAsia="Arial" w:hAnsi="Arial"/>
                <w:sz w:val="16"/>
                <w:szCs w:val="16"/>
                <w:color w:val="auto"/>
                <w:w w:val="92"/>
              </w:rPr>
              <w:t>New Fortress Energy LLC 2019 Omnibus Incentive Plan (incorporated by reference to Exhibit 4.4 to the Registrant’s Registration Statement on Form S-8 (File</w:t>
            </w:r>
          </w:p>
        </w:tc>
      </w:tr>
      <w:tr>
        <w:trPr>
          <w:trHeight w:val="208"/>
        </w:trPr>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20" w:type="dxa"/>
            <w:vAlign w:val="bottom"/>
            <w:gridSpan w:val="2"/>
          </w:tcPr>
          <w:p>
            <w:pPr>
              <w:ind w:left="120"/>
              <w:spacing w:after="0"/>
              <w:rPr>
                <w:sz w:val="20"/>
                <w:szCs w:val="20"/>
                <w:color w:val="auto"/>
              </w:rPr>
            </w:pPr>
            <w:r>
              <w:rPr>
                <w:rFonts w:ascii="Arial" w:cs="Arial" w:eastAsia="Arial" w:hAnsi="Arial"/>
                <w:sz w:val="16"/>
                <w:szCs w:val="16"/>
                <w:color w:val="auto"/>
              </w:rPr>
              <w:t>No. 333-229507), filed with the SEC on February 4, 2019)</w:t>
            </w:r>
          </w:p>
        </w:tc>
      </w:tr>
      <w:tr>
        <w:trPr>
          <w:trHeight w:val="156"/>
        </w:trPr>
        <w:tc>
          <w:tcPr>
            <w:tcW w:w="820" w:type="dxa"/>
            <w:vAlign w:val="bottom"/>
            <w:gridSpan w:val="5"/>
            <w:shd w:val="clear" w:color="auto" w:fill="CCEEFF"/>
          </w:tcPr>
          <w:p>
            <w:pPr>
              <w:spacing w:after="0" w:line="156" w:lineRule="exact"/>
              <w:rPr>
                <w:rFonts w:ascii="Arial" w:cs="Arial" w:eastAsia="Arial" w:hAnsi="Arial"/>
                <w:sz w:val="16"/>
                <w:szCs w:val="16"/>
                <w:color w:val="0000EE"/>
              </w:rPr>
            </w:pPr>
            <w:hyperlink r:id="rId87">
              <w:r>
                <w:rPr>
                  <w:rFonts w:ascii="Arial" w:cs="Arial" w:eastAsia="Arial" w:hAnsi="Arial"/>
                  <w:sz w:val="16"/>
                  <w:szCs w:val="16"/>
                  <w:color w:val="0000EE"/>
                </w:rPr>
                <w:t>10.</w:t>
              </w:r>
              <w:r>
                <w:rPr>
                  <w:rFonts w:ascii="Arial" w:cs="Arial" w:eastAsia="Arial" w:hAnsi="Arial"/>
                  <w:sz w:val="16"/>
                  <w:szCs w:val="16"/>
                  <w:u w:val="single" w:color="auto"/>
                  <w:color w:val="0000EE"/>
                </w:rPr>
                <w:t>4†</w:t>
              </w:r>
            </w:hyperlink>
          </w:p>
        </w:tc>
        <w:tc>
          <w:tcPr>
            <w:tcW w:w="200" w:type="dxa"/>
            <w:vAlign w:val="bottom"/>
            <w:shd w:val="clear" w:color="auto" w:fill="CCEEFF"/>
          </w:tcPr>
          <w:p>
            <w:pPr>
              <w:spacing w:after="0"/>
              <w:rPr>
                <w:sz w:val="13"/>
                <w:szCs w:val="13"/>
                <w:color w:val="auto"/>
              </w:rPr>
            </w:pPr>
          </w:p>
        </w:tc>
        <w:tc>
          <w:tcPr>
            <w:tcW w:w="1042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6"/>
                <w:szCs w:val="16"/>
                <w:color w:val="auto"/>
                <w:w w:val="92"/>
              </w:rPr>
              <w:t>Form of Director Restricted Share Unit Award Agreement (incorporated by reference to Exhibit 10.4 to the Registrant’s Registration Statement on Form S-1/A</w:t>
            </w:r>
          </w:p>
        </w:tc>
      </w:tr>
      <w:tr>
        <w:trPr>
          <w:trHeight w:val="208"/>
        </w:trPr>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(File No. 333-228339), filed with the SEC on December 24, 2018)</w:t>
            </w:r>
          </w:p>
        </w:tc>
      </w:tr>
      <w:tr>
        <w:trPr>
          <w:trHeight w:val="156"/>
        </w:trPr>
        <w:tc>
          <w:tcPr>
            <w:tcW w:w="820" w:type="dxa"/>
            <w:vAlign w:val="bottom"/>
            <w:gridSpan w:val="5"/>
          </w:tcPr>
          <w:p>
            <w:pPr>
              <w:spacing w:after="0" w:line="156" w:lineRule="exact"/>
              <w:rPr>
                <w:rFonts w:ascii="Arial" w:cs="Arial" w:eastAsia="Arial" w:hAnsi="Arial"/>
                <w:sz w:val="16"/>
                <w:szCs w:val="16"/>
                <w:color w:val="0000EE"/>
              </w:rPr>
            </w:pPr>
            <w:hyperlink w:anchor="page67">
              <w:r>
                <w:rPr>
                  <w:rFonts w:ascii="Arial" w:cs="Arial" w:eastAsia="Arial" w:hAnsi="Arial"/>
                  <w:sz w:val="16"/>
                  <w:szCs w:val="16"/>
                  <w:color w:val="0000EE"/>
                </w:rPr>
                <w:t>10.</w:t>
              </w:r>
              <w:r>
                <w:rPr>
                  <w:rFonts w:ascii="Arial" w:cs="Arial" w:eastAsia="Arial" w:hAnsi="Arial"/>
                  <w:sz w:val="16"/>
                  <w:szCs w:val="16"/>
                  <w:u w:val="single" w:color="auto"/>
                  <w:color w:val="0000EE"/>
                </w:rPr>
                <w:t>5*†</w:t>
              </w:r>
            </w:hyperlink>
          </w:p>
        </w:tc>
        <w:tc>
          <w:tcPr>
            <w:tcW w:w="200" w:type="dxa"/>
            <w:vAlign w:val="bottom"/>
          </w:tcPr>
          <w:p>
            <w:pPr>
              <w:spacing w:after="0"/>
              <w:rPr>
                <w:sz w:val="13"/>
                <w:szCs w:val="13"/>
                <w:color w:val="auto"/>
              </w:rPr>
            </w:pPr>
          </w:p>
        </w:tc>
        <w:tc>
          <w:tcPr>
            <w:tcW w:w="10420" w:type="dxa"/>
            <w:vAlign w:val="bottom"/>
            <w:gridSpan w:val="2"/>
          </w:tcPr>
          <w:p>
            <w:pPr>
              <w:ind w:left="120"/>
              <w:spacing w:after="0" w:line="156" w:lineRule="exact"/>
              <w:rPr>
                <w:sz w:val="20"/>
                <w:szCs w:val="20"/>
                <w:color w:val="auto"/>
              </w:rPr>
            </w:pPr>
            <w:r>
              <w:rPr>
                <w:rFonts w:ascii="Arial" w:cs="Arial" w:eastAsia="Arial" w:hAnsi="Arial"/>
                <w:sz w:val="16"/>
                <w:szCs w:val="16"/>
                <w:color w:val="auto"/>
              </w:rPr>
              <w:t>Form of Employee Restricted Share Unit Award Agreement</w:t>
            </w:r>
          </w:p>
        </w:tc>
      </w:tr>
      <w:tr>
        <w:trPr>
          <w:trHeight w:val="172"/>
        </w:trPr>
        <w:tc>
          <w:tcPr>
            <w:tcW w:w="360" w:type="dxa"/>
            <w:vAlign w:val="bottom"/>
            <w:tcBorders>
              <w:top w:val="single" w:sz="8" w:color="0000EE"/>
            </w:tcBorders>
            <w:gridSpan w:val="3"/>
            <w:shd w:val="clear" w:color="auto" w:fill="CCEEFF"/>
          </w:tcPr>
          <w:p>
            <w:pPr>
              <w:spacing w:after="0" w:line="172" w:lineRule="exact"/>
              <w:rPr>
                <w:rFonts w:ascii="Arial" w:cs="Arial" w:eastAsia="Arial" w:hAnsi="Arial"/>
                <w:sz w:val="16"/>
                <w:szCs w:val="16"/>
                <w:color w:val="0000EE"/>
              </w:rPr>
            </w:pPr>
            <w:hyperlink r:id="rId88">
              <w:r>
                <w:rPr>
                  <w:rFonts w:ascii="Arial" w:cs="Arial" w:eastAsia="Arial" w:hAnsi="Arial"/>
                  <w:sz w:val="16"/>
                  <w:szCs w:val="16"/>
                  <w:color w:val="0000EE"/>
                </w:rPr>
                <w:t>10.</w:t>
              </w:r>
              <w:r>
                <w:rPr>
                  <w:rFonts w:ascii="Arial" w:cs="Arial" w:eastAsia="Arial" w:hAnsi="Arial"/>
                  <w:sz w:val="16"/>
                  <w:szCs w:val="16"/>
                  <w:u w:val="single" w:color="auto"/>
                  <w:color w:val="0000EE"/>
                </w:rPr>
                <w:t>6</w:t>
              </w:r>
            </w:hyperlink>
          </w:p>
        </w:tc>
        <w:tc>
          <w:tcPr>
            <w:tcW w:w="80" w:type="dxa"/>
            <w:vAlign w:val="bottom"/>
            <w:tcBorders>
              <w:top w:val="single" w:sz="8" w:color="0000EE"/>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20" w:type="dxa"/>
            <w:vAlign w:val="bottom"/>
            <w:gridSpan w:val="2"/>
            <w:shd w:val="clear" w:color="auto" w:fill="CCEEFF"/>
          </w:tcPr>
          <w:p>
            <w:pPr>
              <w:ind w:left="120"/>
              <w:spacing w:after="0" w:line="172" w:lineRule="exact"/>
              <w:rPr>
                <w:sz w:val="20"/>
                <w:szCs w:val="20"/>
                <w:color w:val="auto"/>
              </w:rPr>
            </w:pPr>
            <w:r>
              <w:rPr>
                <w:rFonts w:ascii="Arial" w:cs="Arial" w:eastAsia="Arial" w:hAnsi="Arial"/>
                <w:sz w:val="16"/>
                <w:szCs w:val="16"/>
                <w:color w:val="auto"/>
                <w:w w:val="90"/>
              </w:rPr>
              <w:t>Shareholders’ Agreement, dated February 4, 2019, by and among New Fortress Energy LLC, New Fortress Energy Holdings LLC, Wesley R. Edens and Randal</w:t>
            </w:r>
          </w:p>
        </w:tc>
      </w:tr>
      <w:tr>
        <w:trPr>
          <w:trHeight w:val="208"/>
        </w:trPr>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 Nardone (incorporated by reference to Exhibit 4.1 to the Registrant’s Form 8-K (File No. 001-38790), filed with the SEC on February 5, 2019)</w:t>
            </w:r>
          </w:p>
        </w:tc>
      </w:tr>
      <w:tr>
        <w:trPr>
          <w:trHeight w:val="156"/>
        </w:trPr>
        <w:tc>
          <w:tcPr>
            <w:tcW w:w="360" w:type="dxa"/>
            <w:vAlign w:val="bottom"/>
            <w:gridSpan w:val="3"/>
          </w:tcPr>
          <w:p>
            <w:pPr>
              <w:spacing w:after="0" w:line="156" w:lineRule="exact"/>
              <w:rPr>
                <w:rFonts w:ascii="Arial" w:cs="Arial" w:eastAsia="Arial" w:hAnsi="Arial"/>
                <w:sz w:val="16"/>
                <w:szCs w:val="16"/>
                <w:color w:val="0000EE"/>
              </w:rPr>
            </w:pPr>
            <w:hyperlink r:id="rId89">
              <w:r>
                <w:rPr>
                  <w:rFonts w:ascii="Arial" w:cs="Arial" w:eastAsia="Arial" w:hAnsi="Arial"/>
                  <w:sz w:val="16"/>
                  <w:szCs w:val="16"/>
                  <w:color w:val="0000EE"/>
                </w:rPr>
                <w:t>10.</w:t>
              </w:r>
              <w:r>
                <w:rPr>
                  <w:rFonts w:ascii="Arial" w:cs="Arial" w:eastAsia="Arial" w:hAnsi="Arial"/>
                  <w:sz w:val="16"/>
                  <w:szCs w:val="16"/>
                  <w:u w:val="single" w:color="auto"/>
                  <w:color w:val="0000EE"/>
                </w:rPr>
                <w:t>7</w:t>
              </w:r>
            </w:hyperlink>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20" w:type="dxa"/>
            <w:vAlign w:val="bottom"/>
            <w:gridSpan w:val="2"/>
          </w:tcPr>
          <w:p>
            <w:pPr>
              <w:ind w:left="120"/>
              <w:spacing w:after="0" w:line="156" w:lineRule="exact"/>
              <w:rPr>
                <w:sz w:val="20"/>
                <w:szCs w:val="20"/>
                <w:color w:val="auto"/>
              </w:rPr>
            </w:pPr>
            <w:r>
              <w:rPr>
                <w:rFonts w:ascii="Arial" w:cs="Arial" w:eastAsia="Arial" w:hAnsi="Arial"/>
                <w:sz w:val="16"/>
                <w:szCs w:val="16"/>
                <w:color w:val="auto"/>
                <w:w w:val="95"/>
              </w:rPr>
              <w:t>Administrative Services Agreement, dated February 4, 2019, by and between New Fortress Intermediate LLC and FIG LLC (incorporated by reference to</w:t>
            </w:r>
          </w:p>
        </w:tc>
      </w:tr>
      <w:tr>
        <w:trPr>
          <w:trHeight w:val="208"/>
        </w:trPr>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20" w:type="dxa"/>
            <w:vAlign w:val="bottom"/>
            <w:gridSpan w:val="2"/>
          </w:tcPr>
          <w:p>
            <w:pPr>
              <w:ind w:left="120"/>
              <w:spacing w:after="0"/>
              <w:rPr>
                <w:sz w:val="20"/>
                <w:szCs w:val="20"/>
                <w:color w:val="auto"/>
              </w:rPr>
            </w:pPr>
            <w:r>
              <w:rPr>
                <w:rFonts w:ascii="Arial" w:cs="Arial" w:eastAsia="Arial" w:hAnsi="Arial"/>
                <w:sz w:val="16"/>
                <w:szCs w:val="16"/>
                <w:color w:val="auto"/>
              </w:rPr>
              <w:t>Exhibit 10.3 to the Registrant’s Form 8-K (File No. 001-38790), filed with the SEC on February 5, 2019)</w:t>
            </w:r>
          </w:p>
        </w:tc>
      </w:tr>
      <w:tr>
        <w:trPr>
          <w:trHeight w:val="156"/>
        </w:trPr>
        <w:tc>
          <w:tcPr>
            <w:tcW w:w="820" w:type="dxa"/>
            <w:vAlign w:val="bottom"/>
            <w:gridSpan w:val="5"/>
            <w:shd w:val="clear" w:color="auto" w:fill="CCEEFF"/>
          </w:tcPr>
          <w:p>
            <w:pPr>
              <w:spacing w:after="0" w:line="156" w:lineRule="exact"/>
              <w:rPr>
                <w:rFonts w:ascii="Arial" w:cs="Arial" w:eastAsia="Arial" w:hAnsi="Arial"/>
                <w:sz w:val="16"/>
                <w:szCs w:val="16"/>
                <w:color w:val="0000EE"/>
              </w:rPr>
            </w:pPr>
            <w:hyperlink r:id="rId90">
              <w:r>
                <w:rPr>
                  <w:rFonts w:ascii="Arial" w:cs="Arial" w:eastAsia="Arial" w:hAnsi="Arial"/>
                  <w:sz w:val="16"/>
                  <w:szCs w:val="16"/>
                  <w:color w:val="0000EE"/>
                </w:rPr>
                <w:t>10.</w:t>
              </w:r>
              <w:r>
                <w:rPr>
                  <w:rFonts w:ascii="Arial" w:cs="Arial" w:eastAsia="Arial" w:hAnsi="Arial"/>
                  <w:sz w:val="16"/>
                  <w:szCs w:val="16"/>
                  <w:u w:val="single" w:color="auto"/>
                  <w:color w:val="0000EE"/>
                </w:rPr>
                <w:t>8†</w:t>
              </w:r>
            </w:hyperlink>
          </w:p>
        </w:tc>
        <w:tc>
          <w:tcPr>
            <w:tcW w:w="200" w:type="dxa"/>
            <w:vAlign w:val="bottom"/>
            <w:shd w:val="clear" w:color="auto" w:fill="CCEEFF"/>
          </w:tcPr>
          <w:p>
            <w:pPr>
              <w:spacing w:after="0"/>
              <w:rPr>
                <w:sz w:val="13"/>
                <w:szCs w:val="13"/>
                <w:color w:val="auto"/>
              </w:rPr>
            </w:pPr>
          </w:p>
        </w:tc>
        <w:tc>
          <w:tcPr>
            <w:tcW w:w="1042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6"/>
                <w:szCs w:val="16"/>
                <w:color w:val="auto"/>
                <w:w w:val="96"/>
              </w:rPr>
              <w:t>Indemnification Agreement (Edens) (incorporated by reference to Exhibit 10.4 to the Registrant’s Form 8-K (File No. 001-38790), filed with the SEC on</w:t>
            </w:r>
          </w:p>
        </w:tc>
      </w:tr>
      <w:tr>
        <w:trPr>
          <w:trHeight w:val="208"/>
        </w:trPr>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February 5, 2019)</w:t>
            </w:r>
          </w:p>
        </w:tc>
      </w:tr>
      <w:tr>
        <w:trPr>
          <w:trHeight w:val="156"/>
        </w:trPr>
        <w:tc>
          <w:tcPr>
            <w:tcW w:w="820" w:type="dxa"/>
            <w:vAlign w:val="bottom"/>
            <w:gridSpan w:val="5"/>
          </w:tcPr>
          <w:p>
            <w:pPr>
              <w:spacing w:after="0" w:line="156" w:lineRule="exact"/>
              <w:rPr>
                <w:rFonts w:ascii="Arial" w:cs="Arial" w:eastAsia="Arial" w:hAnsi="Arial"/>
                <w:sz w:val="16"/>
                <w:szCs w:val="16"/>
                <w:color w:val="0000EE"/>
              </w:rPr>
            </w:pPr>
            <w:hyperlink r:id="rId91">
              <w:r>
                <w:rPr>
                  <w:rFonts w:ascii="Arial" w:cs="Arial" w:eastAsia="Arial" w:hAnsi="Arial"/>
                  <w:sz w:val="16"/>
                  <w:szCs w:val="16"/>
                  <w:color w:val="0000EE"/>
                </w:rPr>
                <w:t>10.</w:t>
              </w:r>
              <w:r>
                <w:rPr>
                  <w:rFonts w:ascii="Arial" w:cs="Arial" w:eastAsia="Arial" w:hAnsi="Arial"/>
                  <w:sz w:val="16"/>
                  <w:szCs w:val="16"/>
                  <w:u w:val="single" w:color="auto"/>
                  <w:color w:val="0000EE"/>
                </w:rPr>
                <w:t>9†</w:t>
              </w:r>
            </w:hyperlink>
          </w:p>
        </w:tc>
        <w:tc>
          <w:tcPr>
            <w:tcW w:w="200" w:type="dxa"/>
            <w:vAlign w:val="bottom"/>
          </w:tcPr>
          <w:p>
            <w:pPr>
              <w:spacing w:after="0"/>
              <w:rPr>
                <w:sz w:val="13"/>
                <w:szCs w:val="13"/>
                <w:color w:val="auto"/>
              </w:rPr>
            </w:pPr>
          </w:p>
        </w:tc>
        <w:tc>
          <w:tcPr>
            <w:tcW w:w="10420" w:type="dxa"/>
            <w:vAlign w:val="bottom"/>
            <w:gridSpan w:val="2"/>
          </w:tcPr>
          <w:p>
            <w:pPr>
              <w:ind w:left="120"/>
              <w:spacing w:after="0" w:line="156" w:lineRule="exact"/>
              <w:rPr>
                <w:sz w:val="20"/>
                <w:szCs w:val="20"/>
                <w:color w:val="auto"/>
              </w:rPr>
            </w:pPr>
            <w:r>
              <w:rPr>
                <w:rFonts w:ascii="Arial" w:cs="Arial" w:eastAsia="Arial" w:hAnsi="Arial"/>
                <w:sz w:val="16"/>
                <w:szCs w:val="16"/>
                <w:color w:val="auto"/>
                <w:w w:val="96"/>
              </w:rPr>
              <w:t>Indemnification Agreement (Guinta) (incorporated by reference to Exhibit 10.5 to the Registrant’s Form 8-K (File No. 001-38790), filed with the SEC on</w:t>
            </w:r>
          </w:p>
        </w:tc>
      </w:tr>
      <w:tr>
        <w:trPr>
          <w:trHeight w:val="208"/>
        </w:trPr>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20" w:type="dxa"/>
            <w:vAlign w:val="bottom"/>
            <w:gridSpan w:val="2"/>
          </w:tcPr>
          <w:p>
            <w:pPr>
              <w:ind w:left="120"/>
              <w:spacing w:after="0"/>
              <w:rPr>
                <w:sz w:val="20"/>
                <w:szCs w:val="20"/>
                <w:color w:val="auto"/>
              </w:rPr>
            </w:pPr>
            <w:r>
              <w:rPr>
                <w:rFonts w:ascii="Arial" w:cs="Arial" w:eastAsia="Arial" w:hAnsi="Arial"/>
                <w:sz w:val="16"/>
                <w:szCs w:val="16"/>
                <w:color w:val="auto"/>
              </w:rPr>
              <w:t>February 5, 2019)</w:t>
            </w:r>
          </w:p>
        </w:tc>
      </w:tr>
      <w:tr>
        <w:trPr>
          <w:trHeight w:val="156"/>
        </w:trPr>
        <w:tc>
          <w:tcPr>
            <w:tcW w:w="820" w:type="dxa"/>
            <w:vAlign w:val="bottom"/>
            <w:gridSpan w:val="5"/>
            <w:shd w:val="clear" w:color="auto" w:fill="CCEEFF"/>
          </w:tcPr>
          <w:p>
            <w:pPr>
              <w:spacing w:after="0" w:line="156" w:lineRule="exact"/>
              <w:rPr>
                <w:rFonts w:ascii="Arial" w:cs="Arial" w:eastAsia="Arial" w:hAnsi="Arial"/>
                <w:sz w:val="16"/>
                <w:szCs w:val="16"/>
                <w:color w:val="0000EE"/>
              </w:rPr>
            </w:pPr>
            <w:hyperlink r:id="rId92">
              <w:r>
                <w:rPr>
                  <w:rFonts w:ascii="Arial" w:cs="Arial" w:eastAsia="Arial" w:hAnsi="Arial"/>
                  <w:sz w:val="16"/>
                  <w:szCs w:val="16"/>
                  <w:color w:val="0000EE"/>
                </w:rPr>
                <w:t>10.</w:t>
              </w:r>
              <w:r>
                <w:rPr>
                  <w:rFonts w:ascii="Arial" w:cs="Arial" w:eastAsia="Arial" w:hAnsi="Arial"/>
                  <w:sz w:val="16"/>
                  <w:szCs w:val="16"/>
                  <w:u w:val="single" w:color="auto"/>
                  <w:color w:val="0000EE"/>
                </w:rPr>
                <w:t>10†</w:t>
              </w:r>
            </w:hyperlink>
          </w:p>
        </w:tc>
        <w:tc>
          <w:tcPr>
            <w:tcW w:w="200" w:type="dxa"/>
            <w:vAlign w:val="bottom"/>
            <w:shd w:val="clear" w:color="auto" w:fill="CCEEFF"/>
          </w:tcPr>
          <w:p>
            <w:pPr>
              <w:spacing w:after="0"/>
              <w:rPr>
                <w:sz w:val="13"/>
                <w:szCs w:val="13"/>
                <w:color w:val="auto"/>
              </w:rPr>
            </w:pPr>
          </w:p>
        </w:tc>
        <w:tc>
          <w:tcPr>
            <w:tcW w:w="1042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6"/>
                <w:szCs w:val="16"/>
                <w:color w:val="auto"/>
                <w:w w:val="97"/>
              </w:rPr>
              <w:t>Indemnification Agreement (Utsler) (incorporated by reference to Exhibit 10.6 to the Registrant’s Form 8-K (File No. 001-38790), filed with the SEC on</w:t>
            </w:r>
          </w:p>
        </w:tc>
      </w:tr>
      <w:tr>
        <w:trPr>
          <w:trHeight w:val="208"/>
        </w:trPr>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February 5, 2019)</w:t>
            </w:r>
          </w:p>
        </w:tc>
      </w:tr>
      <w:tr>
        <w:trPr>
          <w:trHeight w:val="156"/>
        </w:trPr>
        <w:tc>
          <w:tcPr>
            <w:tcW w:w="820" w:type="dxa"/>
            <w:vAlign w:val="bottom"/>
            <w:gridSpan w:val="5"/>
          </w:tcPr>
          <w:p>
            <w:pPr>
              <w:spacing w:after="0" w:line="156" w:lineRule="exact"/>
              <w:rPr>
                <w:rFonts w:ascii="Arial" w:cs="Arial" w:eastAsia="Arial" w:hAnsi="Arial"/>
                <w:sz w:val="16"/>
                <w:szCs w:val="16"/>
                <w:color w:val="0000EE"/>
              </w:rPr>
            </w:pPr>
            <w:hyperlink r:id="rId93">
              <w:r>
                <w:rPr>
                  <w:rFonts w:ascii="Arial" w:cs="Arial" w:eastAsia="Arial" w:hAnsi="Arial"/>
                  <w:sz w:val="16"/>
                  <w:szCs w:val="16"/>
                  <w:color w:val="0000EE"/>
                </w:rPr>
                <w:t>10.</w:t>
              </w:r>
              <w:r>
                <w:rPr>
                  <w:rFonts w:ascii="Arial" w:cs="Arial" w:eastAsia="Arial" w:hAnsi="Arial"/>
                  <w:sz w:val="16"/>
                  <w:szCs w:val="16"/>
                  <w:u w:val="single" w:color="auto"/>
                  <w:color w:val="0000EE"/>
                </w:rPr>
                <w:t>11†</w:t>
              </w:r>
            </w:hyperlink>
          </w:p>
        </w:tc>
        <w:tc>
          <w:tcPr>
            <w:tcW w:w="200" w:type="dxa"/>
            <w:vAlign w:val="bottom"/>
          </w:tcPr>
          <w:p>
            <w:pPr>
              <w:spacing w:after="0"/>
              <w:rPr>
                <w:sz w:val="13"/>
                <w:szCs w:val="13"/>
                <w:color w:val="auto"/>
              </w:rPr>
            </w:pPr>
          </w:p>
        </w:tc>
        <w:tc>
          <w:tcPr>
            <w:tcW w:w="10420" w:type="dxa"/>
            <w:vAlign w:val="bottom"/>
            <w:gridSpan w:val="2"/>
          </w:tcPr>
          <w:p>
            <w:pPr>
              <w:ind w:left="120"/>
              <w:spacing w:after="0" w:line="156" w:lineRule="exact"/>
              <w:rPr>
                <w:sz w:val="20"/>
                <w:szCs w:val="20"/>
                <w:color w:val="auto"/>
              </w:rPr>
            </w:pPr>
            <w:r>
              <w:rPr>
                <w:rFonts w:ascii="Arial" w:cs="Arial" w:eastAsia="Arial" w:hAnsi="Arial"/>
                <w:sz w:val="16"/>
                <w:szCs w:val="16"/>
                <w:color w:val="auto"/>
                <w:w w:val="95"/>
              </w:rPr>
              <w:t>Indemnification Agreement (Catterall) (incorporated by reference to Exhibit 10.7 to the Registrant’s Form 8-K (File No. 001-38790), filed with the SEC on</w:t>
            </w:r>
          </w:p>
        </w:tc>
      </w:tr>
      <w:tr>
        <w:trPr>
          <w:trHeight w:val="208"/>
        </w:trPr>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20" w:type="dxa"/>
            <w:vAlign w:val="bottom"/>
            <w:gridSpan w:val="2"/>
          </w:tcPr>
          <w:p>
            <w:pPr>
              <w:ind w:left="120"/>
              <w:spacing w:after="0"/>
              <w:rPr>
                <w:sz w:val="20"/>
                <w:szCs w:val="20"/>
                <w:color w:val="auto"/>
              </w:rPr>
            </w:pPr>
            <w:r>
              <w:rPr>
                <w:rFonts w:ascii="Arial" w:cs="Arial" w:eastAsia="Arial" w:hAnsi="Arial"/>
                <w:sz w:val="16"/>
                <w:szCs w:val="16"/>
                <w:color w:val="auto"/>
              </w:rPr>
              <w:t>February 5, 2019)</w:t>
            </w:r>
          </w:p>
        </w:tc>
      </w:tr>
      <w:tr>
        <w:trPr>
          <w:trHeight w:val="156"/>
        </w:trPr>
        <w:tc>
          <w:tcPr>
            <w:tcW w:w="820" w:type="dxa"/>
            <w:vAlign w:val="bottom"/>
            <w:gridSpan w:val="5"/>
            <w:shd w:val="clear" w:color="auto" w:fill="CCEEFF"/>
          </w:tcPr>
          <w:p>
            <w:pPr>
              <w:spacing w:after="0" w:line="156" w:lineRule="exact"/>
              <w:rPr>
                <w:rFonts w:ascii="Arial" w:cs="Arial" w:eastAsia="Arial" w:hAnsi="Arial"/>
                <w:sz w:val="16"/>
                <w:szCs w:val="16"/>
                <w:color w:val="0000EE"/>
              </w:rPr>
            </w:pPr>
            <w:hyperlink r:id="rId94">
              <w:r>
                <w:rPr>
                  <w:rFonts w:ascii="Arial" w:cs="Arial" w:eastAsia="Arial" w:hAnsi="Arial"/>
                  <w:sz w:val="16"/>
                  <w:szCs w:val="16"/>
                  <w:color w:val="0000EE"/>
                </w:rPr>
                <w:t>10.</w:t>
              </w:r>
              <w:r>
                <w:rPr>
                  <w:rFonts w:ascii="Arial" w:cs="Arial" w:eastAsia="Arial" w:hAnsi="Arial"/>
                  <w:sz w:val="16"/>
                  <w:szCs w:val="16"/>
                  <w:u w:val="single" w:color="auto"/>
                  <w:color w:val="0000EE"/>
                </w:rPr>
                <w:t>12†</w:t>
              </w:r>
            </w:hyperlink>
          </w:p>
        </w:tc>
        <w:tc>
          <w:tcPr>
            <w:tcW w:w="200" w:type="dxa"/>
            <w:vAlign w:val="bottom"/>
            <w:shd w:val="clear" w:color="auto" w:fill="CCEEFF"/>
          </w:tcPr>
          <w:p>
            <w:pPr>
              <w:spacing w:after="0"/>
              <w:rPr>
                <w:sz w:val="13"/>
                <w:szCs w:val="13"/>
                <w:color w:val="auto"/>
              </w:rPr>
            </w:pPr>
          </w:p>
        </w:tc>
        <w:tc>
          <w:tcPr>
            <w:tcW w:w="1042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6"/>
                <w:szCs w:val="16"/>
                <w:color w:val="auto"/>
                <w:w w:val="97"/>
              </w:rPr>
              <w:t>Indemnification Agreement (Grain) (incorporated by reference to Exhibit 10.8 to the Registrant’s Form 8-K (File No. 001-38790), filed with the SEC on</w:t>
            </w:r>
          </w:p>
        </w:tc>
      </w:tr>
      <w:tr>
        <w:trPr>
          <w:trHeight w:val="208"/>
        </w:trPr>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February 5, 2019)</w:t>
            </w:r>
          </w:p>
        </w:tc>
      </w:tr>
      <w:tr>
        <w:trPr>
          <w:trHeight w:val="156"/>
        </w:trPr>
        <w:tc>
          <w:tcPr>
            <w:tcW w:w="820" w:type="dxa"/>
            <w:vAlign w:val="bottom"/>
            <w:gridSpan w:val="5"/>
          </w:tcPr>
          <w:p>
            <w:pPr>
              <w:spacing w:after="0" w:line="156" w:lineRule="exact"/>
              <w:rPr>
                <w:rFonts w:ascii="Arial" w:cs="Arial" w:eastAsia="Arial" w:hAnsi="Arial"/>
                <w:sz w:val="16"/>
                <w:szCs w:val="16"/>
                <w:color w:val="0000EE"/>
              </w:rPr>
            </w:pPr>
            <w:hyperlink r:id="rId95">
              <w:r>
                <w:rPr>
                  <w:rFonts w:ascii="Arial" w:cs="Arial" w:eastAsia="Arial" w:hAnsi="Arial"/>
                  <w:sz w:val="16"/>
                  <w:szCs w:val="16"/>
                  <w:color w:val="0000EE"/>
                </w:rPr>
                <w:t>10.</w:t>
              </w:r>
              <w:r>
                <w:rPr>
                  <w:rFonts w:ascii="Arial" w:cs="Arial" w:eastAsia="Arial" w:hAnsi="Arial"/>
                  <w:sz w:val="16"/>
                  <w:szCs w:val="16"/>
                  <w:u w:val="single" w:color="auto"/>
                  <w:color w:val="0000EE"/>
                </w:rPr>
                <w:t>13†</w:t>
              </w:r>
            </w:hyperlink>
          </w:p>
        </w:tc>
        <w:tc>
          <w:tcPr>
            <w:tcW w:w="200" w:type="dxa"/>
            <w:vAlign w:val="bottom"/>
          </w:tcPr>
          <w:p>
            <w:pPr>
              <w:spacing w:after="0"/>
              <w:rPr>
                <w:sz w:val="13"/>
                <w:szCs w:val="13"/>
                <w:color w:val="auto"/>
              </w:rPr>
            </w:pPr>
          </w:p>
        </w:tc>
        <w:tc>
          <w:tcPr>
            <w:tcW w:w="10420" w:type="dxa"/>
            <w:vAlign w:val="bottom"/>
            <w:gridSpan w:val="2"/>
          </w:tcPr>
          <w:p>
            <w:pPr>
              <w:ind w:left="120"/>
              <w:spacing w:after="0" w:line="156" w:lineRule="exact"/>
              <w:rPr>
                <w:sz w:val="20"/>
                <w:szCs w:val="20"/>
                <w:color w:val="auto"/>
              </w:rPr>
            </w:pPr>
            <w:r>
              <w:rPr>
                <w:rFonts w:ascii="Arial" w:cs="Arial" w:eastAsia="Arial" w:hAnsi="Arial"/>
                <w:sz w:val="16"/>
                <w:szCs w:val="16"/>
                <w:color w:val="auto"/>
                <w:w w:val="97"/>
              </w:rPr>
              <w:t>Indemnification Agreement (Griffin) (incorporated by reference to Exhibit 10.9 to the Registrant’s Form 8-K (File No. 001-38790), filed with the SEC on</w:t>
            </w:r>
          </w:p>
        </w:tc>
      </w:tr>
      <w:tr>
        <w:trPr>
          <w:trHeight w:val="208"/>
        </w:trPr>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20" w:type="dxa"/>
            <w:vAlign w:val="bottom"/>
            <w:gridSpan w:val="2"/>
          </w:tcPr>
          <w:p>
            <w:pPr>
              <w:ind w:left="120"/>
              <w:spacing w:after="0"/>
              <w:rPr>
                <w:sz w:val="20"/>
                <w:szCs w:val="20"/>
                <w:color w:val="auto"/>
              </w:rPr>
            </w:pPr>
            <w:r>
              <w:rPr>
                <w:rFonts w:ascii="Arial" w:cs="Arial" w:eastAsia="Arial" w:hAnsi="Arial"/>
                <w:sz w:val="16"/>
                <w:szCs w:val="16"/>
                <w:color w:val="auto"/>
              </w:rPr>
              <w:t>February 5, 2019)</w:t>
            </w:r>
          </w:p>
        </w:tc>
      </w:tr>
      <w:tr>
        <w:trPr>
          <w:trHeight w:val="156"/>
        </w:trPr>
        <w:tc>
          <w:tcPr>
            <w:tcW w:w="820" w:type="dxa"/>
            <w:vAlign w:val="bottom"/>
            <w:gridSpan w:val="5"/>
            <w:shd w:val="clear" w:color="auto" w:fill="CCEEFF"/>
          </w:tcPr>
          <w:p>
            <w:pPr>
              <w:spacing w:after="0" w:line="156" w:lineRule="exact"/>
              <w:rPr>
                <w:rFonts w:ascii="Arial" w:cs="Arial" w:eastAsia="Arial" w:hAnsi="Arial"/>
                <w:sz w:val="16"/>
                <w:szCs w:val="16"/>
                <w:color w:val="0000EE"/>
              </w:rPr>
            </w:pPr>
            <w:hyperlink r:id="rId96">
              <w:r>
                <w:rPr>
                  <w:rFonts w:ascii="Arial" w:cs="Arial" w:eastAsia="Arial" w:hAnsi="Arial"/>
                  <w:sz w:val="16"/>
                  <w:szCs w:val="16"/>
                  <w:color w:val="0000EE"/>
                </w:rPr>
                <w:t>10.</w:t>
              </w:r>
              <w:r>
                <w:rPr>
                  <w:rFonts w:ascii="Arial" w:cs="Arial" w:eastAsia="Arial" w:hAnsi="Arial"/>
                  <w:sz w:val="16"/>
                  <w:szCs w:val="16"/>
                  <w:u w:val="single" w:color="auto"/>
                  <w:color w:val="0000EE"/>
                </w:rPr>
                <w:t>14†</w:t>
              </w:r>
            </w:hyperlink>
          </w:p>
        </w:tc>
        <w:tc>
          <w:tcPr>
            <w:tcW w:w="200" w:type="dxa"/>
            <w:vAlign w:val="bottom"/>
            <w:shd w:val="clear" w:color="auto" w:fill="CCEEFF"/>
          </w:tcPr>
          <w:p>
            <w:pPr>
              <w:spacing w:after="0"/>
              <w:rPr>
                <w:sz w:val="13"/>
                <w:szCs w:val="13"/>
                <w:color w:val="auto"/>
              </w:rPr>
            </w:pPr>
          </w:p>
        </w:tc>
        <w:tc>
          <w:tcPr>
            <w:tcW w:w="1042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6"/>
                <w:szCs w:val="16"/>
                <w:color w:val="auto"/>
                <w:w w:val="96"/>
              </w:rPr>
              <w:t>Indemnification Agreement (Mack) (incorporated by reference to Exhibit 10.10 to the Registrant’s Form 8-K (File No. 001-38790), filed with the SEC on</w:t>
            </w:r>
          </w:p>
        </w:tc>
      </w:tr>
      <w:tr>
        <w:trPr>
          <w:trHeight w:val="208"/>
        </w:trPr>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February 5, 2019)</w:t>
            </w:r>
          </w:p>
        </w:tc>
      </w:tr>
      <w:tr>
        <w:trPr>
          <w:trHeight w:val="156"/>
        </w:trPr>
        <w:tc>
          <w:tcPr>
            <w:tcW w:w="820" w:type="dxa"/>
            <w:vAlign w:val="bottom"/>
            <w:gridSpan w:val="5"/>
          </w:tcPr>
          <w:p>
            <w:pPr>
              <w:spacing w:after="0" w:line="156" w:lineRule="exact"/>
              <w:rPr>
                <w:rFonts w:ascii="Arial" w:cs="Arial" w:eastAsia="Arial" w:hAnsi="Arial"/>
                <w:sz w:val="16"/>
                <w:szCs w:val="16"/>
                <w:color w:val="0000EE"/>
              </w:rPr>
            </w:pPr>
            <w:hyperlink r:id="rId97">
              <w:r>
                <w:rPr>
                  <w:rFonts w:ascii="Arial" w:cs="Arial" w:eastAsia="Arial" w:hAnsi="Arial"/>
                  <w:sz w:val="16"/>
                  <w:szCs w:val="16"/>
                  <w:color w:val="0000EE"/>
                </w:rPr>
                <w:t>10.</w:t>
              </w:r>
              <w:r>
                <w:rPr>
                  <w:rFonts w:ascii="Arial" w:cs="Arial" w:eastAsia="Arial" w:hAnsi="Arial"/>
                  <w:sz w:val="16"/>
                  <w:szCs w:val="16"/>
                  <w:u w:val="single" w:color="auto"/>
                  <w:color w:val="0000EE"/>
                </w:rPr>
                <w:t>15†</w:t>
              </w:r>
            </w:hyperlink>
          </w:p>
        </w:tc>
        <w:tc>
          <w:tcPr>
            <w:tcW w:w="200" w:type="dxa"/>
            <w:vAlign w:val="bottom"/>
          </w:tcPr>
          <w:p>
            <w:pPr>
              <w:spacing w:after="0"/>
              <w:rPr>
                <w:sz w:val="13"/>
                <w:szCs w:val="13"/>
                <w:color w:val="auto"/>
              </w:rPr>
            </w:pPr>
          </w:p>
        </w:tc>
        <w:tc>
          <w:tcPr>
            <w:tcW w:w="10420" w:type="dxa"/>
            <w:vAlign w:val="bottom"/>
            <w:gridSpan w:val="2"/>
          </w:tcPr>
          <w:p>
            <w:pPr>
              <w:ind w:left="120"/>
              <w:spacing w:after="0" w:line="156" w:lineRule="exact"/>
              <w:rPr>
                <w:sz w:val="20"/>
                <w:szCs w:val="20"/>
                <w:color w:val="auto"/>
              </w:rPr>
            </w:pPr>
            <w:r>
              <w:rPr>
                <w:rFonts w:ascii="Arial" w:cs="Arial" w:eastAsia="Arial" w:hAnsi="Arial"/>
                <w:sz w:val="16"/>
                <w:szCs w:val="16"/>
                <w:color w:val="auto"/>
                <w:w w:val="94"/>
              </w:rPr>
              <w:t>Indemnification Agreement (Nardone) (incorporated by reference to Exhibit 10.11 to the Registrant’s Form 8-K (File No. 001-38790), filed with the SEC on</w:t>
            </w:r>
          </w:p>
        </w:tc>
      </w:tr>
      <w:tr>
        <w:trPr>
          <w:trHeight w:val="208"/>
        </w:trPr>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20" w:type="dxa"/>
            <w:vAlign w:val="bottom"/>
            <w:gridSpan w:val="2"/>
          </w:tcPr>
          <w:p>
            <w:pPr>
              <w:ind w:left="120"/>
              <w:spacing w:after="0"/>
              <w:rPr>
                <w:sz w:val="20"/>
                <w:szCs w:val="20"/>
                <w:color w:val="auto"/>
              </w:rPr>
            </w:pPr>
            <w:r>
              <w:rPr>
                <w:rFonts w:ascii="Arial" w:cs="Arial" w:eastAsia="Arial" w:hAnsi="Arial"/>
                <w:sz w:val="16"/>
                <w:szCs w:val="16"/>
                <w:color w:val="auto"/>
              </w:rPr>
              <w:t>February 5, 2019)</w:t>
            </w:r>
          </w:p>
        </w:tc>
      </w:tr>
      <w:tr>
        <w:trPr>
          <w:trHeight w:val="156"/>
        </w:trPr>
        <w:tc>
          <w:tcPr>
            <w:tcW w:w="820" w:type="dxa"/>
            <w:vAlign w:val="bottom"/>
            <w:gridSpan w:val="5"/>
            <w:shd w:val="clear" w:color="auto" w:fill="CCEEFF"/>
          </w:tcPr>
          <w:p>
            <w:pPr>
              <w:spacing w:after="0" w:line="156" w:lineRule="exact"/>
              <w:rPr>
                <w:rFonts w:ascii="Arial" w:cs="Arial" w:eastAsia="Arial" w:hAnsi="Arial"/>
                <w:sz w:val="16"/>
                <w:szCs w:val="16"/>
                <w:color w:val="0000EE"/>
              </w:rPr>
            </w:pPr>
            <w:hyperlink r:id="rId98">
              <w:r>
                <w:rPr>
                  <w:rFonts w:ascii="Arial" w:cs="Arial" w:eastAsia="Arial" w:hAnsi="Arial"/>
                  <w:sz w:val="16"/>
                  <w:szCs w:val="16"/>
                  <w:color w:val="0000EE"/>
                </w:rPr>
                <w:t>10.</w:t>
              </w:r>
              <w:r>
                <w:rPr>
                  <w:rFonts w:ascii="Arial" w:cs="Arial" w:eastAsia="Arial" w:hAnsi="Arial"/>
                  <w:sz w:val="16"/>
                  <w:szCs w:val="16"/>
                  <w:u w:val="single" w:color="auto"/>
                  <w:color w:val="0000EE"/>
                </w:rPr>
                <w:t>16†</w:t>
              </w:r>
            </w:hyperlink>
          </w:p>
        </w:tc>
        <w:tc>
          <w:tcPr>
            <w:tcW w:w="200" w:type="dxa"/>
            <w:vAlign w:val="bottom"/>
            <w:shd w:val="clear" w:color="auto" w:fill="CCEEFF"/>
          </w:tcPr>
          <w:p>
            <w:pPr>
              <w:spacing w:after="0"/>
              <w:rPr>
                <w:sz w:val="13"/>
                <w:szCs w:val="13"/>
                <w:color w:val="auto"/>
              </w:rPr>
            </w:pPr>
          </w:p>
        </w:tc>
        <w:tc>
          <w:tcPr>
            <w:tcW w:w="1042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6"/>
                <w:szCs w:val="16"/>
                <w:color w:val="auto"/>
                <w:w w:val="95"/>
              </w:rPr>
              <w:t>Indemnification Agreement (Wanner) (incorporated by reference to Exhibit 10.12 to the Registrant’s Form 8-K (File No. 001-38790), filed with the SEC on</w:t>
            </w:r>
          </w:p>
        </w:tc>
      </w:tr>
      <w:tr>
        <w:trPr>
          <w:trHeight w:val="208"/>
        </w:trPr>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February 5, 2019)</w:t>
            </w:r>
          </w:p>
        </w:tc>
      </w:tr>
      <w:tr>
        <w:trPr>
          <w:trHeight w:val="156"/>
        </w:trPr>
        <w:tc>
          <w:tcPr>
            <w:tcW w:w="820" w:type="dxa"/>
            <w:vAlign w:val="bottom"/>
            <w:gridSpan w:val="5"/>
          </w:tcPr>
          <w:p>
            <w:pPr>
              <w:spacing w:after="0" w:line="156" w:lineRule="exact"/>
              <w:rPr>
                <w:rFonts w:ascii="Arial" w:cs="Arial" w:eastAsia="Arial" w:hAnsi="Arial"/>
                <w:sz w:val="16"/>
                <w:szCs w:val="16"/>
                <w:color w:val="0000EE"/>
              </w:rPr>
            </w:pPr>
            <w:hyperlink r:id="rId99">
              <w:r>
                <w:rPr>
                  <w:rFonts w:ascii="Arial" w:cs="Arial" w:eastAsia="Arial" w:hAnsi="Arial"/>
                  <w:sz w:val="16"/>
                  <w:szCs w:val="16"/>
                  <w:color w:val="0000EE"/>
                </w:rPr>
                <w:t>10.</w:t>
              </w:r>
              <w:r>
                <w:rPr>
                  <w:rFonts w:ascii="Arial" w:cs="Arial" w:eastAsia="Arial" w:hAnsi="Arial"/>
                  <w:sz w:val="16"/>
                  <w:szCs w:val="16"/>
                  <w:u w:val="single" w:color="auto"/>
                  <w:color w:val="0000EE"/>
                </w:rPr>
                <w:t>17†</w:t>
              </w:r>
            </w:hyperlink>
          </w:p>
        </w:tc>
        <w:tc>
          <w:tcPr>
            <w:tcW w:w="200" w:type="dxa"/>
            <w:vAlign w:val="bottom"/>
          </w:tcPr>
          <w:p>
            <w:pPr>
              <w:spacing w:after="0"/>
              <w:rPr>
                <w:sz w:val="13"/>
                <w:szCs w:val="13"/>
                <w:color w:val="auto"/>
              </w:rPr>
            </w:pPr>
          </w:p>
        </w:tc>
        <w:tc>
          <w:tcPr>
            <w:tcW w:w="10420" w:type="dxa"/>
            <w:vAlign w:val="bottom"/>
            <w:gridSpan w:val="2"/>
          </w:tcPr>
          <w:p>
            <w:pPr>
              <w:ind w:left="120"/>
              <w:spacing w:after="0" w:line="156" w:lineRule="exact"/>
              <w:rPr>
                <w:sz w:val="20"/>
                <w:szCs w:val="20"/>
                <w:color w:val="auto"/>
              </w:rPr>
            </w:pPr>
            <w:r>
              <w:rPr>
                <w:rFonts w:ascii="Arial" w:cs="Arial" w:eastAsia="Arial" w:hAnsi="Arial"/>
                <w:sz w:val="16"/>
                <w:szCs w:val="16"/>
                <w:color w:val="auto"/>
                <w:w w:val="93"/>
              </w:rPr>
              <w:t>Indemnification Agreement (Wilkinson) (incorporated by reference to Exhibit 10.13 to the Registrant’s Form 8-K (File No. 001-38790), filed with the SEC on</w:t>
            </w:r>
          </w:p>
        </w:tc>
      </w:tr>
      <w:tr>
        <w:trPr>
          <w:trHeight w:val="208"/>
        </w:trPr>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20" w:type="dxa"/>
            <w:vAlign w:val="bottom"/>
            <w:gridSpan w:val="2"/>
          </w:tcPr>
          <w:p>
            <w:pPr>
              <w:ind w:left="120"/>
              <w:spacing w:after="0"/>
              <w:rPr>
                <w:sz w:val="20"/>
                <w:szCs w:val="20"/>
                <w:color w:val="auto"/>
              </w:rPr>
            </w:pPr>
            <w:r>
              <w:rPr>
                <w:rFonts w:ascii="Arial" w:cs="Arial" w:eastAsia="Arial" w:hAnsi="Arial"/>
                <w:sz w:val="16"/>
                <w:szCs w:val="16"/>
                <w:color w:val="auto"/>
              </w:rPr>
              <w:t>February 5, 2019)</w:t>
            </w:r>
          </w:p>
        </w:tc>
      </w:tr>
      <w:tr>
        <w:trPr>
          <w:trHeight w:val="156"/>
        </w:trPr>
        <w:tc>
          <w:tcPr>
            <w:tcW w:w="440" w:type="dxa"/>
            <w:vAlign w:val="bottom"/>
            <w:gridSpan w:val="4"/>
            <w:shd w:val="clear" w:color="auto" w:fill="CCEEFF"/>
          </w:tcPr>
          <w:p>
            <w:pPr>
              <w:spacing w:after="0" w:line="156" w:lineRule="exact"/>
              <w:rPr>
                <w:rFonts w:ascii="Arial" w:cs="Arial" w:eastAsia="Arial" w:hAnsi="Arial"/>
                <w:sz w:val="16"/>
                <w:szCs w:val="16"/>
                <w:color w:val="0000EE"/>
              </w:rPr>
            </w:pPr>
            <w:hyperlink r:id="rId100">
              <w:r>
                <w:rPr>
                  <w:rFonts w:ascii="Arial" w:cs="Arial" w:eastAsia="Arial" w:hAnsi="Arial"/>
                  <w:sz w:val="16"/>
                  <w:szCs w:val="16"/>
                  <w:color w:val="0000EE"/>
                </w:rPr>
                <w:t>10.</w:t>
              </w:r>
              <w:r>
                <w:rPr>
                  <w:rFonts w:ascii="Arial" w:cs="Arial" w:eastAsia="Arial" w:hAnsi="Arial"/>
                  <w:sz w:val="16"/>
                  <w:szCs w:val="16"/>
                  <w:u w:val="single" w:color="auto"/>
                  <w:color w:val="0000EE"/>
                </w:rPr>
                <w:t>18</w:t>
              </w:r>
            </w:hyperlink>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2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6"/>
                <w:szCs w:val="16"/>
                <w:color w:val="auto"/>
                <w:w w:val="90"/>
              </w:rPr>
              <w:t>Amendment Agreement dated as February 11, 2019 to Credit Agreement, dated as of August 15, 2018 and as amended and restated as of December 31, 2018,</w:t>
            </w:r>
          </w:p>
        </w:tc>
      </w:tr>
      <w:tr>
        <w:trPr>
          <w:trHeight w:val="196"/>
        </w:trPr>
        <w:tc>
          <w:tcPr>
            <w:tcW w:w="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w w:val="95"/>
              </w:rPr>
              <w:t>among New Fortress Intermediate LLC, NFE Atlantic Holdings LLC, the subsidiary guarantors from time to time party thereto, lenders parties thereto and</w:t>
            </w:r>
          </w:p>
        </w:tc>
      </w:tr>
      <w:tr>
        <w:trPr>
          <w:trHeight w:val="192"/>
        </w:trPr>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1"/>
              </w:rPr>
              <w:t>Morgan Stanley Senior Funding, Inc., as administrative agent (incorporated by reference to Exhibit 10.25 to the Registrant’s Annual Report on Form 10-K, filed</w:t>
            </w:r>
          </w:p>
        </w:tc>
      </w:tr>
      <w:tr>
        <w:trPr>
          <w:trHeight w:val="205"/>
        </w:trPr>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with the SEC on March 26, 2019)</w:t>
            </w:r>
          </w:p>
        </w:tc>
      </w:tr>
      <w:tr>
        <w:trPr>
          <w:trHeight w:val="531"/>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20" w:type="dxa"/>
            <w:vAlign w:val="bottom"/>
            <w:gridSpan w:val="3"/>
          </w:tcPr>
          <w:p>
            <w:pPr>
              <w:jc w:val="right"/>
              <w:ind w:right="5580"/>
              <w:spacing w:after="0"/>
              <w:rPr>
                <w:sz w:val="20"/>
                <w:szCs w:val="20"/>
                <w:color w:val="auto"/>
              </w:rPr>
            </w:pPr>
            <w:r>
              <w:rPr>
                <w:rFonts w:ascii="Arial" w:cs="Arial" w:eastAsia="Arial" w:hAnsi="Arial"/>
                <w:sz w:val="13"/>
                <w:szCs w:val="13"/>
                <w:color w:val="auto"/>
              </w:rPr>
              <w:t>59</w:t>
            </w:r>
          </w:p>
        </w:tc>
      </w:tr>
      <w:tr>
        <w:trPr>
          <w:trHeight w:val="38"/>
        </w:trPr>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30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24" w:right="219" w:bottom="1440" w:gutter="0" w:footer="0" w:header="0"/>
        </w:sectPr>
      </w:pPr>
    </w:p>
    <w:bookmarkStart w:id="64" w:name="page65"/>
    <w:bookmarkEnd w:id="64"/>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900" w:type="dxa"/>
            <w:vAlign w:val="bottom"/>
            <w:tcBorders>
              <w:bottom w:val="single" w:sz="8" w:color="0000EE"/>
            </w:tcBorders>
            <w:gridSpan w:val="3"/>
          </w:tcPr>
          <w:p>
            <w:pPr>
              <w:spacing w:after="0"/>
              <w:rPr>
                <w:rFonts w:ascii="Arial" w:cs="Arial" w:eastAsia="Arial" w:hAnsi="Arial"/>
                <w:sz w:val="13"/>
                <w:szCs w:val="13"/>
                <w:i w:val="1"/>
                <w:iCs w:val="1"/>
                <w:color w:val="0000EE"/>
                <w:w w:val="85"/>
              </w:rPr>
            </w:pPr>
            <w:hyperlink w:anchor="page2">
              <w:r>
                <w:rPr>
                  <w:rFonts w:ascii="Arial" w:cs="Arial" w:eastAsia="Arial" w:hAnsi="Arial"/>
                  <w:sz w:val="13"/>
                  <w:szCs w:val="13"/>
                  <w:i w:val="1"/>
                  <w:iCs w:val="1"/>
                  <w:color w:val="0000EE"/>
                  <w:w w:val="85"/>
                </w:rPr>
                <w:t>Table of Contents</w:t>
              </w:r>
            </w:hyperlink>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300" w:type="dxa"/>
            <w:vAlign w:val="bottom"/>
          </w:tcPr>
          <w:p>
            <w:pPr>
              <w:spacing w:after="0"/>
              <w:rPr>
                <w:sz w:val="13"/>
                <w:szCs w:val="13"/>
                <w:color w:val="auto"/>
              </w:rPr>
            </w:pPr>
          </w:p>
        </w:tc>
      </w:tr>
      <w:tr>
        <w:trPr>
          <w:trHeight w:val="324"/>
        </w:trPr>
        <w:tc>
          <w:tcPr>
            <w:tcW w:w="1020" w:type="dxa"/>
            <w:vAlign w:val="bottom"/>
            <w:gridSpan w:val="4"/>
          </w:tcPr>
          <w:p>
            <w:pPr>
              <w:ind w:left="26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24"/>
                <w:szCs w:val="24"/>
                <w:color w:val="auto"/>
              </w:rPr>
            </w:pPr>
          </w:p>
        </w:tc>
        <w:tc>
          <w:tcPr>
            <w:tcW w:w="10300" w:type="dxa"/>
            <w:vAlign w:val="bottom"/>
          </w:tcPr>
          <w:p>
            <w:pPr>
              <w:spacing w:after="0"/>
              <w:rPr>
                <w:sz w:val="24"/>
                <w:szCs w:val="24"/>
                <w:color w:val="auto"/>
              </w:rPr>
            </w:pPr>
          </w:p>
        </w:tc>
      </w:tr>
      <w:tr>
        <w:trPr>
          <w:trHeight w:val="213"/>
        </w:trPr>
        <w:tc>
          <w:tcPr>
            <w:tcW w:w="102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Number</w:t>
            </w:r>
          </w:p>
        </w:tc>
        <w:tc>
          <w:tcPr>
            <w:tcW w:w="120" w:type="dxa"/>
            <w:vAlign w:val="bottom"/>
            <w:tcBorders>
              <w:bottom w:val="single" w:sz="8" w:color="CCEEFF"/>
            </w:tcBorders>
          </w:tcPr>
          <w:p>
            <w:pPr>
              <w:spacing w:after="0"/>
              <w:rPr>
                <w:sz w:val="18"/>
                <w:szCs w:val="18"/>
                <w:color w:val="auto"/>
              </w:rPr>
            </w:pPr>
          </w:p>
        </w:tc>
        <w:tc>
          <w:tcPr>
            <w:tcW w:w="10300" w:type="dxa"/>
            <w:vAlign w:val="bottom"/>
            <w:tcBorders>
              <w:bottom w:val="single" w:sz="8" w:color="auto"/>
            </w:tcBorders>
          </w:tcPr>
          <w:p>
            <w:pPr>
              <w:ind w:left="4760"/>
              <w:spacing w:after="0"/>
              <w:rPr>
                <w:sz w:val="20"/>
                <w:szCs w:val="20"/>
                <w:color w:val="auto"/>
              </w:rPr>
            </w:pPr>
            <w:r>
              <w:rPr>
                <w:rFonts w:ascii="Arial" w:cs="Arial" w:eastAsia="Arial" w:hAnsi="Arial"/>
                <w:sz w:val="16"/>
                <w:szCs w:val="16"/>
                <w:b w:val="1"/>
                <w:bCs w:val="1"/>
                <w:color w:val="auto"/>
              </w:rPr>
              <w:t>Description</w:t>
            </w:r>
          </w:p>
        </w:tc>
      </w:tr>
      <w:tr>
        <w:trPr>
          <w:trHeight w:val="156"/>
        </w:trPr>
        <w:tc>
          <w:tcPr>
            <w:tcW w:w="440" w:type="dxa"/>
            <w:vAlign w:val="bottom"/>
            <w:gridSpan w:val="2"/>
            <w:shd w:val="clear" w:color="auto" w:fill="CCEEFF"/>
          </w:tcPr>
          <w:p>
            <w:pPr>
              <w:spacing w:after="0" w:line="156" w:lineRule="exact"/>
              <w:rPr>
                <w:rFonts w:ascii="Arial" w:cs="Arial" w:eastAsia="Arial" w:hAnsi="Arial"/>
                <w:sz w:val="16"/>
                <w:szCs w:val="16"/>
                <w:color w:val="0000EE"/>
              </w:rPr>
            </w:pPr>
            <w:hyperlink r:id="rId101">
              <w:r>
                <w:rPr>
                  <w:rFonts w:ascii="Arial" w:cs="Arial" w:eastAsia="Arial" w:hAnsi="Arial"/>
                  <w:sz w:val="16"/>
                  <w:szCs w:val="16"/>
                  <w:color w:val="0000EE"/>
                </w:rPr>
                <w:t>10.</w:t>
              </w:r>
              <w:r>
                <w:rPr>
                  <w:rFonts w:ascii="Arial" w:cs="Arial" w:eastAsia="Arial" w:hAnsi="Arial"/>
                  <w:sz w:val="16"/>
                  <w:szCs w:val="16"/>
                  <w:u w:val="single" w:color="auto"/>
                  <w:color w:val="0000EE"/>
                </w:rPr>
                <w:t>19</w:t>
              </w:r>
            </w:hyperlink>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300" w:type="dxa"/>
            <w:vAlign w:val="bottom"/>
            <w:shd w:val="clear" w:color="auto" w:fill="CCEEFF"/>
          </w:tcPr>
          <w:p>
            <w:pPr>
              <w:spacing w:after="0" w:line="156" w:lineRule="exact"/>
              <w:rPr>
                <w:sz w:val="20"/>
                <w:szCs w:val="20"/>
                <w:color w:val="auto"/>
              </w:rPr>
            </w:pPr>
            <w:r>
              <w:rPr>
                <w:rFonts w:ascii="Arial" w:cs="Arial" w:eastAsia="Arial" w:hAnsi="Arial"/>
                <w:sz w:val="16"/>
                <w:szCs w:val="16"/>
                <w:color w:val="auto"/>
                <w:w w:val="89"/>
              </w:rPr>
              <w:t>Second Amendment Agreement, dated as of March 13, 2019 to the Credit Agreement, dated as of August 15, 2018 and as amended and restated as of December</w:t>
            </w:r>
          </w:p>
        </w:tc>
      </w:tr>
      <w:tr>
        <w:trPr>
          <w:trHeight w:val="196"/>
        </w:trPr>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w w:val="91"/>
              </w:rPr>
              <w:t>31, 2018, and as amended as of February 11, 2019, among New Fortress Intermediate LLC, NFE Atlantic Holdings LLC, the subsidiary guarantors from time to</w:t>
            </w:r>
          </w:p>
        </w:tc>
      </w:tr>
      <w:tr>
        <w:trPr>
          <w:trHeight w:val="192"/>
        </w:trPr>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2"/>
              </w:rPr>
              <w:t>time party thereto, lenders parties thereto and Morgan Stanley Senior Funding, Inc., as administrative agent (incorporated by reference to Exhibit 10.26 to the</w:t>
            </w:r>
          </w:p>
        </w:tc>
      </w:tr>
      <w:tr>
        <w:trPr>
          <w:trHeight w:val="205"/>
        </w:trPr>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Registrant’s Annual Report on Form 10-K, filed with the SEC on March 26, 2019)</w:t>
            </w:r>
          </w:p>
        </w:tc>
      </w:tr>
      <w:tr>
        <w:trPr>
          <w:trHeight w:val="156"/>
        </w:trPr>
        <w:tc>
          <w:tcPr>
            <w:tcW w:w="440" w:type="dxa"/>
            <w:vAlign w:val="bottom"/>
            <w:gridSpan w:val="2"/>
          </w:tcPr>
          <w:p>
            <w:pPr>
              <w:spacing w:after="0" w:line="156" w:lineRule="exact"/>
              <w:rPr>
                <w:rFonts w:ascii="Arial" w:cs="Arial" w:eastAsia="Arial" w:hAnsi="Arial"/>
                <w:sz w:val="16"/>
                <w:szCs w:val="16"/>
                <w:color w:val="0000EE"/>
              </w:rPr>
            </w:pPr>
            <w:hyperlink r:id="rId102">
              <w:r>
                <w:rPr>
                  <w:rFonts w:ascii="Arial" w:cs="Arial" w:eastAsia="Arial" w:hAnsi="Arial"/>
                  <w:sz w:val="16"/>
                  <w:szCs w:val="16"/>
                  <w:color w:val="0000EE"/>
                </w:rPr>
                <w:t>10.</w:t>
              </w:r>
              <w:r>
                <w:rPr>
                  <w:rFonts w:ascii="Arial" w:cs="Arial" w:eastAsia="Arial" w:hAnsi="Arial"/>
                  <w:sz w:val="16"/>
                  <w:szCs w:val="16"/>
                  <w:u w:val="single" w:color="auto"/>
                  <w:color w:val="0000EE"/>
                </w:rPr>
                <w:t>20</w:t>
              </w:r>
            </w:hyperlink>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gridSpan w:val="2"/>
          </w:tcPr>
          <w:p>
            <w:pPr>
              <w:ind w:left="120"/>
              <w:spacing w:after="0" w:line="156" w:lineRule="exact"/>
              <w:rPr>
                <w:sz w:val="20"/>
                <w:szCs w:val="20"/>
                <w:color w:val="auto"/>
              </w:rPr>
            </w:pPr>
            <w:r>
              <w:rPr>
                <w:rFonts w:ascii="Arial" w:cs="Arial" w:eastAsia="Arial" w:hAnsi="Arial"/>
                <w:sz w:val="16"/>
                <w:szCs w:val="16"/>
                <w:color w:val="auto"/>
                <w:w w:val="92"/>
              </w:rPr>
              <w:t>Engineering, Procurement and Construction Agreement for the Marcellus LNG Production Facility I, dated January 8, 2019, by and between Bradford County</w:t>
            </w:r>
          </w:p>
        </w:tc>
      </w:tr>
      <w:tr>
        <w:trPr>
          <w:trHeight w:val="196"/>
        </w:trPr>
        <w:tc>
          <w:tcPr>
            <w:tcW w:w="3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
          </w:tcPr>
          <w:p>
            <w:pPr>
              <w:ind w:left="120"/>
              <w:spacing w:after="0"/>
              <w:rPr>
                <w:sz w:val="20"/>
                <w:szCs w:val="20"/>
                <w:color w:val="auto"/>
              </w:rPr>
            </w:pPr>
            <w:r>
              <w:rPr>
                <w:rFonts w:ascii="Arial" w:cs="Arial" w:eastAsia="Arial" w:hAnsi="Arial"/>
                <w:sz w:val="16"/>
                <w:szCs w:val="16"/>
                <w:color w:val="auto"/>
                <w:w w:val="91"/>
              </w:rPr>
              <w:t>Real Estate Partners LLC and Black &amp; Veatch Construction, Inc. (incorporated by reference to Exhibit 10.17 to the Registrant’s Registration Statement on Form</w:t>
            </w:r>
          </w:p>
        </w:tc>
      </w:tr>
      <w:tr>
        <w:trPr>
          <w:trHeight w:val="205"/>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
          </w:tcPr>
          <w:p>
            <w:pPr>
              <w:ind w:left="120"/>
              <w:spacing w:after="0"/>
              <w:rPr>
                <w:sz w:val="20"/>
                <w:szCs w:val="20"/>
                <w:color w:val="auto"/>
              </w:rPr>
            </w:pPr>
            <w:r>
              <w:rPr>
                <w:rFonts w:ascii="Arial" w:cs="Arial" w:eastAsia="Arial" w:hAnsi="Arial"/>
                <w:sz w:val="16"/>
                <w:szCs w:val="16"/>
                <w:color w:val="auto"/>
              </w:rPr>
              <w:t>S-1/A (File No. 333-228339), filed with the SEC on January 25, 2019)</w:t>
            </w:r>
          </w:p>
        </w:tc>
      </w:tr>
      <w:tr>
        <w:trPr>
          <w:trHeight w:val="156"/>
        </w:trPr>
        <w:tc>
          <w:tcPr>
            <w:tcW w:w="1020" w:type="dxa"/>
            <w:vAlign w:val="bottom"/>
            <w:gridSpan w:val="4"/>
            <w:shd w:val="clear" w:color="auto" w:fill="CCEEFF"/>
          </w:tcPr>
          <w:p>
            <w:pPr>
              <w:spacing w:after="0" w:line="156" w:lineRule="exact"/>
              <w:rPr>
                <w:rFonts w:ascii="Arial" w:cs="Arial" w:eastAsia="Arial" w:hAnsi="Arial"/>
                <w:sz w:val="16"/>
                <w:szCs w:val="16"/>
                <w:color w:val="0000EE"/>
              </w:rPr>
            </w:pPr>
            <w:hyperlink r:id="rId103">
              <w:r>
                <w:rPr>
                  <w:rFonts w:ascii="Arial" w:cs="Arial" w:eastAsia="Arial" w:hAnsi="Arial"/>
                  <w:sz w:val="16"/>
                  <w:szCs w:val="16"/>
                  <w:color w:val="0000EE"/>
                </w:rPr>
                <w:t>10.</w:t>
              </w:r>
              <w:r>
                <w:rPr>
                  <w:rFonts w:ascii="Arial" w:cs="Arial" w:eastAsia="Arial" w:hAnsi="Arial"/>
                  <w:sz w:val="16"/>
                  <w:szCs w:val="16"/>
                  <w:u w:val="single" w:color="auto"/>
                  <w:color w:val="0000EE"/>
                </w:rPr>
                <w:t>21†</w:t>
              </w:r>
            </w:hyperlink>
          </w:p>
        </w:tc>
        <w:tc>
          <w:tcPr>
            <w:tcW w:w="1042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6"/>
                <w:szCs w:val="16"/>
                <w:color w:val="auto"/>
                <w:w w:val="92"/>
              </w:rPr>
              <w:t>Indemnification Agreement, dated as of March 17, 2019, by and between New Fortress Energy LLC and Yunyoung Shin (incorporated by reference to Exhibit</w:t>
            </w:r>
          </w:p>
        </w:tc>
      </w:tr>
      <w:tr>
        <w:trPr>
          <w:trHeight w:val="208"/>
        </w:trPr>
        <w:tc>
          <w:tcPr>
            <w:tcW w:w="3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10.29 to the Registrant’s Annual Report on Form 10-K, filed with the SEC on March 26, 2019)</w:t>
            </w:r>
          </w:p>
        </w:tc>
      </w:tr>
      <w:tr>
        <w:trPr>
          <w:trHeight w:val="156"/>
        </w:trPr>
        <w:tc>
          <w:tcPr>
            <w:tcW w:w="440" w:type="dxa"/>
            <w:vAlign w:val="bottom"/>
            <w:gridSpan w:val="2"/>
          </w:tcPr>
          <w:p>
            <w:pPr>
              <w:spacing w:after="0" w:line="156" w:lineRule="exact"/>
              <w:rPr>
                <w:rFonts w:ascii="Arial" w:cs="Arial" w:eastAsia="Arial" w:hAnsi="Arial"/>
                <w:sz w:val="16"/>
                <w:szCs w:val="16"/>
                <w:color w:val="0000EE"/>
              </w:rPr>
            </w:pPr>
            <w:hyperlink w:anchor="page76">
              <w:r>
                <w:rPr>
                  <w:rFonts w:ascii="Arial" w:cs="Arial" w:eastAsia="Arial" w:hAnsi="Arial"/>
                  <w:sz w:val="16"/>
                  <w:szCs w:val="16"/>
                  <w:color w:val="0000EE"/>
                </w:rPr>
                <w:t>31.</w:t>
              </w:r>
              <w:r>
                <w:rPr>
                  <w:rFonts w:ascii="Arial" w:cs="Arial" w:eastAsia="Arial" w:hAnsi="Arial"/>
                  <w:sz w:val="16"/>
                  <w:szCs w:val="16"/>
                  <w:u w:val="single" w:color="auto"/>
                  <w:color w:val="0000EE"/>
                </w:rPr>
                <w:t>1*</w:t>
              </w:r>
            </w:hyperlink>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gridSpan w:val="2"/>
          </w:tcPr>
          <w:p>
            <w:pPr>
              <w:ind w:left="120"/>
              <w:spacing w:after="0" w:line="156" w:lineRule="exact"/>
              <w:rPr>
                <w:sz w:val="20"/>
                <w:szCs w:val="20"/>
                <w:color w:val="auto"/>
              </w:rPr>
            </w:pPr>
            <w:r>
              <w:rPr>
                <w:rFonts w:ascii="Arial" w:cs="Arial" w:eastAsia="Arial" w:hAnsi="Arial"/>
                <w:sz w:val="16"/>
                <w:szCs w:val="16"/>
                <w:color w:val="auto"/>
                <w:w w:val="95"/>
              </w:rPr>
              <w:t>Certification by Chief Executive Officer pursuant to Rule 13a-14(a) and 15d-14(a) of the Exchange Act Rules, as adopted pursuant to Section 302 of the</w:t>
            </w:r>
          </w:p>
        </w:tc>
      </w:tr>
      <w:tr>
        <w:trPr>
          <w:trHeight w:val="208"/>
        </w:trPr>
        <w:tc>
          <w:tcPr>
            <w:tcW w:w="3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20" w:type="dxa"/>
            <w:vAlign w:val="bottom"/>
            <w:gridSpan w:val="2"/>
          </w:tcPr>
          <w:p>
            <w:pPr>
              <w:ind w:left="120"/>
              <w:spacing w:after="0"/>
              <w:rPr>
                <w:sz w:val="20"/>
                <w:szCs w:val="20"/>
                <w:color w:val="auto"/>
              </w:rPr>
            </w:pPr>
            <w:r>
              <w:rPr>
                <w:rFonts w:ascii="Arial" w:cs="Arial" w:eastAsia="Arial" w:hAnsi="Arial"/>
                <w:sz w:val="16"/>
                <w:szCs w:val="16"/>
                <w:color w:val="auto"/>
              </w:rPr>
              <w:t>Sarbanes-Oxley Act of 2002.</w:t>
            </w:r>
          </w:p>
        </w:tc>
      </w:tr>
      <w:tr>
        <w:trPr>
          <w:trHeight w:val="156"/>
        </w:trPr>
        <w:tc>
          <w:tcPr>
            <w:tcW w:w="440" w:type="dxa"/>
            <w:vAlign w:val="bottom"/>
            <w:gridSpan w:val="2"/>
            <w:shd w:val="clear" w:color="auto" w:fill="CCEEFF"/>
          </w:tcPr>
          <w:p>
            <w:pPr>
              <w:spacing w:after="0" w:line="156" w:lineRule="exact"/>
              <w:rPr>
                <w:rFonts w:ascii="Arial" w:cs="Arial" w:eastAsia="Arial" w:hAnsi="Arial"/>
                <w:sz w:val="16"/>
                <w:szCs w:val="16"/>
                <w:color w:val="0000EE"/>
              </w:rPr>
            </w:pPr>
            <w:hyperlink w:anchor="page77">
              <w:r>
                <w:rPr>
                  <w:rFonts w:ascii="Arial" w:cs="Arial" w:eastAsia="Arial" w:hAnsi="Arial"/>
                  <w:sz w:val="16"/>
                  <w:szCs w:val="16"/>
                  <w:color w:val="0000EE"/>
                </w:rPr>
                <w:t>31.</w:t>
              </w:r>
              <w:r>
                <w:rPr>
                  <w:rFonts w:ascii="Arial" w:cs="Arial" w:eastAsia="Arial" w:hAnsi="Arial"/>
                  <w:sz w:val="16"/>
                  <w:szCs w:val="16"/>
                  <w:u w:val="single" w:color="auto"/>
                  <w:color w:val="0000EE"/>
                </w:rPr>
                <w:t>2*</w:t>
              </w:r>
            </w:hyperlink>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6"/>
                <w:szCs w:val="16"/>
                <w:color w:val="auto"/>
                <w:w w:val="96"/>
              </w:rPr>
              <w:t>Certification by Chief Financial Officer pursuant to Rule 13a-14(a) and 15d-14(a) of the Exchange Act Rules, as adopted pursuant to Section 302 of the</w:t>
            </w:r>
          </w:p>
        </w:tc>
      </w:tr>
      <w:tr>
        <w:trPr>
          <w:trHeight w:val="208"/>
        </w:trPr>
        <w:tc>
          <w:tcPr>
            <w:tcW w:w="3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Sarbanes-Oxley Act of 2002.</w:t>
            </w:r>
          </w:p>
        </w:tc>
      </w:tr>
      <w:tr>
        <w:trPr>
          <w:trHeight w:val="156"/>
        </w:trPr>
        <w:tc>
          <w:tcPr>
            <w:tcW w:w="440" w:type="dxa"/>
            <w:vAlign w:val="bottom"/>
            <w:tcBorders>
              <w:bottom w:val="single" w:sz="8" w:color="0000EE"/>
            </w:tcBorders>
            <w:gridSpan w:val="2"/>
          </w:tcPr>
          <w:p>
            <w:pPr>
              <w:spacing w:after="0" w:line="156" w:lineRule="exact"/>
              <w:rPr>
                <w:rFonts w:ascii="Arial" w:cs="Arial" w:eastAsia="Arial" w:hAnsi="Arial"/>
                <w:sz w:val="16"/>
                <w:szCs w:val="16"/>
                <w:color w:val="0000EE"/>
                <w:w w:val="96"/>
              </w:rPr>
            </w:pPr>
            <w:hyperlink w:anchor="page78">
              <w:r>
                <w:rPr>
                  <w:rFonts w:ascii="Arial" w:cs="Arial" w:eastAsia="Arial" w:hAnsi="Arial"/>
                  <w:sz w:val="16"/>
                  <w:szCs w:val="16"/>
                  <w:color w:val="0000EE"/>
                  <w:w w:val="96"/>
                </w:rPr>
                <w:t>32.</w:t>
              </w:r>
              <w:r>
                <w:rPr>
                  <w:rFonts w:ascii="Arial" w:cs="Arial" w:eastAsia="Arial" w:hAnsi="Arial"/>
                  <w:sz w:val="16"/>
                  <w:szCs w:val="16"/>
                  <w:u w:val="single" w:color="auto"/>
                  <w:color w:val="0000EE"/>
                  <w:w w:val="96"/>
                </w:rPr>
                <w:t>1**</w:t>
              </w:r>
            </w:hyperlink>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gridSpan w:val="2"/>
          </w:tcPr>
          <w:p>
            <w:pPr>
              <w:ind w:left="120"/>
              <w:spacing w:after="0" w:line="156" w:lineRule="exact"/>
              <w:rPr>
                <w:sz w:val="20"/>
                <w:szCs w:val="20"/>
                <w:color w:val="auto"/>
              </w:rPr>
            </w:pPr>
            <w:r>
              <w:rPr>
                <w:rFonts w:ascii="Arial" w:cs="Arial" w:eastAsia="Arial" w:hAnsi="Arial"/>
                <w:sz w:val="16"/>
                <w:szCs w:val="16"/>
                <w:color w:val="auto"/>
                <w:w w:val="96"/>
              </w:rPr>
              <w:t>Certifications by Chief Executive Officer pursuant to Title 18 U.S.C. Section 1350, as adopted pursuant to Section 906 of Sarbanes-Oxley Act of 2002.</w:t>
            </w:r>
          </w:p>
        </w:tc>
      </w:tr>
      <w:tr>
        <w:trPr>
          <w:trHeight w:val="188"/>
        </w:trPr>
        <w:tc>
          <w:tcPr>
            <w:tcW w:w="440" w:type="dxa"/>
            <w:vAlign w:val="bottom"/>
            <w:tcBorders>
              <w:bottom w:val="single" w:sz="8" w:color="0000EE"/>
            </w:tcBorders>
            <w:gridSpan w:val="2"/>
            <w:shd w:val="clear" w:color="auto" w:fill="CCEEFF"/>
          </w:tcPr>
          <w:p>
            <w:pPr>
              <w:spacing w:after="0" w:line="172" w:lineRule="exact"/>
              <w:rPr>
                <w:rFonts w:ascii="Arial" w:cs="Arial" w:eastAsia="Arial" w:hAnsi="Arial"/>
                <w:sz w:val="16"/>
                <w:szCs w:val="16"/>
                <w:color w:val="0000EE"/>
                <w:w w:val="96"/>
              </w:rPr>
            </w:pPr>
            <w:hyperlink w:anchor="page79">
              <w:r>
                <w:rPr>
                  <w:rFonts w:ascii="Arial" w:cs="Arial" w:eastAsia="Arial" w:hAnsi="Arial"/>
                  <w:sz w:val="16"/>
                  <w:szCs w:val="16"/>
                  <w:color w:val="0000EE"/>
                  <w:w w:val="96"/>
                </w:rPr>
                <w:t>32.</w:t>
              </w:r>
              <w:r>
                <w:rPr>
                  <w:rFonts w:ascii="Arial" w:cs="Arial" w:eastAsia="Arial" w:hAnsi="Arial"/>
                  <w:sz w:val="16"/>
                  <w:szCs w:val="16"/>
                  <w:u w:val="single" w:color="auto"/>
                  <w:color w:val="0000EE"/>
                  <w:w w:val="96"/>
                </w:rPr>
                <w:t>2**</w:t>
              </w:r>
            </w:hyperlink>
          </w:p>
        </w:tc>
        <w:tc>
          <w:tcPr>
            <w:tcW w:w="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20" w:type="dxa"/>
            <w:vAlign w:val="bottom"/>
            <w:tcBorders>
              <w:bottom w:val="single" w:sz="8" w:color="CCEEFF"/>
            </w:tcBorders>
            <w:gridSpan w:val="2"/>
            <w:shd w:val="clear" w:color="auto" w:fill="CCEEFF"/>
          </w:tcPr>
          <w:p>
            <w:pPr>
              <w:ind w:left="120"/>
              <w:spacing w:after="0" w:line="172" w:lineRule="exact"/>
              <w:rPr>
                <w:sz w:val="20"/>
                <w:szCs w:val="20"/>
                <w:color w:val="auto"/>
              </w:rPr>
            </w:pPr>
            <w:r>
              <w:rPr>
                <w:rFonts w:ascii="Arial" w:cs="Arial" w:eastAsia="Arial" w:hAnsi="Arial"/>
                <w:sz w:val="16"/>
                <w:szCs w:val="16"/>
                <w:color w:val="auto"/>
                <w:w w:val="97"/>
              </w:rPr>
              <w:t>Certifications by Chief Financial Officer pursuant to Title 18 U.S.C. Section 1350, as adopted pursuant to Section 906 of Sarbanes-Oxley Act of 2002.</w:t>
            </w:r>
          </w:p>
        </w:tc>
      </w:tr>
      <w:tr>
        <w:trPr>
          <w:trHeight w:val="192"/>
        </w:trPr>
        <w:tc>
          <w:tcPr>
            <w:tcW w:w="1020" w:type="dxa"/>
            <w:vAlign w:val="bottom"/>
            <w:gridSpan w:val="4"/>
          </w:tcPr>
          <w:p>
            <w:pPr>
              <w:spacing w:after="0"/>
              <w:rPr>
                <w:sz w:val="20"/>
                <w:szCs w:val="20"/>
                <w:color w:val="auto"/>
              </w:rPr>
            </w:pPr>
            <w:r>
              <w:rPr>
                <w:rFonts w:ascii="Arial" w:cs="Arial" w:eastAsia="Arial" w:hAnsi="Arial"/>
                <w:sz w:val="16"/>
                <w:szCs w:val="16"/>
                <w:color w:val="auto"/>
              </w:rPr>
              <w:t>101.INS*</w:t>
            </w:r>
          </w:p>
        </w:tc>
        <w:tc>
          <w:tcPr>
            <w:tcW w:w="10420" w:type="dxa"/>
            <w:vAlign w:val="bottom"/>
            <w:gridSpan w:val="2"/>
          </w:tcPr>
          <w:p>
            <w:pPr>
              <w:ind w:left="120"/>
              <w:spacing w:after="0"/>
              <w:rPr>
                <w:sz w:val="20"/>
                <w:szCs w:val="20"/>
                <w:color w:val="auto"/>
              </w:rPr>
            </w:pPr>
            <w:r>
              <w:rPr>
                <w:rFonts w:ascii="Arial" w:cs="Arial" w:eastAsia="Arial" w:hAnsi="Arial"/>
                <w:sz w:val="16"/>
                <w:szCs w:val="16"/>
                <w:color w:val="auto"/>
              </w:rPr>
              <w:t>XBRL Instance Document</w:t>
            </w:r>
          </w:p>
        </w:tc>
      </w:tr>
      <w:tr>
        <w:trPr>
          <w:trHeight w:val="192"/>
        </w:trPr>
        <w:tc>
          <w:tcPr>
            <w:tcW w:w="10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101.SCH*</w:t>
            </w:r>
          </w:p>
        </w:tc>
        <w:tc>
          <w:tcPr>
            <w:tcW w:w="10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XBRL Schema Document</w:t>
            </w:r>
          </w:p>
        </w:tc>
      </w:tr>
      <w:tr>
        <w:trPr>
          <w:trHeight w:val="192"/>
        </w:trPr>
        <w:tc>
          <w:tcPr>
            <w:tcW w:w="1020" w:type="dxa"/>
            <w:vAlign w:val="bottom"/>
            <w:gridSpan w:val="4"/>
          </w:tcPr>
          <w:p>
            <w:pPr>
              <w:spacing w:after="0"/>
              <w:rPr>
                <w:sz w:val="20"/>
                <w:szCs w:val="20"/>
                <w:color w:val="auto"/>
              </w:rPr>
            </w:pPr>
            <w:r>
              <w:rPr>
                <w:rFonts w:ascii="Arial" w:cs="Arial" w:eastAsia="Arial" w:hAnsi="Arial"/>
                <w:sz w:val="16"/>
                <w:szCs w:val="16"/>
                <w:color w:val="auto"/>
              </w:rPr>
              <w:t>101.CAL*</w:t>
            </w:r>
          </w:p>
        </w:tc>
        <w:tc>
          <w:tcPr>
            <w:tcW w:w="10420" w:type="dxa"/>
            <w:vAlign w:val="bottom"/>
            <w:gridSpan w:val="2"/>
          </w:tcPr>
          <w:p>
            <w:pPr>
              <w:ind w:left="120"/>
              <w:spacing w:after="0"/>
              <w:rPr>
                <w:sz w:val="20"/>
                <w:szCs w:val="20"/>
                <w:color w:val="auto"/>
              </w:rPr>
            </w:pPr>
            <w:r>
              <w:rPr>
                <w:rFonts w:ascii="Arial" w:cs="Arial" w:eastAsia="Arial" w:hAnsi="Arial"/>
                <w:sz w:val="16"/>
                <w:szCs w:val="16"/>
                <w:color w:val="auto"/>
              </w:rPr>
              <w:t>XBRL Calculation Linkbase Document</w:t>
            </w:r>
          </w:p>
        </w:tc>
      </w:tr>
      <w:tr>
        <w:trPr>
          <w:trHeight w:val="192"/>
        </w:trPr>
        <w:tc>
          <w:tcPr>
            <w:tcW w:w="10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101.LAB*</w:t>
            </w:r>
          </w:p>
        </w:tc>
        <w:tc>
          <w:tcPr>
            <w:tcW w:w="10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XBRL Label Linkbase Document</w:t>
            </w:r>
          </w:p>
        </w:tc>
      </w:tr>
      <w:tr>
        <w:trPr>
          <w:trHeight w:val="192"/>
        </w:trPr>
        <w:tc>
          <w:tcPr>
            <w:tcW w:w="1020" w:type="dxa"/>
            <w:vAlign w:val="bottom"/>
            <w:gridSpan w:val="4"/>
          </w:tcPr>
          <w:p>
            <w:pPr>
              <w:spacing w:after="0"/>
              <w:rPr>
                <w:sz w:val="20"/>
                <w:szCs w:val="20"/>
                <w:color w:val="auto"/>
              </w:rPr>
            </w:pPr>
            <w:r>
              <w:rPr>
                <w:rFonts w:ascii="Arial" w:cs="Arial" w:eastAsia="Arial" w:hAnsi="Arial"/>
                <w:sz w:val="16"/>
                <w:szCs w:val="16"/>
                <w:color w:val="auto"/>
              </w:rPr>
              <w:t>101.PRE*</w:t>
            </w:r>
          </w:p>
        </w:tc>
        <w:tc>
          <w:tcPr>
            <w:tcW w:w="10420" w:type="dxa"/>
            <w:vAlign w:val="bottom"/>
            <w:gridSpan w:val="2"/>
          </w:tcPr>
          <w:p>
            <w:pPr>
              <w:ind w:left="120"/>
              <w:spacing w:after="0"/>
              <w:rPr>
                <w:sz w:val="20"/>
                <w:szCs w:val="20"/>
                <w:color w:val="auto"/>
              </w:rPr>
            </w:pPr>
            <w:r>
              <w:rPr>
                <w:rFonts w:ascii="Arial" w:cs="Arial" w:eastAsia="Arial" w:hAnsi="Arial"/>
                <w:sz w:val="16"/>
                <w:szCs w:val="16"/>
                <w:color w:val="auto"/>
              </w:rPr>
              <w:t>XBRL Presentation Linkbase Document</w:t>
            </w:r>
          </w:p>
        </w:tc>
      </w:tr>
      <w:tr>
        <w:trPr>
          <w:trHeight w:val="192"/>
        </w:trPr>
        <w:tc>
          <w:tcPr>
            <w:tcW w:w="10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101.DEF*</w:t>
            </w:r>
          </w:p>
        </w:tc>
        <w:tc>
          <w:tcPr>
            <w:tcW w:w="10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XBRL Taxonomy Extension Definition Linkbase Document</w:t>
            </w:r>
          </w:p>
        </w:tc>
      </w:tr>
    </w:tbl>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 Filed as an exhibit to this Quarterly Report</w:t>
      </w:r>
    </w:p>
    <w:p>
      <w:pPr>
        <w:spacing w:after="0" w:line="21" w:lineRule="exact"/>
        <w:rPr>
          <w:sz w:val="20"/>
          <w:szCs w:val="20"/>
          <w:color w:val="auto"/>
        </w:rPr>
      </w:pPr>
    </w:p>
    <w:p>
      <w:pPr>
        <w:ind w:left="204" w:hanging="204"/>
        <w:spacing w:after="0"/>
        <w:tabs>
          <w:tab w:leader="none" w:pos="204" w:val="left"/>
        </w:tabs>
        <w:numPr>
          <w:ilvl w:val="0"/>
          <w:numId w:val="56"/>
        </w:numPr>
        <w:rPr>
          <w:rFonts w:ascii="Arial" w:cs="Arial" w:eastAsia="Arial" w:hAnsi="Arial"/>
          <w:sz w:val="16"/>
          <w:szCs w:val="16"/>
          <w:color w:val="auto"/>
        </w:rPr>
      </w:pPr>
      <w:r>
        <w:rPr>
          <w:rFonts w:ascii="Arial" w:cs="Arial" w:eastAsia="Arial" w:hAnsi="Arial"/>
          <w:sz w:val="16"/>
          <w:szCs w:val="16"/>
          <w:color w:val="auto"/>
        </w:rPr>
        <w:t>Furnished as an exhibit to this Quarterly Report</w:t>
      </w:r>
    </w:p>
    <w:p>
      <w:pPr>
        <w:spacing w:after="0" w:line="8"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181546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1815465" cy="1524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10" w:right="219" w:bottom="1440" w:gutter="0" w:footer="0" w:header="0"/>
        </w:sectPr>
      </w:pPr>
    </w:p>
    <w:bookmarkStart w:id="65" w:name="page66"/>
    <w:bookmarkEnd w:id="6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04"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40" w:type="dxa"/>
            <w:vAlign w:val="bottom"/>
            <w:gridSpan w:val="2"/>
          </w:tcPr>
          <w:p>
            <w:pPr>
              <w:ind w:left="5720"/>
              <w:spacing w:after="0"/>
              <w:rPr>
                <w:sz w:val="20"/>
                <w:szCs w:val="20"/>
                <w:color w:val="auto"/>
              </w:rPr>
            </w:pPr>
            <w:r>
              <w:rPr>
                <w:rFonts w:ascii="Arial" w:cs="Arial" w:eastAsia="Arial" w:hAnsi="Arial"/>
                <w:sz w:val="16"/>
                <w:szCs w:val="16"/>
                <w:b w:val="1"/>
                <w:bCs w:val="1"/>
                <w:color w:val="auto"/>
              </w:rPr>
              <w:t>NEW FORTRESS ENERGY LLC</w:t>
            </w:r>
          </w:p>
        </w:tc>
        <w:tc>
          <w:tcPr>
            <w:tcW w:w="0" w:type="dxa"/>
            <w:vAlign w:val="bottom"/>
          </w:tcPr>
          <w:p>
            <w:pPr>
              <w:spacing w:after="0"/>
              <w:rPr>
                <w:sz w:val="1"/>
                <w:szCs w:val="1"/>
                <w:color w:val="auto"/>
              </w:rPr>
            </w:pPr>
          </w:p>
        </w:tc>
      </w:tr>
      <w:tr>
        <w:trPr>
          <w:trHeight w:val="204"/>
        </w:trPr>
        <w:tc>
          <w:tcPr>
            <w:tcW w:w="6520" w:type="dxa"/>
            <w:vAlign w:val="bottom"/>
          </w:tcPr>
          <w:p>
            <w:pPr>
              <w:spacing w:after="0"/>
              <w:rPr>
                <w:sz w:val="20"/>
                <w:szCs w:val="20"/>
                <w:color w:val="auto"/>
              </w:rPr>
            </w:pPr>
            <w:r>
              <w:rPr>
                <w:rFonts w:ascii="Arial" w:cs="Arial" w:eastAsia="Arial" w:hAnsi="Arial"/>
                <w:sz w:val="16"/>
                <w:szCs w:val="16"/>
                <w:color w:val="auto"/>
              </w:rPr>
              <w:t>Date: May 15, 2019</w:t>
            </w:r>
          </w:p>
        </w:tc>
        <w:tc>
          <w:tcPr>
            <w:tcW w:w="4920" w:type="dxa"/>
            <w:vAlign w:val="bottom"/>
            <w:vMerge w:val="restart"/>
          </w:tcPr>
          <w:p>
            <w:pPr>
              <w:spacing w:after="0"/>
              <w:rPr>
                <w:sz w:val="20"/>
                <w:szCs w:val="20"/>
                <w:color w:val="auto"/>
              </w:rPr>
            </w:pPr>
            <w:r>
              <w:rPr>
                <w:rFonts w:ascii="Arial" w:cs="Arial" w:eastAsia="Arial" w:hAnsi="Arial"/>
                <w:sz w:val="16"/>
                <w:szCs w:val="16"/>
                <w:color w:val="auto"/>
              </w:rPr>
              <w:t>/s/ Wesley R. Edens</w:t>
            </w:r>
          </w:p>
        </w:tc>
        <w:tc>
          <w:tcPr>
            <w:tcW w:w="0" w:type="dxa"/>
            <w:vAlign w:val="bottom"/>
          </w:tcPr>
          <w:p>
            <w:pPr>
              <w:spacing w:after="0"/>
              <w:rPr>
                <w:sz w:val="1"/>
                <w:szCs w:val="1"/>
                <w:color w:val="auto"/>
              </w:rPr>
            </w:pPr>
          </w:p>
        </w:tc>
      </w:tr>
      <w:tr>
        <w:trPr>
          <w:trHeight w:val="202"/>
        </w:trPr>
        <w:tc>
          <w:tcPr>
            <w:tcW w:w="6520" w:type="dxa"/>
            <w:vAlign w:val="bottom"/>
          </w:tcPr>
          <w:p>
            <w:pPr>
              <w:ind w:left="5720"/>
              <w:spacing w:after="0"/>
              <w:rPr>
                <w:sz w:val="20"/>
                <w:szCs w:val="20"/>
                <w:color w:val="auto"/>
              </w:rPr>
            </w:pPr>
            <w:r>
              <w:rPr>
                <w:rFonts w:ascii="Arial" w:cs="Arial" w:eastAsia="Arial" w:hAnsi="Arial"/>
                <w:sz w:val="16"/>
                <w:szCs w:val="16"/>
                <w:color w:val="auto"/>
              </w:rPr>
              <w:t>By:</w:t>
            </w:r>
          </w:p>
        </w:tc>
        <w:tc>
          <w:tcPr>
            <w:tcW w:w="4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520" w:type="dxa"/>
            <w:vAlign w:val="bottom"/>
          </w:tcPr>
          <w:p>
            <w:pPr>
              <w:ind w:left="5720"/>
              <w:spacing w:after="0" w:line="180" w:lineRule="exact"/>
              <w:rPr>
                <w:sz w:val="20"/>
                <w:szCs w:val="20"/>
                <w:color w:val="auto"/>
              </w:rPr>
            </w:pPr>
            <w:r>
              <w:rPr>
                <w:rFonts w:ascii="Arial" w:cs="Arial" w:eastAsia="Arial" w:hAnsi="Arial"/>
                <w:sz w:val="16"/>
                <w:szCs w:val="16"/>
                <w:color w:val="auto"/>
              </w:rPr>
              <w:t>Name:</w:t>
            </w:r>
          </w:p>
        </w:tc>
        <w:tc>
          <w:tcPr>
            <w:tcW w:w="4920" w:type="dxa"/>
            <w:vAlign w:val="bottom"/>
          </w:tcPr>
          <w:p>
            <w:pPr>
              <w:spacing w:after="0" w:line="180" w:lineRule="exact"/>
              <w:rPr>
                <w:sz w:val="20"/>
                <w:szCs w:val="20"/>
                <w:color w:val="auto"/>
              </w:rPr>
            </w:pPr>
            <w:r>
              <w:rPr>
                <w:rFonts w:ascii="Arial" w:cs="Arial" w:eastAsia="Arial" w:hAnsi="Arial"/>
                <w:sz w:val="16"/>
                <w:szCs w:val="16"/>
                <w:color w:val="auto"/>
              </w:rPr>
              <w:t>Wesley R. Edens</w:t>
            </w:r>
          </w:p>
        </w:tc>
        <w:tc>
          <w:tcPr>
            <w:tcW w:w="0" w:type="dxa"/>
            <w:vAlign w:val="bottom"/>
          </w:tcPr>
          <w:p>
            <w:pPr>
              <w:spacing w:after="0"/>
              <w:rPr>
                <w:sz w:val="1"/>
                <w:szCs w:val="1"/>
                <w:color w:val="auto"/>
              </w:rPr>
            </w:pPr>
          </w:p>
        </w:tc>
      </w:tr>
      <w:tr>
        <w:trPr>
          <w:trHeight w:val="192"/>
        </w:trPr>
        <w:tc>
          <w:tcPr>
            <w:tcW w:w="6520" w:type="dxa"/>
            <w:vAlign w:val="bottom"/>
          </w:tcPr>
          <w:p>
            <w:pPr>
              <w:ind w:left="5720"/>
              <w:spacing w:after="0"/>
              <w:rPr>
                <w:sz w:val="20"/>
                <w:szCs w:val="20"/>
                <w:color w:val="auto"/>
              </w:rPr>
            </w:pPr>
            <w:r>
              <w:rPr>
                <w:rFonts w:ascii="Arial" w:cs="Arial" w:eastAsia="Arial" w:hAnsi="Arial"/>
                <w:sz w:val="16"/>
                <w:szCs w:val="16"/>
                <w:color w:val="auto"/>
              </w:rPr>
              <w:t>Title:</w:t>
            </w:r>
          </w:p>
        </w:tc>
        <w:tc>
          <w:tcPr>
            <w:tcW w:w="4920" w:type="dxa"/>
            <w:vAlign w:val="bottom"/>
          </w:tcPr>
          <w:p>
            <w:pPr>
              <w:spacing w:after="0"/>
              <w:rPr>
                <w:sz w:val="20"/>
                <w:szCs w:val="20"/>
                <w:color w:val="auto"/>
              </w:rPr>
            </w:pPr>
            <w:r>
              <w:rPr>
                <w:rFonts w:ascii="Arial" w:cs="Arial" w:eastAsia="Arial" w:hAnsi="Arial"/>
                <w:sz w:val="16"/>
                <w:szCs w:val="16"/>
                <w:color w:val="auto"/>
              </w:rPr>
              <w:t>Chief Executive Officer and Chairman</w:t>
            </w:r>
          </w:p>
        </w:tc>
        <w:tc>
          <w:tcPr>
            <w:tcW w:w="0" w:type="dxa"/>
            <w:vAlign w:val="bottom"/>
          </w:tcPr>
          <w:p>
            <w:pPr>
              <w:spacing w:after="0"/>
              <w:rPr>
                <w:sz w:val="1"/>
                <w:szCs w:val="1"/>
                <w:color w:val="auto"/>
              </w:rPr>
            </w:pPr>
          </w:p>
        </w:tc>
      </w:tr>
      <w:tr>
        <w:trPr>
          <w:trHeight w:val="205"/>
        </w:trPr>
        <w:tc>
          <w:tcPr>
            <w:tcW w:w="65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(Principal Executive Officer)</w:t>
            </w:r>
          </w:p>
        </w:tc>
        <w:tc>
          <w:tcPr>
            <w:tcW w:w="0" w:type="dxa"/>
            <w:vAlign w:val="bottom"/>
          </w:tcPr>
          <w:p>
            <w:pPr>
              <w:spacing w:after="0"/>
              <w:rPr>
                <w:sz w:val="1"/>
                <w:szCs w:val="1"/>
                <w:color w:val="auto"/>
              </w:rPr>
            </w:pPr>
          </w:p>
        </w:tc>
      </w:tr>
      <w:tr>
        <w:trPr>
          <w:trHeight w:val="384"/>
        </w:trPr>
        <w:tc>
          <w:tcPr>
            <w:tcW w:w="6520" w:type="dxa"/>
            <w:vAlign w:val="bottom"/>
          </w:tcPr>
          <w:p>
            <w:pPr>
              <w:spacing w:after="0"/>
              <w:rPr>
                <w:sz w:val="20"/>
                <w:szCs w:val="20"/>
                <w:color w:val="auto"/>
              </w:rPr>
            </w:pPr>
            <w:r>
              <w:rPr>
                <w:rFonts w:ascii="Arial" w:cs="Arial" w:eastAsia="Arial" w:hAnsi="Arial"/>
                <w:sz w:val="16"/>
                <w:szCs w:val="16"/>
                <w:color w:val="auto"/>
              </w:rPr>
              <w:t>Date: May 15, 2019</w:t>
            </w:r>
          </w:p>
        </w:tc>
        <w:tc>
          <w:tcPr>
            <w:tcW w:w="4920" w:type="dxa"/>
            <w:vAlign w:val="bottom"/>
            <w:vMerge w:val="restart"/>
          </w:tcPr>
          <w:p>
            <w:pPr>
              <w:spacing w:after="0"/>
              <w:rPr>
                <w:sz w:val="20"/>
                <w:szCs w:val="20"/>
                <w:color w:val="auto"/>
              </w:rPr>
            </w:pPr>
            <w:r>
              <w:rPr>
                <w:rFonts w:ascii="Arial" w:cs="Arial" w:eastAsia="Arial" w:hAnsi="Arial"/>
                <w:sz w:val="16"/>
                <w:szCs w:val="16"/>
                <w:color w:val="auto"/>
              </w:rPr>
              <w:t>/s/ Christopher S. Guinta</w:t>
            </w:r>
          </w:p>
        </w:tc>
        <w:tc>
          <w:tcPr>
            <w:tcW w:w="0" w:type="dxa"/>
            <w:vAlign w:val="bottom"/>
          </w:tcPr>
          <w:p>
            <w:pPr>
              <w:spacing w:after="0"/>
              <w:rPr>
                <w:sz w:val="1"/>
                <w:szCs w:val="1"/>
                <w:color w:val="auto"/>
              </w:rPr>
            </w:pPr>
          </w:p>
        </w:tc>
      </w:tr>
      <w:tr>
        <w:trPr>
          <w:trHeight w:val="202"/>
        </w:trPr>
        <w:tc>
          <w:tcPr>
            <w:tcW w:w="6520" w:type="dxa"/>
            <w:vAlign w:val="bottom"/>
          </w:tcPr>
          <w:p>
            <w:pPr>
              <w:ind w:left="5720"/>
              <w:spacing w:after="0"/>
              <w:rPr>
                <w:sz w:val="20"/>
                <w:szCs w:val="20"/>
                <w:color w:val="auto"/>
              </w:rPr>
            </w:pPr>
            <w:r>
              <w:rPr>
                <w:rFonts w:ascii="Arial" w:cs="Arial" w:eastAsia="Arial" w:hAnsi="Arial"/>
                <w:sz w:val="16"/>
                <w:szCs w:val="16"/>
                <w:color w:val="auto"/>
              </w:rPr>
              <w:t>By:</w:t>
            </w:r>
          </w:p>
        </w:tc>
        <w:tc>
          <w:tcPr>
            <w:tcW w:w="4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520" w:type="dxa"/>
            <w:vAlign w:val="bottom"/>
          </w:tcPr>
          <w:p>
            <w:pPr>
              <w:ind w:left="5720"/>
              <w:spacing w:after="0" w:line="180" w:lineRule="exact"/>
              <w:rPr>
                <w:sz w:val="20"/>
                <w:szCs w:val="20"/>
                <w:color w:val="auto"/>
              </w:rPr>
            </w:pPr>
            <w:r>
              <w:rPr>
                <w:rFonts w:ascii="Arial" w:cs="Arial" w:eastAsia="Arial" w:hAnsi="Arial"/>
                <w:sz w:val="16"/>
                <w:szCs w:val="16"/>
                <w:color w:val="auto"/>
              </w:rPr>
              <w:t>Name:</w:t>
            </w:r>
          </w:p>
        </w:tc>
        <w:tc>
          <w:tcPr>
            <w:tcW w:w="4920" w:type="dxa"/>
            <w:vAlign w:val="bottom"/>
          </w:tcPr>
          <w:p>
            <w:pPr>
              <w:spacing w:after="0" w:line="180" w:lineRule="exact"/>
              <w:rPr>
                <w:sz w:val="20"/>
                <w:szCs w:val="20"/>
                <w:color w:val="auto"/>
              </w:rPr>
            </w:pPr>
            <w:r>
              <w:rPr>
                <w:rFonts w:ascii="Arial" w:cs="Arial" w:eastAsia="Arial" w:hAnsi="Arial"/>
                <w:sz w:val="16"/>
                <w:szCs w:val="16"/>
                <w:color w:val="auto"/>
              </w:rPr>
              <w:t>Christopher S. Guinta</w:t>
            </w:r>
          </w:p>
        </w:tc>
        <w:tc>
          <w:tcPr>
            <w:tcW w:w="0" w:type="dxa"/>
            <w:vAlign w:val="bottom"/>
          </w:tcPr>
          <w:p>
            <w:pPr>
              <w:spacing w:after="0"/>
              <w:rPr>
                <w:sz w:val="1"/>
                <w:szCs w:val="1"/>
                <w:color w:val="auto"/>
              </w:rPr>
            </w:pPr>
          </w:p>
        </w:tc>
      </w:tr>
      <w:tr>
        <w:trPr>
          <w:trHeight w:val="192"/>
        </w:trPr>
        <w:tc>
          <w:tcPr>
            <w:tcW w:w="6520" w:type="dxa"/>
            <w:vAlign w:val="bottom"/>
          </w:tcPr>
          <w:p>
            <w:pPr>
              <w:ind w:left="5720"/>
              <w:spacing w:after="0"/>
              <w:rPr>
                <w:sz w:val="20"/>
                <w:szCs w:val="20"/>
                <w:color w:val="auto"/>
              </w:rPr>
            </w:pPr>
            <w:r>
              <w:rPr>
                <w:rFonts w:ascii="Arial" w:cs="Arial" w:eastAsia="Arial" w:hAnsi="Arial"/>
                <w:sz w:val="16"/>
                <w:szCs w:val="16"/>
                <w:color w:val="auto"/>
              </w:rPr>
              <w:t>Title:</w:t>
            </w:r>
          </w:p>
        </w:tc>
        <w:tc>
          <w:tcPr>
            <w:tcW w:w="492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05"/>
        </w:trPr>
        <w:tc>
          <w:tcPr>
            <w:tcW w:w="65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(Principal Financial Officer)</w:t>
            </w:r>
          </w:p>
        </w:tc>
        <w:tc>
          <w:tcPr>
            <w:tcW w:w="0" w:type="dxa"/>
            <w:vAlign w:val="bottom"/>
          </w:tcPr>
          <w:p>
            <w:pPr>
              <w:spacing w:after="0"/>
              <w:rPr>
                <w:sz w:val="1"/>
                <w:szCs w:val="1"/>
                <w:color w:val="auto"/>
              </w:rPr>
            </w:pPr>
          </w:p>
        </w:tc>
      </w:tr>
      <w:tr>
        <w:trPr>
          <w:trHeight w:val="579"/>
        </w:trPr>
        <w:tc>
          <w:tcPr>
            <w:tcW w:w="6520" w:type="dxa"/>
            <w:vAlign w:val="bottom"/>
          </w:tcPr>
          <w:p>
            <w:pPr>
              <w:ind w:left="5660"/>
              <w:spacing w:after="0"/>
              <w:rPr>
                <w:sz w:val="20"/>
                <w:szCs w:val="20"/>
                <w:color w:val="auto"/>
              </w:rPr>
            </w:pPr>
            <w:r>
              <w:rPr>
                <w:rFonts w:ascii="Arial" w:cs="Arial" w:eastAsia="Arial" w:hAnsi="Arial"/>
                <w:sz w:val="13"/>
                <w:szCs w:val="13"/>
                <w:color w:val="auto"/>
              </w:rPr>
              <w:t>61</w:t>
            </w: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6520" w:type="dxa"/>
            <w:vAlign w:val="bottom"/>
            <w:tcBorders>
              <w:bottom w:val="single" w:sz="8" w:color="auto"/>
            </w:tcBorders>
          </w:tcPr>
          <w:p>
            <w:pPr>
              <w:spacing w:after="0"/>
              <w:rPr>
                <w:sz w:val="7"/>
                <w:szCs w:val="7"/>
                <w:color w:val="auto"/>
              </w:rPr>
            </w:pPr>
          </w:p>
        </w:tc>
        <w:tc>
          <w:tcPr>
            <w:tcW w:w="4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4" w:right="21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261860"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7261860" cy="30480"/>
                    </a:xfrm>
                    <a:prstGeom prst="rect">
                      <a:avLst/>
                    </a:prstGeom>
                    <a:noFill/>
                  </pic:spPr>
                </pic:pic>
              </a:graphicData>
            </a:graphic>
          </wp:anchor>
        </w:drawing>
        <w:t>Exhibit 10.5</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SHARE UNIT AWARD AGREEMENT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THE NEW FORTRESS ENERGY LLC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OMNIBUS INCENTIVE PLAN</w:t>
      </w:r>
    </w:p>
    <w:p>
      <w:pPr>
        <w:spacing w:after="0" w:line="212" w:lineRule="exact"/>
        <w:rPr>
          <w:sz w:val="20"/>
          <w:szCs w:val="20"/>
          <w:color w:val="auto"/>
        </w:rPr>
      </w:pPr>
    </w:p>
    <w:p>
      <w:pPr>
        <w:ind w:right="260" w:firstLine="1153"/>
        <w:spacing w:after="0" w:line="259" w:lineRule="auto"/>
        <w:rPr>
          <w:sz w:val="20"/>
          <w:szCs w:val="20"/>
          <w:color w:val="auto"/>
        </w:rPr>
      </w:pPr>
      <w:r>
        <w:rPr>
          <w:rFonts w:ascii="Arial" w:cs="Arial" w:eastAsia="Arial" w:hAnsi="Arial"/>
          <w:sz w:val="16"/>
          <w:szCs w:val="16"/>
          <w:color w:val="auto"/>
        </w:rPr>
        <w:t>This Restricted Share Unit Award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effective as of the date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Grant Date</w:t>
      </w:r>
      <w:r>
        <w:rPr>
          <w:rFonts w:ascii="Arial" w:cs="Arial" w:eastAsia="Arial" w:hAnsi="Arial"/>
          <w:sz w:val="16"/>
          <w:szCs w:val="16"/>
          <w:color w:val="auto"/>
        </w:rPr>
        <w:t>”), is made by and between New Fortress Energy LLC, a Delaware limited liability company (together with any of its successors or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the participant identified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Participant</w:t>
      </w:r>
      <w:r>
        <w:rPr>
          <w:rFonts w:ascii="Arial" w:cs="Arial" w:eastAsia="Arial" w:hAnsi="Arial"/>
          <w:sz w:val="16"/>
          <w:szCs w:val="16"/>
          <w:color w:val="auto"/>
        </w:rPr>
        <w:t>”). Any capitalized term that is used but not otherwise defined in this Agreement shall have the meaning assigned to such term in the New Fortress Energy LLC 2019 Omnibus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w:t>
      </w:r>
    </w:p>
    <w:p>
      <w:pPr>
        <w:spacing w:after="0" w:line="191" w:lineRule="exact"/>
        <w:rPr>
          <w:sz w:val="20"/>
          <w:szCs w:val="20"/>
          <w:color w:val="auto"/>
        </w:rPr>
      </w:pPr>
    </w:p>
    <w:p>
      <w:pPr>
        <w:ind w:right="420" w:firstLine="1153"/>
        <w:spacing w:after="0" w:line="277" w:lineRule="auto"/>
        <w:rPr>
          <w:sz w:val="20"/>
          <w:szCs w:val="20"/>
          <w:color w:val="auto"/>
        </w:rPr>
      </w:pPr>
      <w:r>
        <w:rPr>
          <w:rFonts w:ascii="Arial" w:cs="Arial" w:eastAsia="Arial" w:hAnsi="Arial"/>
          <w:sz w:val="16"/>
          <w:szCs w:val="16"/>
          <w:color w:val="auto"/>
        </w:rPr>
        <w:t>WHEREAS, the Company has adopted the Plan, pursuant to which the Company may grant equity awards relating to Class A shares of the Company (the “</w:t>
      </w:r>
      <w:r>
        <w:rPr>
          <w:rFonts w:ascii="Arial" w:cs="Arial" w:eastAsia="Arial" w:hAnsi="Arial"/>
          <w:sz w:val="16"/>
          <w:szCs w:val="16"/>
          <w:u w:val="single" w:color="auto"/>
          <w:color w:val="auto"/>
        </w:rPr>
        <w:t>Shares</w:t>
      </w:r>
      <w:r>
        <w:rPr>
          <w:rFonts w:ascii="Arial" w:cs="Arial" w:eastAsia="Arial" w:hAnsi="Arial"/>
          <w:sz w:val="16"/>
          <w:szCs w:val="16"/>
          <w:color w:val="auto"/>
        </w:rPr>
        <w:t>”) to certain individuals, including the Participant; and</w:t>
      </w:r>
    </w:p>
    <w:p>
      <w:pPr>
        <w:spacing w:after="0" w:line="176" w:lineRule="exact"/>
        <w:rPr>
          <w:sz w:val="20"/>
          <w:szCs w:val="20"/>
          <w:color w:val="auto"/>
        </w:rPr>
      </w:pPr>
    </w:p>
    <w:p>
      <w:pPr>
        <w:ind w:right="180" w:firstLine="1153"/>
        <w:spacing w:after="0" w:line="277" w:lineRule="auto"/>
        <w:rPr>
          <w:sz w:val="20"/>
          <w:szCs w:val="20"/>
          <w:color w:val="auto"/>
        </w:rPr>
      </w:pPr>
      <w:r>
        <w:rPr>
          <w:rFonts w:ascii="Arial" w:cs="Arial" w:eastAsia="Arial" w:hAnsi="Arial"/>
          <w:sz w:val="16"/>
          <w:szCs w:val="16"/>
          <w:color w:val="auto"/>
        </w:rPr>
        <w:t>WHEREAS, the Company has determined that it is in the best interests of the Company and its members to make a grant of Restricted Share Units relating to Shares (the “</w:t>
      </w:r>
      <w:r>
        <w:rPr>
          <w:rFonts w:ascii="Arial" w:cs="Arial" w:eastAsia="Arial" w:hAnsi="Arial"/>
          <w:sz w:val="16"/>
          <w:szCs w:val="16"/>
          <w:u w:val="single" w:color="auto"/>
          <w:color w:val="auto"/>
        </w:rPr>
        <w:t>Award Shares</w:t>
      </w:r>
      <w:r>
        <w:rPr>
          <w:rFonts w:ascii="Arial" w:cs="Arial" w:eastAsia="Arial" w:hAnsi="Arial"/>
          <w:sz w:val="16"/>
          <w:szCs w:val="16"/>
          <w:color w:val="auto"/>
        </w:rPr>
        <w:t>”) to the Participant, subject to all of the terms and conditions of the Plan and this Agreement.</w:t>
      </w:r>
    </w:p>
    <w:p>
      <w:pPr>
        <w:spacing w:after="0" w:line="17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NOW THEREFORE, in consideration of the mutual covenants hereinafter set forth, the parties agree as follows:</w:t>
      </w:r>
    </w:p>
    <w:p>
      <w:pPr>
        <w:spacing w:after="0" w:line="248" w:lineRule="exact"/>
        <w:rPr>
          <w:sz w:val="20"/>
          <w:szCs w:val="20"/>
          <w:color w:val="auto"/>
        </w:rPr>
      </w:pPr>
    </w:p>
    <w:p>
      <w:pPr>
        <w:ind w:left="1800" w:hanging="651"/>
        <w:spacing w:after="0"/>
        <w:tabs>
          <w:tab w:leader="none" w:pos="180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Grant of Award Shares</w:t>
      </w:r>
      <w:r>
        <w:rPr>
          <w:rFonts w:ascii="Arial" w:cs="Arial" w:eastAsia="Arial" w:hAnsi="Arial"/>
          <w:sz w:val="16"/>
          <w:szCs w:val="16"/>
          <w:color w:val="auto"/>
        </w:rPr>
        <w:t>.</w:t>
      </w:r>
    </w:p>
    <w:p>
      <w:pPr>
        <w:spacing w:after="0" w:line="248" w:lineRule="exact"/>
        <w:rPr>
          <w:sz w:val="20"/>
          <w:szCs w:val="20"/>
          <w:color w:val="auto"/>
        </w:rPr>
      </w:pPr>
    </w:p>
    <w:p>
      <w:pPr>
        <w:ind w:right="460" w:firstLine="1149"/>
        <w:spacing w:after="0" w:line="277" w:lineRule="auto"/>
        <w:tabs>
          <w:tab w:leader="none" w:pos="1811"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hereof, the Company hereby awards to the Participant the number of Award Shares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and the Participant hereby accepts the award of such Award Shares from the Company.</w:t>
      </w:r>
    </w:p>
    <w:p>
      <w:pPr>
        <w:spacing w:after="0" w:line="199" w:lineRule="exact"/>
        <w:rPr>
          <w:rFonts w:ascii="Arial" w:cs="Arial" w:eastAsia="Arial" w:hAnsi="Arial"/>
          <w:sz w:val="16"/>
          <w:szCs w:val="16"/>
          <w:color w:val="auto"/>
        </w:rPr>
      </w:pPr>
    </w:p>
    <w:p>
      <w:pPr>
        <w:ind w:left="1820" w:hanging="671"/>
        <w:spacing w:after="0"/>
        <w:tabs>
          <w:tab w:leader="none" w:pos="18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Each Award Share that becomes vested hereunder represents the right to receive one Share on the applicable settlement date set forth in Section 3(c)</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hereof.</w:t>
      </w:r>
    </w:p>
    <w:p>
      <w:pPr>
        <w:spacing w:after="0" w:line="236" w:lineRule="exact"/>
        <w:rPr>
          <w:sz w:val="20"/>
          <w:szCs w:val="20"/>
          <w:color w:val="auto"/>
        </w:rPr>
      </w:pPr>
    </w:p>
    <w:p>
      <w:pPr>
        <w:ind w:right="120" w:firstLine="1149"/>
        <w:spacing w:after="0" w:line="264" w:lineRule="auto"/>
        <w:tabs>
          <w:tab w:leader="none" w:pos="1802"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Restrictions; Forfeiture</w:t>
      </w:r>
      <w:r>
        <w:rPr>
          <w:rFonts w:ascii="Arial" w:cs="Arial" w:eastAsia="Arial" w:hAnsi="Arial"/>
          <w:sz w:val="16"/>
          <w:szCs w:val="16"/>
          <w:color w:val="auto"/>
        </w:rPr>
        <w:t>. The Award Shares are restricted in that they may not be sold, transferred or otherwise alienated or hypothecated except as provided in Section 18 of the Plan until these restrictions are removed or expire and Shares are issued to the Participant as described in Section 3 of this Agreement. The Award Shares are also restricted in the sense that they may be forfeited to the Company (the “</w:t>
      </w:r>
      <w:r>
        <w:rPr>
          <w:rFonts w:ascii="Arial" w:cs="Arial" w:eastAsia="Arial" w:hAnsi="Arial"/>
          <w:sz w:val="16"/>
          <w:szCs w:val="16"/>
          <w:u w:val="single" w:color="auto"/>
          <w:color w:val="auto"/>
        </w:rPr>
        <w:t>Forfeiture Restrictions</w:t>
      </w:r>
      <w:r>
        <w:rPr>
          <w:rFonts w:ascii="Arial" w:cs="Arial" w:eastAsia="Arial" w:hAnsi="Arial"/>
          <w:sz w:val="16"/>
          <w:szCs w:val="16"/>
          <w:color w:val="auto"/>
        </w:rPr>
        <w:t>”).</w:t>
      </w:r>
    </w:p>
    <w:p>
      <w:pPr>
        <w:spacing w:after="0" w:line="209" w:lineRule="exact"/>
        <w:rPr>
          <w:rFonts w:ascii="Arial" w:cs="Arial" w:eastAsia="Arial" w:hAnsi="Arial"/>
          <w:sz w:val="16"/>
          <w:szCs w:val="16"/>
          <w:color w:val="auto"/>
        </w:rPr>
      </w:pPr>
    </w:p>
    <w:p>
      <w:pPr>
        <w:ind w:left="1800" w:hanging="651"/>
        <w:spacing w:after="0"/>
        <w:tabs>
          <w:tab w:leader="none" w:pos="180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Vesting and Settlement of Award Shares</w:t>
      </w:r>
      <w:r>
        <w:rPr>
          <w:rFonts w:ascii="Arial" w:cs="Arial" w:eastAsia="Arial" w:hAnsi="Arial"/>
          <w:sz w:val="16"/>
          <w:szCs w:val="16"/>
          <w:color w:val="auto"/>
        </w:rPr>
        <w:t>.</w:t>
      </w:r>
    </w:p>
    <w:p>
      <w:pPr>
        <w:spacing w:after="0" w:line="248" w:lineRule="exact"/>
        <w:rPr>
          <w:sz w:val="20"/>
          <w:szCs w:val="20"/>
          <w:color w:val="auto"/>
        </w:rPr>
      </w:pPr>
    </w:p>
    <w:p>
      <w:pPr>
        <w:ind w:firstLine="1149"/>
        <w:spacing w:after="0" w:line="274" w:lineRule="auto"/>
        <w:tabs>
          <w:tab w:leader="none" w:pos="1811"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Normal Vesting</w:t>
      </w:r>
      <w:r>
        <w:rPr>
          <w:rFonts w:ascii="Arial" w:cs="Arial" w:eastAsia="Arial" w:hAnsi="Arial"/>
          <w:sz w:val="15"/>
          <w:szCs w:val="15"/>
          <w:color w:val="auto"/>
        </w:rPr>
        <w:t xml:space="preserve">. The Award Shares shall vest and the Forfeiture Restrictions shall lapse on the dates and in the amounts set forth on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hereto (each date, a “</w:t>
      </w:r>
      <w:r>
        <w:rPr>
          <w:rFonts w:ascii="Arial" w:cs="Arial" w:eastAsia="Arial" w:hAnsi="Arial"/>
          <w:sz w:val="15"/>
          <w:szCs w:val="15"/>
          <w:u w:val="single" w:color="auto"/>
          <w:color w:val="auto"/>
        </w:rPr>
        <w:t>Vesting Date</w:t>
      </w:r>
      <w:r>
        <w:rPr>
          <w:rFonts w:ascii="Arial" w:cs="Arial" w:eastAsia="Arial" w:hAnsi="Arial"/>
          <w:sz w:val="15"/>
          <w:szCs w:val="15"/>
          <w:color w:val="auto"/>
        </w:rPr>
        <w:t>”), so long as the Participant is actively employed by, or serving in a capacity that is substantially similar to that of an employee of, the Company or any of its Affiliates (such employment or service, “</w:t>
      </w:r>
      <w:r>
        <w:rPr>
          <w:rFonts w:ascii="Arial" w:cs="Arial" w:eastAsia="Arial" w:hAnsi="Arial"/>
          <w:sz w:val="15"/>
          <w:szCs w:val="15"/>
          <w:u w:val="single" w:color="auto"/>
          <w:color w:val="auto"/>
        </w:rPr>
        <w:t>Service</w:t>
      </w:r>
      <w:r>
        <w:rPr>
          <w:rFonts w:ascii="Arial" w:cs="Arial" w:eastAsia="Arial" w:hAnsi="Arial"/>
          <w:sz w:val="15"/>
          <w:szCs w:val="15"/>
          <w:color w:val="auto"/>
        </w:rPr>
        <w:t>”) as of the applicable Vesting Date and has not given or received notice of the termination of such Service as of the applicable Vesting Date. Notwithstanding the foregoing, the Participant’s Service shall not be considered to be terminated or otherwise interrupted in the case of (A) any approved leave of absence (including sick leave, military leave, or any other authorized personal leave) or (B) any transfer among the Company or any of its respective Affiliates, or any successor, in the capacity of employee. Except as provided in Section 3(b) and Section 13 of the Plan, upon the termination of the Participant’s Service, unvested Award Shares shall be forfeited and no Shares shall be delivered pursuant to Section 3(c) with respect to such forfeited Award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726186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67" w:name="page68"/>
    <w:bookmarkEnd w:id="67"/>
    <w:p>
      <w:pPr>
        <w:ind w:firstLine="1149"/>
        <w:spacing w:after="0" w:line="255" w:lineRule="auto"/>
        <w:tabs>
          <w:tab w:leader="none" w:pos="182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Accelerated Vesting</w:t>
      </w:r>
      <w:r>
        <w:rPr>
          <w:rFonts w:ascii="Arial" w:cs="Arial" w:eastAsia="Arial" w:hAnsi="Arial"/>
          <w:sz w:val="16"/>
          <w:szCs w:val="16"/>
          <w:color w:val="auto"/>
        </w:rPr>
        <w:t>. Notwithstanding anything set forth in Section 3(a) hereof, if (i) the Participant’s Service is terminated on a date that begins after the first anniversary of the Grant Date and prior to the final Vesting Date either (x) by the Company or any of its Affiliates without Cause or (y) due to the Participant’s death or Disability and (ii) the Participant (or, in the case of the Participant’s death, the personal representative of the Participant’s estate) executes a release of claims in a form satisfactory to the Company and the revocation period with respect thereto expires within sixty (60) days following the termination date, then the Participant (or the Participant’s estate) shall vest in fifty percent (50%) of the RSUs that are scheduled to vest on the next Vesting Date and the Forfeiture Restrictions will lapse with respect to such RSUs. For the avoidance of doubt, if the Participant’s Service is terminated for any reason on a date that is on or prior to the first anniversary of the Grant Date, the Participant will not be entitled to vest in any portion of the RSUs.</w:t>
      </w:r>
    </w:p>
    <w:p>
      <w:pPr>
        <w:spacing w:after="0" w:line="217" w:lineRule="exact"/>
        <w:rPr>
          <w:rFonts w:ascii="Arial" w:cs="Arial" w:eastAsia="Arial" w:hAnsi="Arial"/>
          <w:sz w:val="16"/>
          <w:szCs w:val="16"/>
          <w:color w:val="auto"/>
        </w:rPr>
      </w:pPr>
    </w:p>
    <w:p>
      <w:pPr>
        <w:ind w:right="220" w:firstLine="1149"/>
        <w:spacing w:after="0" w:line="289" w:lineRule="auto"/>
        <w:tabs>
          <w:tab w:leader="none" w:pos="1811" w:val="left"/>
        </w:tabs>
        <w:numPr>
          <w:ilvl w:val="0"/>
          <w:numId w:val="61"/>
        </w:numPr>
        <w:rPr>
          <w:rFonts w:ascii="Arial" w:cs="Arial" w:eastAsia="Arial" w:hAnsi="Arial"/>
          <w:sz w:val="15"/>
          <w:szCs w:val="15"/>
          <w:color w:val="auto"/>
        </w:rPr>
      </w:pPr>
      <w:r>
        <w:rPr>
          <w:rFonts w:ascii="Arial" w:cs="Arial" w:eastAsia="Arial" w:hAnsi="Arial"/>
          <w:sz w:val="15"/>
          <w:szCs w:val="15"/>
          <w:u w:val="single" w:color="auto"/>
          <w:color w:val="auto"/>
        </w:rPr>
        <w:t>Settlement of Award Shares</w:t>
      </w:r>
      <w:r>
        <w:rPr>
          <w:rFonts w:ascii="Arial" w:cs="Arial" w:eastAsia="Arial" w:hAnsi="Arial"/>
          <w:sz w:val="15"/>
          <w:szCs w:val="15"/>
          <w:color w:val="auto"/>
        </w:rPr>
        <w:t>. The restrictions on the Award Shares, including the Forfeiture Restrictions, will expire and the Shares underlying the Award Shares that vest in accordance with this Section 3 shall be delivered to the Participant as soon as practicable following the date on which they vest in accordance with Section 3(a) or (b), as applicable, but in no event later than March 15 of the year following the year in which such vesting occurs.</w:t>
      </w:r>
    </w:p>
    <w:p>
      <w:pPr>
        <w:spacing w:after="0" w:line="193" w:lineRule="exact"/>
        <w:rPr>
          <w:rFonts w:ascii="Arial" w:cs="Arial" w:eastAsia="Arial" w:hAnsi="Arial"/>
          <w:sz w:val="15"/>
          <w:szCs w:val="15"/>
          <w:color w:val="auto"/>
        </w:rPr>
      </w:pPr>
    </w:p>
    <w:p>
      <w:pPr>
        <w:jc w:val="both"/>
        <w:ind w:right="40" w:firstLine="1149"/>
        <w:spacing w:after="0" w:line="299" w:lineRule="auto"/>
        <w:tabs>
          <w:tab w:leader="none" w:pos="1820"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Rights as a Holder of Shares</w:t>
      </w:r>
      <w:r>
        <w:rPr>
          <w:rFonts w:ascii="Arial" w:cs="Arial" w:eastAsia="Arial" w:hAnsi="Arial"/>
          <w:sz w:val="14"/>
          <w:szCs w:val="14"/>
          <w:color w:val="auto"/>
        </w:rPr>
        <w:t>. Award Shares shall not have any voting rights or any other rights as a shareholder of the Company prior to the date Shares are issued in settlement of Award Shares and no distributions or dividends (or equivalent or related payments) shall be made or accrue in respect of any Award Shares prior to the date on which Shares are delivered; provided that, with respect to the period commencing on the date Award Shares become vested and ending on the date the Shares subject to such Award Shares are delivered pursuant to this Agreement (the “</w:t>
      </w:r>
      <w:r>
        <w:rPr>
          <w:rFonts w:ascii="Arial" w:cs="Arial" w:eastAsia="Arial" w:hAnsi="Arial"/>
          <w:sz w:val="14"/>
          <w:szCs w:val="14"/>
          <w:u w:val="single" w:color="auto"/>
          <w:color w:val="auto"/>
        </w:rPr>
        <w:t>Accrual Period</w:t>
      </w:r>
      <w:r>
        <w:rPr>
          <w:rFonts w:ascii="Arial" w:cs="Arial" w:eastAsia="Arial" w:hAnsi="Arial"/>
          <w:sz w:val="14"/>
          <w:szCs w:val="14"/>
          <w:color w:val="auto"/>
        </w:rPr>
        <w:t>”), the Participant shall be eligible to receive an amount equal to the product of (i) the number of Shares delivered as a result of such vesting, and (ii) the amount of cash distributed with respect to an outstanding Share during the Accrual Period, which amount shall be paid to the Participant on the date such Shares are delivered. No interest or other earnings will be credited with respect to such payment.</w:t>
      </w:r>
    </w:p>
    <w:p>
      <w:pPr>
        <w:spacing w:after="0" w:line="190" w:lineRule="exact"/>
        <w:rPr>
          <w:sz w:val="20"/>
          <w:szCs w:val="20"/>
          <w:color w:val="auto"/>
        </w:rPr>
      </w:pPr>
    </w:p>
    <w:p>
      <w:pPr>
        <w:ind w:firstLine="1149"/>
        <w:spacing w:after="0" w:line="256" w:lineRule="auto"/>
        <w:tabs>
          <w:tab w:leader="none" w:pos="1802"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Restrictive Covenants</w:t>
      </w:r>
      <w:r>
        <w:rPr>
          <w:rFonts w:ascii="Arial" w:cs="Arial" w:eastAsia="Arial" w:hAnsi="Arial"/>
          <w:sz w:val="16"/>
          <w:szCs w:val="16"/>
          <w:color w:val="auto"/>
        </w:rPr>
        <w:t>. The Participant acknowledges that, as part of the Participant’s Service with the Company and its Affiliates, the Participant will have access to secret and confidential information, knowledge or data relating to the Company and its Affiliates, and their respective businesses, and will meet and develop relationships with potential and existing suppliers, financing sources, clients, customers and employees of the Company and its Affiliates. The Participant further acknowledges and agrees that (i) the foregoing makes it necessary for the protection of the Company’s and its Affiliates’ goodwill that the Participant comply with the provisions of this Section 4, (ii) the Award Shares would not have been granted to the Participant if the Participant had not agreed to comply with the provisions of this Section 4 and (iii) the restrictions set forth in this Section 4 (the “</w:t>
      </w:r>
      <w:r>
        <w:rPr>
          <w:rFonts w:ascii="Arial" w:cs="Arial" w:eastAsia="Arial" w:hAnsi="Arial"/>
          <w:sz w:val="16"/>
          <w:szCs w:val="16"/>
          <w:u w:val="single" w:color="auto"/>
          <w:color w:val="auto"/>
        </w:rPr>
        <w:t>Restrictive Covenants</w:t>
      </w:r>
      <w:r>
        <w:rPr>
          <w:rFonts w:ascii="Arial" w:cs="Arial" w:eastAsia="Arial" w:hAnsi="Arial"/>
          <w:sz w:val="16"/>
          <w:szCs w:val="16"/>
          <w:color w:val="auto"/>
        </w:rPr>
        <w:t>”) are reasonable.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51" w:right="239" w:bottom="1440" w:gutter="0" w:footer="0" w:header="0"/>
        </w:sectPr>
      </w:pPr>
    </w:p>
    <w:bookmarkStart w:id="68" w:name="page69"/>
    <w:bookmarkEnd w:id="68"/>
    <w:p>
      <w:pPr>
        <w:ind w:firstLine="1149"/>
        <w:spacing w:after="0" w:line="351" w:lineRule="auto"/>
        <w:tabs>
          <w:tab w:leader="none" w:pos="1811" w:val="left"/>
        </w:tabs>
        <w:numPr>
          <w:ilvl w:val="0"/>
          <w:numId w:val="63"/>
        </w:numPr>
        <w:rPr>
          <w:rFonts w:ascii="Arial" w:cs="Arial" w:eastAsia="Arial" w:hAnsi="Arial"/>
          <w:sz w:val="14"/>
          <w:szCs w:val="14"/>
          <w:color w:val="auto"/>
        </w:rPr>
      </w:pPr>
      <w:r>
        <w:rPr>
          <w:rFonts w:ascii="Arial" w:cs="Arial" w:eastAsia="Arial" w:hAnsi="Arial"/>
          <w:sz w:val="14"/>
          <w:szCs w:val="14"/>
          <w:u w:val="single" w:color="auto"/>
          <w:color w:val="auto"/>
        </w:rPr>
        <w:t>Non-Competition; Non-Solicitation</w:t>
      </w:r>
      <w:r>
        <w:rPr>
          <w:rFonts w:ascii="Arial" w:cs="Arial" w:eastAsia="Arial" w:hAnsi="Arial"/>
          <w:sz w:val="14"/>
          <w:szCs w:val="14"/>
          <w:color w:val="auto"/>
        </w:rPr>
        <w:t>. The Participant agrees that during the period of the Participant’s Service with the Company and its Affiliates, and for a one (1) year period immediately following termination of such Service for any reason, the Participant shall not, without the advance written approval of the Company:</w:t>
      </w:r>
    </w:p>
    <w:p>
      <w:pPr>
        <w:spacing w:after="0" w:line="153" w:lineRule="exact"/>
        <w:rPr>
          <w:rFonts w:ascii="Arial" w:cs="Arial" w:eastAsia="Arial" w:hAnsi="Arial"/>
          <w:sz w:val="14"/>
          <w:szCs w:val="14"/>
          <w:color w:val="auto"/>
        </w:rPr>
      </w:pPr>
    </w:p>
    <w:p>
      <w:pPr>
        <w:ind w:right="40" w:firstLine="1726"/>
        <w:spacing w:after="0" w:line="308" w:lineRule="auto"/>
        <w:tabs>
          <w:tab w:leader="none" w:pos="2361" w:val="left"/>
        </w:tabs>
        <w:numPr>
          <w:ilvl w:val="1"/>
          <w:numId w:val="63"/>
        </w:numPr>
        <w:rPr>
          <w:rFonts w:ascii="Arial" w:cs="Arial" w:eastAsia="Arial" w:hAnsi="Arial"/>
          <w:sz w:val="14"/>
          <w:szCs w:val="14"/>
          <w:color w:val="auto"/>
        </w:rPr>
      </w:pPr>
      <w:r>
        <w:rPr>
          <w:rFonts w:ascii="Arial" w:cs="Arial" w:eastAsia="Arial" w:hAnsi="Arial"/>
          <w:sz w:val="14"/>
          <w:szCs w:val="14"/>
          <w:color w:val="auto"/>
        </w:rPr>
        <w:t xml:space="preserve">directly or indirectly provide consultative services to, own, manage, operate, join, control, participate in, be engaged in, employed by or be connected with, any business, individual, partner, firm, corporation or other entity that directly or indirectly competes with the business of the Company or any of its Subsidiaries,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notwithstanding the foregoing, the mere “beneficial ownership” by the Participant, either individually or as a member of a “group” (as such terms are used in Rule 13(d) issued under the Exchange Act) of not more than five percent (5%) of the voting stock of any public company shall not be deemed a violation of this Section 4(a)(i);</w:t>
      </w:r>
    </w:p>
    <w:p>
      <w:pPr>
        <w:spacing w:after="0" w:line="182" w:lineRule="exact"/>
        <w:rPr>
          <w:rFonts w:ascii="Arial" w:cs="Arial" w:eastAsia="Arial" w:hAnsi="Arial"/>
          <w:sz w:val="14"/>
          <w:szCs w:val="14"/>
          <w:color w:val="auto"/>
        </w:rPr>
      </w:pPr>
    </w:p>
    <w:p>
      <w:pPr>
        <w:ind w:right="20" w:firstLine="1726"/>
        <w:spacing w:after="0" w:line="259" w:lineRule="auto"/>
        <w:tabs>
          <w:tab w:leader="none" w:pos="2358" w:val="left"/>
        </w:tabs>
        <w:numPr>
          <w:ilvl w:val="1"/>
          <w:numId w:val="63"/>
        </w:numPr>
        <w:rPr>
          <w:rFonts w:ascii="Arial" w:cs="Arial" w:eastAsia="Arial" w:hAnsi="Arial"/>
          <w:sz w:val="16"/>
          <w:szCs w:val="16"/>
          <w:color w:val="auto"/>
        </w:rPr>
      </w:pPr>
      <w:r>
        <w:rPr>
          <w:rFonts w:ascii="Arial" w:cs="Arial" w:eastAsia="Arial" w:hAnsi="Arial"/>
          <w:sz w:val="16"/>
          <w:szCs w:val="16"/>
          <w:color w:val="auto"/>
        </w:rPr>
        <w:t>directly or indirectly engage in the recruiting, soliciting or inducing of any nonclerical employee or employees of the Company or any of its Subsidiaries to terminate their employment with, or otherwise cease their relationship with, the Company or any of its Subsidiaries, or in hiring or assisting another person or entity to hire any employee of the Company or any of its Subsidiaries or any person who within the last six (6) months had been a nonclerical employee of the Company or any of its Subsidiaries; or</w:t>
      </w:r>
    </w:p>
    <w:p>
      <w:pPr>
        <w:spacing w:after="0" w:line="214" w:lineRule="exact"/>
        <w:rPr>
          <w:rFonts w:ascii="Arial" w:cs="Arial" w:eastAsia="Arial" w:hAnsi="Arial"/>
          <w:sz w:val="16"/>
          <w:szCs w:val="16"/>
          <w:color w:val="auto"/>
        </w:rPr>
      </w:pPr>
    </w:p>
    <w:p>
      <w:pPr>
        <w:ind w:right="560" w:firstLine="1726"/>
        <w:spacing w:after="0" w:line="277" w:lineRule="auto"/>
        <w:tabs>
          <w:tab w:leader="none" w:pos="2354" w:val="left"/>
        </w:tabs>
        <w:numPr>
          <w:ilvl w:val="1"/>
          <w:numId w:val="63"/>
        </w:numPr>
        <w:rPr>
          <w:rFonts w:ascii="Arial" w:cs="Arial" w:eastAsia="Arial" w:hAnsi="Arial"/>
          <w:sz w:val="16"/>
          <w:szCs w:val="16"/>
          <w:color w:val="auto"/>
        </w:rPr>
      </w:pPr>
      <w:r>
        <w:rPr>
          <w:rFonts w:ascii="Arial" w:cs="Arial" w:eastAsia="Arial" w:hAnsi="Arial"/>
          <w:sz w:val="16"/>
          <w:szCs w:val="16"/>
          <w:color w:val="auto"/>
        </w:rPr>
        <w:t>directly or indirectly solicit, induce or encourage or attempt to persuade any agent, supplier or customer of the Company or any of its Subsidiaries to reduce or terminate such agency or business relationship.</w:t>
      </w:r>
    </w:p>
    <w:p>
      <w:pPr>
        <w:spacing w:after="0" w:line="199" w:lineRule="exact"/>
        <w:rPr>
          <w:rFonts w:ascii="Arial" w:cs="Arial" w:eastAsia="Arial" w:hAnsi="Arial"/>
          <w:sz w:val="16"/>
          <w:szCs w:val="16"/>
          <w:color w:val="auto"/>
        </w:rPr>
      </w:pPr>
    </w:p>
    <w:p>
      <w:pPr>
        <w:ind w:right="40" w:firstLine="1149"/>
        <w:spacing w:after="0" w:line="282" w:lineRule="auto"/>
        <w:tabs>
          <w:tab w:leader="none" w:pos="1820" w:val="left"/>
        </w:tabs>
        <w:numPr>
          <w:ilvl w:val="0"/>
          <w:numId w:val="63"/>
        </w:numPr>
        <w:rPr>
          <w:rFonts w:ascii="Arial" w:cs="Arial" w:eastAsia="Arial" w:hAnsi="Arial"/>
          <w:sz w:val="15"/>
          <w:szCs w:val="15"/>
          <w:color w:val="auto"/>
        </w:rPr>
      </w:pPr>
      <w:r>
        <w:rPr>
          <w:rFonts w:ascii="Arial" w:cs="Arial" w:eastAsia="Arial" w:hAnsi="Arial"/>
          <w:sz w:val="15"/>
          <w:szCs w:val="15"/>
          <w:u w:val="single" w:color="auto"/>
          <w:color w:val="auto"/>
        </w:rPr>
        <w:t>Non-Disparagement</w:t>
      </w:r>
      <w:r>
        <w:rPr>
          <w:rFonts w:ascii="Arial" w:cs="Arial" w:eastAsia="Arial" w:hAnsi="Arial"/>
          <w:sz w:val="15"/>
          <w:szCs w:val="15"/>
          <w:color w:val="auto"/>
        </w:rPr>
        <w:t>. The Participant agrees that during the period of the Participant’s Service with the Company and its Affiliates and thereafter, the Participant shall not make any disparaging or defamatory comments regarding the Company or its Affiliates or, after the termination of the Participant’s Service with the Company and its Affiliates, make any disparaging or defamatory comments concerning any aspect of such termination from Service. The obligations of the Participant under this Section 4(b) shall not apply to disclosures required by applicable law, regulation or order of any court or governmental agency.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51" w:right="219" w:bottom="1440" w:gutter="0" w:footer="0" w:header="0"/>
        </w:sectPr>
      </w:pPr>
    </w:p>
    <w:bookmarkStart w:id="69" w:name="page70"/>
    <w:bookmarkEnd w:id="69"/>
    <w:p>
      <w:pPr>
        <w:ind w:left="4" w:right="40" w:firstLine="1149"/>
        <w:spacing w:after="0" w:line="270" w:lineRule="auto"/>
        <w:tabs>
          <w:tab w:leader="none" w:pos="1815" w:val="left"/>
        </w:tabs>
        <w:numPr>
          <w:ilvl w:val="1"/>
          <w:numId w:val="64"/>
        </w:numPr>
        <w:rPr>
          <w:rFonts w:ascii="Arial" w:cs="Arial" w:eastAsia="Arial" w:hAnsi="Arial"/>
          <w:sz w:val="15"/>
          <w:szCs w:val="15"/>
          <w:color w:val="auto"/>
        </w:rPr>
      </w:pPr>
      <w:r>
        <w:rPr>
          <w:rFonts w:ascii="Arial" w:cs="Arial" w:eastAsia="Arial" w:hAnsi="Arial"/>
          <w:sz w:val="15"/>
          <w:szCs w:val="15"/>
          <w:u w:val="single" w:color="auto"/>
          <w:color w:val="auto"/>
        </w:rPr>
        <w:t>Confidentiality</w:t>
      </w:r>
      <w:r>
        <w:rPr>
          <w:rFonts w:ascii="Arial" w:cs="Arial" w:eastAsia="Arial" w:hAnsi="Arial"/>
          <w:sz w:val="15"/>
          <w:szCs w:val="15"/>
          <w:color w:val="auto"/>
        </w:rPr>
        <w:t>. The Participant agrees that during the period of the Participant’s Service with the Company and its Affiliates and thereafter, the Participant will hold and keep confidential all secret and confidential information, knowledge or data relating to the Company and its Affiliates, and their respective businesses, including any confidential information as to customers of the Company and its Affiliates (i) obtained by the Participant during the Participant’s Service and (ii) not otherwise public knowledge or known within the applicable industry. The Participant shall not, without prior written consent of the Company, unless compelled pursuant to the order of a court or other governmental or legal body having jurisdiction over such matter, communicate or divulge any such information, knowledge or data to anyone other than the Company and those designated by it. In the event the Participant is compelled by order of a court or other governmental or legal body to communicate or divulge any such information, knowledge or data to anyone other than the foregoing, the Participant will promptly notify the Company of any such order and will cooperate fully with the Company in protecting such information to the extent possible under applicable law. Upon termination of Service, or at any time as the Company may request, the Participant will promptly deliver to the Company, as requested, all documents (whether prepared by the Company, an Affiliate of the Company, the Participant or a third party) relating to the Company, an Affiliate of the Company or any of their businesses or property which the Participant may possess or have under the Participant’s direction or control other than documents provided to the Participant as a participant in any employee benefit plan, policy or program of the Company or any agreement by and between the Participant and the Company or any of its Affiliates with regard to the Participant’s Service or severance. For the avoidance of doubt, the restrictions set forth in this Section 4(c) shall not apply to information or knowledge that (i) was known to the public before its disclosure to the Participant; (ii) becomes known to the public after disclosure to the Participant through no wrongful act by the Participant; or (iii) the Participant is required to disclose by applicable law, regulation or legal process after the Participant has provided the Company with prior notice of the contemplated disclosure and reasonably cooperated with the Company at its expense in seeking a protective order or other appropriate protection of such information.</w:t>
      </w:r>
    </w:p>
    <w:p>
      <w:pPr>
        <w:spacing w:after="0" w:line="210" w:lineRule="exact"/>
        <w:rPr>
          <w:rFonts w:ascii="Arial" w:cs="Arial" w:eastAsia="Arial" w:hAnsi="Arial"/>
          <w:sz w:val="15"/>
          <w:szCs w:val="15"/>
          <w:color w:val="auto"/>
        </w:rPr>
      </w:pPr>
    </w:p>
    <w:p>
      <w:pPr>
        <w:ind w:left="4" w:right="100" w:firstLine="1149"/>
        <w:spacing w:after="0" w:line="257" w:lineRule="auto"/>
        <w:tabs>
          <w:tab w:leader="none" w:pos="1824"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In addition to any other remedies set forth in this Agreement, in the event the Company determines, in its sole discretion, that the Participant has violated the Participant’s obligations under Section 4(a), at any time during the Participant’s Service with the Company and its Affiliates, or within one (1) year immediately following termination of such Service for any reason, the Company shall be entitled to: (i) preliminary and permanent injunctive relief, without the necessity of proving actual damages or posting of a bond, (ii) damages, (iii) attorneys' fees and costs incurred in obtaining relief and (iv) any other legal or equitable relief or remedy allowed by law.</w:t>
      </w:r>
    </w:p>
    <w:p>
      <w:pPr>
        <w:spacing w:after="0" w:line="216" w:lineRule="exact"/>
        <w:rPr>
          <w:rFonts w:ascii="Arial" w:cs="Arial" w:eastAsia="Arial" w:hAnsi="Arial"/>
          <w:sz w:val="16"/>
          <w:szCs w:val="16"/>
          <w:color w:val="auto"/>
        </w:rPr>
      </w:pPr>
    </w:p>
    <w:p>
      <w:pPr>
        <w:ind w:left="4" w:right="140" w:firstLine="1149"/>
        <w:spacing w:after="0" w:line="302" w:lineRule="auto"/>
        <w:tabs>
          <w:tab w:leader="none" w:pos="1815" w:val="left"/>
        </w:tabs>
        <w:numPr>
          <w:ilvl w:val="1"/>
          <w:numId w:val="64"/>
        </w:numPr>
        <w:rPr>
          <w:rFonts w:ascii="Arial" w:cs="Arial" w:eastAsia="Arial" w:hAnsi="Arial"/>
          <w:sz w:val="14"/>
          <w:szCs w:val="14"/>
          <w:color w:val="auto"/>
        </w:rPr>
      </w:pPr>
      <w:r>
        <w:rPr>
          <w:rFonts w:ascii="Arial" w:cs="Arial" w:eastAsia="Arial" w:hAnsi="Arial"/>
          <w:sz w:val="14"/>
          <w:szCs w:val="14"/>
          <w:u w:val="single" w:color="auto"/>
          <w:color w:val="auto"/>
        </w:rPr>
        <w:t>Modification; Severability</w:t>
      </w:r>
      <w:r>
        <w:rPr>
          <w:rFonts w:ascii="Arial" w:cs="Arial" w:eastAsia="Arial" w:hAnsi="Arial"/>
          <w:sz w:val="14"/>
          <w:szCs w:val="14"/>
          <w:color w:val="auto"/>
        </w:rPr>
        <w:t>. If any court of competent jurisdiction finds any provision of this Agreement, and particularly the covenants set forth in Section 4(a), or portion thereof, to not be fully enforceable, it is the intention and desire of the parties that the provision be fully enforced to the extent the court finds them enforceable and, if necessary, that the court modify any provisions of this Agreement to the extent deemed necessary by the court to render them reasonable and enforceable and that the court enforce them to such extent. To the extent that such provisions cannot be modified, it is the intention of the parties that the provisions be severable and that the invalidity of any one or more provisions of this Agreement shall not affect the legality, validity and enforceability of the remaining provisions of this Agreement.</w:t>
      </w:r>
    </w:p>
    <w:p>
      <w:pPr>
        <w:spacing w:after="0" w:line="188" w:lineRule="exact"/>
        <w:rPr>
          <w:rFonts w:ascii="Arial" w:cs="Arial" w:eastAsia="Arial" w:hAnsi="Arial"/>
          <w:sz w:val="14"/>
          <w:szCs w:val="14"/>
          <w:color w:val="auto"/>
        </w:rPr>
      </w:pPr>
    </w:p>
    <w:p>
      <w:pPr>
        <w:ind w:left="4" w:firstLine="1149"/>
        <w:spacing w:after="0" w:line="292" w:lineRule="auto"/>
        <w:tabs>
          <w:tab w:leader="none" w:pos="1798" w:val="left"/>
        </w:tabs>
        <w:numPr>
          <w:ilvl w:val="1"/>
          <w:numId w:val="64"/>
        </w:numPr>
        <w:rPr>
          <w:rFonts w:ascii="Arial" w:cs="Arial" w:eastAsia="Arial" w:hAnsi="Arial"/>
          <w:sz w:val="14"/>
          <w:szCs w:val="14"/>
          <w:color w:val="auto"/>
        </w:rPr>
      </w:pPr>
      <w:r>
        <w:rPr>
          <w:rFonts w:ascii="Arial" w:cs="Arial" w:eastAsia="Arial" w:hAnsi="Arial"/>
          <w:sz w:val="14"/>
          <w:szCs w:val="14"/>
          <w:u w:val="single" w:color="auto"/>
          <w:color w:val="auto"/>
        </w:rPr>
        <w:t>Acknowledgment</w:t>
      </w:r>
      <w:r>
        <w:rPr>
          <w:rFonts w:ascii="Arial" w:cs="Arial" w:eastAsia="Arial" w:hAnsi="Arial"/>
          <w:sz w:val="14"/>
          <w:szCs w:val="14"/>
          <w:color w:val="auto"/>
        </w:rPr>
        <w:t>. Pursuant to Section 7 of the Defend Trade Secrets Act of 2016 (which added 18 U.S.C. § 1833(b)), the Participant acknowledges that the Participant shall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w:t>
      </w:r>
    </w:p>
    <w:p>
      <w:pPr>
        <w:spacing w:after="0" w:line="1" w:lineRule="exact"/>
        <w:rPr>
          <w:rFonts w:ascii="Arial" w:cs="Arial" w:eastAsia="Arial" w:hAnsi="Arial"/>
          <w:sz w:val="14"/>
          <w:szCs w:val="14"/>
          <w:color w:val="auto"/>
        </w:rPr>
      </w:pPr>
    </w:p>
    <w:p>
      <w:pPr>
        <w:ind w:left="4" w:right="40" w:hanging="4"/>
        <w:spacing w:after="0" w:line="272" w:lineRule="auto"/>
        <w:tabs>
          <w:tab w:leader="none" w:pos="258" w:val="left"/>
        </w:tabs>
        <w:numPr>
          <w:ilvl w:val="0"/>
          <w:numId w:val="65"/>
        </w:numPr>
        <w:rPr>
          <w:rFonts w:ascii="Arial" w:cs="Arial" w:eastAsia="Arial" w:hAnsi="Arial"/>
          <w:sz w:val="15"/>
          <w:szCs w:val="15"/>
          <w:color w:val="auto"/>
        </w:rPr>
      </w:pPr>
      <w:r>
        <w:rPr>
          <w:rFonts w:ascii="Arial" w:cs="Arial" w:eastAsia="Arial" w:hAnsi="Arial"/>
          <w:sz w:val="15"/>
          <w:szCs w:val="15"/>
          <w:color w:val="auto"/>
        </w:rPr>
        <w:t>is made in a complaint or other document filed in a lawsuit or other proceeding, if such filing is made under seal. Nothing in this Agreement, or any other Agreement that the Participant has with the Company, is intended to conflict with 18 U.S.C. § 1833(b) or create liability for disclosures of trade secrets that are expressly allowed by such Section. Notwithstanding anything in this Agreement, or any other Agreement that the Participant has with the Company, to the contrary, the provisions of this Section 4 do not prohibit the Participant from voluntarily and lawfully initiating communications with, cooperating with, providing information to, or reporting violations of federal or state law or regulation to any governmental agency or from making other disclosures that are protected under the whistleblower provisions of federal or state law or regulation, nor do the confidentiality obligations require the Participant to notify the Company regarding any such reporting, disclosure or cooperation with the government.</w:t>
      </w:r>
    </w:p>
    <w:p>
      <w:pPr>
        <w:spacing w:after="0" w:line="313"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51" w:right="219" w:bottom="1440" w:gutter="0" w:footer="0" w:header="0"/>
        </w:sectPr>
      </w:pPr>
    </w:p>
    <w:bookmarkStart w:id="70" w:name="page71"/>
    <w:bookmarkEnd w:id="70"/>
    <w:p>
      <w:pPr>
        <w:ind w:firstLine="1149"/>
        <w:spacing w:after="0" w:line="271" w:lineRule="auto"/>
        <w:tabs>
          <w:tab w:leader="none" w:pos="1802"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Compliance with Securities Laws</w:t>
      </w:r>
      <w:r>
        <w:rPr>
          <w:rFonts w:ascii="Arial" w:cs="Arial" w:eastAsia="Arial" w:hAnsi="Arial"/>
          <w:sz w:val="15"/>
          <w:szCs w:val="15"/>
          <w:color w:val="auto"/>
        </w:rPr>
        <w:t>. Notwithstanding any provision of this Agreement to the contrary, the issuance of Shares will be subject to compliance with all applicable requirements of federal, state, or foreign law with respect to such securities and with the requirements of any stock exchange or market system upon which the Shares may then be listed. No Shares will be issued hereunder if such issuance would constitute a violation of any applicable federal, state, or foreign securities laws or other law or regulations or the requirements of any stock exchange or market system upon which the Shares may then be listed. In addition, Shares will not be issued hereunder unless (a) a registration statement under the Securities Act is, at the time of issuance, in effect with respect to the Shares or (b) in the opinion of legal counsel to the Company, the shares issued may be issued in accordance with the terms of an applicable exemption from the registration requirements of the Securities Act. THE PARTICIPANT IS CAUTIONED THAT ISSUANCE OF SHARES UPON THE VESTING OF RESTRICTED SHARE UNITS GRANTED PURSUANT TO THIS AGREEMENT MAY NOT OCCUR UNLESS THE FOREGOING CONDITIONS ARE SATISFIED. The inability of the Company to obtain from any regulatory body having jurisdiction the authority, if any, deemed by the Company’s legal counsel to be necessary to the lawful issuance and sale of any shares subject to the Award will relieve the Company of any liability in respect of the failure to issue such shares as to which such requisite authority has not been obtained. As a condition to any issuance hereunder, the Company may require the Participant to satisfy any qualifications that may be necessary or appropriate to evidence compliance with any applicable law or regulation and to make any representation or warranty with respect to such compliance as may be requested by the Company.</w:t>
      </w:r>
    </w:p>
    <w:p>
      <w:pPr>
        <w:spacing w:after="0" w:line="209" w:lineRule="exact"/>
        <w:rPr>
          <w:rFonts w:ascii="Arial" w:cs="Arial" w:eastAsia="Arial" w:hAnsi="Arial"/>
          <w:sz w:val="15"/>
          <w:szCs w:val="15"/>
          <w:color w:val="auto"/>
        </w:rPr>
      </w:pPr>
    </w:p>
    <w:p>
      <w:pPr>
        <w:jc w:val="both"/>
        <w:ind w:right="100" w:firstLine="1149"/>
        <w:spacing w:after="0" w:line="351" w:lineRule="auto"/>
        <w:tabs>
          <w:tab w:leader="none" w:pos="1802" w:val="left"/>
        </w:tabs>
        <w:numPr>
          <w:ilvl w:val="0"/>
          <w:numId w:val="66"/>
        </w:numPr>
        <w:rPr>
          <w:rFonts w:ascii="Arial" w:cs="Arial" w:eastAsia="Arial" w:hAnsi="Arial"/>
          <w:sz w:val="14"/>
          <w:szCs w:val="14"/>
          <w:color w:val="auto"/>
        </w:rPr>
      </w:pPr>
      <w:r>
        <w:rPr>
          <w:rFonts w:ascii="Arial" w:cs="Arial" w:eastAsia="Arial" w:hAnsi="Arial"/>
          <w:sz w:val="14"/>
          <w:szCs w:val="14"/>
          <w:u w:val="single" w:color="auto"/>
          <w:color w:val="auto"/>
        </w:rPr>
        <w:t>No Right to Continued Service</w:t>
      </w:r>
      <w:r>
        <w:rPr>
          <w:rFonts w:ascii="Arial" w:cs="Arial" w:eastAsia="Arial" w:hAnsi="Arial"/>
          <w:sz w:val="14"/>
          <w:szCs w:val="14"/>
          <w:color w:val="auto"/>
        </w:rPr>
        <w:t>. The granting of the Award evidenced hereby and this Agreement shall impose no obligation on the Company or any of its Affiliates to continue the Service of the Participant and shall not lessen or affect the right of the Company or any of its Affiliates to terminate the Service of the Participant.</w:t>
      </w:r>
    </w:p>
    <w:p>
      <w:pPr>
        <w:spacing w:after="0" w:line="153" w:lineRule="exact"/>
        <w:rPr>
          <w:rFonts w:ascii="Arial" w:cs="Arial" w:eastAsia="Arial" w:hAnsi="Arial"/>
          <w:sz w:val="14"/>
          <w:szCs w:val="14"/>
          <w:color w:val="auto"/>
        </w:rPr>
      </w:pPr>
    </w:p>
    <w:p>
      <w:pPr>
        <w:ind w:right="200" w:firstLine="1149"/>
        <w:spacing w:after="0" w:line="264" w:lineRule="auto"/>
        <w:tabs>
          <w:tab w:leader="none" w:pos="1802"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hereunder by the Participant shall be given to the Company in writing and such notice shall be deemed duly given only upon receipt thereof by the Secretary of the Company. Any notice hereunder by the Company shall be given to the Participant in writing and such notice shall be deemed duly given only upon receipt thereof at such address as the Participant may have on file with the Company.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51" w:right="239" w:bottom="1440" w:gutter="0" w:footer="0" w:header="0"/>
        </w:sectPr>
      </w:pPr>
    </w:p>
    <w:bookmarkStart w:id="71" w:name="page72"/>
    <w:bookmarkEnd w:id="71"/>
    <w:p>
      <w:pPr>
        <w:ind w:firstLine="1149"/>
        <w:spacing w:after="0" w:line="257" w:lineRule="auto"/>
        <w:tabs>
          <w:tab w:leader="none" w:pos="180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Governing Law; Submission to Jurisdiction</w:t>
      </w:r>
      <w:r>
        <w:rPr>
          <w:rFonts w:ascii="Arial" w:cs="Arial" w:eastAsia="Arial" w:hAnsi="Arial"/>
          <w:sz w:val="16"/>
          <w:szCs w:val="16"/>
          <w:color w:val="auto"/>
        </w:rPr>
        <w:t>. This Agreement and all claims arising out of or based upon this Agreement or relating to the subject matter hereof shall be governed by and construed in accordance with the domestic substantive laws of the State of Delaware without giving effect to any choice or conflict of laws provision or rule that would cause the application of the domestic substantive laws of any other jurisdiction. The parties hereto hereby irrevocably submit to the exclusive jurisdiction of the courts of the State of Delaware sitting in New Castle County, Delaware, the United States District Court for the District of Delaware and the appellate courts having jurisdiction of appeals from such courts.</w:t>
      </w:r>
    </w:p>
    <w:p>
      <w:pPr>
        <w:spacing w:after="0" w:line="216" w:lineRule="exact"/>
        <w:rPr>
          <w:rFonts w:ascii="Arial" w:cs="Arial" w:eastAsia="Arial" w:hAnsi="Arial"/>
          <w:sz w:val="16"/>
          <w:szCs w:val="16"/>
          <w:color w:val="auto"/>
        </w:rPr>
      </w:pPr>
    </w:p>
    <w:p>
      <w:pPr>
        <w:ind w:right="100" w:firstLine="1149"/>
        <w:spacing w:after="0" w:line="302" w:lineRule="auto"/>
        <w:tabs>
          <w:tab w:leader="none" w:pos="1802" w:val="left"/>
        </w:tabs>
        <w:numPr>
          <w:ilvl w:val="0"/>
          <w:numId w:val="67"/>
        </w:numPr>
        <w:rPr>
          <w:rFonts w:ascii="Arial" w:cs="Arial" w:eastAsia="Arial" w:hAnsi="Arial"/>
          <w:sz w:val="14"/>
          <w:szCs w:val="14"/>
          <w:color w:val="auto"/>
        </w:rPr>
      </w:pPr>
      <w:r>
        <w:rPr>
          <w:rFonts w:ascii="Arial" w:cs="Arial" w:eastAsia="Arial" w:hAnsi="Arial"/>
          <w:sz w:val="14"/>
          <w:szCs w:val="14"/>
          <w:u w:val="single" w:color="auto"/>
          <w:color w:val="auto"/>
        </w:rPr>
        <w:t>Specific Performance</w:t>
      </w:r>
      <w:r>
        <w:rPr>
          <w:rFonts w:ascii="Arial" w:cs="Arial" w:eastAsia="Arial" w:hAnsi="Arial"/>
          <w:sz w:val="14"/>
          <w:szCs w:val="14"/>
          <w:color w:val="auto"/>
        </w:rPr>
        <w:t>. The Participant acknowledges and agrees that the Company’s remedies at law for a breach or threatened breach of the Restrictive Covenants would be inadequate and the Company would suffer irreparable damages as a result of such breach or threatened beach. In recognition of this fact, the Participant agrees that, in the event of such a breach or threatened breach, in addition to any remedies at law, the Company, without posting any bond or needing to prove the inadequacy of monetary damages, shall each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spacing w:after="0" w:line="188" w:lineRule="exact"/>
        <w:rPr>
          <w:rFonts w:ascii="Arial" w:cs="Arial" w:eastAsia="Arial" w:hAnsi="Arial"/>
          <w:sz w:val="14"/>
          <w:szCs w:val="14"/>
          <w:color w:val="auto"/>
        </w:rPr>
      </w:pPr>
    </w:p>
    <w:p>
      <w:pPr>
        <w:ind w:right="80" w:firstLine="1149"/>
        <w:spacing w:after="0" w:line="256" w:lineRule="auto"/>
        <w:tabs>
          <w:tab w:leader="none" w:pos="1786"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xml:space="preserve"> The Participant may be required, as a condition to the delivery of any Shares relating to the Award Shares, to pay to the Company, in cash, the amount of any applicable withholding taxes in respect thereof. The Company shall be entitled to take such other action as the Board or any committee thereof deems necessary or appropriate to satisfy all obligations for the payment of such withholding taxes, including, solely in the Board’s or the applicable committee’s discretion, the withholding of Shares with a maximum aggregate Fair Market Value equal to such amount of taxes required to be withheld, determined based on the greatest withholding rates for federal, state, foreign and/or local tax purposes, including payroll taxes, that may be utilized without creating adverse accounting treatment with respect to the Award Shares granted hereunder, as determined by the Company.</w:t>
      </w:r>
    </w:p>
    <w:p>
      <w:pPr>
        <w:spacing w:after="0" w:line="215" w:lineRule="exact"/>
        <w:rPr>
          <w:rFonts w:ascii="Arial" w:cs="Arial" w:eastAsia="Arial" w:hAnsi="Arial"/>
          <w:sz w:val="16"/>
          <w:szCs w:val="16"/>
          <w:color w:val="auto"/>
        </w:rPr>
      </w:pPr>
    </w:p>
    <w:p>
      <w:pPr>
        <w:ind w:right="240" w:firstLine="1149"/>
        <w:spacing w:after="0" w:line="264" w:lineRule="auto"/>
        <w:tabs>
          <w:tab w:leader="none" w:pos="178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Award Subject to this Agreement and the Plan</w:t>
      </w:r>
      <w:r>
        <w:rPr>
          <w:rFonts w:ascii="Arial" w:cs="Arial" w:eastAsia="Arial" w:hAnsi="Arial"/>
          <w:sz w:val="16"/>
          <w:szCs w:val="16"/>
          <w:color w:val="auto"/>
        </w:rPr>
        <w:t xml:space="preserve">. By entering into </w:t>
      </w:r>
      <w:r>
        <w:rPr>
          <w:rFonts w:ascii="Arial" w:cs="Arial" w:eastAsia="Arial" w:hAnsi="Arial"/>
          <w:sz w:val="16"/>
          <w:szCs w:val="16"/>
          <w:u w:val="single" w:color="auto"/>
          <w:color w:val="auto"/>
        </w:rPr>
        <w:t>this Agreement</w:t>
      </w:r>
      <w:r>
        <w:rPr>
          <w:rFonts w:ascii="Arial" w:cs="Arial" w:eastAsia="Arial" w:hAnsi="Arial"/>
          <w:sz w:val="16"/>
          <w:szCs w:val="16"/>
          <w:color w:val="auto"/>
        </w:rPr>
        <w:t xml:space="preserve"> the Participant agrees and acknowledges that the Participant has received and read this Agreement and a copy of the Plan. The Award is subject to the Plan, as may be amended from time to time, and the terms and provisions of the Plan are hereby incorporated herein by reference. The Participant agrees to be bound by the terms and provisions of the Plan.</w:t>
      </w:r>
    </w:p>
    <w:p>
      <w:pPr>
        <w:spacing w:after="0" w:line="209" w:lineRule="exact"/>
        <w:rPr>
          <w:rFonts w:ascii="Arial" w:cs="Arial" w:eastAsia="Arial" w:hAnsi="Arial"/>
          <w:sz w:val="16"/>
          <w:szCs w:val="16"/>
          <w:color w:val="auto"/>
        </w:rPr>
      </w:pPr>
    </w:p>
    <w:p>
      <w:pPr>
        <w:ind w:right="240" w:firstLine="1149"/>
        <w:spacing w:after="0" w:line="259" w:lineRule="auto"/>
        <w:tabs>
          <w:tab w:leader="none" w:pos="1786"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Waivers and Amendments</w:t>
      </w:r>
      <w:r>
        <w:rPr>
          <w:rFonts w:ascii="Arial" w:cs="Arial" w:eastAsia="Arial" w:hAnsi="Arial"/>
          <w:sz w:val="16"/>
          <w:szCs w:val="16"/>
          <w:color w:val="auto"/>
        </w:rPr>
        <w:t>. The respective rights and obligations of the Company and the Participant under this Agreement may be waived (either generally or in a particular instance, either retroactively or prospectively, and either for a specified period of time or indefinitely) by the party or parties entitled to the benefit thereof pursuant to a written waiver executed by such party or parties. This Agreement may be amended only with the written consent of the Participant and a duly authorized representative of the Company.</w:t>
      </w:r>
    </w:p>
    <w:p>
      <w:pPr>
        <w:spacing w:after="0" w:line="214" w:lineRule="exact"/>
        <w:rPr>
          <w:rFonts w:ascii="Arial" w:cs="Arial" w:eastAsia="Arial" w:hAnsi="Arial"/>
          <w:sz w:val="16"/>
          <w:szCs w:val="16"/>
          <w:color w:val="auto"/>
        </w:rPr>
      </w:pPr>
    </w:p>
    <w:p>
      <w:pPr>
        <w:ind w:right="20" w:firstLine="1149"/>
        <w:spacing w:after="0" w:line="259" w:lineRule="auto"/>
        <w:tabs>
          <w:tab w:leader="none" w:pos="1786"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Certificates</w:t>
      </w:r>
      <w:r>
        <w:rPr>
          <w:rFonts w:ascii="Arial" w:cs="Arial" w:eastAsia="Arial" w:hAnsi="Arial"/>
          <w:sz w:val="16"/>
          <w:szCs w:val="16"/>
          <w:color w:val="auto"/>
        </w:rPr>
        <w:t>. All certificates, if any, evidencing Shares or other securities of the Company delivered under this Agreement shall be subject to such stop transfer orders and other restrictions as the Company may deem advisable under this Agreement or the rules, regulations, and other requirements of the Securities and Exchange Commission, any stock exchange upon which such securities are then listed, and any applicable Federal or state laws, and the Company may cause a legend or legends to be put on any such certificates to make appropriate reference to such restrictions.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51" w:right="219" w:bottom="1440" w:gutter="0" w:footer="0" w:header="0"/>
        </w:sectPr>
      </w:pPr>
    </w:p>
    <w:bookmarkStart w:id="72" w:name="page73"/>
    <w:bookmarkEnd w:id="72"/>
    <w:p>
      <w:pPr>
        <w:ind w:left="-40" w:right="180" w:firstLine="1149"/>
        <w:spacing w:after="0" w:line="282" w:lineRule="auto"/>
        <w:tabs>
          <w:tab w:leader="none" w:pos="1746" w:val="left"/>
        </w:tabs>
        <w:numPr>
          <w:ilvl w:val="0"/>
          <w:numId w:val="68"/>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this Agreement is or becomes or is deemed to be invalid, illegal, or unenforceable in any jurisdiction, or would disqualify this Agreement under any law deemed applicable by the Company, such provision shall be construed or deemed amended to conform to such applicable laws, or if it cannot be construed or deemed amended without, in the determination of the Company, materially altering the intent of this Agreement or the Award, such provision shall be stricken as to such jurisdiction and the remainder of this Agreement and any such Award shall remain in full force and effect.</w:t>
      </w:r>
    </w:p>
    <w:p>
      <w:pPr>
        <w:spacing w:after="0" w:line="198" w:lineRule="exact"/>
        <w:rPr>
          <w:rFonts w:ascii="Arial" w:cs="Arial" w:eastAsia="Arial" w:hAnsi="Arial"/>
          <w:sz w:val="15"/>
          <w:szCs w:val="15"/>
          <w:color w:val="auto"/>
        </w:rPr>
      </w:pPr>
    </w:p>
    <w:p>
      <w:pPr>
        <w:ind w:left="-40" w:right="140" w:firstLine="1149"/>
        <w:spacing w:after="0" w:line="277" w:lineRule="auto"/>
        <w:tabs>
          <w:tab w:leader="none" w:pos="1746"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Except as otherwise expressly provided herein, the provisions hereof shall inure to the benefit of, and be binding upon, the successors, assigns, heirs, executors and administrators of the parties hereto.</w:t>
      </w:r>
    </w:p>
    <w:p>
      <w:pPr>
        <w:spacing w:after="0" w:line="199" w:lineRule="exact"/>
        <w:rPr>
          <w:rFonts w:ascii="Arial" w:cs="Arial" w:eastAsia="Arial" w:hAnsi="Arial"/>
          <w:sz w:val="16"/>
          <w:szCs w:val="16"/>
          <w:color w:val="auto"/>
        </w:rPr>
      </w:pPr>
    </w:p>
    <w:p>
      <w:pPr>
        <w:ind w:left="-40" w:firstLine="1149"/>
        <w:spacing w:after="0" w:line="277" w:lineRule="auto"/>
        <w:tabs>
          <w:tab w:leader="none" w:pos="1746"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Signature in Counterparts</w:t>
      </w:r>
      <w:r>
        <w:rPr>
          <w:rFonts w:ascii="Arial" w:cs="Arial" w:eastAsia="Arial" w:hAnsi="Arial"/>
          <w:sz w:val="16"/>
          <w:szCs w:val="16"/>
          <w:color w:val="auto"/>
        </w:rPr>
        <w:t>. This Agreement may be signed in counterparts, each of which shall be an original, with the same effect as if the signatures thereto and hereto were upon the same instrument.</w:t>
      </w:r>
    </w:p>
    <w:p>
      <w:pPr>
        <w:spacing w:after="0" w:line="199" w:lineRule="exact"/>
        <w:rPr>
          <w:rFonts w:ascii="Arial" w:cs="Arial" w:eastAsia="Arial" w:hAnsi="Arial"/>
          <w:sz w:val="16"/>
          <w:szCs w:val="16"/>
          <w:color w:val="auto"/>
        </w:rPr>
      </w:pPr>
    </w:p>
    <w:p>
      <w:pPr>
        <w:ind w:left="-40" w:right="260" w:firstLine="1149"/>
        <w:spacing w:after="0" w:line="277" w:lineRule="auto"/>
        <w:tabs>
          <w:tab w:leader="none" w:pos="1746"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titles and headings of the various sections of this Agreement have been inserted for convenience of reference only and shall not be deemed to be a part of this Agreement.</w:t>
      </w:r>
    </w:p>
    <w:p>
      <w:pPr>
        <w:spacing w:after="0" w:line="199" w:lineRule="exact"/>
        <w:rPr>
          <w:rFonts w:ascii="Arial" w:cs="Arial" w:eastAsia="Arial" w:hAnsi="Arial"/>
          <w:sz w:val="16"/>
          <w:szCs w:val="16"/>
          <w:color w:val="auto"/>
        </w:rPr>
      </w:pPr>
    </w:p>
    <w:p>
      <w:pPr>
        <w:ind w:left="-40" w:right="340" w:firstLine="1149"/>
        <w:spacing w:after="0" w:line="264" w:lineRule="auto"/>
        <w:tabs>
          <w:tab w:leader="none" w:pos="1746"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hereto shall do and perform (or shall cause to be done and performed) all such further acts and shall execute and deliver all such other agreements, certificates, instruments and documents as either party hereto reasonably may request in order to carry out the intent and accomplish the purposes of this Agreement and the consummation of the transactions contemplated thereunder.</w:t>
      </w:r>
    </w:p>
    <w:p>
      <w:pPr>
        <w:spacing w:after="0" w:line="209" w:lineRule="exact"/>
        <w:rPr>
          <w:rFonts w:ascii="Arial" w:cs="Arial" w:eastAsia="Arial" w:hAnsi="Arial"/>
          <w:sz w:val="16"/>
          <w:szCs w:val="16"/>
          <w:color w:val="auto"/>
        </w:rPr>
      </w:pPr>
    </w:p>
    <w:p>
      <w:pPr>
        <w:ind w:left="-40" w:right="80" w:firstLine="1149"/>
        <w:spacing w:after="0" w:line="293" w:lineRule="auto"/>
        <w:tabs>
          <w:tab w:leader="none" w:pos="1746"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Section 409A</w:t>
      </w:r>
      <w:r>
        <w:rPr>
          <w:rFonts w:ascii="Arial" w:cs="Arial" w:eastAsia="Arial" w:hAnsi="Arial"/>
          <w:sz w:val="14"/>
          <w:szCs w:val="14"/>
          <w:color w:val="auto"/>
        </w:rPr>
        <w:t>. The intent of the parties is that payments and benefits under this Agreement comply with Section 409A of the Code, to the extent subject thereto, and accordingly, to the maximum extent permitted, this Agreement shall be interpreted and administered to be in compliance therewith. Notwithstanding anything contained herein to the contrary, the Participant shall not be considered to have terminated employment with the Company for purposes of any payments under this Agreement (including the delivery of Shares) which are subject to Section 409A of the Code until the Participant has incurred a “separation from service” within the meaning of Section 409A of the Code. 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(including delivery of Shares) or any other amounts payable under any plan, program or arrangement of the Company or any of its Affiliates during the six (6) month period immediately following the Participant’s separation from service shall instead be paid on the first business day after the date that is six (6) months following the Participant’s separation from service (or, if earlier, the Participant’s date of death). The Company makes no representation that any or all of the payments described in this Agreement will be exempt from or comply with Section 409A of the Code and makes no undertaking to preclude Section 409A of the Code from applying to any such payments.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29845</wp:posOffset>
            </wp:positionV>
            <wp:extent cx="726186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60"/>
          </w:cols>
          <w:pgMar w:left="280" w:top="151" w:right="259" w:bottom="1440" w:gutter="0" w:footer="0" w:header="0"/>
        </w:sectPr>
      </w:pPr>
    </w:p>
    <w:bookmarkStart w:id="73" w:name="page74"/>
    <w:bookmarkEnd w:id="73"/>
    <w:p>
      <w:pPr>
        <w:ind w:left="-20" w:firstLine="1149"/>
        <w:spacing w:after="0" w:line="255" w:lineRule="auto"/>
        <w:tabs>
          <w:tab w:leader="none" w:pos="1766"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Consent to Electronic Delivery; Electronic Signature</w:t>
      </w:r>
      <w:r>
        <w:rPr>
          <w:rFonts w:ascii="Arial" w:cs="Arial" w:eastAsia="Arial" w:hAnsi="Arial"/>
          <w:sz w:val="16"/>
          <w:szCs w:val="16"/>
          <w:color w:val="auto"/>
        </w:rPr>
        <w:t>. In lieu of receiving documents in paper format, the Participant 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The Participant hereby consents to any and all procedures the Company has established or may establish for an electronic signature system for delivery and acceptance of any such documents that the Company may be required to deliver, and agrees that his or her electronic signature is the same as, and shall have the same force and effect as, his or her manual signature.</w:t>
      </w:r>
    </w:p>
    <w:p>
      <w:pPr>
        <w:spacing w:after="0" w:line="217" w:lineRule="exact"/>
        <w:rPr>
          <w:rFonts w:ascii="Arial" w:cs="Arial" w:eastAsia="Arial" w:hAnsi="Arial"/>
          <w:sz w:val="16"/>
          <w:szCs w:val="16"/>
          <w:color w:val="auto"/>
        </w:rPr>
      </w:pPr>
    </w:p>
    <w:p>
      <w:pPr>
        <w:ind w:left="-20" w:right="40" w:firstLine="1149"/>
        <w:spacing w:after="0" w:line="289" w:lineRule="auto"/>
        <w:tabs>
          <w:tab w:leader="none" w:pos="1766"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Clawback</w:t>
      </w:r>
      <w:r>
        <w:rPr>
          <w:rFonts w:ascii="Arial" w:cs="Arial" w:eastAsia="Arial" w:hAnsi="Arial"/>
          <w:sz w:val="15"/>
          <w:szCs w:val="15"/>
          <w:color w:val="auto"/>
        </w:rPr>
        <w:t>. Notwithstanding any other provisions in this Agreement or the Plan, this Award is subject to recovery under any law, government regulation, stock exchange listing requirement or pursuant to any policy adopted by the Company, as approved by the Board, and will be subject to such deductions and clawback as may be required to be made pursuant to such law, government regulation, stock exchange listing requirement or policy adopted by the Company.</w:t>
      </w:r>
    </w:p>
    <w:p>
      <w:pPr>
        <w:spacing w:after="0" w:line="193" w:lineRule="exact"/>
        <w:rPr>
          <w:rFonts w:ascii="Arial" w:cs="Arial" w:eastAsia="Arial" w:hAnsi="Arial"/>
          <w:sz w:val="15"/>
          <w:szCs w:val="15"/>
          <w:color w:val="auto"/>
        </w:rPr>
      </w:pPr>
    </w:p>
    <w:p>
      <w:pPr>
        <w:ind w:left="5140"/>
        <w:spacing w:after="0"/>
        <w:rPr>
          <w:rFonts w:ascii="Arial" w:cs="Arial" w:eastAsia="Arial" w:hAnsi="Arial"/>
          <w:sz w:val="15"/>
          <w:szCs w:val="15"/>
          <w:color w:val="auto"/>
        </w:rPr>
      </w:pPr>
      <w:r>
        <w:rPr>
          <w:rFonts w:ascii="Arial" w:cs="Arial" w:eastAsia="Arial" w:hAnsi="Arial"/>
          <w:sz w:val="16"/>
          <w:szCs w:val="16"/>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29845</wp:posOffset>
            </wp:positionV>
            <wp:extent cx="726186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60" w:top="15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6"/>
          <w:szCs w:val="16"/>
          <w:b w:val="1"/>
          <w:bCs w:val="1"/>
          <w:u w:val="single" w:color="auto"/>
          <w:color w:val="auto"/>
        </w:rPr>
        <w:t>SCHEDULE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NEW FORTRESS ENERGY LLC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OMNIBUS INCENTIVE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AWARD SHARE ACCEPTANCE FORM</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Subject to the terms and conditions of the New Fortress Energy LLC 2019 Omnibus Incentive Plan (the “</w:t>
      </w:r>
      <w:r>
        <w:rPr>
          <w:rFonts w:ascii="Arial" w:cs="Arial" w:eastAsia="Arial" w:hAnsi="Arial"/>
          <w:sz w:val="15"/>
          <w:szCs w:val="15"/>
          <w:u w:val="single" w:color="auto"/>
          <w:color w:val="auto"/>
        </w:rPr>
        <w:t>Plan</w:t>
      </w:r>
      <w:r>
        <w:rPr>
          <w:rFonts w:ascii="Arial" w:cs="Arial" w:eastAsia="Arial" w:hAnsi="Arial"/>
          <w:sz w:val="15"/>
          <w:szCs w:val="15"/>
          <w:color w:val="auto"/>
        </w:rPr>
        <w:t>”), the Restricted Share Unit Award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Agreement</w:t>
      </w:r>
      <w:r>
        <w:rPr>
          <w:rFonts w:ascii="Arial" w:cs="Arial" w:eastAsia="Arial" w:hAnsi="Arial"/>
          <w:sz w:val="14"/>
          <w:szCs w:val="14"/>
          <w:color w:val="auto"/>
        </w:rPr>
        <w:t>”) and this Award Share Acceptance Form (this “</w:t>
      </w:r>
      <w:r>
        <w:rPr>
          <w:rFonts w:ascii="Arial" w:cs="Arial" w:eastAsia="Arial" w:hAnsi="Arial"/>
          <w:sz w:val="14"/>
          <w:szCs w:val="14"/>
          <w:u w:val="single" w:color="auto"/>
          <w:color w:val="auto"/>
        </w:rPr>
        <w:t>Acceptance Form</w:t>
      </w:r>
      <w:r>
        <w:rPr>
          <w:rFonts w:ascii="Arial" w:cs="Arial" w:eastAsia="Arial" w:hAnsi="Arial"/>
          <w:sz w:val="14"/>
          <w:szCs w:val="14"/>
          <w:color w:val="auto"/>
        </w:rPr>
        <w:t>”), the Company hereby awards to the Participant set forth below the number of Award Shares set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forth below, which shall vest in full on the dates set forth below, subject to the Participant’s continued Service to the Company and the terms and conditions of the Plan and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Agreement.</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3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Participant:</w:t>
            </w:r>
          </w:p>
        </w:tc>
        <w:tc>
          <w:tcPr>
            <w:tcW w:w="23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Total Number</w:t>
            </w:r>
          </w:p>
        </w:tc>
        <w:tc>
          <w:tcPr>
            <w:tcW w:w="22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Grant Date:</w:t>
            </w:r>
          </w:p>
        </w:tc>
        <w:tc>
          <w:tcPr>
            <w:tcW w:w="22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Vesting Dates:</w:t>
            </w:r>
          </w:p>
        </w:tc>
        <w:tc>
          <w:tcPr>
            <w:tcW w:w="23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Number of</w:t>
            </w:r>
          </w:p>
        </w:tc>
      </w:tr>
      <w:tr>
        <w:trPr>
          <w:trHeight w:val="192"/>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of Award</w:t>
            </w:r>
          </w:p>
        </w:tc>
        <w:tc>
          <w:tcPr>
            <w:tcW w:w="226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Award Shares</w:t>
            </w:r>
          </w:p>
        </w:tc>
      </w:tr>
      <w:tr>
        <w:trPr>
          <w:trHeight w:val="213"/>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Shares:</w:t>
            </w:r>
          </w:p>
        </w:tc>
        <w:tc>
          <w:tcPr>
            <w:tcW w:w="226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upon Vesting:</w:t>
            </w:r>
          </w:p>
        </w:tc>
      </w:tr>
      <w:tr>
        <w:trPr>
          <w:trHeight w:val="196"/>
        </w:trPr>
        <w:tc>
          <w:tcPr>
            <w:tcW w:w="232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r>
    </w:tbl>
    <w:p>
      <w:pPr>
        <w:spacing w:after="0" w:line="204" w:lineRule="exact"/>
        <w:rPr>
          <w:sz w:val="20"/>
          <w:szCs w:val="20"/>
          <w:color w:val="auto"/>
        </w:rPr>
      </w:pPr>
    </w:p>
    <w:p>
      <w:pPr>
        <w:ind w:right="40" w:firstLine="577"/>
        <w:spacing w:after="0" w:line="277" w:lineRule="auto"/>
        <w:rPr>
          <w:sz w:val="20"/>
          <w:szCs w:val="20"/>
          <w:color w:val="auto"/>
        </w:rPr>
      </w:pPr>
      <w:r>
        <w:rPr>
          <w:rFonts w:ascii="Arial" w:cs="Arial" w:eastAsia="Arial" w:hAnsi="Arial"/>
          <w:sz w:val="16"/>
          <w:szCs w:val="16"/>
          <w:color w:val="auto"/>
        </w:rPr>
        <w:t>By executing this Acceptance Form, you hereby agree to accept the Award Shares set forth above and agree to be bound by the terms, conditions and provisions set forth in the Plan, the Agreement and this Acceptance Form.</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ACCEPTED AND AGREED TO AS OF THE GRANT DATE</w:t>
      </w: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218186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2181860" cy="1524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NEW FORTRESS ENERGY LLC</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20955</wp:posOffset>
            </wp:positionV>
            <wp:extent cx="196024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1960245" cy="1524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726186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75" w:name="page76"/>
    <w:bookmarkEnd w:id="75"/>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261860"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261860" cy="30480"/>
                    </a:xfrm>
                    <a:prstGeom prst="rect">
                      <a:avLst/>
                    </a:prstGeom>
                    <a:noFill/>
                  </pic:spPr>
                </pic:pic>
              </a:graphicData>
            </a:graphic>
          </wp:anchor>
        </w:drawing>
        <w:t>EXHIBIT 31.1</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I, Wesley R. Edens, certify that:</w:t>
      </w:r>
    </w:p>
    <w:p>
      <w:pPr>
        <w:spacing w:after="0" w:line="200" w:lineRule="exact"/>
        <w:rPr>
          <w:sz w:val="20"/>
          <w:szCs w:val="20"/>
          <w:color w:val="auto"/>
        </w:rPr>
      </w:pPr>
    </w:p>
    <w:p>
      <w:pPr>
        <w:ind w:left="584" w:hanging="584"/>
        <w:spacing w:after="0"/>
        <w:tabs>
          <w:tab w:leader="none" w:pos="584" w:val="left"/>
        </w:tabs>
        <w:numPr>
          <w:ilvl w:val="0"/>
          <w:numId w:val="7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(the “report”) of New Fortress Energy LLC (the “registrant”);</w:t>
      </w:r>
    </w:p>
    <w:p>
      <w:pPr>
        <w:spacing w:after="0" w:line="224" w:lineRule="exact"/>
        <w:rPr>
          <w:rFonts w:ascii="Arial" w:cs="Arial" w:eastAsia="Arial" w:hAnsi="Arial"/>
          <w:sz w:val="16"/>
          <w:szCs w:val="16"/>
          <w:color w:val="auto"/>
        </w:rPr>
      </w:pPr>
    </w:p>
    <w:p>
      <w:pPr>
        <w:ind w:left="584" w:right="240" w:hanging="584"/>
        <w:spacing w:after="0" w:line="312" w:lineRule="auto"/>
        <w:tabs>
          <w:tab w:leader="none" w:pos="584" w:val="left"/>
        </w:tabs>
        <w:numPr>
          <w:ilvl w:val="0"/>
          <w:numId w:val="7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5"/>
          <w:szCs w:val="15"/>
          <w:color w:val="auto"/>
        </w:rPr>
      </w:pPr>
    </w:p>
    <w:p>
      <w:pPr>
        <w:ind w:left="584" w:right="240" w:hanging="584"/>
        <w:spacing w:after="0" w:line="277" w:lineRule="auto"/>
        <w:tabs>
          <w:tab w:leader="none" w:pos="584"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584" w:hanging="584"/>
        <w:spacing w:after="0"/>
        <w:tabs>
          <w:tab w:leader="none" w:pos="584"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3" w:lineRule="exact"/>
        <w:rPr>
          <w:rFonts w:ascii="Arial" w:cs="Arial" w:eastAsia="Arial" w:hAnsi="Arial"/>
          <w:sz w:val="14"/>
          <w:szCs w:val="14"/>
          <w:color w:val="auto"/>
        </w:rPr>
      </w:pPr>
    </w:p>
    <w:p>
      <w:pPr>
        <w:ind w:left="584"/>
        <w:spacing w:after="0"/>
        <w:rPr>
          <w:rFonts w:ascii="Arial" w:cs="Arial" w:eastAsia="Arial" w:hAnsi="Arial"/>
          <w:sz w:val="14"/>
          <w:szCs w:val="14"/>
          <w:color w:val="auto"/>
        </w:rPr>
      </w:pPr>
      <w:r>
        <w:rPr>
          <w:rFonts w:ascii="Arial" w:cs="Arial" w:eastAsia="Arial" w:hAnsi="Arial"/>
          <w:sz w:val="16"/>
          <w:szCs w:val="16"/>
          <w:color w:val="auto"/>
        </w:rPr>
        <w:t>13a-15(e) and 15d-15(e)) for the registrant and have:</w:t>
      </w:r>
    </w:p>
    <w:p>
      <w:pPr>
        <w:spacing w:after="0" w:line="211" w:lineRule="exact"/>
        <w:rPr>
          <w:rFonts w:ascii="Arial" w:cs="Arial" w:eastAsia="Arial" w:hAnsi="Arial"/>
          <w:sz w:val="14"/>
          <w:szCs w:val="14"/>
          <w:color w:val="auto"/>
        </w:rPr>
      </w:pPr>
    </w:p>
    <w:p>
      <w:pPr>
        <w:ind w:left="1144" w:right="240" w:hanging="567"/>
        <w:spacing w:after="0" w:line="264" w:lineRule="auto"/>
        <w:tabs>
          <w:tab w:leader="none" w:pos="1144"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6"/>
          <w:szCs w:val="16"/>
          <w:color w:val="auto"/>
        </w:rPr>
      </w:pPr>
    </w:p>
    <w:p>
      <w:pPr>
        <w:ind w:left="1144" w:right="380" w:hanging="567"/>
        <w:spacing w:after="0" w:line="277" w:lineRule="auto"/>
        <w:tabs>
          <w:tab w:leader="none" w:pos="1144"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ind w:left="1144" w:right="40" w:hanging="567"/>
        <w:spacing w:after="0" w:line="264" w:lineRule="auto"/>
        <w:tabs>
          <w:tab w:leader="none" w:pos="1144" w:val="left"/>
        </w:tabs>
        <w:numPr>
          <w:ilvl w:val="1"/>
          <w:numId w:val="7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6"/>
          <w:szCs w:val="16"/>
          <w:color w:val="auto"/>
        </w:rPr>
      </w:pPr>
    </w:p>
    <w:p>
      <w:pPr>
        <w:ind w:left="584" w:right="540" w:hanging="584"/>
        <w:spacing w:after="0" w:line="277" w:lineRule="auto"/>
        <w:tabs>
          <w:tab w:leader="none" w:pos="584"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1144" w:right="540" w:hanging="567"/>
        <w:spacing w:after="0" w:line="277" w:lineRule="auto"/>
        <w:tabs>
          <w:tab w:leader="none" w:pos="1144"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1144" w:right="160" w:hanging="567"/>
        <w:spacing w:after="0" w:line="277" w:lineRule="auto"/>
        <w:tabs>
          <w:tab w:leader="none" w:pos="1144"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4"/>
        <w:spacing w:after="0"/>
        <w:tabs>
          <w:tab w:leader="none" w:pos="6284" w:val="left"/>
          <w:tab w:leader="none" w:pos="6844" w:val="left"/>
        </w:tabs>
        <w:rPr>
          <w:sz w:val="20"/>
          <w:szCs w:val="20"/>
          <w:color w:val="auto"/>
        </w:rPr>
      </w:pPr>
      <w:r>
        <w:rPr>
          <w:rFonts w:ascii="Arial" w:cs="Arial" w:eastAsia="Arial" w:hAnsi="Arial"/>
          <w:sz w:val="16"/>
          <w:szCs w:val="16"/>
          <w:color w:val="auto"/>
        </w:rPr>
        <w:t>Date:  May 15,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28575</wp:posOffset>
            </wp:positionV>
            <wp:extent cx="696404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6964045" cy="15240"/>
                    </a:xfrm>
                    <a:prstGeom prst="rect">
                      <a:avLst/>
                    </a:prstGeom>
                    <a:noFill/>
                  </pic:spPr>
                </pic:pic>
              </a:graphicData>
            </a:graphic>
          </wp:anchor>
        </w:drawing>
      </w:r>
    </w:p>
    <w:p>
      <w:pPr>
        <w:spacing w:after="0" w:line="36" w:lineRule="exact"/>
        <w:rPr>
          <w:sz w:val="20"/>
          <w:szCs w:val="20"/>
          <w:color w:val="auto"/>
        </w:rPr>
      </w:pPr>
    </w:p>
    <w:p>
      <w:pPr>
        <w:ind w:left="6864"/>
        <w:spacing w:after="0"/>
        <w:rPr>
          <w:sz w:val="20"/>
          <w:szCs w:val="20"/>
          <w:color w:val="auto"/>
        </w:rPr>
      </w:pPr>
      <w:r>
        <w:rPr>
          <w:rFonts w:ascii="Arial" w:cs="Arial" w:eastAsia="Arial" w:hAnsi="Arial"/>
          <w:sz w:val="16"/>
          <w:szCs w:val="16"/>
          <w:color w:val="auto"/>
        </w:rPr>
        <w:t>Wesley R. Edens</w:t>
      </w:r>
    </w:p>
    <w:p>
      <w:pPr>
        <w:spacing w:after="0" w:line="21" w:lineRule="exact"/>
        <w:rPr>
          <w:sz w:val="20"/>
          <w:szCs w:val="20"/>
          <w:color w:val="auto"/>
        </w:rPr>
      </w:pPr>
    </w:p>
    <w:p>
      <w:pPr>
        <w:ind w:left="6864"/>
        <w:spacing w:after="0"/>
        <w:rPr>
          <w:sz w:val="20"/>
          <w:szCs w:val="20"/>
          <w:color w:val="auto"/>
        </w:rPr>
      </w:pPr>
      <w:r>
        <w:rPr>
          <w:rFonts w:ascii="Arial" w:cs="Arial" w:eastAsia="Arial" w:hAnsi="Arial"/>
          <w:sz w:val="16"/>
          <w:szCs w:val="16"/>
          <w:color w:val="auto"/>
        </w:rPr>
        <w:t>Chief Executive Officer</w:t>
      </w:r>
    </w:p>
    <w:p>
      <w:pPr>
        <w:spacing w:after="0" w:line="8" w:lineRule="exact"/>
        <w:rPr>
          <w:sz w:val="20"/>
          <w:szCs w:val="20"/>
          <w:color w:val="auto"/>
        </w:rPr>
      </w:pPr>
    </w:p>
    <w:p>
      <w:pPr>
        <w:ind w:left="6864"/>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340995</wp:posOffset>
            </wp:positionV>
            <wp:extent cx="726186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sectPr>
      </w:pPr>
    </w:p>
    <w:bookmarkStart w:id="76" w:name="page77"/>
    <w:bookmarkEnd w:id="76"/>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261860"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261860" cy="30480"/>
                    </a:xfrm>
                    <a:prstGeom prst="rect">
                      <a:avLst/>
                    </a:prstGeom>
                    <a:noFill/>
                  </pic:spPr>
                </pic:pic>
              </a:graphicData>
            </a:graphic>
          </wp:anchor>
        </w:drawing>
        <w:t>EXHIBIT 31.2</w:t>
      </w: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I, Christopher S. Guinta, certify that:</w:t>
      </w:r>
    </w:p>
    <w:p>
      <w:pPr>
        <w:spacing w:after="0" w:line="200" w:lineRule="exact"/>
        <w:rPr>
          <w:sz w:val="20"/>
          <w:szCs w:val="20"/>
          <w:color w:val="auto"/>
        </w:rPr>
      </w:pPr>
    </w:p>
    <w:p>
      <w:pPr>
        <w:ind w:left="584" w:hanging="584"/>
        <w:spacing w:after="0"/>
        <w:tabs>
          <w:tab w:leader="none" w:pos="584" w:val="left"/>
        </w:tabs>
        <w:numPr>
          <w:ilvl w:val="0"/>
          <w:numId w:val="7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(the “report”) of New Fortress Energy LLC (the “registrant”);</w:t>
      </w:r>
    </w:p>
    <w:p>
      <w:pPr>
        <w:spacing w:after="0" w:line="224" w:lineRule="exact"/>
        <w:rPr>
          <w:rFonts w:ascii="Arial" w:cs="Arial" w:eastAsia="Arial" w:hAnsi="Arial"/>
          <w:sz w:val="16"/>
          <w:szCs w:val="16"/>
          <w:color w:val="auto"/>
        </w:rPr>
      </w:pPr>
    </w:p>
    <w:p>
      <w:pPr>
        <w:ind w:left="584" w:right="240" w:hanging="584"/>
        <w:spacing w:after="0" w:line="312" w:lineRule="auto"/>
        <w:tabs>
          <w:tab w:leader="none" w:pos="584" w:val="left"/>
        </w:tabs>
        <w:numPr>
          <w:ilvl w:val="0"/>
          <w:numId w:val="7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5"/>
          <w:szCs w:val="15"/>
          <w:color w:val="auto"/>
        </w:rPr>
      </w:pPr>
    </w:p>
    <w:p>
      <w:pPr>
        <w:ind w:left="584" w:right="240" w:hanging="584"/>
        <w:spacing w:after="0" w:line="277" w:lineRule="auto"/>
        <w:tabs>
          <w:tab w:leader="none" w:pos="584"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584" w:hanging="584"/>
        <w:spacing w:after="0"/>
        <w:tabs>
          <w:tab w:leader="none" w:pos="584"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3" w:lineRule="exact"/>
        <w:rPr>
          <w:rFonts w:ascii="Arial" w:cs="Arial" w:eastAsia="Arial" w:hAnsi="Arial"/>
          <w:sz w:val="14"/>
          <w:szCs w:val="14"/>
          <w:color w:val="auto"/>
        </w:rPr>
      </w:pPr>
    </w:p>
    <w:p>
      <w:pPr>
        <w:ind w:left="584"/>
        <w:spacing w:after="0"/>
        <w:rPr>
          <w:rFonts w:ascii="Arial" w:cs="Arial" w:eastAsia="Arial" w:hAnsi="Arial"/>
          <w:sz w:val="14"/>
          <w:szCs w:val="14"/>
          <w:color w:val="auto"/>
        </w:rPr>
      </w:pPr>
      <w:r>
        <w:rPr>
          <w:rFonts w:ascii="Arial" w:cs="Arial" w:eastAsia="Arial" w:hAnsi="Arial"/>
          <w:sz w:val="16"/>
          <w:szCs w:val="16"/>
          <w:color w:val="auto"/>
        </w:rPr>
        <w:t>13a-15(e) and 15d-15(e)) for the registrant and have:</w:t>
      </w:r>
    </w:p>
    <w:p>
      <w:pPr>
        <w:spacing w:after="0" w:line="211" w:lineRule="exact"/>
        <w:rPr>
          <w:rFonts w:ascii="Arial" w:cs="Arial" w:eastAsia="Arial" w:hAnsi="Arial"/>
          <w:sz w:val="14"/>
          <w:szCs w:val="14"/>
          <w:color w:val="auto"/>
        </w:rPr>
      </w:pPr>
    </w:p>
    <w:p>
      <w:pPr>
        <w:ind w:left="1144" w:right="240" w:hanging="567"/>
        <w:spacing w:after="0" w:line="264" w:lineRule="auto"/>
        <w:tabs>
          <w:tab w:leader="none" w:pos="1144"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6"/>
          <w:szCs w:val="16"/>
          <w:color w:val="auto"/>
        </w:rPr>
      </w:pPr>
    </w:p>
    <w:p>
      <w:pPr>
        <w:ind w:left="1144" w:right="380" w:hanging="567"/>
        <w:spacing w:after="0" w:line="277" w:lineRule="auto"/>
        <w:tabs>
          <w:tab w:leader="none" w:pos="1144"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ind w:left="1144" w:right="40" w:hanging="567"/>
        <w:spacing w:after="0" w:line="264" w:lineRule="auto"/>
        <w:tabs>
          <w:tab w:leader="none" w:pos="1144" w:val="left"/>
        </w:tabs>
        <w:numPr>
          <w:ilvl w:val="1"/>
          <w:numId w:val="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6"/>
          <w:szCs w:val="16"/>
          <w:color w:val="auto"/>
        </w:rPr>
      </w:pPr>
    </w:p>
    <w:p>
      <w:pPr>
        <w:ind w:left="584" w:right="540" w:hanging="584"/>
        <w:spacing w:after="0" w:line="277" w:lineRule="auto"/>
        <w:tabs>
          <w:tab w:leader="none" w:pos="584"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1144" w:right="540" w:hanging="567"/>
        <w:spacing w:after="0" w:line="277" w:lineRule="auto"/>
        <w:tabs>
          <w:tab w:leader="none" w:pos="1144"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1144" w:right="160" w:hanging="567"/>
        <w:spacing w:after="0" w:line="277" w:lineRule="auto"/>
        <w:tabs>
          <w:tab w:leader="none" w:pos="1144" w:val="left"/>
        </w:tabs>
        <w:numPr>
          <w:ilvl w:val="1"/>
          <w:numId w:val="7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4"/>
        <w:spacing w:after="0"/>
        <w:tabs>
          <w:tab w:leader="none" w:pos="6284" w:val="left"/>
          <w:tab w:leader="none" w:pos="6844" w:val="left"/>
        </w:tabs>
        <w:rPr>
          <w:sz w:val="20"/>
          <w:szCs w:val="20"/>
          <w:color w:val="auto"/>
        </w:rPr>
      </w:pPr>
      <w:r>
        <w:rPr>
          <w:rFonts w:ascii="Arial" w:cs="Arial" w:eastAsia="Arial" w:hAnsi="Arial"/>
          <w:sz w:val="16"/>
          <w:szCs w:val="16"/>
          <w:color w:val="auto"/>
        </w:rPr>
        <w:t>Date:  May 15,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20955</wp:posOffset>
            </wp:positionV>
            <wp:extent cx="696404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6964045" cy="15240"/>
                    </a:xfrm>
                    <a:prstGeom prst="rect">
                      <a:avLst/>
                    </a:prstGeom>
                    <a:noFill/>
                  </pic:spPr>
                </pic:pic>
              </a:graphicData>
            </a:graphic>
          </wp:anchor>
        </w:drawing>
      </w:r>
    </w:p>
    <w:p>
      <w:pPr>
        <w:spacing w:after="0" w:line="24" w:lineRule="exact"/>
        <w:rPr>
          <w:sz w:val="20"/>
          <w:szCs w:val="20"/>
          <w:color w:val="auto"/>
        </w:rPr>
      </w:pPr>
    </w:p>
    <w:p>
      <w:pPr>
        <w:ind w:left="6864"/>
        <w:spacing w:after="0"/>
        <w:rPr>
          <w:sz w:val="20"/>
          <w:szCs w:val="20"/>
          <w:color w:val="auto"/>
        </w:rPr>
      </w:pPr>
      <w:r>
        <w:rPr>
          <w:rFonts w:ascii="Arial" w:cs="Arial" w:eastAsia="Arial" w:hAnsi="Arial"/>
          <w:sz w:val="16"/>
          <w:szCs w:val="16"/>
          <w:color w:val="auto"/>
        </w:rPr>
        <w:t>Christopher S. Guinta</w:t>
      </w:r>
    </w:p>
    <w:p>
      <w:pPr>
        <w:spacing w:after="0" w:line="21" w:lineRule="exact"/>
        <w:rPr>
          <w:sz w:val="20"/>
          <w:szCs w:val="20"/>
          <w:color w:val="auto"/>
        </w:rPr>
      </w:pPr>
    </w:p>
    <w:p>
      <w:pPr>
        <w:ind w:left="6864"/>
        <w:spacing w:after="0"/>
        <w:rPr>
          <w:sz w:val="20"/>
          <w:szCs w:val="20"/>
          <w:color w:val="auto"/>
        </w:rPr>
      </w:pPr>
      <w:r>
        <w:rPr>
          <w:rFonts w:ascii="Arial" w:cs="Arial" w:eastAsia="Arial" w:hAnsi="Arial"/>
          <w:sz w:val="16"/>
          <w:szCs w:val="16"/>
          <w:color w:val="auto"/>
        </w:rPr>
        <w:t>Chief Financial Officer</w:t>
      </w:r>
    </w:p>
    <w:p>
      <w:pPr>
        <w:spacing w:after="0" w:line="8" w:lineRule="exact"/>
        <w:rPr>
          <w:sz w:val="20"/>
          <w:szCs w:val="20"/>
          <w:color w:val="auto"/>
        </w:rPr>
      </w:pPr>
    </w:p>
    <w:p>
      <w:pPr>
        <w:ind w:left="6864"/>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340995</wp:posOffset>
            </wp:positionV>
            <wp:extent cx="726186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sectPr>
      </w:pPr>
    </w:p>
    <w:bookmarkStart w:id="77" w:name="page78"/>
    <w:bookmarkEnd w:id="77"/>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261860"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261860" cy="30480"/>
                    </a:xfrm>
                    <a:prstGeom prst="rect">
                      <a:avLst/>
                    </a:prstGeom>
                    <a:noFill/>
                  </pic:spPr>
                </pic:pic>
              </a:graphicData>
            </a:graphic>
          </wp:anchor>
        </w:drawing>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CHIEF EXECUTIVE OFFICER UNDER SECTION 906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 OXLEY ACT OF 2002, 18 U.S.C. § 1350</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In connection with the Quarterly Report on Form 10-Q of New Fortress Energy LLC (the “Company”),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162" w:lineRule="exact"/>
        <w:rPr>
          <w:sz w:val="20"/>
          <w:szCs w:val="20"/>
          <w:color w:val="auto"/>
        </w:rPr>
      </w:pPr>
    </w:p>
    <w:p>
      <w:pPr>
        <w:ind w:left="1140" w:hanging="567"/>
        <w:spacing w:after="0"/>
        <w:tabs>
          <w:tab w:leader="none" w:pos="11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4" w:lineRule="exact"/>
        <w:rPr>
          <w:rFonts w:ascii="Arial" w:cs="Arial" w:eastAsia="Arial" w:hAnsi="Arial"/>
          <w:sz w:val="16"/>
          <w:szCs w:val="16"/>
          <w:color w:val="auto"/>
        </w:rPr>
      </w:pPr>
    </w:p>
    <w:p>
      <w:pPr>
        <w:ind w:left="1140" w:hanging="567"/>
        <w:spacing w:after="0"/>
        <w:tabs>
          <w:tab w:leader="none" w:pos="11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spacing w:after="0"/>
        <w:tabs>
          <w:tab w:leader="none" w:pos="6280" w:val="left"/>
          <w:tab w:leader="none" w:pos="6840" w:val="left"/>
        </w:tabs>
        <w:rPr>
          <w:sz w:val="20"/>
          <w:szCs w:val="20"/>
          <w:color w:val="auto"/>
        </w:rPr>
      </w:pPr>
      <w:r>
        <w:rPr>
          <w:rFonts w:ascii="Arial" w:cs="Arial" w:eastAsia="Arial" w:hAnsi="Arial"/>
          <w:sz w:val="16"/>
          <w:szCs w:val="16"/>
          <w:color w:val="auto"/>
        </w:rPr>
        <w:t>Date:  May 15,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20955</wp:posOffset>
            </wp:positionV>
            <wp:extent cx="696404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6964045" cy="15240"/>
                    </a:xfrm>
                    <a:prstGeom prst="rect">
                      <a:avLst/>
                    </a:prstGeom>
                    <a:noFill/>
                  </pic:spPr>
                </pic:pic>
              </a:graphicData>
            </a:graphic>
          </wp:anchor>
        </w:drawing>
      </w:r>
    </w:p>
    <w:p>
      <w:pPr>
        <w:spacing w:after="0" w:line="2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Wesley R. Edens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Executive Officer</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726186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259" w:right="21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261860"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7261860" cy="30480"/>
                    </a:xfrm>
                    <a:prstGeom prst="rect">
                      <a:avLst/>
                    </a:prstGeom>
                    <a:noFill/>
                  </pic:spPr>
                </pic:pic>
              </a:graphicData>
            </a:graphic>
          </wp:anchor>
        </w:drawing>
        <w:t>EXHIBIT 32.2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CHIEF FINANCIAL OFFICER UNDER SECTION 906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 OXLEY ACT OF 2002, 18 U.S.C. § 1350</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In connection with Quarterly Report on Form 10-Q of New Fortress Energy LLC (the “Company”),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162" w:lineRule="exact"/>
        <w:rPr>
          <w:sz w:val="20"/>
          <w:szCs w:val="20"/>
          <w:color w:val="auto"/>
        </w:rPr>
      </w:pPr>
    </w:p>
    <w:p>
      <w:pPr>
        <w:ind w:left="1140" w:hanging="567"/>
        <w:spacing w:after="0"/>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4" w:lineRule="exact"/>
        <w:rPr>
          <w:rFonts w:ascii="Arial" w:cs="Arial" w:eastAsia="Arial" w:hAnsi="Arial"/>
          <w:sz w:val="16"/>
          <w:szCs w:val="16"/>
          <w:color w:val="auto"/>
        </w:rPr>
      </w:pPr>
    </w:p>
    <w:p>
      <w:pPr>
        <w:ind w:left="1140" w:hanging="567"/>
        <w:spacing w:after="0"/>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spacing w:after="0"/>
        <w:tabs>
          <w:tab w:leader="none" w:pos="6280" w:val="left"/>
          <w:tab w:leader="none" w:pos="6840" w:val="left"/>
        </w:tabs>
        <w:rPr>
          <w:sz w:val="20"/>
          <w:szCs w:val="20"/>
          <w:color w:val="auto"/>
        </w:rPr>
      </w:pPr>
      <w:r>
        <w:rPr>
          <w:rFonts w:ascii="Arial" w:cs="Arial" w:eastAsia="Arial" w:hAnsi="Arial"/>
          <w:sz w:val="16"/>
          <w:szCs w:val="16"/>
          <w:color w:val="auto"/>
        </w:rPr>
        <w:t>Date:  May 15,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20955</wp:posOffset>
            </wp:positionV>
            <wp:extent cx="696404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6964045" cy="15240"/>
                    </a:xfrm>
                    <a:prstGeom prst="rect">
                      <a:avLst/>
                    </a:prstGeom>
                    <a:noFill/>
                  </pic:spPr>
                </pic:pic>
              </a:graphicData>
            </a:graphic>
          </wp:anchor>
        </w:drawing>
      </w:r>
    </w:p>
    <w:p>
      <w:pPr>
        <w:spacing w:after="0" w:line="2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Christopher S. Guinta</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Financial Officer</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726186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sectPr>
      <w:pgSz w:w="11900" w:h="16838" w:orient="portrait"/>
      <w:cols w:equalWidth="0" w:num="1">
        <w:col w:w="11440"/>
      </w:cols>
      <w:pgMar w:left="240" w:top="26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1."/>
      <w:numFmt w:val="decimal"/>
      <w:start w:val="2"/>
    </w:lvl>
  </w:abstractNum>
  <w:abstractNum w:abstractNumId="6">
    <w:nsid w:val="2D517796"/>
    <w:multiLevelType w:val="hybridMultilevel"/>
    <w:lvl w:ilvl="0">
      <w:lvlJc w:val="left"/>
      <w:lvlText w:val="(%1)"/>
      <w:numFmt w:val="lowerLetter"/>
      <w:start w:val="1"/>
    </w:lvl>
  </w:abstractNum>
  <w:abstractNum w:abstractNumId="7">
    <w:nsid w:val="580BD78F"/>
    <w:multiLevelType w:val="hybridMultilevel"/>
    <w:lvl w:ilvl="0">
      <w:lvlJc w:val="left"/>
      <w:lvlText w:val="(%1)"/>
      <w:numFmt w:val="lowerLetter"/>
      <w:start w:val="2"/>
    </w:lvl>
  </w:abstractNum>
  <w:abstractNum w:abstractNumId="8">
    <w:nsid w:val="153EA438"/>
    <w:multiLevelType w:val="hybridMultilevel"/>
    <w:lvl w:ilvl="0">
      <w:lvlJc w:val="left"/>
      <w:lvlText w:val="(%1)"/>
      <w:numFmt w:val="lowerLetter"/>
      <w:start w:val="3"/>
    </w:lvl>
  </w:abstractNum>
  <w:abstractNum w:abstractNumId="9">
    <w:nsid w:val="3855585C"/>
    <w:multiLevelType w:val="hybridMultilevel"/>
    <w:lvl w:ilvl="0">
      <w:lvlJc w:val="left"/>
      <w:lvlText w:val="(%1)"/>
      <w:numFmt w:val="lowerLetter"/>
      <w:start w:val="4"/>
    </w:lvl>
  </w:abstractNum>
  <w:abstractNum w:abstractNumId="10">
    <w:nsid w:val="70A64E2A"/>
    <w:multiLevelType w:val="hybridMultilevel"/>
    <w:lvl w:ilvl="0">
      <w:lvlJc w:val="left"/>
      <w:lvlText w:val="(%1)"/>
      <w:numFmt w:val="lowerLetter"/>
      <w:start w:val="5"/>
    </w:lvl>
  </w:abstractNum>
  <w:abstractNum w:abstractNumId="11">
    <w:nsid w:val="6A2342EC"/>
    <w:multiLevelType w:val="hybridMultilevel"/>
    <w:lvl w:ilvl="0">
      <w:lvlJc w:val="left"/>
      <w:lvlText w:val="(%1)"/>
      <w:numFmt w:val="lowerLetter"/>
      <w:start w:val="6"/>
    </w:lvl>
  </w:abstractNum>
  <w:abstractNum w:abstractNumId="12">
    <w:nsid w:val="2A487CB0"/>
    <w:multiLevelType w:val="hybridMultilevel"/>
    <w:lvl w:ilvl="0">
      <w:lvlJc w:val="left"/>
      <w:lvlText w:val="(%1)"/>
      <w:numFmt w:val="lowerLetter"/>
      <w:start w:val="7"/>
    </w:lvl>
  </w:abstractNum>
  <w:abstractNum w:abstractNumId="13">
    <w:nsid w:val="1D4ED43B"/>
    <w:multiLevelType w:val="hybridMultilevel"/>
    <w:lvl w:ilvl="0">
      <w:lvlJc w:val="left"/>
      <w:lvlText w:val="(%1)"/>
      <w:numFmt w:val="lowerLetter"/>
      <w:start w:val="8"/>
    </w:lvl>
  </w:abstractNum>
  <w:abstractNum w:abstractNumId="14">
    <w:nsid w:val="725A06FB"/>
    <w:multiLevelType w:val="hybridMultilevel"/>
    <w:lvl w:ilvl="0">
      <w:lvlJc w:val="left"/>
      <w:lvlText w:val="%1."/>
      <w:numFmt w:val="decimal"/>
      <w:start w:val="3"/>
    </w:lvl>
  </w:abstractNum>
  <w:abstractNum w:abstractNumId="15">
    <w:nsid w:val="2CD89A32"/>
    <w:multiLevelType w:val="hybridMultilevel"/>
    <w:lvl w:ilvl="0">
      <w:lvlJc w:val="left"/>
      <w:lvlText w:val="%1)"/>
      <w:numFmt w:val="lowerLetter"/>
      <w:start w:val="1"/>
    </w:lvl>
  </w:abstractNum>
  <w:abstractNum w:abstractNumId="16">
    <w:nsid w:val="57E4CCAF"/>
    <w:multiLevelType w:val="hybridMultilevel"/>
    <w:lvl w:ilvl="0">
      <w:lvlJc w:val="left"/>
      <w:lvlText w:val="%1)"/>
      <w:numFmt w:val="lowerLetter"/>
      <w:start w:val="2"/>
    </w:lvl>
  </w:abstractNum>
  <w:abstractNum w:abstractNumId="17">
    <w:nsid w:val="7A6D8D3C"/>
    <w:multiLevelType w:val="hybridMultilevel"/>
    <w:lvl w:ilvl="0">
      <w:lvlJc w:val="left"/>
      <w:lvlText w:val="%1."/>
      <w:numFmt w:val="decimal"/>
      <w:start w:val="4"/>
    </w:lvl>
  </w:abstractNum>
  <w:abstractNum w:abstractNumId="18">
    <w:nsid w:val="4B588F54"/>
    <w:multiLevelType w:val="hybridMultilevel"/>
    <w:lvl w:ilvl="0">
      <w:lvlJc w:val="left"/>
      <w:lvlText w:val="%1."/>
      <w:numFmt w:val="decimal"/>
      <w:start w:val="5"/>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1."/>
      <w:numFmt w:val="decimal"/>
      <w:start w:val="6"/>
    </w:lvl>
  </w:abstractNum>
  <w:abstractNum w:abstractNumId="23">
    <w:nsid w:val="32FFF902"/>
    <w:multiLevelType w:val="hybridMultilevel"/>
    <w:lvl w:ilvl="0">
      <w:lvlJc w:val="left"/>
      <w:lvlText w:val="%1."/>
      <w:numFmt w:val="decimal"/>
      <w:start w:val="8"/>
    </w:lvl>
  </w:abstractNum>
  <w:abstractNum w:abstractNumId="24">
    <w:nsid w:val="684A481A"/>
    <w:multiLevelType w:val="hybridMultilevel"/>
    <w:lvl w:ilvl="0">
      <w:lvlJc w:val="left"/>
      <w:lvlText w:val="%1."/>
      <w:numFmt w:val="decimal"/>
      <w:start w:val="9"/>
    </w:lvl>
  </w:abstractNum>
  <w:abstractNum w:abstractNumId="25">
    <w:nsid w:val="579478FE"/>
    <w:multiLevelType w:val="hybridMultilevel"/>
    <w:lvl w:ilvl="0">
      <w:lvlJc w:val="left"/>
      <w:lvlText w:val="%1."/>
      <w:numFmt w:val="decimal"/>
      <w:start w:val="11"/>
    </w:lvl>
  </w:abstractNum>
  <w:abstractNum w:abstractNumId="26">
    <w:nsid w:val="749ABB43"/>
    <w:multiLevelType w:val="hybridMultilevel"/>
    <w:lvl w:ilvl="0">
      <w:lvlJc w:val="left"/>
      <w:lvlText w:val="%1."/>
      <w:numFmt w:val="decimal"/>
      <w:start w:val="12"/>
    </w:lvl>
  </w:abstractNum>
  <w:abstractNum w:abstractNumId="27">
    <w:nsid w:val="3DC240FB"/>
    <w:multiLevelType w:val="hybridMultilevel"/>
    <w:lvl w:ilvl="0">
      <w:lvlJc w:val="left"/>
      <w:lvlText w:val="%1."/>
      <w:numFmt w:val="decimal"/>
      <w:start w:val="13"/>
    </w:lvl>
  </w:abstractNum>
  <w:abstractNum w:abstractNumId="28">
    <w:nsid w:val="1BA026FA"/>
    <w:multiLevelType w:val="hybridMultilevel"/>
    <w:lvl w:ilvl="0">
      <w:lvlJc w:val="left"/>
      <w:lvlText w:val="%1."/>
      <w:numFmt w:val="decimal"/>
      <w:start w:val="15"/>
    </w:lvl>
  </w:abstractNum>
  <w:abstractNum w:abstractNumId="29">
    <w:nsid w:val="79A1DEAA"/>
    <w:multiLevelType w:val="hybridMultilevel"/>
    <w:lvl w:ilvl="0">
      <w:lvlJc w:val="left"/>
      <w:lvlText w:val="%1."/>
      <w:numFmt w:val="decimal"/>
      <w:start w:val="17"/>
    </w:lvl>
  </w:abstractNum>
  <w:abstractNum w:abstractNumId="30">
    <w:nsid w:val="75C6C33A"/>
    <w:multiLevelType w:val="hybridMultilevel"/>
    <w:lvl w:ilvl="0">
      <w:lvlJc w:val="left"/>
      <w:lvlText w:val="%1."/>
      <w:numFmt w:val="decimal"/>
      <w:start w:val="18"/>
    </w:lvl>
  </w:abstractNum>
  <w:abstractNum w:abstractNumId="31">
    <w:nsid w:val="12E685FB"/>
    <w:multiLevelType w:val="hybridMultilevel"/>
    <w:lvl w:ilvl="0">
      <w:lvlJc w:val="left"/>
      <w:lvlText w:val="%1"/>
      <w:numFmt w:val="decimal"/>
      <w:start w:val="1"/>
    </w:lvl>
    <w:lvl w:ilvl="1">
      <w:lvlJc w:val="left"/>
      <w:lvlText w:val="(%2)"/>
      <w:numFmt w:val="decimal"/>
      <w:start w:val="1"/>
    </w:lvl>
  </w:abstractNum>
  <w:abstractNum w:abstractNumId="32">
    <w:nsid w:val="70C6A529"/>
    <w:multiLevelType w:val="hybridMultilevel"/>
    <w:lvl w:ilvl="0">
      <w:lvlJc w:val="left"/>
      <w:lvlText w:val="%1."/>
      <w:numFmt w:val="decimal"/>
      <w:start w:val="20"/>
    </w:lvl>
    <w:lvl w:ilvl="1">
      <w:lvlJc w:val="left"/>
      <w:lvlText w:val="%2"/>
      <w:numFmt w:val="decimal"/>
      <w:start w:val="1"/>
    </w:lvl>
  </w:abstractNum>
  <w:abstractNum w:abstractNumId="33">
    <w:nsid w:val="520EEDD1"/>
    <w:multiLevelType w:val="hybridMultilevel"/>
    <w:lvl w:ilvl="0">
      <w:lvlJc w:val="left"/>
      <w:lvlText w:val="%1."/>
      <w:numFmt w:val="decimal"/>
      <w:start w:val="21"/>
    </w:lvl>
  </w:abstractNum>
  <w:abstractNum w:abstractNumId="34">
    <w:nsid w:val="374A3FE6"/>
    <w:multiLevelType w:val="hybridMultilevel"/>
    <w:lvl w:ilvl="0">
      <w:lvlJc w:val="left"/>
      <w:lvlText w:val="%1."/>
      <w:numFmt w:val="decimal"/>
      <w:start w:val="22"/>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1."/>
      <w:numFmt w:val="decimal"/>
      <w:start w:val="2"/>
    </w:lvl>
  </w:abstractNum>
  <w:abstractNum w:abstractNumId="59">
    <w:nsid w:val="4AD084E9"/>
    <w:multiLevelType w:val="hybridMultilevel"/>
    <w:lvl w:ilvl="0">
      <w:lvlJc w:val="left"/>
      <w:lvlText w:val="(%1)"/>
      <w:numFmt w:val="lowerLetter"/>
      <w:start w:val="1"/>
    </w:lvl>
  </w:abstractNum>
  <w:abstractNum w:abstractNumId="60">
    <w:nsid w:val="1F48EAA1"/>
    <w:multiLevelType w:val="hybridMultilevel"/>
    <w:lvl w:ilvl="0">
      <w:lvlJc w:val="left"/>
      <w:lvlText w:val="(%1)"/>
      <w:numFmt w:val="lowerLetter"/>
      <w:start w:val="2"/>
    </w:lvl>
  </w:abstractNum>
  <w:abstractNum w:abstractNumId="61">
    <w:nsid w:val="1381823A"/>
    <w:multiLevelType w:val="hybridMultilevel"/>
    <w:lvl w:ilvl="0">
      <w:lvlJc w:val="left"/>
      <w:lvlText w:val="%1."/>
      <w:numFmt w:val="decimal"/>
      <w:start w:val="4"/>
    </w:lvl>
  </w:abstractNum>
  <w:abstractNum w:abstractNumId="62">
    <w:nsid w:val="5DB70AE5"/>
    <w:multiLevelType w:val="hybridMultilevel"/>
    <w:lvl w:ilvl="0">
      <w:lvlJc w:val="left"/>
      <w:lvlText w:val="(%1)"/>
      <w:numFmt w:val="lowerLetter"/>
      <w:start w:val="1"/>
    </w:lvl>
    <w:lvl w:ilvl="1">
      <w:lvlJc w:val="left"/>
      <w:lvlText w:val="(%2)"/>
      <w:numFmt w:val="lowerRoman"/>
      <w:start w:val="1"/>
    </w:lvl>
  </w:abstractNum>
  <w:abstractNum w:abstractNumId="63">
    <w:nsid w:val="100F8FCA"/>
    <w:multiLevelType w:val="hybridMultilevel"/>
    <w:lvl w:ilvl="0">
      <w:lvlJc w:val="left"/>
      <w:lvlText w:val="%1"/>
      <w:numFmt w:val="upperLetter"/>
      <w:start w:val="1"/>
    </w:lvl>
    <w:lvl w:ilvl="1">
      <w:lvlJc w:val="left"/>
      <w:lvlText w:val="(%2)"/>
      <w:numFmt w:val="lowerLetter"/>
      <w:start w:val="3"/>
    </w:lvl>
  </w:abstractNum>
  <w:abstractNum w:abstractNumId="64">
    <w:nsid w:val="6590700B"/>
    <w:multiLevelType w:val="hybridMultilevel"/>
    <w:lvl w:ilvl="0">
      <w:lvlJc w:val="left"/>
      <w:lvlText w:val="(%1)"/>
      <w:numFmt w:val="upperLetter"/>
      <w:start w:val="2"/>
    </w:lvl>
    <w:lvl w:ilvl="1">
      <w:lvlJc w:val="left"/>
      <w:lvlText w:val="%2"/>
      <w:numFmt w:val="lowerLetter"/>
      <w:start w:val="1"/>
    </w:lvl>
  </w:abstractNum>
  <w:abstractNum w:abstractNumId="65">
    <w:nsid w:val="15014ACB"/>
    <w:multiLevelType w:val="hybridMultilevel"/>
    <w:lvl w:ilvl="0">
      <w:lvlJc w:val="left"/>
      <w:lvlText w:val="%1."/>
      <w:numFmt w:val="decimal"/>
      <w:start w:val="5"/>
    </w:lvl>
  </w:abstractNum>
  <w:abstractNum w:abstractNumId="66">
    <w:nsid w:val="5F5E7FD0"/>
    <w:multiLevelType w:val="hybridMultilevel"/>
    <w:lvl w:ilvl="0">
      <w:lvlJc w:val="left"/>
      <w:lvlText w:val="%1."/>
      <w:numFmt w:val="decimal"/>
      <w:start w:val="8"/>
    </w:lvl>
  </w:abstractNum>
  <w:abstractNum w:abstractNumId="67">
    <w:nsid w:val="98A3148"/>
    <w:multiLevelType w:val="hybridMultilevel"/>
    <w:lvl w:ilvl="0">
      <w:lvlJc w:val="left"/>
      <w:lvlText w:val="%1."/>
      <w:numFmt w:val="decimal"/>
      <w:start w:val="14"/>
    </w:lvl>
  </w:abstractNum>
  <w:abstractNum w:abstractNumId="68">
    <w:nsid w:val="799D0247"/>
    <w:multiLevelType w:val="hybridMultilevel"/>
    <w:lvl w:ilvl="0">
      <w:lvlJc w:val="left"/>
      <w:lvlText w:val="%1."/>
      <w:numFmt w:val="decimal"/>
      <w:start w:val="20"/>
    </w:lvl>
    <w:lvl w:ilvl="1">
      <w:lvlJc w:val="left"/>
      <w:lvlText w:val="*"/>
      <w:numFmt w:val="bullet"/>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81" Type="http://schemas.openxmlformats.org/officeDocument/2006/relationships/hyperlink" Target="http://www.sec.gov/Archives/edgar/data/1749723/000114036118042889/s002392x7_ex3-1.htm" TargetMode="External"/><Relationship Id="rId82" Type="http://schemas.openxmlformats.org/officeDocument/2006/relationships/hyperlink" Target="http://www.sec.gov/Archives/edgar/data/1749723/000114036118042889/s002392x7_ex3-2.htm" TargetMode="External"/><Relationship Id="rId83" Type="http://schemas.openxmlformats.org/officeDocument/2006/relationships/hyperlink" Target="http://www.sec.gov/Archives/edgar/data/1749723/000114036119002493/s002392x20_ex3-1.htm" TargetMode="External"/><Relationship Id="rId84" Type="http://schemas.openxmlformats.org/officeDocument/2006/relationships/hyperlink" Target="http://www.sec.gov/Archives/edgar/data/1749723/000114036119002493/s002392x20_ex10-1.htm" TargetMode="External"/><Relationship Id="rId85" Type="http://schemas.openxmlformats.org/officeDocument/2006/relationships/hyperlink" Target="http://www.sec.gov/Archives/edgar/data/1749723/000114036119002493/s002392x20_ex10-2.htm" TargetMode="External"/><Relationship Id="rId86" Type="http://schemas.openxmlformats.org/officeDocument/2006/relationships/hyperlink" Target="http://www.sec.gov/Archives/edgar/data/1749723/000114036119002438/s002392x19_ex4-4.htm" TargetMode="External"/><Relationship Id="rId87" Type="http://schemas.openxmlformats.org/officeDocument/2006/relationships/hyperlink" Target="http://www.sec.gov/Archives/edgar/data/1749723/000114036118045661/s002392x8_ex10-4.htm" TargetMode="External"/><Relationship Id="rId88" Type="http://schemas.openxmlformats.org/officeDocument/2006/relationships/hyperlink" Target="http://www.sec.gov/Archives/edgar/data/1749723/000114036119002493/s002392x20_ex4-1.htm" TargetMode="External"/><Relationship Id="rId89" Type="http://schemas.openxmlformats.org/officeDocument/2006/relationships/hyperlink" Target="http://www.sec.gov/Archives/edgar/data/1749723/000114036119002493/s002392x20_ex10-3.htm" TargetMode="External"/><Relationship Id="rId90" Type="http://schemas.openxmlformats.org/officeDocument/2006/relationships/hyperlink" Target="http://www.sec.gov/Archives/edgar/data/1749723/000114036119002493/s002392x20_ex10-4.htm" TargetMode="External"/><Relationship Id="rId91" Type="http://schemas.openxmlformats.org/officeDocument/2006/relationships/hyperlink" Target="http://www.sec.gov/Archives/edgar/data/1749723/000114036119002493/s002392x20_ex10-5.htm" TargetMode="External"/><Relationship Id="rId92" Type="http://schemas.openxmlformats.org/officeDocument/2006/relationships/hyperlink" Target="http://www.sec.gov/Archives/edgar/data/1749723/000114036119002493/s002392x20_ex10-6.htm" TargetMode="External"/><Relationship Id="rId93" Type="http://schemas.openxmlformats.org/officeDocument/2006/relationships/hyperlink" Target="http://www.sec.gov/Archives/edgar/data/1749723/000114036119002493/s002392x20_ex10-7.htm" TargetMode="External"/><Relationship Id="rId94" Type="http://schemas.openxmlformats.org/officeDocument/2006/relationships/hyperlink" Target="http://www.sec.gov/Archives/edgar/data/1749723/000114036119002493/s002392x20_ex10-8.htm" TargetMode="External"/><Relationship Id="rId95" Type="http://schemas.openxmlformats.org/officeDocument/2006/relationships/hyperlink" Target="http://www.sec.gov/Archives/edgar/data/1749723/000114036119002493/s002392x20_ex10-9.htm" TargetMode="External"/><Relationship Id="rId96" Type="http://schemas.openxmlformats.org/officeDocument/2006/relationships/hyperlink" Target="http://www.sec.gov/Archives/edgar/data/1749723/000114036119002493/s002392x20_ex10-10.htm" TargetMode="External"/><Relationship Id="rId97" Type="http://schemas.openxmlformats.org/officeDocument/2006/relationships/hyperlink" Target="http://www.sec.gov/Archives/edgar/data/1749723/000114036119002493/s002392x20_ex10-11.htm" TargetMode="External"/><Relationship Id="rId98" Type="http://schemas.openxmlformats.org/officeDocument/2006/relationships/hyperlink" Target="http://www.sec.gov/Archives/edgar/data/1749723/000114036119002493/s002392x20_ex10-12.htm" TargetMode="External"/><Relationship Id="rId99" Type="http://schemas.openxmlformats.org/officeDocument/2006/relationships/hyperlink" Target="http://www.sec.gov/Archives/edgar/data/1749723/000114036119002493/s002392x20_ex10-13.htm" TargetMode="External"/><Relationship Id="rId100" Type="http://schemas.openxmlformats.org/officeDocument/2006/relationships/hyperlink" Target="http://www.sec.gov/Archives/edgar/data/1749723/000114036119005657/s002752x1_ex10-25.htm" TargetMode="External"/><Relationship Id="rId101" Type="http://schemas.openxmlformats.org/officeDocument/2006/relationships/hyperlink" Target="http://www.sec.gov/Archives/edgar/data/1749723/000114036119005657/s002752x1_ex10-26.htm" TargetMode="External"/><Relationship Id="rId102" Type="http://schemas.openxmlformats.org/officeDocument/2006/relationships/hyperlink" Target="http://www.sec.gov/Archives/edgar/data/1749723/000114036119001592/s002392x11_ex10-17.htm" TargetMode="External"/><Relationship Id="rId103" Type="http://schemas.openxmlformats.org/officeDocument/2006/relationships/hyperlink" Target="http://www.sec.gov/Archives/edgar/data/1749723/000114036119005657/s002752x1_ex10-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2019-12-28T12:09:22Z</dcterms:created>
  <dcterms:modified xsi:type="dcterms:W3CDTF">2019-12-28T12:09:22Z</dcterms:modified>
</cp:coreProperties>
</file>