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7527" w:right="400" w:hanging="6328"/>
        <w:spacing w:after="0" w:line="347" w:lineRule="auto"/>
        <w:rPr>
          <w:sz w:val="20"/>
          <w:szCs w:val="20"/>
          <w:color w:val="auto"/>
        </w:rPr>
      </w:pPr>
      <w:r>
        <w:rPr>
          <w:rFonts w:ascii="Arial" w:cs="Arial" w:eastAsia="Arial" w:hAnsi="Arial"/>
          <w:sz w:val="16"/>
          <w:szCs w:val="16"/>
          <w:b w:val="1"/>
          <w:bCs w:val="1"/>
          <w:color w:val="auto"/>
        </w:rPr>
        <w:t>As confidentially submitted to the Securities and Exchange Commission on November 5,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69"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UNITED STATES</w:t>
      </w:r>
    </w:p>
    <w:p>
      <w:pPr>
        <w:jc w:val="center"/>
        <w:ind w:right="-6"/>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133350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47"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Confidential Draft Submission No. 3</w:t>
      </w:r>
    </w:p>
    <w:p>
      <w:pPr>
        <w:jc w:val="center"/>
        <w:ind w:right="-6"/>
        <w:spacing w:after="0" w:line="232" w:lineRule="auto"/>
        <w:rPr>
          <w:sz w:val="20"/>
          <w:szCs w:val="20"/>
          <w:color w:val="auto"/>
        </w:rPr>
      </w:pPr>
      <w:r>
        <w:rPr>
          <w:rFonts w:ascii="Arial" w:cs="Arial" w:eastAsia="Arial" w:hAnsi="Arial"/>
          <w:sz w:val="22"/>
          <w:szCs w:val="22"/>
          <w:b w:val="1"/>
          <w:bCs w:val="1"/>
          <w:color w:val="auto"/>
        </w:rPr>
        <w:t>FORM S-1</w:t>
      </w:r>
    </w:p>
    <w:p>
      <w:pPr>
        <w:jc w:val="center"/>
        <w:ind w:right="-6"/>
        <w:spacing w:after="0" w:line="219" w:lineRule="auto"/>
        <w:rPr>
          <w:sz w:val="20"/>
          <w:szCs w:val="20"/>
          <w:color w:val="auto"/>
        </w:rPr>
      </w:pPr>
      <w:r>
        <w:rPr>
          <w:rFonts w:ascii="Arial" w:cs="Arial" w:eastAsia="Arial" w:hAnsi="Arial"/>
          <w:sz w:val="18"/>
          <w:szCs w:val="18"/>
          <w:b w:val="1"/>
          <w:bCs w:val="1"/>
          <w:color w:val="auto"/>
        </w:rPr>
        <w:t>REGISTRATION STATEMENT 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125095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7"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NFE Financial Holdings LLC</w:t>
      </w:r>
    </w:p>
    <w:p>
      <w:pPr>
        <w:jc w:val="center"/>
        <w:ind w:right="-6"/>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567"/>
          </w:cols>
          <w:pgMar w:left="1173" w:top="238" w:right="1159" w:bottom="1440" w:gutter="0" w:footer="0" w:header="0"/>
        </w:sectPr>
      </w:pPr>
    </w:p>
    <w:p>
      <w:pPr>
        <w:spacing w:after="0" w:line="66" w:lineRule="exact"/>
        <w:rPr>
          <w:sz w:val="24"/>
          <w:szCs w:val="24"/>
          <w:color w:val="auto"/>
        </w:rPr>
      </w:pPr>
    </w:p>
    <w:p>
      <w:pPr>
        <w:ind w:left="1187"/>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4924</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83-1482060</w:t>
      </w:r>
    </w:p>
    <w:p>
      <w:pPr>
        <w:spacing w:after="0" w:line="44" w:lineRule="exact"/>
        <w:rPr>
          <w:sz w:val="24"/>
          <w:szCs w:val="24"/>
          <w:color w:val="auto"/>
        </w:rPr>
      </w:pPr>
    </w:p>
    <w:p>
      <w:pPr>
        <w:sectPr>
          <w:pgSz w:w="11900" w:h="16838" w:orient="portrait"/>
          <w:cols w:equalWidth="0" w:num="3">
            <w:col w:w="3827" w:space="720"/>
            <w:col w:w="2380" w:space="720"/>
            <w:col w:w="1920"/>
          </w:cols>
          <w:pgMar w:left="1173" w:top="238" w:right="1159" w:bottom="1440" w:gutter="0" w:footer="0" w:header="0"/>
          <w:type w:val="continuous"/>
        </w:sectPr>
      </w:pPr>
    </w:p>
    <w:p>
      <w:pPr>
        <w:ind w:left="627"/>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3" w:lineRule="exact"/>
        <w:rPr>
          <w:sz w:val="24"/>
          <w:szCs w:val="24"/>
          <w:color w:val="auto"/>
        </w:rPr>
      </w:pPr>
    </w:p>
    <w:p>
      <w:pPr>
        <w:sectPr>
          <w:pgSz w:w="11900" w:h="16838" w:orient="portrait"/>
          <w:cols w:equalWidth="0" w:num="3">
            <w:col w:w="3147" w:space="720"/>
            <w:col w:w="2980" w:space="720"/>
            <w:col w:w="2000"/>
          </w:cols>
          <w:pgMar w:left="1173" w:top="238" w:right="1159" w:bottom="1440" w:gutter="0" w:footer="0" w:header="0"/>
          <w:type w:val="continuous"/>
        </w:sectPr>
      </w:pPr>
    </w:p>
    <w:p>
      <w:pPr>
        <w:ind w:left="667"/>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Number)</w:t>
      </w:r>
    </w:p>
    <w:p>
      <w:pPr>
        <w:spacing w:after="0" w:line="39" w:lineRule="exact"/>
        <w:rPr>
          <w:sz w:val="24"/>
          <w:szCs w:val="24"/>
          <w:color w:val="auto"/>
        </w:rPr>
      </w:pPr>
    </w:p>
    <w:p>
      <w:pPr>
        <w:sectPr>
          <w:pgSz w:w="11900" w:h="16838" w:orient="portrait"/>
          <w:cols w:equalWidth="0" w:num="3">
            <w:col w:w="3127" w:space="720"/>
            <w:col w:w="2760" w:space="720"/>
            <w:col w:w="2240"/>
          </w:cols>
          <w:pgMar w:left="1173" w:top="238" w:right="1159" w:bottom="1440" w:gutter="0" w:footer="0" w:header="0"/>
          <w:type w:val="continuous"/>
        </w:sectPr>
      </w:pPr>
    </w:p>
    <w:p>
      <w:pPr>
        <w:jc w:val="center"/>
        <w:ind w:right="-6"/>
        <w:spacing w:after="0"/>
        <w:rPr>
          <w:sz w:val="20"/>
          <w:szCs w:val="20"/>
          <w:color w:val="auto"/>
        </w:rPr>
      </w:pPr>
      <w:r>
        <w:rPr>
          <w:rFonts w:ascii="Arial" w:cs="Arial" w:eastAsia="Arial" w:hAnsi="Arial"/>
          <w:sz w:val="14"/>
          <w:szCs w:val="14"/>
          <w:b w:val="1"/>
          <w:bCs w:val="1"/>
          <w:color w:val="auto"/>
        </w:rPr>
        <w:t>111 W. 19</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Street, 8</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Floor</w:t>
      </w:r>
    </w:p>
    <w:p>
      <w:pPr>
        <w:jc w:val="center"/>
        <w:ind w:right="-6"/>
        <w:spacing w:after="0" w:line="211"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2" w:lineRule="auto"/>
        <w:rPr>
          <w:sz w:val="20"/>
          <w:szCs w:val="20"/>
          <w:color w:val="auto"/>
        </w:rPr>
      </w:pPr>
      <w:r>
        <w:rPr>
          <w:rFonts w:ascii="Arial" w:cs="Arial" w:eastAsia="Arial" w:hAnsi="Arial"/>
          <w:sz w:val="14"/>
          <w:szCs w:val="14"/>
          <w:b w:val="1"/>
          <w:bCs w:val="1"/>
          <w:color w:val="auto"/>
        </w:rPr>
        <w:t>(516) 268-7400</w:t>
      </w:r>
    </w:p>
    <w:p>
      <w:pPr>
        <w:jc w:val="center"/>
        <w:ind w:right="-6"/>
        <w:spacing w:after="0" w:line="201" w:lineRule="auto"/>
        <w:rPr>
          <w:sz w:val="20"/>
          <w:szCs w:val="20"/>
          <w:color w:val="auto"/>
        </w:rPr>
      </w:pPr>
      <w:r>
        <w:rPr>
          <w:rFonts w:ascii="Arial" w:cs="Arial" w:eastAsia="Arial" w:hAnsi="Arial"/>
          <w:sz w:val="14"/>
          <w:szCs w:val="14"/>
          <w:color w:val="auto"/>
        </w:rPr>
        <w:t>(Address, Including Zip Code, and Telephone Number,</w:t>
      </w:r>
    </w:p>
    <w:p>
      <w:pPr>
        <w:jc w:val="center"/>
        <w:ind w:right="-6"/>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24"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Cameron D. MacDougall, Esq.</w:t>
      </w:r>
    </w:p>
    <w:p>
      <w:pPr>
        <w:sectPr>
          <w:pgSz w:w="11900" w:h="16838" w:orient="portrait"/>
          <w:cols w:equalWidth="0" w:num="1">
            <w:col w:w="9567"/>
          </w:cols>
          <w:pgMar w:left="1173" w:top="238" w:right="1159" w:bottom="1440" w:gutter="0" w:footer="0" w:header="0"/>
          <w:type w:val="continuous"/>
        </w:sectPr>
      </w:pPr>
    </w:p>
    <w:p>
      <w:pPr>
        <w:jc w:val="center"/>
        <w:ind w:right="-6"/>
        <w:spacing w:after="0" w:line="180" w:lineRule="auto"/>
        <w:rPr>
          <w:sz w:val="20"/>
          <w:szCs w:val="20"/>
          <w:color w:val="auto"/>
        </w:rPr>
      </w:pPr>
      <w:r>
        <w:rPr>
          <w:rFonts w:ascii="Arial" w:cs="Arial" w:eastAsia="Arial" w:hAnsi="Arial"/>
          <w:sz w:val="10"/>
          <w:szCs w:val="10"/>
          <w:b w:val="1"/>
          <w:bCs w:val="1"/>
          <w:color w:val="auto"/>
        </w:rPr>
        <w:t>111 W. 19</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Street, 8</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Floor</w:t>
      </w:r>
    </w:p>
    <w:p>
      <w:pPr>
        <w:jc w:val="center"/>
        <w:ind w:right="-6"/>
        <w:spacing w:after="0" w:line="202"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1" w:lineRule="auto"/>
        <w:rPr>
          <w:sz w:val="20"/>
          <w:szCs w:val="20"/>
          <w:color w:val="auto"/>
        </w:rPr>
      </w:pPr>
      <w:r>
        <w:rPr>
          <w:rFonts w:ascii="Arial" w:cs="Arial" w:eastAsia="Arial" w:hAnsi="Arial"/>
          <w:sz w:val="14"/>
          <w:szCs w:val="14"/>
          <w:b w:val="1"/>
          <w:bCs w:val="1"/>
          <w:color w:val="auto"/>
        </w:rPr>
        <w:t>(516) 268-7400</w:t>
      </w:r>
    </w:p>
    <w:p>
      <w:pPr>
        <w:jc w:val="center"/>
        <w:ind w:right="-6"/>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4"/>
          <w:szCs w:val="24"/>
          <w:color w:val="auto"/>
        </w:rPr>
      </w:pPr>
    </w:p>
    <w:tbl>
      <w:tblPr>
        <w:tblLayout w:type="fixed"/>
        <w:tblInd w:w="1547"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4440" w:type="dxa"/>
            <w:vAlign w:val="bottom"/>
          </w:tcPr>
          <w:p>
            <w:pPr>
              <w:ind w:left="720"/>
              <w:spacing w:after="0"/>
              <w:rPr>
                <w:sz w:val="20"/>
                <w:szCs w:val="20"/>
                <w:color w:val="auto"/>
              </w:rPr>
            </w:pPr>
            <w:r>
              <w:rPr>
                <w:rFonts w:ascii="Arial" w:cs="Arial" w:eastAsia="Arial" w:hAnsi="Arial"/>
                <w:sz w:val="14"/>
                <w:szCs w:val="14"/>
                <w:b w:val="1"/>
                <w:bCs w:val="1"/>
                <w:color w:val="auto"/>
              </w:rPr>
              <w:t>Copies to:</w:t>
            </w:r>
          </w:p>
        </w:tc>
      </w:tr>
      <w:tr>
        <w:trPr>
          <w:trHeight w:val="205"/>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David P. Oelman</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5"/>
              </w:rPr>
              <w:t>Michael J. Schwartz</w:t>
            </w:r>
          </w:p>
        </w:tc>
      </w:tr>
      <w:tr>
        <w:trPr>
          <w:trHeight w:val="162"/>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4"/>
              </w:rPr>
              <w:t>E. Ramey Layne</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5"/>
              </w:rPr>
              <w:t>Michael J. Zeidel</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James R. Brown</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2"/>
              </w:rPr>
              <w:t>Skadden, Arps, Slate, Meagher</w:t>
            </w:r>
          </w:p>
        </w:tc>
      </w:tr>
      <w:tr>
        <w:trPr>
          <w:trHeight w:val="162"/>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6"/>
              </w:rPr>
              <w:t>Vinson &amp; Elkins L.L.P.</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rPr>
              <w:t>&amp; Flom LLP</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1001 Fannin, Suite 2500</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3"/>
              </w:rPr>
              <w:t>Four Times Square</w:t>
            </w:r>
          </w:p>
        </w:tc>
      </w:tr>
      <w:tr>
        <w:trPr>
          <w:trHeight w:val="162"/>
        </w:trPr>
        <w:tc>
          <w:tcPr>
            <w:tcW w:w="2200" w:type="dxa"/>
            <w:vAlign w:val="bottom"/>
          </w:tcPr>
          <w:p>
            <w:pPr>
              <w:jc w:val="center"/>
              <w:ind w:right="648"/>
              <w:spacing w:after="0"/>
              <w:rPr>
                <w:sz w:val="20"/>
                <w:szCs w:val="20"/>
                <w:color w:val="auto"/>
              </w:rPr>
            </w:pPr>
            <w:r>
              <w:rPr>
                <w:rFonts w:ascii="Arial" w:cs="Arial" w:eastAsia="Arial" w:hAnsi="Arial"/>
                <w:sz w:val="14"/>
                <w:szCs w:val="14"/>
                <w:b w:val="1"/>
                <w:bCs w:val="1"/>
                <w:color w:val="auto"/>
                <w:w w:val="89"/>
              </w:rPr>
              <w:t>Houston, Texas 77002</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4"/>
              </w:rPr>
              <w:t>New York, New York 10036-6522</w:t>
            </w:r>
          </w:p>
        </w:tc>
      </w:tr>
      <w:tr>
        <w:trPr>
          <w:trHeight w:val="186"/>
        </w:trPr>
        <w:tc>
          <w:tcPr>
            <w:tcW w:w="2200" w:type="dxa"/>
            <w:vAlign w:val="bottom"/>
          </w:tcPr>
          <w:p>
            <w:pPr>
              <w:jc w:val="center"/>
              <w:ind w:right="628"/>
              <w:spacing w:after="0"/>
              <w:rPr>
                <w:sz w:val="20"/>
                <w:szCs w:val="20"/>
                <w:color w:val="auto"/>
              </w:rPr>
            </w:pPr>
            <w:r>
              <w:rPr>
                <w:rFonts w:ascii="Arial" w:cs="Arial" w:eastAsia="Arial" w:hAnsi="Arial"/>
                <w:sz w:val="14"/>
                <w:szCs w:val="14"/>
                <w:b w:val="1"/>
                <w:bCs w:val="1"/>
                <w:color w:val="auto"/>
                <w:w w:val="93"/>
              </w:rPr>
              <w:t>(713) 758-2222</w:t>
            </w:r>
          </w:p>
        </w:tc>
        <w:tc>
          <w:tcPr>
            <w:tcW w:w="4440" w:type="dxa"/>
            <w:vAlign w:val="bottom"/>
          </w:tcPr>
          <w:p>
            <w:pPr>
              <w:jc w:val="center"/>
              <w:ind w:left="2348"/>
              <w:spacing w:after="0"/>
              <w:rPr>
                <w:sz w:val="20"/>
                <w:szCs w:val="20"/>
                <w:color w:val="auto"/>
              </w:rPr>
            </w:pPr>
            <w:r>
              <w:rPr>
                <w:rFonts w:ascii="Arial" w:cs="Arial" w:eastAsia="Arial" w:hAnsi="Arial"/>
                <w:sz w:val="14"/>
                <w:szCs w:val="14"/>
                <w:b w:val="1"/>
                <w:bCs w:val="1"/>
                <w:color w:val="auto"/>
                <w:w w:val="93"/>
              </w:rPr>
              <w:t>(212)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102235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83"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p>
    <w:p>
      <w:pPr>
        <w:jc w:val="center"/>
        <w:ind w:right="-6"/>
        <w:spacing w:after="0"/>
        <w:rPr>
          <w:sz w:val="20"/>
          <w:szCs w:val="20"/>
          <w:color w:val="auto"/>
        </w:rPr>
      </w:pPr>
      <w:r>
        <w:rPr>
          <w:rFonts w:ascii="Arial" w:cs="Arial" w:eastAsia="Arial" w:hAnsi="Arial"/>
          <w:sz w:val="14"/>
          <w:szCs w:val="14"/>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0"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48" w:lineRule="exact"/>
        <w:rPr>
          <w:sz w:val="24"/>
          <w:szCs w:val="24"/>
          <w:color w:val="auto"/>
        </w:rPr>
      </w:pPr>
    </w:p>
    <w:p>
      <w:pPr>
        <w:ind w:left="7" w:right="440" w:firstLine="360"/>
        <w:spacing w:after="0" w:line="236"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5" w:lineRule="exact"/>
        <w:rPr>
          <w:sz w:val="24"/>
          <w:szCs w:val="24"/>
          <w:color w:val="auto"/>
        </w:rPr>
      </w:pPr>
    </w:p>
    <w:p>
      <w:pPr>
        <w:ind w:left="7" w:right="26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64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20" w:firstLine="36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7"/>
        <w:spacing w:after="0" w:line="161" w:lineRule="exact"/>
        <w:tabs>
          <w:tab w:leader="none" w:pos="1906" w:val="left"/>
          <w:tab w:leader="none" w:pos="3506" w:val="left"/>
          <w:tab w:leader="none" w:pos="5406" w:val="left"/>
          <w:tab w:leader="none" w:pos="7686"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9"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transaction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162560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19" w:lineRule="exact"/>
        <w:rPr>
          <w:sz w:val="24"/>
          <w:szCs w:val="24"/>
          <w:color w:val="auto"/>
        </w:rPr>
      </w:pPr>
    </w:p>
    <w:tbl>
      <w:tblPr>
        <w:tblLayout w:type="fixed"/>
        <w:tblInd w:w="7" w:type="dxa"/>
        <w:tblCellMar>
          <w:top w:w="0" w:type="dxa"/>
          <w:left w:w="0" w:type="dxa"/>
          <w:bottom w:w="0" w:type="dxa"/>
          <w:right w:w="0" w:type="dxa"/>
        </w:tblCellMar>
      </w:tblPr>
      <w:tr>
        <w:trPr>
          <w:trHeight w:val="160"/>
        </w:trPr>
        <w:tc>
          <w:tcPr>
            <w:tcW w:w="960" w:type="dxa"/>
            <w:vAlign w:val="bottom"/>
            <w:tcBorders>
              <w:top w:val="single" w:sz="8" w:color="auto"/>
            </w:tcBorders>
          </w:tcPr>
          <w:p>
            <w:pPr>
              <w:spacing w:after="0"/>
              <w:rPr>
                <w:sz w:val="13"/>
                <w:szCs w:val="13"/>
                <w:color w:val="auto"/>
              </w:rPr>
            </w:pPr>
          </w:p>
        </w:tc>
        <w:tc>
          <w:tcPr>
            <w:tcW w:w="4980" w:type="dxa"/>
            <w:vAlign w:val="bottom"/>
            <w:tcBorders>
              <w:top w:val="single" w:sz="8" w:color="auto"/>
              <w:right w:val="single" w:sz="8" w:color="auto"/>
            </w:tcBorders>
          </w:tcPr>
          <w:p>
            <w:pPr>
              <w:spacing w:after="0"/>
              <w:rPr>
                <w:sz w:val="13"/>
                <w:szCs w:val="13"/>
                <w:color w:val="auto"/>
              </w:rPr>
            </w:pPr>
          </w:p>
        </w:tc>
        <w:tc>
          <w:tcPr>
            <w:tcW w:w="1840" w:type="dxa"/>
            <w:vAlign w:val="bottom"/>
            <w:tcBorders>
              <w:top w:val="single" w:sz="8" w:color="auto"/>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Proposed Maximum</w:t>
            </w:r>
          </w:p>
        </w:tc>
        <w:tc>
          <w:tcPr>
            <w:tcW w:w="1780" w:type="dxa"/>
            <w:vAlign w:val="bottom"/>
            <w:tcBorders>
              <w:top w:val="single" w:sz="8" w:color="auto"/>
            </w:tcBorders>
          </w:tcPr>
          <w:p>
            <w:pPr>
              <w:spacing w:after="0"/>
              <w:rPr>
                <w:sz w:val="13"/>
                <w:szCs w:val="13"/>
                <w:color w:val="auto"/>
              </w:rPr>
            </w:pPr>
          </w:p>
        </w:tc>
      </w:tr>
      <w:tr>
        <w:trPr>
          <w:trHeight w:val="158"/>
        </w:trPr>
        <w:tc>
          <w:tcPr>
            <w:tcW w:w="960" w:type="dxa"/>
            <w:vAlign w:val="bottom"/>
          </w:tcPr>
          <w:p>
            <w:pPr>
              <w:spacing w:after="0"/>
              <w:rPr>
                <w:sz w:val="13"/>
                <w:szCs w:val="13"/>
                <w:color w:val="auto"/>
              </w:rPr>
            </w:pPr>
          </w:p>
        </w:tc>
        <w:tc>
          <w:tcPr>
            <w:tcW w:w="498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4"/>
              </w:rPr>
              <w:t>Aggregate Offering</w:t>
            </w:r>
          </w:p>
        </w:tc>
        <w:tc>
          <w:tcPr>
            <w:tcW w:w="1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Amount of</w:t>
            </w:r>
          </w:p>
        </w:tc>
      </w:tr>
      <w:tr>
        <w:trPr>
          <w:trHeight w:val="216"/>
        </w:trPr>
        <w:tc>
          <w:tcPr>
            <w:tcW w:w="960" w:type="dxa"/>
            <w:vAlign w:val="bottom"/>
            <w:tcBorders>
              <w:bottom w:val="single" w:sz="8" w:color="auto"/>
            </w:tcBorders>
          </w:tcPr>
          <w:p>
            <w:pPr>
              <w:spacing w:after="0"/>
              <w:rPr>
                <w:sz w:val="18"/>
                <w:szCs w:val="18"/>
                <w:color w:val="auto"/>
              </w:rPr>
            </w:pPr>
          </w:p>
        </w:tc>
        <w:tc>
          <w:tcPr>
            <w:tcW w:w="49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4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4"/>
                <w:szCs w:val="24"/>
                <w:b w:val="1"/>
                <w:bCs w:val="1"/>
                <w:color w:val="auto"/>
                <w:w w:val="90"/>
                <w:vertAlign w:val="subscript"/>
              </w:rPr>
              <w:t>Price</w:t>
            </w:r>
            <w:r>
              <w:rPr>
                <w:rFonts w:ascii="Arial" w:cs="Arial" w:eastAsia="Arial" w:hAnsi="Arial"/>
                <w:sz w:val="11"/>
                <w:szCs w:val="11"/>
                <w:b w:val="1"/>
                <w:bCs w:val="1"/>
                <w:color w:val="auto"/>
                <w:w w:val="90"/>
              </w:rPr>
              <w:t>(1)(2)</w:t>
            </w:r>
          </w:p>
        </w:tc>
        <w:tc>
          <w:tcPr>
            <w:tcW w:w="17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9"/>
              </w:rPr>
              <w:t>Registration Fee</w:t>
            </w:r>
            <w:r>
              <w:rPr>
                <w:rFonts w:ascii="Arial" w:cs="Arial" w:eastAsia="Arial" w:hAnsi="Arial"/>
                <w:sz w:val="24"/>
                <w:szCs w:val="24"/>
                <w:b w:val="1"/>
                <w:bCs w:val="1"/>
                <w:color w:val="auto"/>
                <w:w w:val="89"/>
                <w:vertAlign w:val="superscript"/>
              </w:rPr>
              <w:t>(3)</w:t>
            </w:r>
          </w:p>
        </w:tc>
      </w:tr>
      <w:tr>
        <w:trPr>
          <w:trHeight w:val="183"/>
        </w:trPr>
        <w:tc>
          <w:tcPr>
            <w:tcW w:w="5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liability company interests</w:t>
            </w:r>
          </w:p>
        </w:tc>
        <w:tc>
          <w:tcPr>
            <w:tcW w:w="1840" w:type="dxa"/>
            <w:vAlign w:val="bottom"/>
            <w:tcBorders>
              <w:bottom w:val="single" w:sz="8" w:color="auto"/>
              <w:right w:val="single" w:sz="8" w:color="auto"/>
            </w:tcBorders>
          </w:tcPr>
          <w:p>
            <w:pPr>
              <w:jc w:val="right"/>
              <w:ind w:right="1592"/>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548"/>
              <w:spacing w:after="0"/>
              <w:rPr>
                <w:sz w:val="20"/>
                <w:szCs w:val="20"/>
                <w:color w:val="auto"/>
              </w:rPr>
            </w:pPr>
            <w:r>
              <w:rPr>
                <w:rFonts w:ascii="Arial" w:cs="Arial" w:eastAsia="Arial" w:hAnsi="Arial"/>
                <w:sz w:val="14"/>
                <w:szCs w:val="14"/>
                <w:color w:val="auto"/>
              </w:rPr>
              <w:t>$</w:t>
            </w:r>
          </w:p>
        </w:tc>
      </w:tr>
      <w:tr>
        <w:trPr>
          <w:trHeight w:val="61"/>
        </w:trPr>
        <w:tc>
          <w:tcPr>
            <w:tcW w:w="960" w:type="dxa"/>
            <w:vAlign w:val="bottom"/>
            <w:tcBorders>
              <w:bottom w:val="single" w:sz="8" w:color="auto"/>
            </w:tcBorders>
          </w:tcPr>
          <w:p>
            <w:pPr>
              <w:spacing w:after="0"/>
              <w:rPr>
                <w:sz w:val="5"/>
                <w:szCs w:val="5"/>
                <w:color w:val="auto"/>
              </w:rPr>
            </w:pPr>
          </w:p>
        </w:tc>
        <w:tc>
          <w:tcPr>
            <w:tcW w:w="6820" w:type="dxa"/>
            <w:vAlign w:val="bottom"/>
            <w:tcBorders>
              <w:bottom w:val="single" w:sz="8" w:color="auto"/>
            </w:tcBorders>
            <w:gridSpan w:val="2"/>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r>
        <w:trPr>
          <w:trHeight w:val="333"/>
        </w:trPr>
        <w:tc>
          <w:tcPr>
            <w:tcW w:w="960" w:type="dxa"/>
            <w:vAlign w:val="bottom"/>
          </w:tcPr>
          <w:p>
            <w:pPr>
              <w:spacing w:after="0"/>
              <w:rPr>
                <w:sz w:val="20"/>
                <w:szCs w:val="20"/>
                <w:color w:val="auto"/>
              </w:rPr>
            </w:pPr>
            <w:r>
              <w:rPr>
                <w:rFonts w:ascii="Arial" w:cs="Arial" w:eastAsia="Arial" w:hAnsi="Arial"/>
                <w:sz w:val="14"/>
                <w:szCs w:val="14"/>
                <w:color w:val="auto"/>
              </w:rPr>
              <w:t>(1)   Includes</w:t>
            </w:r>
          </w:p>
        </w:tc>
        <w:tc>
          <w:tcPr>
            <w:tcW w:w="6820" w:type="dxa"/>
            <w:vAlign w:val="bottom"/>
            <w:gridSpan w:val="2"/>
          </w:tcPr>
          <w:p>
            <w:pPr>
              <w:jc w:val="right"/>
              <w:ind w:right="632"/>
              <w:spacing w:after="0"/>
              <w:rPr>
                <w:sz w:val="20"/>
                <w:szCs w:val="20"/>
                <w:color w:val="auto"/>
              </w:rPr>
            </w:pPr>
            <w:r>
              <w:rPr>
                <w:rFonts w:ascii="Arial" w:cs="Arial" w:eastAsia="Arial" w:hAnsi="Arial"/>
                <w:sz w:val="14"/>
                <w:szCs w:val="14"/>
                <w:color w:val="auto"/>
                <w:w w:val="94"/>
              </w:rPr>
              <w:t>Class A shares issuable upon exercise of the underwriters’ option to purchase additional Class A shares.</w:t>
            </w: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106680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1" w:lineRule="exact"/>
        <w:rPr>
          <w:sz w:val="24"/>
          <w:szCs w:val="24"/>
          <w:color w:val="auto"/>
        </w:rPr>
      </w:pPr>
    </w:p>
    <w:p>
      <w:pPr>
        <w:ind w:left="7" w:right="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162560</wp:posOffset>
            </wp:positionV>
            <wp:extent cx="60718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471805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left="7" w:right="20"/>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becomes effective. This preliminary prospectus is not an offer to sell these securities and we are not soliciting an offer to buy these securities in any jurisdiction where the offer or sale is not permitted.</w:t>
      </w:r>
    </w:p>
    <w:p>
      <w:pPr>
        <w:spacing w:after="0" w:line="174" w:lineRule="exact"/>
        <w:rPr>
          <w:sz w:val="20"/>
          <w:szCs w:val="20"/>
          <w:color w:val="auto"/>
        </w:rPr>
      </w:pPr>
    </w:p>
    <w:tbl>
      <w:tblPr>
        <w:tblLayout w:type="fixed"/>
        <w:tblInd w:w="3207"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FC0014"/>
                <w:w w:val="97"/>
              </w:rPr>
              <w:t>Subject to Completion,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spacing w:after="0" w:line="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17145</wp:posOffset>
            </wp:positionV>
            <wp:extent cx="167259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
        <w:spacing w:after="0"/>
        <w:rPr>
          <w:sz w:val="20"/>
          <w:szCs w:val="20"/>
          <w:color w:val="auto"/>
        </w:rPr>
      </w:pPr>
      <w:r>
        <w:rPr>
          <w:rFonts w:ascii="Arial" w:cs="Arial" w:eastAsia="Arial" w:hAnsi="Arial"/>
          <w:sz w:val="36"/>
          <w:szCs w:val="36"/>
          <w:b w:val="1"/>
          <w:bCs w:val="1"/>
          <w:color w:val="auto"/>
        </w:rPr>
        <w:t>NFE Financial Holdings LLC</w:t>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29"/>
          <w:szCs w:val="29"/>
          <w:b w:val="1"/>
          <w:bCs w:val="1"/>
          <w:color w:val="auto"/>
        </w:rPr>
        <w:t>Class A shares</w:t>
      </w:r>
    </w:p>
    <w:p>
      <w:pPr>
        <w:spacing w:after="0" w:line="99" w:lineRule="exact"/>
        <w:rPr>
          <w:sz w:val="20"/>
          <w:szCs w:val="20"/>
          <w:color w:val="auto"/>
        </w:rPr>
      </w:pPr>
    </w:p>
    <w:p>
      <w:pPr>
        <w:jc w:val="center"/>
        <w:ind w:right="-6"/>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74295</wp:posOffset>
            </wp:positionV>
            <wp:extent cx="1037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5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This is the initial public offering of Class A shares representing limited liability company interests of NFE Financial Holdings LLC.</w:t>
      </w:r>
    </w:p>
    <w:p>
      <w:pPr>
        <w:spacing w:after="0" w:line="46" w:lineRule="exact"/>
        <w:rPr>
          <w:sz w:val="20"/>
          <w:szCs w:val="20"/>
          <w:color w:val="auto"/>
        </w:rPr>
      </w:pPr>
    </w:p>
    <w:p>
      <w:pPr>
        <w:jc w:val="both"/>
        <w:ind w:left="7" w:right="460"/>
        <w:spacing w:after="0" w:line="255" w:lineRule="auto"/>
        <w:rPr>
          <w:sz w:val="20"/>
          <w:szCs w:val="20"/>
          <w:color w:val="auto"/>
        </w:rPr>
      </w:pPr>
      <w:r>
        <w:rPr>
          <w:rFonts w:ascii="Arial" w:cs="Arial" w:eastAsia="Arial" w:hAnsi="Arial"/>
          <w:sz w:val="18"/>
          <w:szCs w:val="18"/>
          <w:color w:val="auto"/>
        </w:rPr>
        <w:t>We are offering Class A shares. We were recently formed by New Fortress Energy Holdings LLC and have elected to be treated as a corporation for U.S. federal income tax purposes. We expect that the initial public offering price will be between $ and $ per Class A share.</w:t>
      </w:r>
    </w:p>
    <w:p>
      <w:pPr>
        <w:spacing w:after="0" w:line="69" w:lineRule="exact"/>
        <w:rPr>
          <w:sz w:val="20"/>
          <w:szCs w:val="20"/>
          <w:color w:val="auto"/>
        </w:rPr>
      </w:pPr>
    </w:p>
    <w:p>
      <w:pPr>
        <w:ind w:left="7" w:right="560"/>
        <w:spacing w:after="0" w:line="277" w:lineRule="auto"/>
        <w:rPr>
          <w:sz w:val="20"/>
          <w:szCs w:val="20"/>
          <w:color w:val="auto"/>
        </w:rPr>
      </w:pPr>
      <w:r>
        <w:rPr>
          <w:rFonts w:ascii="Arial" w:cs="Arial" w:eastAsia="Arial" w:hAnsi="Arial"/>
          <w:sz w:val="18"/>
          <w:szCs w:val="18"/>
          <w:color w:val="auto"/>
        </w:rPr>
        <w:t>Prior to this offering, there has been no public market for our Class A shares. We intend to apply to list our Class A shares on Nasdaq Global Select Market under the symbol “NFE.”</w:t>
      </w:r>
    </w:p>
    <w:p>
      <w:pPr>
        <w:spacing w:after="0" w:line="49" w:lineRule="exact"/>
        <w:rPr>
          <w:sz w:val="20"/>
          <w:szCs w:val="20"/>
          <w:color w:val="auto"/>
        </w:rPr>
      </w:pPr>
    </w:p>
    <w:p>
      <w:pPr>
        <w:ind w:left="7" w:right="300"/>
        <w:spacing w:after="0" w:line="277" w:lineRule="auto"/>
        <w:rPr>
          <w:sz w:val="20"/>
          <w:szCs w:val="20"/>
          <w:color w:val="auto"/>
        </w:rPr>
      </w:pPr>
      <w:r>
        <w:rPr>
          <w:rFonts w:ascii="Arial" w:cs="Arial" w:eastAsia="Arial" w:hAnsi="Arial"/>
          <w:sz w:val="18"/>
          <w:szCs w:val="18"/>
          <w:color w:val="auto"/>
        </w:rPr>
        <w:t>We are an “emerging growth company” and are eligible for reduced reporting requirements for this prospectus and future filings. Please read “Summary—Our Emerging Growth Company Status.”</w:t>
      </w:r>
    </w:p>
    <w:p>
      <w:pPr>
        <w:spacing w:after="0" w:line="31" w:lineRule="exact"/>
        <w:rPr>
          <w:sz w:val="20"/>
          <w:szCs w:val="20"/>
          <w:color w:val="auto"/>
        </w:rPr>
      </w:pPr>
    </w:p>
    <w:p>
      <w:pPr>
        <w:ind w:left="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Class A shares involves risks. Please read “Risk Factors” beginning on page </w:t>
      </w:r>
      <w:hyperlink w:anchor="page25">
        <w:r>
          <w:rPr>
            <w:rFonts w:ascii="Arial" w:cs="Arial" w:eastAsia="Arial" w:hAnsi="Arial"/>
            <w:sz w:val="18"/>
            <w:szCs w:val="18"/>
            <w:b w:val="1"/>
            <w:bCs w:val="1"/>
            <w:u w:val="single" w:color="auto"/>
            <w:color w:val="0000EE"/>
          </w:rPr>
          <w:t>20</w:t>
        </w:r>
      </w:hyperlink>
      <w:r>
        <w:rPr>
          <w:rFonts w:ascii="Arial" w:cs="Arial" w:eastAsia="Arial" w:hAnsi="Arial"/>
          <w:sz w:val="18"/>
          <w:szCs w:val="18"/>
          <w:b w:val="1"/>
          <w:bCs w:val="1"/>
          <w:color w:val="auto"/>
        </w:rPr>
        <w:t>.</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These risks include the following:</w:t>
      </w:r>
    </w:p>
    <w:p>
      <w:pPr>
        <w:spacing w:after="0" w:line="117" w:lineRule="exact"/>
        <w:rPr>
          <w:sz w:val="20"/>
          <w:szCs w:val="20"/>
          <w:color w:val="auto"/>
        </w:rPr>
      </w:pPr>
    </w:p>
    <w:p>
      <w:pPr>
        <w:ind w:left="707" w:right="700" w:hanging="356"/>
        <w:spacing w:after="0" w:line="277" w:lineRule="auto"/>
        <w:tabs>
          <w:tab w:leader="none" w:pos="707"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2" w:lineRule="exact"/>
        <w:rPr>
          <w:rFonts w:ascii="Arial" w:cs="Arial" w:eastAsia="Arial" w:hAnsi="Arial"/>
          <w:sz w:val="18"/>
          <w:szCs w:val="18"/>
          <w:color w:val="auto"/>
        </w:rPr>
      </w:pPr>
    </w:p>
    <w:p>
      <w:pPr>
        <w:ind w:left="707" w:right="40" w:hanging="356"/>
        <w:spacing w:after="0" w:line="277" w:lineRule="auto"/>
        <w:tabs>
          <w:tab w:leader="none" w:pos="707"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2" w:lineRule="exact"/>
        <w:rPr>
          <w:rFonts w:ascii="Arial" w:cs="Arial" w:eastAsia="Arial" w:hAnsi="Arial"/>
          <w:sz w:val="18"/>
          <w:szCs w:val="18"/>
          <w:color w:val="auto"/>
        </w:rPr>
      </w:pPr>
    </w:p>
    <w:p>
      <w:pPr>
        <w:ind w:left="707" w:right="40" w:hanging="356"/>
        <w:spacing w:after="0" w:line="277" w:lineRule="auto"/>
        <w:tabs>
          <w:tab w:leader="none" w:pos="707"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liquified natural gas (“LNG”) to be a competitive source of energy in the markets in which we operate, and seek to operate, could adversely affect our expansion strategy.</w:t>
      </w:r>
    </w:p>
    <w:p>
      <w:pPr>
        <w:spacing w:after="0" w:line="62" w:lineRule="exact"/>
        <w:rPr>
          <w:rFonts w:ascii="Arial" w:cs="Arial" w:eastAsia="Arial" w:hAnsi="Arial"/>
          <w:sz w:val="18"/>
          <w:szCs w:val="18"/>
          <w:color w:val="auto"/>
        </w:rPr>
      </w:pPr>
    </w:p>
    <w:p>
      <w:pPr>
        <w:ind w:left="707" w:right="100" w:hanging="356"/>
        <w:spacing w:after="0" w:line="312" w:lineRule="auto"/>
        <w:tabs>
          <w:tab w:leader="none" w:pos="707"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8" w:lineRule="exact"/>
        <w:rPr>
          <w:rFonts w:ascii="Arial" w:cs="Arial" w:eastAsia="Arial" w:hAnsi="Arial"/>
          <w:sz w:val="16"/>
          <w:szCs w:val="16"/>
          <w:color w:val="auto"/>
        </w:rPr>
      </w:pPr>
    </w:p>
    <w:p>
      <w:pPr>
        <w:ind w:left="707" w:right="260" w:hanging="356"/>
        <w:spacing w:after="0" w:line="277" w:lineRule="auto"/>
        <w:tabs>
          <w:tab w:leader="none" w:pos="707"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Fortress Energy Holdings LLC has the ability to direct the voting of a majority of our shares, and its interests may conflict with those of our other shareholders.</w:t>
      </w:r>
    </w:p>
    <w:p>
      <w:pPr>
        <w:spacing w:after="0" w:line="62" w:lineRule="exact"/>
        <w:rPr>
          <w:rFonts w:ascii="Arial" w:cs="Arial" w:eastAsia="Arial" w:hAnsi="Arial"/>
          <w:sz w:val="18"/>
          <w:szCs w:val="18"/>
          <w:color w:val="auto"/>
        </w:rPr>
      </w:pPr>
    </w:p>
    <w:p>
      <w:pPr>
        <w:jc w:val="both"/>
        <w:ind w:left="707" w:right="320" w:hanging="356"/>
        <w:spacing w:after="0" w:line="264" w:lineRule="auto"/>
        <w:tabs>
          <w:tab w:leader="none" w:pos="7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3" w:lineRule="exact"/>
        <w:rPr>
          <w:sz w:val="20"/>
          <w:szCs w:val="20"/>
          <w:color w:val="auto"/>
        </w:rPr>
      </w:pPr>
    </w:p>
    <w:p>
      <w:pPr>
        <w:ind w:left="347"/>
        <w:spacing w:after="0"/>
        <w:tabs>
          <w:tab w:leader="none" w:pos="686" w:val="left"/>
          <w:tab w:leader="none" w:pos="580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Shareholders will experience immediate and substantial dilution of $</w:t>
      </w:r>
      <w:r>
        <w:rPr>
          <w:sz w:val="20"/>
          <w:szCs w:val="20"/>
          <w:color w:val="auto"/>
        </w:rPr>
        <w:tab/>
      </w:r>
      <w:r>
        <w:rPr>
          <w:rFonts w:ascii="Arial" w:cs="Arial" w:eastAsia="Arial" w:hAnsi="Arial"/>
          <w:sz w:val="16"/>
          <w:szCs w:val="16"/>
          <w:color w:val="auto"/>
        </w:rPr>
        <w:t>per Class A share.</w:t>
      </w:r>
    </w:p>
    <w:p>
      <w:pPr>
        <w:spacing w:after="0" w:line="117" w:lineRule="exact"/>
        <w:rPr>
          <w:sz w:val="20"/>
          <w:szCs w:val="20"/>
          <w:color w:val="auto"/>
        </w:rPr>
      </w:pPr>
    </w:p>
    <w:p>
      <w:pPr>
        <w:ind w:left="707" w:right="120" w:hanging="356"/>
        <w:spacing w:after="0" w:line="264" w:lineRule="auto"/>
        <w:tabs>
          <w:tab w:leader="none" w:pos="7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40" w:type="dxa"/>
            <w:vAlign w:val="bottom"/>
          </w:tcPr>
          <w:p>
            <w:pPr>
              <w:jc w:val="right"/>
              <w:ind w:right="137"/>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1140" w:type="dxa"/>
            <w:vAlign w:val="bottom"/>
          </w:tcPr>
          <w:p>
            <w:pPr>
              <w:jc w:val="right"/>
              <w:ind w:right="95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NFE Financial Holdings LLC (before expenses)</w:t>
            </w: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“Underwriters (Conflicts of Interest)” for a description of compensation payable to the underwriters.</w:t>
      </w:r>
    </w:p>
    <w:p>
      <w:pPr>
        <w:spacing w:after="0" w:line="73" w:lineRule="exact"/>
        <w:rPr>
          <w:sz w:val="20"/>
          <w:szCs w:val="20"/>
          <w:color w:val="auto"/>
        </w:rPr>
      </w:pPr>
    </w:p>
    <w:p>
      <w:pPr>
        <w:ind w:left="7" w:right="240"/>
        <w:spacing w:after="0" w:line="277" w:lineRule="auto"/>
        <w:rPr>
          <w:sz w:val="20"/>
          <w:szCs w:val="20"/>
          <w:color w:val="auto"/>
        </w:rPr>
      </w:pPr>
      <w:r>
        <w:rPr>
          <w:rFonts w:ascii="Arial" w:cs="Arial" w:eastAsia="Arial" w:hAnsi="Arial"/>
          <w:sz w:val="18"/>
          <w:szCs w:val="18"/>
          <w:color w:val="auto"/>
        </w:rPr>
        <w:t>The underwriters may purchase up to an additional Class A shares from us at the public offering price, less the underwriting discount, within 30 days from the date of this prospectus.</w:t>
      </w:r>
    </w:p>
    <w:p>
      <w:pPr>
        <w:spacing w:after="0" w:line="45" w:lineRule="exact"/>
        <w:rPr>
          <w:sz w:val="20"/>
          <w:szCs w:val="20"/>
          <w:color w:val="auto"/>
        </w:rPr>
      </w:pPr>
    </w:p>
    <w:p>
      <w:pPr>
        <w:ind w:left="7" w:right="120"/>
        <w:spacing w:after="0" w:line="369"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7" w:type="dxa"/>
        <w:tblCellMar>
          <w:top w:w="0" w:type="dxa"/>
          <w:left w:w="0" w:type="dxa"/>
          <w:bottom w:w="0" w:type="dxa"/>
          <w:right w:w="0" w:type="dxa"/>
        </w:tblCellMar>
      </w:tblP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w w:val="96"/>
              </w:rPr>
              <w:t>The underwriters expect to deliver the Class A shares to purchasers on or about</w:t>
            </w:r>
          </w:p>
        </w:tc>
        <w:tc>
          <w:tcPr>
            <w:tcW w:w="3400" w:type="dxa"/>
            <w:vAlign w:val="bottom"/>
          </w:tcPr>
          <w:p>
            <w:pPr>
              <w:ind w:left="400"/>
              <w:spacing w:after="0"/>
              <w:rPr>
                <w:sz w:val="20"/>
                <w:szCs w:val="20"/>
                <w:color w:val="auto"/>
              </w:rPr>
            </w:pPr>
            <w:r>
              <w:rPr>
                <w:rFonts w:ascii="Arial" w:cs="Arial" w:eastAsia="Arial" w:hAnsi="Arial"/>
                <w:sz w:val="18"/>
                <w:szCs w:val="18"/>
                <w:color w:val="auto"/>
                <w:w w:val="97"/>
              </w:rPr>
              <w:t>, 2018 through the book-entry facilities</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of The Depository Trust Company.</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22"/>
        </w:trPr>
        <w:tc>
          <w:tcPr>
            <w:tcW w:w="396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400" w:type="dxa"/>
            <w:vAlign w:val="bottom"/>
          </w:tcPr>
          <w:p>
            <w:pPr>
              <w:spacing w:after="0"/>
              <w:rPr>
                <w:sz w:val="10"/>
                <w:szCs w:val="10"/>
                <w:color w:val="auto"/>
              </w:rPr>
            </w:pPr>
          </w:p>
        </w:tc>
      </w:tr>
      <w:tr>
        <w:trPr>
          <w:trHeight w:val="372"/>
        </w:trPr>
        <w:tc>
          <w:tcPr>
            <w:tcW w:w="5160" w:type="dxa"/>
            <w:vAlign w:val="bottom"/>
            <w:gridSpan w:val="2"/>
          </w:tcPr>
          <w:p>
            <w:pPr>
              <w:ind w:left="3780"/>
              <w:spacing w:after="0"/>
              <w:rPr>
                <w:sz w:val="20"/>
                <w:szCs w:val="20"/>
                <w:color w:val="auto"/>
              </w:rPr>
            </w:pPr>
            <w:r>
              <w:rPr>
                <w:rFonts w:ascii="Arial" w:cs="Arial" w:eastAsia="Arial" w:hAnsi="Arial"/>
                <w:sz w:val="18"/>
                <w:szCs w:val="18"/>
                <w:color w:val="auto"/>
                <w:w w:val="97"/>
              </w:rPr>
              <w:t>Prospectus dated</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 2018</w:t>
            </w:r>
          </w:p>
        </w:tc>
        <w:tc>
          <w:tcPr>
            <w:tcW w:w="3400" w:type="dxa"/>
            <w:vAlign w:val="bottom"/>
          </w:tcPr>
          <w:p>
            <w:pPr>
              <w:spacing w:after="0"/>
              <w:rPr>
                <w:sz w:val="24"/>
                <w:szCs w:val="24"/>
                <w:color w:val="auto"/>
              </w:rPr>
            </w:pPr>
          </w:p>
        </w:tc>
      </w:tr>
      <w:tr>
        <w:trPr>
          <w:trHeight w:val="459"/>
        </w:trPr>
        <w:tc>
          <w:tcPr>
            <w:tcW w:w="3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68"/>
        </w:trPr>
        <w:tc>
          <w:tcPr>
            <w:tcW w:w="39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36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0"/>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0" w:type="dxa"/>
            <w:vAlign w:val="bottom"/>
            <w:gridSpan w:val="6"/>
            <w:shd w:val="clear" w:color="auto" w:fill="CCEEFF"/>
          </w:tcPr>
          <w:p>
            <w:pPr>
              <w:spacing w:after="0" w:line="189"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SUMMARY</w:t>
              </w:r>
            </w:hyperlink>
          </w:p>
        </w:tc>
        <w:tc>
          <w:tcPr>
            <w:tcW w:w="7560" w:type="dxa"/>
            <w:vAlign w:val="bottom"/>
            <w:gridSpan w:val="23"/>
            <w:shd w:val="clear" w:color="auto" w:fill="CCEEFF"/>
          </w:tcPr>
          <w:p>
            <w:pPr>
              <w:spacing w:after="0"/>
              <w:rPr>
                <w:sz w:val="16"/>
                <w:szCs w:val="16"/>
                <w:color w:val="auto"/>
              </w:rPr>
            </w:pPr>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3"/>
            <w:shd w:val="clear" w:color="auto" w:fill="CCEEFF"/>
          </w:tcPr>
          <w:p>
            <w:pPr>
              <w:spacing w:after="0" w:line="189"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USE OF PROCEEDS</w:t>
              </w:r>
            </w:hyperlink>
          </w:p>
        </w:tc>
        <w:tc>
          <w:tcPr>
            <w:tcW w:w="6900" w:type="dxa"/>
            <w:vAlign w:val="bottom"/>
            <w:gridSpan w:val="16"/>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3"/>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CAPITALIZATION</w:t>
              </w:r>
            </w:hyperlink>
          </w:p>
        </w:tc>
        <w:tc>
          <w:tcPr>
            <w:tcW w:w="6900" w:type="dxa"/>
            <w:vAlign w:val="bottom"/>
            <w:gridSpan w:val="16"/>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0" w:type="dxa"/>
            <w:vAlign w:val="bottom"/>
            <w:gridSpan w:val="5"/>
            <w:shd w:val="clear" w:color="auto" w:fill="CCEEFF"/>
          </w:tcPr>
          <w:p>
            <w:pPr>
              <w:spacing w:after="0" w:line="189"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DILUTION</w:t>
              </w:r>
            </w:hyperlink>
          </w:p>
        </w:tc>
        <w:tc>
          <w:tcPr>
            <w:tcW w:w="7620" w:type="dxa"/>
            <w:vAlign w:val="bottom"/>
            <w:gridSpan w:val="24"/>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DIVIDEND POLICY</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0"/>
            <w:shd w:val="clear" w:color="auto" w:fill="CCEEFF"/>
          </w:tcPr>
          <w:p>
            <w:pPr>
              <w:spacing w:after="0" w:line="189"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SELECTED HISTORICAL FINANCIAL DATA</w:t>
              </w:r>
            </w:hyperlink>
          </w:p>
        </w:tc>
        <w:tc>
          <w:tcPr>
            <w:tcW w:w="4940" w:type="dxa"/>
            <w:vAlign w:val="bottom"/>
            <w:gridSpan w:val="9"/>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w:t>
              </w:r>
            </w:hyperlink>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OPERATIONS</w:t>
              </w:r>
            </w:hyperlink>
          </w:p>
        </w:tc>
        <w:tc>
          <w:tcPr>
            <w:tcW w:w="720" w:type="dxa"/>
            <w:vAlign w:val="bottom"/>
          </w:tcPr>
          <w:p>
            <w:pPr>
              <w:spacing w:after="0"/>
              <w:rPr>
                <w:sz w:val="17"/>
                <w:szCs w:val="17"/>
                <w:color w:val="auto"/>
              </w:rPr>
            </w:pPr>
          </w:p>
        </w:tc>
        <w:tc>
          <w:tcPr>
            <w:tcW w:w="1080" w:type="dxa"/>
            <w:vAlign w:val="bottom"/>
            <w:gridSpan w:val="6"/>
          </w:tcPr>
          <w:p>
            <w:pPr>
              <w:jc w:val="right"/>
              <w:ind w:right="10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69">
              <w:r>
                <w:rPr>
                  <w:rFonts w:ascii="Arial" w:cs="Arial" w:eastAsia="Arial" w:hAnsi="Arial"/>
                  <w:sz w:val="18"/>
                  <w:szCs w:val="18"/>
                  <w:color w:val="0000EE"/>
                </w:rPr>
                <w:t>BUSINESS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9">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gridSpan w:val="15"/>
            <w:shd w:val="clear" w:color="auto" w:fill="CCEEFF"/>
          </w:tcPr>
          <w:p>
            <w:pPr>
              <w:spacing w:after="0" w:line="189"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EXECUTIVE COMPENSATION</w:t>
              </w:r>
            </w:hyperlink>
          </w:p>
        </w:tc>
        <w:tc>
          <w:tcPr>
            <w:tcW w:w="6040" w:type="dxa"/>
            <w:vAlign w:val="bottom"/>
            <w:gridSpan w:val="14"/>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96">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shd w:val="clear" w:color="auto" w:fill="CCEEFF"/>
          </w:tcPr>
          <w:p>
            <w:pPr>
              <w:spacing w:after="0" w:line="189" w:lineRule="exact"/>
              <w:rPr>
                <w:rFonts w:ascii="Arial" w:cs="Arial" w:eastAsia="Arial" w:hAnsi="Arial"/>
                <w:sz w:val="18"/>
                <w:szCs w:val="18"/>
                <w:color w:val="0000EE"/>
                <w:w w:val="95"/>
              </w:rPr>
            </w:pPr>
            <w:hyperlink w:anchor="page97">
              <w:r>
                <w:rPr>
                  <w:rFonts w:ascii="Arial" w:cs="Arial" w:eastAsia="Arial" w:hAnsi="Arial"/>
                  <w:sz w:val="18"/>
                  <w:szCs w:val="18"/>
                  <w:color w:val="0000EE"/>
                  <w:w w:val="95"/>
                </w:rPr>
                <w:t>CERTAIN RELATIONSHIPS AND RELATED TRANSACTIONS</w:t>
              </w:r>
            </w:hyperlink>
          </w:p>
        </w:tc>
        <w:tc>
          <w:tcPr>
            <w:tcW w:w="3620" w:type="dxa"/>
            <w:vAlign w:val="bottom"/>
            <w:gridSpan w:val="5"/>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tcPr>
          <w:p>
            <w:pPr>
              <w:spacing w:after="0" w:line="189" w:lineRule="exact"/>
              <w:rPr>
                <w:rFonts w:ascii="Arial" w:cs="Arial" w:eastAsia="Arial" w:hAnsi="Arial"/>
                <w:sz w:val="18"/>
                <w:szCs w:val="18"/>
                <w:color w:val="0000EE"/>
              </w:rPr>
            </w:pPr>
            <w:hyperlink w:anchor="page102">
              <w:r>
                <w:rPr>
                  <w:rFonts w:ascii="Arial" w:cs="Arial" w:eastAsia="Arial" w:hAnsi="Arial"/>
                  <w:sz w:val="18"/>
                  <w:szCs w:val="18"/>
                  <w:color w:val="0000EE"/>
                </w:rPr>
                <w:t>DESCRIPTION OF SHARES</w:t>
              </w:r>
            </w:hyperlink>
          </w:p>
        </w:tc>
        <w:tc>
          <w:tcPr>
            <w:tcW w:w="3620" w:type="dxa"/>
            <w:vAlign w:val="bottom"/>
            <w:gridSpan w:val="5"/>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97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60" w:type="dxa"/>
            <w:vAlign w:val="bottom"/>
            <w:gridSpan w:val="16"/>
            <w:shd w:val="clear" w:color="auto" w:fill="CCEEFF"/>
          </w:tcPr>
          <w:p>
            <w:pPr>
              <w:spacing w:after="0" w:line="189"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OUR OPERATING AGREEMENT</w:t>
              </w:r>
            </w:hyperlink>
          </w:p>
        </w:tc>
        <w:tc>
          <w:tcPr>
            <w:tcW w:w="5900" w:type="dxa"/>
            <w:vAlign w:val="bottom"/>
            <w:gridSpan w:val="13"/>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99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10">
              <w:r>
                <w:rPr>
                  <w:rFonts w:ascii="Arial" w:cs="Arial" w:eastAsia="Arial" w:hAnsi="Arial"/>
                  <w:sz w:val="18"/>
                  <w:szCs w:val="18"/>
                  <w:color w:val="0000EE"/>
                </w:rPr>
                <w:t>SHARES ELIGIBLE FOR FUTURE SALE</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10">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11">
              <w:r>
                <w:rPr>
                  <w:rFonts w:ascii="Arial" w:cs="Arial" w:eastAsia="Arial" w:hAnsi="Arial"/>
                  <w:sz w:val="18"/>
                  <w:szCs w:val="18"/>
                  <w:color w:val="0000EE"/>
                </w:rPr>
                <w:t>MATERIAL U.S. FEDERAL INCOME TAX CONSIDERATIONS FOR NON-U.S. HOLDERS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11">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20" w:type="dxa"/>
            <w:vAlign w:val="bottom"/>
            <w:gridSpan w:val="27"/>
          </w:tcPr>
          <w:p>
            <w:pPr>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CERTAIN ERISA CONSIDERATIONS</w:t>
              </w:r>
            </w:hyperlink>
          </w:p>
        </w:tc>
        <w:tc>
          <w:tcPr>
            <w:tcW w:w="1540" w:type="dxa"/>
            <w:vAlign w:val="bottom"/>
            <w:gridSpan w:val="2"/>
          </w:tcPr>
          <w:p>
            <w:pPr>
              <w:spacing w:after="0"/>
              <w:rPr>
                <w:sz w:val="16"/>
                <w:szCs w:val="16"/>
                <w:color w:val="auto"/>
              </w:rPr>
            </w:pPr>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1"/>
            <w:shd w:val="clear" w:color="auto" w:fill="CCEEFF"/>
          </w:tcPr>
          <w:p>
            <w:pPr>
              <w:spacing w:after="0" w:line="189"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UNDERWRITING (CONFLICTS OF INTEREST)</w:t>
              </w:r>
            </w:hyperlink>
          </w:p>
        </w:tc>
        <w:tc>
          <w:tcPr>
            <w:tcW w:w="4780" w:type="dxa"/>
            <w:vAlign w:val="bottom"/>
            <w:gridSpan w:val="8"/>
            <w:shd w:val="clear" w:color="auto" w:fill="CCEEFF"/>
          </w:tcPr>
          <w:p>
            <w:pPr>
              <w:spacing w:after="0"/>
              <w:rPr>
                <w:sz w:val="16"/>
                <w:szCs w:val="16"/>
                <w:color w:val="auto"/>
              </w:rPr>
            </w:pPr>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17">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1"/>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LEGAL MATTERS</w:t>
              </w:r>
            </w:hyperlink>
          </w:p>
        </w:tc>
        <w:tc>
          <w:tcPr>
            <w:tcW w:w="4780" w:type="dxa"/>
            <w:vAlign w:val="bottom"/>
            <w:gridSpan w:val="8"/>
          </w:tcPr>
          <w:p>
            <w:pPr>
              <w:spacing w:after="0"/>
              <w:rPr>
                <w:sz w:val="16"/>
                <w:szCs w:val="16"/>
                <w:color w:val="auto"/>
              </w:rPr>
            </w:pPr>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EXPERTS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WHERE YOU CAN FIND MORE INFORMATION</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25">
              <w:r>
                <w:rPr>
                  <w:rFonts w:ascii="Arial" w:cs="Arial" w:eastAsia="Arial" w:hAnsi="Arial"/>
                  <w:sz w:val="18"/>
                  <w:szCs w:val="18"/>
                  <w:color w:val="0000EE"/>
                </w:rPr>
                <w:t>FORWARD LOOKING STATEMENTS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26">
              <w:r>
                <w:rPr>
                  <w:rFonts w:ascii="Arial" w:cs="Arial" w:eastAsia="Arial" w:hAnsi="Arial"/>
                  <w:sz w:val="18"/>
                  <w:szCs w:val="18"/>
                  <w:color w:val="0000EE"/>
                </w:rPr>
                <w:t>INDEX TO FINANCIAL STATEMENTS</w:t>
              </w:r>
            </w:hyperlink>
          </w:p>
        </w:tc>
        <w:tc>
          <w:tcPr>
            <w:tcW w:w="720" w:type="dxa"/>
            <w:vAlign w:val="bottom"/>
          </w:tcPr>
          <w:p>
            <w:pPr>
              <w:spacing w:after="0"/>
              <w:rPr>
                <w:sz w:val="16"/>
                <w:szCs w:val="16"/>
                <w:color w:val="auto"/>
              </w:rPr>
            </w:pPr>
          </w:p>
        </w:tc>
        <w:tc>
          <w:tcPr>
            <w:tcW w:w="360" w:type="dxa"/>
            <w:vAlign w:val="bottom"/>
            <w:gridSpan w:val="5"/>
          </w:tcPr>
          <w:p>
            <w:pPr>
              <w:jc w:val="right"/>
              <w:ind w:right="100"/>
              <w:spacing w:after="0" w:line="189"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EXHIBITS</w:t>
              </w:r>
            </w:hyperlink>
          </w:p>
        </w:tc>
        <w:tc>
          <w:tcPr>
            <w:tcW w:w="72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00"/>
              <w:spacing w:after="0" w:line="189"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II-2</w:t>
              </w:r>
            </w:hyperlink>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to you. We have not, and the underwriters have not, authorized any other person to provide you with information different from that contained in this prospectus and any free writing prospectus. If anyone provides you with different or inconsistent information, you should not rely on it. You should not assume that the information contained in this registration statement is accurate as of any date other than the date on the front cover of this registration statement.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Please read “Risk Factors”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108585</wp:posOffset>
            </wp:positionV>
            <wp:extent cx="1157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data included in this prospectus regarding the industries in which we operate, including trends in the market and our position and the position of our competitors, is based on a variety of sources, including independent industry publications, government publications and other published independent sources, information obtained from customers, distributors, suppliers, trade and business organizations and publicly available information (including the reports and other information our competitors file with the Securities and Exchange Commission (the “SEC”), which we did not participate in preparing and as to which we make no representation), as well as our good-faith estimates, which have been derived from management’s knowledge and experience in the industries in which we operate. Estimates of market size and relative positions in a market are difficult to develop and inherently uncertain. Accordingly, investors should not place undue weight on the industry and market share data presented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commonly used in the liquefied natural gas industry, to the extent applicable and as used in this prospectus, the terms listed below have the following meanings: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ADO</w:t>
            </w:r>
          </w:p>
        </w:tc>
        <w:tc>
          <w:tcPr>
            <w:tcW w:w="6800" w:type="dxa"/>
            <w:vAlign w:val="bottom"/>
          </w:tcPr>
          <w:p>
            <w:pPr>
              <w:ind w:left="1740"/>
              <w:spacing w:after="0"/>
              <w:rPr>
                <w:sz w:val="20"/>
                <w:szCs w:val="20"/>
                <w:color w:val="auto"/>
              </w:rPr>
            </w:pPr>
            <w:r>
              <w:rPr>
                <w:rFonts w:ascii="Arial" w:cs="Arial" w:eastAsia="Arial" w:hAnsi="Arial"/>
                <w:sz w:val="18"/>
                <w:szCs w:val="18"/>
                <w:color w:val="auto"/>
              </w:rPr>
              <w:t>automotive diesel oil</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Bcf/yr</w:t>
            </w:r>
          </w:p>
        </w:tc>
        <w:tc>
          <w:tcPr>
            <w:tcW w:w="6800" w:type="dxa"/>
            <w:vAlign w:val="bottom"/>
          </w:tcPr>
          <w:p>
            <w:pPr>
              <w:ind w:left="1740"/>
              <w:spacing w:after="0"/>
              <w:rPr>
                <w:sz w:val="20"/>
                <w:szCs w:val="20"/>
                <w:color w:val="auto"/>
              </w:rPr>
            </w:pPr>
            <w:r>
              <w:rPr>
                <w:rFonts w:ascii="Arial" w:cs="Arial" w:eastAsia="Arial" w:hAnsi="Arial"/>
                <w:sz w:val="18"/>
                <w:szCs w:val="18"/>
                <w:color w:val="auto"/>
              </w:rPr>
              <w:t>billion cubic feet per year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Btu</w:t>
            </w:r>
          </w:p>
        </w:tc>
        <w:tc>
          <w:tcPr>
            <w:tcW w:w="6800" w:type="dxa"/>
            <w:vAlign w:val="bottom"/>
          </w:tcPr>
          <w:p>
            <w:pPr>
              <w:ind w:left="1740"/>
              <w:spacing w:after="0"/>
              <w:rPr>
                <w:sz w:val="20"/>
                <w:szCs w:val="20"/>
                <w:color w:val="auto"/>
              </w:rPr>
            </w:pPr>
            <w:r>
              <w:rPr>
                <w:rFonts w:ascii="Arial" w:cs="Arial" w:eastAsia="Arial" w:hAnsi="Arial"/>
                <w:sz w:val="18"/>
                <w:szCs w:val="18"/>
                <w:color w:val="auto"/>
                <w:w w:val="90"/>
              </w:rPr>
              <w:t>the amount of heat require to raise the temperature of one avoirdupois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pound of pure water from 59 degrees Fahrenheit to 60 degrees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w w:val="91"/>
              </w:rPr>
              <w:t>Fahrenheit at an absolute pressure of 14.696 pounds per square inch</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gage (psig)</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CAA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Air Act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CERCLA</w:t>
            </w:r>
          </w:p>
        </w:tc>
        <w:tc>
          <w:tcPr>
            <w:tcW w:w="6800" w:type="dxa"/>
            <w:vAlign w:val="bottom"/>
          </w:tcPr>
          <w:p>
            <w:pPr>
              <w:ind w:left="1740"/>
              <w:spacing w:after="0"/>
              <w:rPr>
                <w:sz w:val="20"/>
                <w:szCs w:val="20"/>
                <w:color w:val="auto"/>
              </w:rPr>
            </w:pPr>
            <w:r>
              <w:rPr>
                <w:rFonts w:ascii="Arial" w:cs="Arial" w:eastAsia="Arial" w:hAnsi="Arial"/>
                <w:sz w:val="18"/>
                <w:szCs w:val="18"/>
                <w:color w:val="auto"/>
              </w:rPr>
              <w:t>Comprehensive Environmental Response, Compensation and</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Liability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CWA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Water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DOE</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Energy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DOT</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Transportation</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EPA</w:t>
            </w:r>
          </w:p>
        </w:tc>
        <w:tc>
          <w:tcPr>
            <w:tcW w:w="6800" w:type="dxa"/>
            <w:vAlign w:val="bottom"/>
          </w:tcPr>
          <w:p>
            <w:pPr>
              <w:ind w:left="1740"/>
              <w:spacing w:after="0"/>
              <w:rPr>
                <w:sz w:val="20"/>
                <w:szCs w:val="20"/>
                <w:color w:val="auto"/>
              </w:rPr>
            </w:pPr>
            <w:r>
              <w:rPr>
                <w:rFonts w:ascii="Arial" w:cs="Arial" w:eastAsia="Arial" w:hAnsi="Arial"/>
                <w:sz w:val="18"/>
                <w:szCs w:val="18"/>
                <w:color w:val="auto"/>
              </w:rPr>
              <w:t>U.S. Environmental Protection Agency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FERC</w:t>
            </w:r>
          </w:p>
        </w:tc>
        <w:tc>
          <w:tcPr>
            <w:tcW w:w="6800" w:type="dxa"/>
            <w:vAlign w:val="bottom"/>
          </w:tcPr>
          <w:p>
            <w:pPr>
              <w:ind w:left="1740"/>
              <w:spacing w:after="0"/>
              <w:rPr>
                <w:sz w:val="20"/>
                <w:szCs w:val="20"/>
                <w:color w:val="auto"/>
              </w:rPr>
            </w:pPr>
            <w:r>
              <w:rPr>
                <w:rFonts w:ascii="Arial" w:cs="Arial" w:eastAsia="Arial" w:hAnsi="Arial"/>
                <w:sz w:val="18"/>
                <w:szCs w:val="18"/>
                <w:color w:val="auto"/>
              </w:rPr>
              <w:t>Federal Energy Regulatory Commission</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FTA countries</w:t>
            </w:r>
          </w:p>
        </w:tc>
        <w:tc>
          <w:tcPr>
            <w:tcW w:w="6800" w:type="dxa"/>
            <w:vAlign w:val="bottom"/>
          </w:tcPr>
          <w:p>
            <w:pPr>
              <w:ind w:left="1740"/>
              <w:spacing w:after="0"/>
              <w:rPr>
                <w:sz w:val="20"/>
                <w:szCs w:val="20"/>
                <w:color w:val="auto"/>
              </w:rPr>
            </w:pPr>
            <w:r>
              <w:rPr>
                <w:rFonts w:ascii="Arial" w:cs="Arial" w:eastAsia="Arial" w:hAnsi="Arial"/>
                <w:sz w:val="18"/>
                <w:szCs w:val="18"/>
                <w:color w:val="auto"/>
                <w:w w:val="95"/>
              </w:rPr>
              <w:t>countries with which the United States has a free trade agreement</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providing for national treatment for trade in natural gas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GAAP</w:t>
            </w:r>
          </w:p>
        </w:tc>
        <w:tc>
          <w:tcPr>
            <w:tcW w:w="6800" w:type="dxa"/>
            <w:vAlign w:val="bottom"/>
          </w:tcPr>
          <w:p>
            <w:pPr>
              <w:ind w:left="17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GHG</w:t>
            </w:r>
          </w:p>
        </w:tc>
        <w:tc>
          <w:tcPr>
            <w:tcW w:w="6800" w:type="dxa"/>
            <w:vAlign w:val="bottom"/>
          </w:tcPr>
          <w:p>
            <w:pPr>
              <w:ind w:left="1740"/>
              <w:spacing w:after="0"/>
              <w:rPr>
                <w:sz w:val="20"/>
                <w:szCs w:val="20"/>
                <w:color w:val="auto"/>
              </w:rPr>
            </w:pPr>
            <w:r>
              <w:rPr>
                <w:rFonts w:ascii="Arial" w:cs="Arial" w:eastAsia="Arial" w:hAnsi="Arial"/>
                <w:sz w:val="18"/>
                <w:szCs w:val="18"/>
                <w:color w:val="auto"/>
              </w:rPr>
              <w:t>greenhouse gases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GSA</w:t>
            </w:r>
          </w:p>
        </w:tc>
        <w:tc>
          <w:tcPr>
            <w:tcW w:w="6800" w:type="dxa"/>
            <w:vAlign w:val="bottom"/>
          </w:tcPr>
          <w:p>
            <w:pPr>
              <w:ind w:left="1740"/>
              <w:spacing w:after="0"/>
              <w:rPr>
                <w:sz w:val="20"/>
                <w:szCs w:val="20"/>
                <w:color w:val="auto"/>
              </w:rPr>
            </w:pPr>
            <w:r>
              <w:rPr>
                <w:rFonts w:ascii="Arial" w:cs="Arial" w:eastAsia="Arial" w:hAnsi="Arial"/>
                <w:sz w:val="18"/>
                <w:szCs w:val="18"/>
                <w:color w:val="auto"/>
              </w:rPr>
              <w:t>gas sales agreement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GW</w:t>
            </w:r>
          </w:p>
        </w:tc>
        <w:tc>
          <w:tcPr>
            <w:tcW w:w="6800" w:type="dxa"/>
            <w:vAlign w:val="bottom"/>
          </w:tcPr>
          <w:p>
            <w:pPr>
              <w:ind w:left="1740"/>
              <w:spacing w:after="0"/>
              <w:rPr>
                <w:sz w:val="20"/>
                <w:szCs w:val="20"/>
                <w:color w:val="auto"/>
              </w:rPr>
            </w:pPr>
            <w:r>
              <w:rPr>
                <w:rFonts w:ascii="Arial" w:cs="Arial" w:eastAsia="Arial" w:hAnsi="Arial"/>
                <w:sz w:val="18"/>
                <w:szCs w:val="18"/>
                <w:color w:val="auto"/>
                <w:w w:val="94"/>
              </w:rPr>
              <w:t>gigawatt. We estimate 2,500,000 LNG gallons would be required to</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produce one gigawatt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Henry Hub</w:t>
            </w:r>
          </w:p>
        </w:tc>
        <w:tc>
          <w:tcPr>
            <w:tcW w:w="6800" w:type="dxa"/>
            <w:vAlign w:val="bottom"/>
          </w:tcPr>
          <w:p>
            <w:pPr>
              <w:ind w:left="1740"/>
              <w:spacing w:after="0"/>
              <w:rPr>
                <w:sz w:val="20"/>
                <w:szCs w:val="20"/>
                <w:color w:val="auto"/>
              </w:rPr>
            </w:pPr>
            <w:r>
              <w:rPr>
                <w:rFonts w:ascii="Arial" w:cs="Arial" w:eastAsia="Arial" w:hAnsi="Arial"/>
                <w:sz w:val="18"/>
                <w:szCs w:val="18"/>
                <w:color w:val="auto"/>
                <w:w w:val="94"/>
              </w:rPr>
              <w:t>a natural gas pipeline located in Erath, Louisiana that serves as the</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official delivery location for futures contracts on the New York</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Mercantile Exchange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ISO container</w:t>
            </w:r>
          </w:p>
        </w:tc>
        <w:tc>
          <w:tcPr>
            <w:tcW w:w="6800" w:type="dxa"/>
            <w:vAlign w:val="bottom"/>
          </w:tcPr>
          <w:p>
            <w:pPr>
              <w:ind w:left="1740"/>
              <w:spacing w:after="0"/>
              <w:rPr>
                <w:sz w:val="20"/>
                <w:szCs w:val="20"/>
                <w:color w:val="auto"/>
              </w:rPr>
            </w:pPr>
            <w:r>
              <w:rPr>
                <w:rFonts w:ascii="Arial" w:cs="Arial" w:eastAsia="Arial" w:hAnsi="Arial"/>
                <w:sz w:val="18"/>
                <w:szCs w:val="18"/>
                <w:color w:val="auto"/>
              </w:rPr>
              <w:t>International Organization of Standardization, an intermodal</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container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LNG</w:t>
            </w:r>
          </w:p>
        </w:tc>
        <w:tc>
          <w:tcPr>
            <w:tcW w:w="6800" w:type="dxa"/>
            <w:vAlign w:val="bottom"/>
          </w:tcPr>
          <w:p>
            <w:pPr>
              <w:ind w:left="1740"/>
              <w:spacing w:after="0"/>
              <w:rPr>
                <w:sz w:val="20"/>
                <w:szCs w:val="20"/>
                <w:color w:val="auto"/>
              </w:rPr>
            </w:pPr>
            <w:r>
              <w:rPr>
                <w:rFonts w:ascii="Arial" w:cs="Arial" w:eastAsia="Arial" w:hAnsi="Arial"/>
                <w:sz w:val="18"/>
                <w:szCs w:val="18"/>
                <w:color w:val="auto"/>
                <w:w w:val="96"/>
              </w:rPr>
              <w:t>natural gas in its liquid state at or below its boiling point at or near</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atmospheric pressure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MMBtu</w:t>
            </w:r>
          </w:p>
        </w:tc>
        <w:tc>
          <w:tcPr>
            <w:tcW w:w="6800" w:type="dxa"/>
            <w:vAlign w:val="bottom"/>
          </w:tcPr>
          <w:p>
            <w:pPr>
              <w:ind w:left="1740"/>
              <w:spacing w:after="0"/>
              <w:rPr>
                <w:sz w:val="20"/>
                <w:szCs w:val="20"/>
                <w:color w:val="auto"/>
              </w:rPr>
            </w:pPr>
            <w:r>
              <w:rPr>
                <w:rFonts w:ascii="Arial" w:cs="Arial" w:eastAsia="Arial" w:hAnsi="Arial"/>
                <w:sz w:val="18"/>
                <w:szCs w:val="18"/>
                <w:color w:val="auto"/>
                <w:w w:val="99"/>
              </w:rPr>
              <w:t>one million Btus, which corresponds to approximately 12.1 LNG</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gallons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mtpa</w:t>
            </w:r>
          </w:p>
        </w:tc>
        <w:tc>
          <w:tcPr>
            <w:tcW w:w="6800" w:type="dxa"/>
            <w:vAlign w:val="bottom"/>
          </w:tcPr>
          <w:p>
            <w:pPr>
              <w:ind w:left="1740"/>
              <w:spacing w:after="0"/>
              <w:rPr>
                <w:sz w:val="20"/>
                <w:szCs w:val="20"/>
                <w:color w:val="auto"/>
              </w:rPr>
            </w:pPr>
            <w:r>
              <w:rPr>
                <w:rFonts w:ascii="Arial" w:cs="Arial" w:eastAsia="Arial" w:hAnsi="Arial"/>
                <w:sz w:val="18"/>
                <w:szCs w:val="18"/>
                <w:color w:val="auto"/>
              </w:rPr>
              <w:t>million tons per year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MW</w:t>
            </w:r>
          </w:p>
        </w:tc>
        <w:tc>
          <w:tcPr>
            <w:tcW w:w="6800" w:type="dxa"/>
            <w:vAlign w:val="bottom"/>
          </w:tcPr>
          <w:p>
            <w:pPr>
              <w:ind w:left="1740"/>
              <w:spacing w:after="0"/>
              <w:rPr>
                <w:sz w:val="20"/>
                <w:szCs w:val="20"/>
                <w:color w:val="auto"/>
              </w:rPr>
            </w:pPr>
            <w:r>
              <w:rPr>
                <w:rFonts w:ascii="Arial" w:cs="Arial" w:eastAsia="Arial" w:hAnsi="Arial"/>
                <w:sz w:val="18"/>
                <w:szCs w:val="18"/>
                <w:color w:val="auto"/>
                <w:w w:val="98"/>
              </w:rPr>
              <w:t>megawatt. We estimate 2,500 LNG gallons would be required to</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produce one megawatt.</w:t>
            </w:r>
          </w:p>
        </w:tc>
      </w:tr>
      <w:tr>
        <w:trPr>
          <w:trHeight w:val="446"/>
        </w:trPr>
        <w:tc>
          <w:tcPr>
            <w:tcW w:w="2760" w:type="dxa"/>
            <w:vAlign w:val="bottom"/>
          </w:tcPr>
          <w:p>
            <w:pPr>
              <w:spacing w:after="0"/>
              <w:rPr>
                <w:sz w:val="24"/>
                <w:szCs w:val="24"/>
                <w:color w:val="auto"/>
              </w:rPr>
            </w:pPr>
          </w:p>
        </w:tc>
        <w:tc>
          <w:tcPr>
            <w:tcW w:w="6800" w:type="dxa"/>
            <w:vAlign w:val="bottom"/>
          </w:tcPr>
          <w:p>
            <w:pPr>
              <w:ind w:left="1960"/>
              <w:spacing w:after="0"/>
              <w:rPr>
                <w:sz w:val="20"/>
                <w:szCs w:val="20"/>
                <w:color w:val="auto"/>
              </w:rPr>
            </w:pPr>
            <w:r>
              <w:rPr>
                <w:rFonts w:ascii="Arial" w:cs="Arial" w:eastAsia="Arial" w:hAnsi="Arial"/>
                <w:sz w:val="18"/>
                <w:szCs w:val="18"/>
                <w:color w:val="auto"/>
              </w:rPr>
              <w:t>ii</w:t>
            </w:r>
          </w:p>
        </w:tc>
      </w:tr>
      <w:tr>
        <w:trPr>
          <w:trHeight w:val="446"/>
        </w:trPr>
        <w:tc>
          <w:tcPr>
            <w:tcW w:w="27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68"/>
        </w:trPr>
        <w:tc>
          <w:tcPr>
            <w:tcW w:w="2760" w:type="dxa"/>
            <w:vAlign w:val="bottom"/>
            <w:shd w:val="clear" w:color="auto" w:fill="000000"/>
          </w:tcPr>
          <w:p>
            <w:pPr>
              <w:spacing w:after="0"/>
              <w:rPr>
                <w:sz w:val="5"/>
                <w:szCs w:val="5"/>
                <w:color w:val="auto"/>
              </w:rPr>
            </w:pPr>
          </w:p>
        </w:tc>
        <w:tc>
          <w:tcPr>
            <w:tcW w:w="68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601"/>
        </w:trPr>
        <w:tc>
          <w:tcPr>
            <w:tcW w:w="3020" w:type="dxa"/>
            <w:vAlign w:val="bottom"/>
            <w:gridSpan w:val="2"/>
          </w:tcPr>
          <w:p>
            <w:pPr>
              <w:spacing w:after="0"/>
              <w:rPr>
                <w:sz w:val="20"/>
                <w:szCs w:val="20"/>
                <w:color w:val="auto"/>
              </w:rPr>
            </w:pPr>
            <w:r>
              <w:rPr>
                <w:rFonts w:ascii="Arial" w:cs="Arial" w:eastAsia="Arial" w:hAnsi="Arial"/>
                <w:sz w:val="18"/>
                <w:szCs w:val="18"/>
                <w:color w:val="auto"/>
              </w:rPr>
              <w:t>NGA</w:t>
            </w:r>
          </w:p>
        </w:tc>
        <w:tc>
          <w:tcPr>
            <w:tcW w:w="6540" w:type="dxa"/>
            <w:vAlign w:val="bottom"/>
          </w:tcPr>
          <w:p>
            <w:pPr>
              <w:ind w:left="1480"/>
              <w:spacing w:after="0"/>
              <w:rPr>
                <w:sz w:val="20"/>
                <w:szCs w:val="20"/>
                <w:color w:val="auto"/>
              </w:rPr>
            </w:pPr>
            <w:r>
              <w:rPr>
                <w:rFonts w:ascii="Arial" w:cs="Arial" w:eastAsia="Arial" w:hAnsi="Arial"/>
                <w:sz w:val="18"/>
                <w:szCs w:val="18"/>
                <w:color w:val="auto"/>
              </w:rPr>
              <w:t>Natural Gas Act of 1938, as amended</w:t>
            </w:r>
          </w:p>
        </w:tc>
      </w:tr>
      <w:tr>
        <w:trPr>
          <w:trHeight w:val="472"/>
        </w:trPr>
        <w:tc>
          <w:tcPr>
            <w:tcW w:w="3020" w:type="dxa"/>
            <w:vAlign w:val="bottom"/>
            <w:gridSpan w:val="2"/>
          </w:tcPr>
          <w:p>
            <w:pPr>
              <w:spacing w:after="0"/>
              <w:rPr>
                <w:sz w:val="20"/>
                <w:szCs w:val="20"/>
                <w:color w:val="auto"/>
              </w:rPr>
            </w:pPr>
            <w:r>
              <w:rPr>
                <w:rFonts w:ascii="Arial" w:cs="Arial" w:eastAsia="Arial" w:hAnsi="Arial"/>
                <w:sz w:val="18"/>
                <w:szCs w:val="18"/>
                <w:color w:val="auto"/>
              </w:rPr>
              <w:t>non-FTA countries</w:t>
            </w:r>
          </w:p>
        </w:tc>
        <w:tc>
          <w:tcPr>
            <w:tcW w:w="6540" w:type="dxa"/>
            <w:vAlign w:val="bottom"/>
          </w:tcPr>
          <w:p>
            <w:pPr>
              <w:ind w:left="1480"/>
              <w:spacing w:after="0"/>
              <w:rPr>
                <w:sz w:val="20"/>
                <w:szCs w:val="20"/>
                <w:color w:val="auto"/>
              </w:rPr>
            </w:pPr>
            <w:r>
              <w:rPr>
                <w:rFonts w:ascii="Arial" w:cs="Arial" w:eastAsia="Arial" w:hAnsi="Arial"/>
                <w:sz w:val="18"/>
                <w:szCs w:val="18"/>
                <w:color w:val="auto"/>
              </w:rPr>
              <w:t>countries without a free trade agreement providing for national</w:t>
            </w:r>
          </w:p>
        </w:tc>
      </w:tr>
      <w:tr>
        <w:trPr>
          <w:trHeight w:val="230"/>
        </w:trPr>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1480"/>
              <w:spacing w:after="0"/>
              <w:rPr>
                <w:sz w:val="20"/>
                <w:szCs w:val="20"/>
                <w:color w:val="auto"/>
              </w:rPr>
            </w:pPr>
            <w:r>
              <w:rPr>
                <w:rFonts w:ascii="Arial" w:cs="Arial" w:eastAsia="Arial" w:hAnsi="Arial"/>
                <w:sz w:val="18"/>
                <w:szCs w:val="18"/>
                <w:color w:val="auto"/>
                <w:w w:val="95"/>
              </w:rPr>
              <w:t>treatment for trade in natural gas and with which trade is permitted</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OPA</w:t>
            </w:r>
          </w:p>
        </w:tc>
        <w:tc>
          <w:tcPr>
            <w:tcW w:w="6540" w:type="dxa"/>
            <w:vAlign w:val="bottom"/>
          </w:tcPr>
          <w:p>
            <w:pPr>
              <w:ind w:left="1480"/>
              <w:spacing w:after="0"/>
              <w:rPr>
                <w:sz w:val="20"/>
                <w:szCs w:val="20"/>
                <w:color w:val="auto"/>
              </w:rPr>
            </w:pPr>
            <w:r>
              <w:rPr>
                <w:rFonts w:ascii="Arial" w:cs="Arial" w:eastAsia="Arial" w:hAnsi="Arial"/>
                <w:sz w:val="18"/>
                <w:szCs w:val="18"/>
                <w:color w:val="auto"/>
              </w:rPr>
              <w:t>Oil Pollution Act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OUR</w:t>
            </w:r>
          </w:p>
        </w:tc>
        <w:tc>
          <w:tcPr>
            <w:tcW w:w="6540" w:type="dxa"/>
            <w:vAlign w:val="bottom"/>
          </w:tcPr>
          <w:p>
            <w:pPr>
              <w:ind w:left="1480"/>
              <w:spacing w:after="0"/>
              <w:rPr>
                <w:sz w:val="20"/>
                <w:szCs w:val="20"/>
                <w:color w:val="auto"/>
              </w:rPr>
            </w:pPr>
            <w:r>
              <w:rPr>
                <w:rFonts w:ascii="Arial" w:cs="Arial" w:eastAsia="Arial" w:hAnsi="Arial"/>
                <w:sz w:val="18"/>
                <w:szCs w:val="18"/>
                <w:color w:val="auto"/>
              </w:rPr>
              <w:t>Office of Utilities Regulation (Jamaica)</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PHMSA</w:t>
            </w:r>
          </w:p>
        </w:tc>
        <w:tc>
          <w:tcPr>
            <w:tcW w:w="6540" w:type="dxa"/>
            <w:vAlign w:val="bottom"/>
          </w:tcPr>
          <w:p>
            <w:pPr>
              <w:ind w:left="148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PPA</w:t>
            </w:r>
          </w:p>
        </w:tc>
        <w:tc>
          <w:tcPr>
            <w:tcW w:w="6540" w:type="dxa"/>
            <w:vAlign w:val="bottom"/>
          </w:tcPr>
          <w:p>
            <w:pPr>
              <w:ind w:left="1480"/>
              <w:spacing w:after="0"/>
              <w:rPr>
                <w:sz w:val="20"/>
                <w:szCs w:val="20"/>
                <w:color w:val="auto"/>
              </w:rPr>
            </w:pPr>
            <w:r>
              <w:rPr>
                <w:rFonts w:ascii="Arial" w:cs="Arial" w:eastAsia="Arial" w:hAnsi="Arial"/>
                <w:sz w:val="18"/>
                <w:szCs w:val="18"/>
                <w:color w:val="auto"/>
              </w:rPr>
              <w:t>power purchase agreement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SSA</w:t>
            </w:r>
          </w:p>
        </w:tc>
        <w:tc>
          <w:tcPr>
            <w:tcW w:w="6540" w:type="dxa"/>
            <w:vAlign w:val="bottom"/>
          </w:tcPr>
          <w:p>
            <w:pPr>
              <w:ind w:left="1480"/>
              <w:spacing w:after="0"/>
              <w:rPr>
                <w:sz w:val="20"/>
                <w:szCs w:val="20"/>
                <w:color w:val="auto"/>
              </w:rPr>
            </w:pPr>
            <w:r>
              <w:rPr>
                <w:rFonts w:ascii="Arial" w:cs="Arial" w:eastAsia="Arial" w:hAnsi="Arial"/>
                <w:sz w:val="18"/>
                <w:szCs w:val="18"/>
                <w:color w:val="auto"/>
              </w:rPr>
              <w:t>steam supply agreement</w:t>
            </w:r>
          </w:p>
        </w:tc>
      </w:tr>
      <w:tr>
        <w:trPr>
          <w:trHeight w:val="472"/>
        </w:trPr>
        <w:tc>
          <w:tcPr>
            <w:tcW w:w="3020" w:type="dxa"/>
            <w:vAlign w:val="bottom"/>
            <w:gridSpan w:val="2"/>
          </w:tcPr>
          <w:p>
            <w:pPr>
              <w:spacing w:after="0"/>
              <w:rPr>
                <w:sz w:val="20"/>
                <w:szCs w:val="20"/>
                <w:color w:val="auto"/>
              </w:rPr>
            </w:pPr>
            <w:r>
              <w:rPr>
                <w:rFonts w:ascii="Arial" w:cs="Arial" w:eastAsia="Arial" w:hAnsi="Arial"/>
                <w:sz w:val="18"/>
                <w:szCs w:val="18"/>
                <w:color w:val="auto"/>
              </w:rPr>
              <w:t>TBtu</w:t>
            </w:r>
          </w:p>
        </w:tc>
        <w:tc>
          <w:tcPr>
            <w:tcW w:w="6540" w:type="dxa"/>
            <w:vAlign w:val="bottom"/>
          </w:tcPr>
          <w:p>
            <w:pPr>
              <w:ind w:left="1480"/>
              <w:spacing w:after="0"/>
              <w:rPr>
                <w:sz w:val="20"/>
                <w:szCs w:val="20"/>
                <w:color w:val="auto"/>
              </w:rPr>
            </w:pPr>
            <w:r>
              <w:rPr>
                <w:rFonts w:ascii="Arial" w:cs="Arial" w:eastAsia="Arial" w:hAnsi="Arial"/>
                <w:sz w:val="18"/>
                <w:szCs w:val="18"/>
                <w:color w:val="auto"/>
                <w:w w:val="97"/>
              </w:rPr>
              <w:t>one trillion Btus, which corresponds to approximately 12,100,000</w:t>
            </w:r>
          </w:p>
        </w:tc>
      </w:tr>
      <w:tr>
        <w:trPr>
          <w:trHeight w:val="230"/>
        </w:trPr>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1480"/>
              <w:spacing w:after="0"/>
              <w:rPr>
                <w:sz w:val="20"/>
                <w:szCs w:val="20"/>
                <w:color w:val="auto"/>
              </w:rPr>
            </w:pPr>
            <w:r>
              <w:rPr>
                <w:rFonts w:ascii="Arial" w:cs="Arial" w:eastAsia="Arial" w:hAnsi="Arial"/>
                <w:sz w:val="18"/>
                <w:szCs w:val="18"/>
                <w:color w:val="auto"/>
              </w:rPr>
              <w:t>LNG gallons</w:t>
            </w:r>
          </w:p>
        </w:tc>
      </w:tr>
      <w:tr>
        <w:trPr>
          <w:trHeight w:val="446"/>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ind w:left="1680"/>
              <w:spacing w:after="0"/>
              <w:rPr>
                <w:sz w:val="20"/>
                <w:szCs w:val="20"/>
                <w:color w:val="auto"/>
              </w:rPr>
            </w:pPr>
            <w:r>
              <w:rPr>
                <w:rFonts w:ascii="Arial" w:cs="Arial" w:eastAsia="Arial" w:hAnsi="Arial"/>
                <w:sz w:val="18"/>
                <w:szCs w:val="18"/>
                <w:color w:val="auto"/>
              </w:rPr>
              <w:t>iii</w:t>
            </w:r>
          </w:p>
        </w:tc>
      </w:tr>
      <w:tr>
        <w:trPr>
          <w:trHeight w:val="459"/>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5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00" w:right="60" w:firstLine="360"/>
        <w:spacing w:after="0" w:line="270"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Because it is abbreviated, this summary does not contain all of the information that you should consider before investing in our Class A shares. While this summary highlights what we consider to be the most important information about us, you should read this entire prospectus carefully including, in particular, “Risk Factors,” “Forward-Looking Statements,” “Management’s Discussion and Analysis of Financial Condition and Results of Operations” and the consolidated financial statements and notes included elsewhere in this prospectus. The information presented in this prospectus assumes (i) an initial public offering price of $ per Class A share (the mid-point of the price range set forth on the cover page of this prospectus), (ii) unless otherwise indicated, that the underwriters’ option to purchase additional Class A shares is not exercised and (iii) excludes Class A shares reserved for issuance under our equity incentive plan. This summary is qualified in its entirety by the more detailed information and financial statements and notes thereto included elsewhere in this prospectus.</w:t>
      </w:r>
    </w:p>
    <w:p>
      <w:pPr>
        <w:spacing w:after="0" w:line="70"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i w:val="1"/>
          <w:iCs w:val="1"/>
          <w:color w:val="auto"/>
        </w:rPr>
        <w:t>Unless the context otherwise requires, references in this prospectus to “Company,” “NFE,” “we,” “our,” “us” or like terms refer to NFE Financial Holdings LLC and its subsidiaries. When used in a historical context, “our,” “us,” “we” or like terms refer to New Fortress Energy Holdings LLC, a Delaware limited liability company (“New Fortress Energy Holdings”), our predecessor for financial reporting purposes. References in this prospectus to “NFI” refer to New Fortress Intermediate LLC, which following the transactions discussed in this prospectus, will own our operating subsidiaries, including NFE Atlantic Holdings LLC (“NFE Atlantic”) as well as limited assets or liabilities of New Fortress Energy Holdings held prior to the completion of this offering. Upon the completion of this offering, we will own a controlling % membership interest in NFI (through our role as the sole managing member of NFI), and New Fortress Energy Holdings will own a non-controlling % membership interest in NFI. You should also see the “Glossary of Terms” for definitions of some of the terms we use to describe our business and industry and other terms used in this prospectus.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NFE Financial Holdings LLC</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00" w:firstLine="360"/>
        <w:spacing w:after="0" w:line="276" w:lineRule="auto"/>
        <w:rPr>
          <w:sz w:val="20"/>
          <w:szCs w:val="20"/>
          <w:color w:val="auto"/>
        </w:rPr>
      </w:pPr>
      <w:r>
        <w:rPr>
          <w:rFonts w:ascii="Arial" w:cs="Arial" w:eastAsia="Arial" w:hAnsi="Arial"/>
          <w:sz w:val="17"/>
          <w:szCs w:val="17"/>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liquefied natural gas (“LNG”) industry. We aim to deliver targeted energy solutions to customers around the world, thereby reducing their energy costs and diversifying their energy resources, while also reducing pollution and generating compelling margins.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9" w:lineRule="exact"/>
        <w:rPr>
          <w:sz w:val="20"/>
          <w:szCs w:val="20"/>
          <w:color w:val="auto"/>
        </w:rPr>
      </w:pPr>
    </w:p>
    <w:p>
      <w:pPr>
        <w:ind w:left="100" w:right="40" w:firstLine="360"/>
        <w:spacing w:after="0" w:line="257"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two liquefiers in the Marcellus area of Pennsylvania, each of which is expected to have the capacity to produce approximately 3 to 4 million gallons of LNG (which is the equivalent of 250,000 to 350,000 MMBtu) per day, and intend to develop five or more additional liquefiers over the next five years.</w:t>
      </w:r>
    </w:p>
    <w:p>
      <w:pPr>
        <w:spacing w:after="0" w:line="80" w:lineRule="exact"/>
        <w:rPr>
          <w:sz w:val="20"/>
          <w:szCs w:val="20"/>
          <w:color w:val="auto"/>
        </w:rPr>
      </w:pPr>
    </w:p>
    <w:p>
      <w:pPr>
        <w:jc w:val="both"/>
        <w:ind w:left="100" w:firstLine="360"/>
        <w:spacing w:after="0" w:line="312"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 We expect to own or control the logistics assets necessary to deliver LNG to our customers through our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Tanker trucks will transport LNG from our liquefiers to a port on the Delaware river for Marcellus sourced LNG or the Gulf of Mexico for Mid-Continent sourced LNG, at which point LNG will be transloaded directly to large marine vessels.</w:t>
      </w:r>
    </w:p>
    <w:p>
      <w:pPr>
        <w:spacing w:after="0" w:line="39" w:lineRule="exact"/>
        <w:rPr>
          <w:sz w:val="20"/>
          <w:szCs w:val="20"/>
          <w:color w:val="auto"/>
        </w:rPr>
      </w:pPr>
    </w:p>
    <w:p>
      <w:pPr>
        <w:ind w:left="100" w:right="160" w:firstLine="360"/>
        <w:spacing w:after="0" w:line="259"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floating storage units (“FSUs”)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and smaller liquefied natural gas carriers (“LNGCs”). These assets transport LNG from ports to our downstream terminals for ultimate delivery to our customers. There is approximately a five day sail time from port to our downstream terminals in the Caribbean.</w:t>
      </w:r>
    </w:p>
    <w:p>
      <w:pPr>
        <w:spacing w:after="0" w:line="79" w:lineRule="exact"/>
        <w:rPr>
          <w:sz w:val="20"/>
          <w:szCs w:val="20"/>
          <w:color w:val="auto"/>
        </w:rPr>
      </w:pPr>
    </w:p>
    <w:p>
      <w:pPr>
        <w:ind w:left="100" w:right="60" w:firstLine="360"/>
        <w:spacing w:after="0" w:line="259"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power solutions to our customers seeking either to transition from environmentally dirtier distillate fuels such as ADO and heavy fuel oil (“HFO”) or to purchase natural gas to meet their current fuel needs. Our goal is to build 10 - 20 downstream terminals over the next five years.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483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2825" cy="5483860"/>
                    </a:xfrm>
                    <a:prstGeom prst="rect">
                      <a:avLst/>
                    </a:prstGeom>
                    <a:noFill/>
                  </pic:spPr>
                </pic:pic>
              </a:graphicData>
            </a:graphic>
          </wp:anchor>
        </w:drawing>
      </w:r>
    </w:p>
    <w:p>
      <w:pPr>
        <w:spacing w:after="0" w:line="246"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color w:val="auto"/>
        </w:rPr>
        <w:t>We believe this compelling business model will provide opportunities to generate average revenues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NFE’s Global Market Landscape</w:t>
      </w:r>
    </w:p>
    <w:p>
      <w:pPr>
        <w:spacing w:after="0" w:line="121" w:lineRule="exact"/>
        <w:rPr>
          <w:sz w:val="20"/>
          <w:szCs w:val="20"/>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and an additional 347 mtpa of liquefaction 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75" w:lineRule="exact"/>
        <w:rPr>
          <w:sz w:val="20"/>
          <w:szCs w:val="20"/>
          <w:color w:val="auto"/>
        </w:rPr>
      </w:pPr>
    </w:p>
    <w:p>
      <w:pPr>
        <w:ind w:left="100" w:right="140" w:firstLine="360"/>
        <w:spacing w:after="0" w:line="272"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supply estimates are almost half that of demand expectations. By 2025, this equates to an addressable LNG market with 450 mtpa (approximately 740 million gallons per day) of demand, which management estimates to represent a global market value of approximately $212 billion per annum. Based on this report, by 2025, we expect the shortfall in supply to be approximately 200 mtpa versus current operating plants and 100 mtpa versus projects under construction. This shortfall is the equivalent of approximately 50 to 100 liquefiers of similar capacity to one of our liquefiers in Pennsylvania.</w:t>
      </w:r>
    </w:p>
    <w:p>
      <w:pPr>
        <w:spacing w:after="0" w:line="70" w:lineRule="exact"/>
        <w:rPr>
          <w:sz w:val="20"/>
          <w:szCs w:val="20"/>
          <w:color w:val="auto"/>
        </w:rPr>
      </w:pPr>
    </w:p>
    <w:p>
      <w:pPr>
        <w:ind w:left="100" w:right="60" w:firstLine="360"/>
        <w:spacing w:after="0" w:line="259" w:lineRule="auto"/>
        <w:rPr>
          <w:sz w:val="20"/>
          <w:szCs w:val="20"/>
          <w:color w:val="auto"/>
        </w:rPr>
      </w:pPr>
      <w:r>
        <w:rPr>
          <w:rFonts w:ascii="Arial" w:cs="Arial" w:eastAsia="Arial" w:hAnsi="Arial"/>
          <w:sz w:val="18"/>
          <w:szCs w:val="18"/>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7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2825" cy="767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EIA World Shale Gas Resource Assessment Reports</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2015 International Energy Agency Report</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IHS Markit</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00" w:firstLine="360"/>
        <w:spacing w:after="0" w:line="293"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left="100" w:right="20" w:firstLine="360"/>
        <w:spacing w:after="0" w:line="289" w:lineRule="auto"/>
        <w:rPr>
          <w:sz w:val="20"/>
          <w:szCs w:val="20"/>
          <w:color w:val="auto"/>
        </w:rPr>
      </w:pPr>
      <w:r>
        <w:rPr>
          <w:rFonts w:ascii="Arial" w:cs="Arial" w:eastAsia="Arial" w:hAnsi="Arial"/>
          <w:sz w:val="16"/>
          <w:szCs w:val="16"/>
          <w:color w:val="auto"/>
        </w:rPr>
        <w:t>Our goal is to purchase gas, liquefy it, and transport it to one of our Terminals (as defined herein)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$8.00 to $12.00 per MMBtu, depending on the size of cargoes purchased. For contracted delivery, assuming the costs and sales prices described above, we seek to earn a margin of $4.30 per MMBtu, or $0.36 per gallon, which would equal a margin of 40% or more, on our gas sales. For spot sales, we seek to earn</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16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2825" cy="7516495"/>
                    </a:xfrm>
                    <a:prstGeom prst="rect">
                      <a:avLst/>
                    </a:prstGeom>
                    <a:noFill/>
                  </pic:spPr>
                </pic:pic>
              </a:graphicData>
            </a:graphic>
          </wp:anchor>
        </w:drawing>
      </w:r>
    </w:p>
    <w:p>
      <w:pPr>
        <w:spacing w:after="0" w:line="138" w:lineRule="exact"/>
        <w:rPr>
          <w:sz w:val="20"/>
          <w:szCs w:val="20"/>
          <w:color w:val="auto"/>
        </w:rPr>
      </w:pPr>
    </w:p>
    <w:p>
      <w:pPr>
        <w:ind w:left="100" w:right="140"/>
        <w:spacing w:after="0" w:line="271" w:lineRule="auto"/>
        <w:rPr>
          <w:sz w:val="20"/>
          <w:szCs w:val="20"/>
          <w:color w:val="auto"/>
        </w:rPr>
      </w:pPr>
      <w:r>
        <w:rPr>
          <w:rFonts w:ascii="Arial" w:cs="Arial" w:eastAsia="Arial" w:hAnsi="Arial"/>
          <w:sz w:val="17"/>
          <w:szCs w:val="17"/>
          <w:color w:val="auto"/>
        </w:rPr>
        <w:t>an attractive margin by adjusting our sales price based on current market rates. Our operations, which are currently conducted at our LNG storage and regasification terminal at the Port of Montego Bay, Jamaica (the “Montego Bay Terminal”) and at our liquefaction, storage and production facility in Miami, Florida (the “Miami Facility”), are currently generating revenue on sales of approximately 400,000 gallons of LNG (33,000 MMBtu) per day. We have contracts, letters of intent or expect to secure contracts in the near term to sell LNG volumes in excess of 8.3 million gallons (685,000 MMBtu) per day, which includes approximately 1.1 million gallons per day that are currently contracted. We are in active discussions with additional customers who may have significant demand for additional LNG, although there can be no assurance that these discussions will result in additional contracts or the terms of such contracts.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Terminals</w:t>
      </w:r>
    </w:p>
    <w:p>
      <w:pPr>
        <w:spacing w:after="0" w:line="121" w:lineRule="exact"/>
        <w:rPr>
          <w:sz w:val="20"/>
          <w:szCs w:val="20"/>
          <w:color w:val="auto"/>
        </w:rPr>
      </w:pPr>
    </w:p>
    <w:p>
      <w:pPr>
        <w:ind w:left="100" w:right="180" w:firstLine="360"/>
        <w:spacing w:after="0" w:line="277" w:lineRule="auto"/>
        <w:rPr>
          <w:sz w:val="20"/>
          <w:szCs w:val="20"/>
          <w:color w:val="auto"/>
        </w:rPr>
      </w:pPr>
      <w:r>
        <w:rPr>
          <w:rFonts w:ascii="Arial" w:cs="Arial" w:eastAsia="Arial" w:hAnsi="Arial"/>
          <w:sz w:val="18"/>
          <w:szCs w:val="18"/>
          <w:color w:val="auto"/>
        </w:rPr>
        <w:t>Downstream, we have five terminals operational or under development. Our terminals will position us to access customers in a number of attractive markets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right="80" w:firstLine="360"/>
        <w:spacing w:after="0" w:line="259"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left="100" w:firstLine="360"/>
        <w:spacing w:after="0" w:line="257" w:lineRule="auto"/>
        <w:rPr>
          <w:sz w:val="20"/>
          <w:szCs w:val="20"/>
          <w:color w:val="auto"/>
        </w:rPr>
      </w:pPr>
      <w:r>
        <w:rPr>
          <w:rFonts w:ascii="Arial" w:cs="Arial" w:eastAsia="Arial" w:hAnsi="Arial"/>
          <w:sz w:val="18"/>
          <w:szCs w:val="18"/>
          <w:color w:val="auto"/>
        </w:rPr>
        <w:t>We currently have two operational terminals and three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0" w:lineRule="exact"/>
        <w:rPr>
          <w:sz w:val="20"/>
          <w:szCs w:val="20"/>
          <w:color w:val="auto"/>
        </w:rPr>
      </w:pPr>
    </w:p>
    <w:p>
      <w:pPr>
        <w:ind w:left="100" w:right="20" w:firstLine="360"/>
        <w:spacing w:after="0" w:line="257" w:lineRule="auto"/>
        <w:rPr>
          <w:sz w:val="20"/>
          <w:szCs w:val="20"/>
          <w:color w:val="auto"/>
        </w:rPr>
      </w:pPr>
      <w:r>
        <w:rPr>
          <w:rFonts w:ascii="Arial" w:cs="Arial" w:eastAsia="Arial" w:hAnsi="Arial"/>
          <w:sz w:val="18"/>
          <w:szCs w:val="18"/>
          <w:i w:val="1"/>
          <w:iCs w:val="1"/>
          <w:color w:val="auto"/>
        </w:rPr>
        <w:t xml:space="preserve">Montego Bay, Jamaica – </w:t>
      </w:r>
      <w:r>
        <w:rPr>
          <w:rFonts w:ascii="Arial" w:cs="Arial" w:eastAsia="Arial" w:hAnsi="Arial"/>
          <w:sz w:val="18"/>
          <w:szCs w:val="18"/>
          <w:color w:val="auto"/>
        </w:rPr>
        <w:t>Our Montego Bay Terminal commenced commercial operations in October 2016. The terminal is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processing up to 740,000 LNG gallons (61,000 MMBtu) per day and features approximately 7,000 cubic meters of onsite storage. It supplies natural gas to 145MW turbines at the power plant operated by Jamaican Public Service Company Limited (“JPS”) pursuant to a long-term take-or-pay contract for natural gas equivalent to approximately 300,000 gallons of LNG (25,000 MMBtu) per day. The Montego Bay</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30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7130415"/>
                    </a:xfrm>
                    <a:prstGeom prst="rect">
                      <a:avLst/>
                    </a:prstGeom>
                    <a:noFill/>
                  </pic:spPr>
                </pic:pic>
              </a:graphicData>
            </a:graphic>
          </wp:anchor>
        </w:drawing>
      </w:r>
    </w:p>
    <w:p>
      <w:pPr>
        <w:spacing w:after="0" w:line="138"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Terminal also supplies several on-island industrial users with natural gas or LNG pursuant to other long-term take-or-pay contracts. Our Montego Bay Terminal is currently operating at 36%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80" w:lineRule="exact"/>
        <w:rPr>
          <w:sz w:val="20"/>
          <w:szCs w:val="20"/>
          <w:color w:val="auto"/>
        </w:rPr>
      </w:pPr>
    </w:p>
    <w:p>
      <w:pPr>
        <w:ind w:left="100" w:right="100" w:firstLine="360"/>
        <w:spacing w:after="0" w:line="286" w:lineRule="auto"/>
        <w:rPr>
          <w:sz w:val="20"/>
          <w:szCs w:val="20"/>
          <w:color w:val="auto"/>
        </w:rPr>
      </w:pPr>
      <w:r>
        <w:rPr>
          <w:rFonts w:ascii="Arial" w:cs="Arial" w:eastAsia="Arial" w:hAnsi="Arial"/>
          <w:sz w:val="16"/>
          <w:szCs w:val="16"/>
          <w:i w:val="1"/>
          <w:iCs w:val="1"/>
          <w:color w:val="auto"/>
        </w:rPr>
        <w:t xml:space="preserve">Old Harbour, Jamaica – </w:t>
      </w:r>
      <w:r>
        <w:rPr>
          <w:rFonts w:ascii="Arial" w:cs="Arial" w:eastAsia="Arial" w:hAnsi="Arial"/>
          <w:sz w:val="16"/>
          <w:szCs w:val="16"/>
          <w:color w:val="auto"/>
        </w:rPr>
        <w:t>Our marine LNG storage and regasification terminal in Old Harbour, Jamaica (the “Old Harbour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and, together with the Montego Bay Terminal, the “Jamaica Terminals”) is substantially complete and expected to commence commercial operations in the first quarter 2019. It is capable of processing approximately 6 million gallons of LNG (500,000 MMBtu) per day. The Old Harbour Terminal is expected to supply gas to a new 190MW Old Harbour power plant (the “Old Harbour Power Plant”) operated by South Jamaica Power Company Limited (“JPC”) pursuant to a long-term take-or-pay contract for natural gas equivalent to approximately 350,000 gallons of LNG (29,000 MMBtu) per day. We also expect the Old Harbour Terminal to supply gas to a new 94MW power plant that we are constructing, and, subject to agreement on terms, approximately 269,000 gallons of LNG (22,000 MMBtu) per day to the alumina refinery operated by Jamalco, an entity owned by the government of Jamaica with a focus on bauxite mining and alumina production in Jamaica.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67" w:lineRule="exact"/>
        <w:rPr>
          <w:sz w:val="20"/>
          <w:szCs w:val="20"/>
          <w:color w:val="auto"/>
        </w:rPr>
      </w:pPr>
    </w:p>
    <w:p>
      <w:pPr>
        <w:ind w:left="100" w:firstLine="360"/>
        <w:spacing w:after="0" w:line="288"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second quarter 2019. It is designed as a landed multi-fuel handling facility located in the Port of San Juan, Puerto Rico (the “San Juan Facility”). The San Juan Facility is being constructed with multiple truck loading bays to provide LNG to on-island industrial users. In addition, we have submitted a proposal to the Puerto Rico Electric Power Authority (“PREPA”) to convert and supply natural gas to Units 5 and 6 of the San Juan Combined Cycle Power Plant – which have a capacity of 440MW. The power plant is currently running on diesel, and we plan to convert the power plant to run on natural gas and provide approximately 25 TBtu of natural gas per year, which would equal approximately 850,000 gallons of LNG (70,000 MMBtu) per day. We expect the conversion to natural gas under our proposal would allow PREPA to realize significant, recurring annual cost savings of approximately $250 million (based on current diesel pricing and information provided in PREPA’s request for proposals) after one time conversion costs while also using a more sustainable, environmentally friendly form of energy.</w:t>
      </w:r>
    </w:p>
    <w:p>
      <w:pPr>
        <w:spacing w:after="0" w:line="61" w:lineRule="exact"/>
        <w:rPr>
          <w:sz w:val="20"/>
          <w:szCs w:val="20"/>
          <w:color w:val="auto"/>
        </w:rPr>
      </w:pPr>
    </w:p>
    <w:p>
      <w:pPr>
        <w:ind w:left="100" w:right="180" w:firstLine="360"/>
        <w:spacing w:after="0" w:line="254" w:lineRule="auto"/>
        <w:rPr>
          <w:sz w:val="20"/>
          <w:szCs w:val="20"/>
          <w:color w:val="auto"/>
        </w:rPr>
      </w:pPr>
      <w:r>
        <w:rPr>
          <w:rFonts w:ascii="Arial" w:cs="Arial" w:eastAsia="Arial" w:hAnsi="Arial"/>
          <w:sz w:val="18"/>
          <w:szCs w:val="18"/>
          <w:i w:val="1"/>
          <w:iCs w:val="1"/>
          <w:color w:val="auto"/>
        </w:rPr>
        <w:t xml:space="preserve">La Paz, Baja California Sur, Mexico </w:t>
      </w:r>
      <w:r>
        <w:rPr>
          <w:rFonts w:ascii="Arial" w:cs="Arial" w:eastAsia="Arial" w:hAnsi="Arial"/>
          <w:sz w:val="18"/>
          <w:szCs w:val="18"/>
          <w:color w:val="auto"/>
        </w:rPr>
        <w:t>– Our La Paz terminal is currently under development and is expected to commence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operations in October 2019. It is being designed as an LNG receiving terminal located at the Port of Pichilingue in Baja California Sur, Mexico, where LNG will be delivered via a small LNGC vessel or barge (the “La Paz Terminal”). Initially, the La Paz Terminal is expected to supply approximately 225,000 gallons of LNG (18,000 MMBtu) per day for a 94MW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80MW Los Cabos power plant, as well as regional industrial users such as ferries and hotels.</w:t>
      </w:r>
    </w:p>
    <w:p>
      <w:pPr>
        <w:spacing w:after="0" w:line="84" w:lineRule="exact"/>
        <w:rPr>
          <w:sz w:val="20"/>
          <w:szCs w:val="20"/>
          <w:color w:val="auto"/>
        </w:rPr>
      </w:pPr>
    </w:p>
    <w:p>
      <w:pPr>
        <w:ind w:left="100" w:right="180" w:firstLine="360"/>
        <w:spacing w:after="0" w:line="290" w:lineRule="auto"/>
        <w:rPr>
          <w:sz w:val="20"/>
          <w:szCs w:val="20"/>
          <w:color w:val="auto"/>
        </w:rPr>
      </w:pPr>
      <w:r>
        <w:rPr>
          <w:rFonts w:ascii="Arial" w:cs="Arial" w:eastAsia="Arial" w:hAnsi="Arial"/>
          <w:sz w:val="16"/>
          <w:szCs w:val="16"/>
          <w:i w:val="1"/>
          <w:iCs w:val="1"/>
          <w:color w:val="auto"/>
        </w:rPr>
        <w:t xml:space="preserve">Shannon, Ireland </w:t>
      </w:r>
      <w:r>
        <w:rPr>
          <w:rFonts w:ascii="Arial" w:cs="Arial" w:eastAsia="Arial" w:hAnsi="Arial"/>
          <w:sz w:val="16"/>
          <w:szCs w:val="16"/>
          <w:color w:val="auto"/>
        </w:rPr>
        <w:t>– Our Ireland terminal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fourth quarter 2020. We intend this terminal to include a floating storage facility with onshore regasification equipment and pipeline connection into the distribution system of Gas Networks Ireland, Ireland’s national gas network (the “Ireland Terminal” and, together with the Jamaica Terminals, the San Juan Facility and the La Paz Terminal, our “Terminals”). We plan to deliver LNG to the terminal via a traditional size LNGC and offload it into the FSU moored at the dock.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left="100" w:right="240" w:firstLine="360"/>
        <w:spacing w:after="0" w:line="277"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and are currently developing two liquefaction</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56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7156450"/>
                    </a:xfrm>
                    <a:prstGeom prst="rect">
                      <a:avLst/>
                    </a:prstGeom>
                    <a:noFill/>
                  </pic:spPr>
                </pic:pic>
              </a:graphicData>
            </a:graphic>
          </wp:anchor>
        </w:drawing>
      </w:r>
    </w:p>
    <w:p>
      <w:pPr>
        <w:spacing w:after="0" w:line="138"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facilities in Pennsylvania (our “Pennsylvania Facilities” and, together with the Miami Facility, the “Liquefaction Facilities”) and plan to develop five or more additional liquefaction facilities over the next five years.</w:t>
      </w:r>
    </w:p>
    <w:p>
      <w:pPr>
        <w:spacing w:after="0" w:line="62" w:lineRule="exact"/>
        <w:rPr>
          <w:sz w:val="20"/>
          <w:szCs w:val="20"/>
          <w:color w:val="auto"/>
        </w:rPr>
      </w:pPr>
    </w:p>
    <w:p>
      <w:pPr>
        <w:ind w:left="100" w:right="160" w:firstLine="360"/>
        <w:spacing w:after="0" w:line="254" w:lineRule="auto"/>
        <w:rPr>
          <w:sz w:val="20"/>
          <w:szCs w:val="20"/>
          <w:color w:val="auto"/>
        </w:rPr>
      </w:pPr>
      <w:r>
        <w:rPr>
          <w:rFonts w:ascii="Arial" w:cs="Arial" w:eastAsia="Arial" w:hAnsi="Arial"/>
          <w:sz w:val="18"/>
          <w:szCs w:val="18"/>
          <w:color w:val="auto"/>
        </w:rPr>
        <w:t>We believe that, by building smaller facilities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can achieve these cost targets, this would be considerably more cost-effective than the industry’s published liquefaction costs, which range from $511 to $867 per ton excluding ancillary infrastructure. Each of our liquefaction facilities is anticipated to produce between 3-4 million gallons of LNG (250,000 – 330,000 MMBtu) per day, or between 1.75 – 2.5 mtpa of LNG.</w:t>
      </w:r>
    </w:p>
    <w:p>
      <w:pPr>
        <w:spacing w:after="0" w:line="84"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95.5% dispatchable during 2017. The facility also has three LNG storage tanks, with total capacity of approximately 270,000 gallons (22,000 MMBtu). The plant also includes two separate LNG transfer areas capable of serving both truck and rail. We are currently delivering approximately 31,000 gallons of LNG per day from the Miami Facility pursuant to long-term, take-or-pay contracts.</w:t>
      </w:r>
    </w:p>
    <w:p>
      <w:pPr>
        <w:spacing w:after="0" w:line="81" w:lineRule="exact"/>
        <w:rPr>
          <w:sz w:val="20"/>
          <w:szCs w:val="20"/>
          <w:color w:val="auto"/>
        </w:rPr>
      </w:pPr>
    </w:p>
    <w:p>
      <w:pPr>
        <w:ind w:left="100" w:right="100" w:firstLine="360"/>
        <w:spacing w:after="0" w:line="291" w:lineRule="auto"/>
        <w:rPr>
          <w:sz w:val="20"/>
          <w:szCs w:val="20"/>
          <w:color w:val="auto"/>
        </w:rPr>
      </w:pPr>
      <w:r>
        <w:rPr>
          <w:rFonts w:ascii="Arial" w:cs="Arial" w:eastAsia="Arial" w:hAnsi="Arial"/>
          <w:sz w:val="16"/>
          <w:szCs w:val="16"/>
          <w:color w:val="auto"/>
        </w:rPr>
        <w:t>We are in advanced stages of the design, development and permitting for our first Pennsylvania Facility, and we expect it to be substantially complete in the fourth quarter of 2020. We expect our first Pennsylvania Facility to have the capacity to liquefy</w:t>
      </w:r>
    </w:p>
    <w:p>
      <w:pPr>
        <w:ind w:left="100"/>
        <w:spacing w:after="0" w:line="251" w:lineRule="auto"/>
        <w:rPr>
          <w:sz w:val="20"/>
          <w:szCs w:val="20"/>
          <w:color w:val="auto"/>
        </w:rPr>
      </w:pPr>
      <w:r>
        <w:rPr>
          <w:rFonts w:ascii="Arial" w:cs="Arial" w:eastAsia="Arial" w:hAnsi="Arial"/>
          <w:sz w:val="18"/>
          <w:szCs w:val="18"/>
          <w:color w:val="auto"/>
        </w:rPr>
        <w:t>3-4 million gallons of LNG (250,000 – 330,000 MMBtu) per day. We have already entered into a 15-year contract to acquire all of the feedgas needed to operate our first Pennsylvania Facility at capacity, with pricing that is generally fixed at $2.50 per MMBtu. Once LNG is produced at this facility, a dedicated tanker truck fleet will transport the LNG to a nearby port. We are currently developing plans with a suitable port approximately 195 miles away along the Delaware river, and we expect to finalize a long-term contract prior to the completion of this offering. Under these plans, we expect that LNG will be transferred directly from tanker truck to marine vessel through multiple transloading bays, allowing for simultaneous and continuous operations. From there, our dedicated fleet of marine vessels will be able to transport the LNG to our Terminals and then on to our customers. We are also in the process of developing our second Pennsylvania Facility and expect to begin commercial operations in the third quarter of 2021.</w:t>
      </w:r>
    </w:p>
    <w:p>
      <w:pPr>
        <w:spacing w:after="0" w:line="90" w:lineRule="exact"/>
        <w:rPr>
          <w:sz w:val="20"/>
          <w:szCs w:val="20"/>
          <w:color w:val="auto"/>
        </w:rPr>
      </w:pPr>
    </w:p>
    <w:p>
      <w:pPr>
        <w:ind w:left="100" w:right="140" w:firstLine="360"/>
        <w:spacing w:after="0" w:line="257" w:lineRule="auto"/>
        <w:rPr>
          <w:sz w:val="20"/>
          <w:szCs w:val="20"/>
          <w:color w:val="auto"/>
        </w:rPr>
      </w:pPr>
      <w:r>
        <w:rPr>
          <w:rFonts w:ascii="Arial" w:cs="Arial" w:eastAsia="Arial" w:hAnsi="Arial"/>
          <w:sz w:val="18"/>
          <w:szCs w:val="18"/>
          <w:color w:val="auto"/>
        </w:rPr>
        <w:t>Pending completion and commissioning of our liquefiers in development, we expect to continue to supply our downstream customers with LNG and natural gas sourced from a combination of our Miami Facility and purchases of LNG on the open market. We are drawing on our experience from the construction and operation of our Miami Facility to optimize the development of our Pennsylvania Facilities.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00" w:right="60" w:firstLine="360"/>
        <w:spacing w:after="0" w:line="312"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39"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acheive our targeted pricing. In general, the better the credit and larger the size of the user, the lower the contract price of our fuel.</w:t>
      </w:r>
    </w:p>
    <w:p>
      <w:pPr>
        <w:spacing w:after="0" w:line="80" w:lineRule="exact"/>
        <w:rPr>
          <w:sz w:val="20"/>
          <w:szCs w:val="20"/>
          <w:color w:val="auto"/>
        </w:rPr>
      </w:pPr>
    </w:p>
    <w:p>
      <w:pPr>
        <w:ind w:left="100" w:right="180" w:firstLine="360"/>
        <w:spacing w:after="0" w:line="255" w:lineRule="auto"/>
        <w:rPr>
          <w:sz w:val="20"/>
          <w:szCs w:val="20"/>
          <w:color w:val="auto"/>
        </w:rPr>
      </w:pPr>
      <w:r>
        <w:rPr>
          <w:rFonts w:ascii="Arial" w:cs="Arial" w:eastAsia="Arial" w:hAnsi="Arial"/>
          <w:sz w:val="18"/>
          <w:szCs w:val="18"/>
          <w:color w:val="auto"/>
        </w:rPr>
        <w:t>To date, we have contracts, letters of intent or expect to secure contracts in the near term to sell LNG volumes in excess of 8.3 million gallons (685,000 MMBtu) per day, which includes approximately 1.1 million gallons per day currently contracted. Our operations, which are currently conducted primarily at our Montego Bay Terminal and at our Miami Facility, are currently generating revenue from sales of approximately 400,000 gallons (33,000 MMBtu) per day. Our ambition is to continue to aggressively grow this customer portfolio. We are in active discussions with additional customers who may have significant demand for additional LNG.</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05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740537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21" w:lineRule="exact"/>
        <w:rPr>
          <w:sz w:val="20"/>
          <w:szCs w:val="20"/>
          <w:color w:val="auto"/>
        </w:rPr>
      </w:pPr>
    </w:p>
    <w:p>
      <w:pPr>
        <w:ind w:left="100" w:firstLine="360"/>
        <w:spacing w:after="0" w:line="279"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63"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i w:val="1"/>
          <w:iCs w:val="1"/>
          <w:color w:val="auto"/>
        </w:rPr>
        <w:t xml:space="preserve">Proven Ability to Execute. </w:t>
      </w:r>
      <w:r>
        <w:rPr>
          <w:rFonts w:ascii="Arial" w:cs="Arial" w:eastAsia="Arial" w:hAnsi="Arial"/>
          <w:sz w:val="16"/>
          <w:szCs w:val="16"/>
          <w:color w:val="auto"/>
        </w:rPr>
        <w:t>We are confident in our ability to execute and scale our business model to support our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expect to commission our Old Harbour Terminal starting in December 2018. Construction is complete, and we expect our chartered FSRU to arrive in the fourth quarter 2018. When operational, the Old Harbour Terminal will service a new 190MW power plant operated by JPC and a new 94MW plant that we have begun constructing at 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64" w:lineRule="exact"/>
        <w:rPr>
          <w:sz w:val="20"/>
          <w:szCs w:val="20"/>
          <w:color w:val="auto"/>
        </w:rPr>
      </w:pPr>
    </w:p>
    <w:p>
      <w:pPr>
        <w:ind w:left="100" w:right="200" w:firstLine="360"/>
        <w:spacing w:after="0" w:line="297" w:lineRule="auto"/>
        <w:rPr>
          <w:sz w:val="20"/>
          <w:szCs w:val="20"/>
          <w:color w:val="auto"/>
        </w:rPr>
      </w:pPr>
      <w:r>
        <w:rPr>
          <w:rFonts w:ascii="Arial" w:cs="Arial" w:eastAsia="Arial" w:hAnsi="Arial"/>
          <w:sz w:val="16"/>
          <w:szCs w:val="16"/>
          <w:i w:val="1"/>
          <w:iCs w:val="1"/>
          <w:color w:val="auto"/>
        </w:rPr>
        <w:t>Growth Opportunity — Africa</w:t>
      </w:r>
      <w:r>
        <w:rPr>
          <w:rFonts w:ascii="Arial" w:cs="Arial" w:eastAsia="Arial" w:hAnsi="Arial"/>
          <w:sz w:val="16"/>
          <w:szCs w:val="16"/>
          <w:color w:val="auto"/>
        </w:rPr>
        <w:t>. In Sub-Saharan Africa, 590 million people, or 57% of the population, lack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As a result, power generation on the continent is anticipated to more than double to 253GW by 2030. Natural gas consumption is expected to grow by nearly 150% over this timeframe, outpacing nearly every other fuel. We recognize the immense opportunity that Africa affords and are opening our first office in Ghana in late 2018. We have engaged with multiple local counterparties, and we anticipate deploying meaningful capital in African projects in the future.</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100" w:right="820" w:firstLine="360"/>
        <w:spacing w:after="0" w:line="308" w:lineRule="auto"/>
        <w:rPr>
          <w:sz w:val="20"/>
          <w:szCs w:val="20"/>
          <w:color w:val="auto"/>
        </w:rPr>
      </w:pPr>
      <w:r>
        <w:rPr>
          <w:rFonts w:ascii="Arial" w:cs="Arial" w:eastAsia="Arial" w:hAnsi="Arial"/>
          <w:sz w:val="17"/>
          <w:szCs w:val="17"/>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38" w:lineRule="exact"/>
        <w:rPr>
          <w:sz w:val="20"/>
          <w:szCs w:val="20"/>
          <w:color w:val="auto"/>
        </w:rPr>
      </w:pPr>
    </w:p>
    <w:p>
      <w:pPr>
        <w:ind w:left="800" w:right="60" w:hanging="342"/>
        <w:spacing w:after="0" w:line="255"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LNG liquefaction and distribution facilities</w:t>
      </w:r>
      <w:r>
        <w:rPr>
          <w:rFonts w:ascii="Arial" w:cs="Arial" w:eastAsia="Arial" w:hAnsi="Arial"/>
          <w:sz w:val="18"/>
          <w:szCs w:val="18"/>
          <w:color w:val="auto"/>
        </w:rPr>
        <w:t>. We currently procure our LNG either by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Facilities.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81" w:lineRule="exact"/>
        <w:rPr>
          <w:rFonts w:ascii="Arial" w:cs="Arial" w:eastAsia="Arial" w:hAnsi="Arial"/>
          <w:sz w:val="18"/>
          <w:szCs w:val="18"/>
          <w:color w:val="auto"/>
        </w:rPr>
      </w:pPr>
    </w:p>
    <w:p>
      <w:pPr>
        <w:ind w:left="800" w:right="60" w:hanging="342"/>
        <w:spacing w:after="0" w:line="270"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LNG distribution business</w:t>
      </w:r>
      <w:r>
        <w:rPr>
          <w:rFonts w:ascii="Arial" w:cs="Arial" w:eastAsia="Arial" w:hAnsi="Arial"/>
          <w:sz w:val="17"/>
          <w:szCs w:val="17"/>
          <w:color w:val="auto"/>
        </w:rPr>
        <w:t>. Our sales and marketing team seeks to identify utilities,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and industrial end-users who may view natural gas or LNG as a potentially compelling alternative to traditional distillate fuels and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69" w:lineRule="exact"/>
        <w:rPr>
          <w:rFonts w:ascii="Arial" w:cs="Arial" w:eastAsia="Arial" w:hAnsi="Arial"/>
          <w:sz w:val="17"/>
          <w:szCs w:val="17"/>
          <w:color w:val="auto"/>
        </w:rPr>
      </w:pPr>
    </w:p>
    <w:p>
      <w:pPr>
        <w:ind w:left="800" w:right="100" w:hanging="342"/>
        <w:spacing w:after="0" w:line="26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Develop gas-fired power generation assets</w:t>
      </w:r>
      <w:r>
        <w:rPr>
          <w:rFonts w:ascii="Arial" w:cs="Arial" w:eastAsia="Arial" w:hAnsi="Arial"/>
          <w:sz w:val="18"/>
          <w:szCs w:val="18"/>
          <w:color w:val="auto"/>
        </w:rPr>
        <w:t>. We believe that developing and constructing our own gas-fired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assets is a compelling growth strategy for our company. We are currently developing a dual-fired combined heat and power facility in Clarendon, Jamaica (the “CHP Plant”),</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30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130415"/>
                    </a:xfrm>
                    <a:prstGeom prst="rect">
                      <a:avLst/>
                    </a:prstGeom>
                    <a:noFill/>
                  </pic:spPr>
                </pic:pic>
              </a:graphicData>
            </a:graphic>
          </wp:anchor>
        </w:drawing>
      </w:r>
    </w:p>
    <w:p>
      <w:pPr>
        <w:spacing w:after="0" w:line="138" w:lineRule="exact"/>
        <w:rPr>
          <w:sz w:val="20"/>
          <w:szCs w:val="20"/>
          <w:color w:val="auto"/>
        </w:rPr>
      </w:pPr>
    </w:p>
    <w:p>
      <w:pPr>
        <w:ind w:left="820" w:right="80"/>
        <w:spacing w:after="0" w:line="257" w:lineRule="auto"/>
        <w:rPr>
          <w:sz w:val="20"/>
          <w:szCs w:val="20"/>
          <w:color w:val="auto"/>
        </w:rPr>
      </w:pPr>
      <w:r>
        <w:rPr>
          <w:rFonts w:ascii="Arial" w:cs="Arial" w:eastAsia="Arial" w:hAnsi="Arial"/>
          <w:sz w:val="18"/>
          <w:szCs w:val="18"/>
          <w:color w:val="auto"/>
        </w:rPr>
        <w:t>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80" w:lineRule="exact"/>
        <w:rPr>
          <w:sz w:val="20"/>
          <w:szCs w:val="20"/>
          <w:color w:val="auto"/>
        </w:rPr>
      </w:pPr>
    </w:p>
    <w:p>
      <w:pPr>
        <w:ind w:left="800" w:hanging="342"/>
        <w:spacing w:after="0" w:line="271"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build-out our Caribbean infrastructure</w:t>
      </w:r>
      <w:r>
        <w:rPr>
          <w:rFonts w:ascii="Arial" w:cs="Arial" w:eastAsia="Arial" w:hAnsi="Arial"/>
          <w:sz w:val="17"/>
          <w:szCs w:val="17"/>
          <w:color w:val="auto"/>
        </w:rPr>
        <w:t>. Our take-or-pay gas supply agreements and steam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with electric utilities and industrial end-users in Jamaica provide us with the opportunity for stable, long-term contracted cash flows. In order to service these contracts efficiently and cost effectively, we have begun to develop the necessary assets and infrastructure in Jamaica. Following this offering, we intend to 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70" w:lineRule="exact"/>
        <w:rPr>
          <w:rFonts w:ascii="Arial" w:cs="Arial" w:eastAsia="Arial" w:hAnsi="Arial"/>
          <w:sz w:val="17"/>
          <w:szCs w:val="17"/>
          <w:color w:val="auto"/>
        </w:rPr>
      </w:pPr>
    </w:p>
    <w:p>
      <w:pPr>
        <w:ind w:left="800" w:hanging="342"/>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Maintain financial strength and flexibility</w:t>
      </w:r>
      <w:r>
        <w:rPr>
          <w:rFonts w:ascii="Arial" w:cs="Arial" w:eastAsia="Arial" w:hAnsi="Arial"/>
          <w:sz w:val="16"/>
          <w:szCs w:val="16"/>
          <w:color w:val="auto"/>
        </w:rPr>
        <w:t>. We will seek to maintain a conservative balance sheet, which will allow us</w:t>
      </w:r>
    </w:p>
    <w:p>
      <w:pPr>
        <w:sectPr>
          <w:pgSz w:w="11900" w:h="16838" w:orient="portrait"/>
          <w:cols w:equalWidth="0" w:num="1">
            <w:col w:w="9440"/>
          </w:cols>
          <w:pgMar w:left="1180" w:top="279" w:right="1279" w:bottom="1440" w:gutter="0" w:footer="0" w:header="0"/>
        </w:sectPr>
      </w:pPr>
    </w:p>
    <w:p>
      <w:pPr>
        <w:spacing w:after="0" w:line="46" w:lineRule="exact"/>
        <w:rPr>
          <w:sz w:val="20"/>
          <w:szCs w:val="20"/>
          <w:color w:val="auto"/>
        </w:rPr>
      </w:pPr>
    </w:p>
    <w:p>
      <w:pPr>
        <w:ind w:left="800" w:right="60"/>
        <w:spacing w:after="0" w:line="265" w:lineRule="auto"/>
        <w:rPr>
          <w:sz w:val="20"/>
          <w:szCs w:val="20"/>
          <w:color w:val="auto"/>
        </w:rPr>
      </w:pPr>
      <w:r>
        <w:rPr>
          <w:rFonts w:ascii="Arial" w:cs="Arial" w:eastAsia="Arial" w:hAnsi="Arial"/>
          <w:sz w:val="17"/>
          <w:szCs w:val="17"/>
          <w:color w:val="auto"/>
        </w:rPr>
        <w:t>to better react to our customers’ changing needs. As of the closing of this offering, we expect to have $ in total assets (including $ in cash and cash equivalents) and $ of total indebtedness outstanding. We believe this low</w:t>
      </w:r>
    </w:p>
    <w:p>
      <w:pPr>
        <w:sectPr>
          <w:pgSz w:w="11900" w:h="16838" w:orient="portrait"/>
          <w:cols w:equalWidth="0" w:num="1">
            <w:col w:w="9440"/>
          </w:cols>
          <w:pgMar w:left="1180" w:top="279" w:right="1279" w:bottom="1440" w:gutter="0" w:footer="0" w:header="0"/>
          <w:type w:val="continuous"/>
        </w:sectPr>
      </w:pPr>
    </w:p>
    <w:p>
      <w:pPr>
        <w:ind w:left="800" w:right="540"/>
        <w:spacing w:after="0" w:line="261" w:lineRule="auto"/>
        <w:rPr>
          <w:sz w:val="20"/>
          <w:szCs w:val="20"/>
          <w:color w:val="auto"/>
        </w:rPr>
      </w:pPr>
      <w:r>
        <w:rPr>
          <w:rFonts w:ascii="Arial" w:cs="Arial" w:eastAsia="Arial" w:hAnsi="Arial"/>
          <w:sz w:val="18"/>
          <w:szCs w:val="18"/>
          <w:color w:val="auto"/>
        </w:rPr>
        <w:t>leverage and cash position, along with our cash flows from operations will provide us with sufficient liquidity to execute on the business strategies discussed above.</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00" w:right="16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800" w:right="40" w:hanging="342"/>
        <w:spacing w:after="0" w:line="25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energy solution creates new customer base</w:t>
      </w:r>
      <w:r>
        <w:rPr>
          <w:rFonts w:ascii="Arial" w:cs="Arial" w:eastAsia="Arial" w:hAnsi="Arial"/>
          <w:sz w:val="18"/>
          <w:szCs w:val="18"/>
          <w:color w:val="auto"/>
        </w:rPr>
        <w:t>. We offer our customers a comprehensive energy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81" w:lineRule="exact"/>
        <w:rPr>
          <w:rFonts w:ascii="Arial" w:cs="Arial" w:eastAsia="Arial" w:hAnsi="Arial"/>
          <w:sz w:val="18"/>
          <w:szCs w:val="18"/>
          <w:color w:val="auto"/>
        </w:rPr>
      </w:pPr>
    </w:p>
    <w:p>
      <w:pPr>
        <w:ind w:left="800" w:right="100" w:hanging="342"/>
        <w:spacing w:after="0" w:line="29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Demonstrated ability to execute</w:t>
      </w:r>
      <w:r>
        <w:rPr>
          <w:rFonts w:ascii="Arial" w:cs="Arial" w:eastAsia="Arial" w:hAnsi="Arial"/>
          <w:sz w:val="16"/>
          <w:szCs w:val="16"/>
          <w:color w:val="auto"/>
        </w:rPr>
        <w:t>. The success of our business strategy and its benefit to our customers is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proven ability to secure long-term, take-or-pay contracts. Our Montego Bay Terminal and related infrastructure (operational since October 30, 2016) has enabled JPS to use natural gas at the Bogue Power Plant, rather than rely on automotive diesel oil (“ADO”), at prices that are competitive with ADO. We have also entered into a long-term, take-or-pay contract with JPC to supply JPC’s Old Harbour Power Plant with LNG, a 20-year steam supply agreement (“SSA”) to supply Jamalco with steam for use in its alumina refinery operations, and a 20-year power purchase agreement (“PPA”) to supply electricity to the Jamaica power grid from our CHP Plant in Clarendon, Jamaica.</w:t>
      </w:r>
    </w:p>
    <w:p>
      <w:pPr>
        <w:spacing w:after="0" w:line="59" w:lineRule="exact"/>
        <w:rPr>
          <w:rFonts w:ascii="Arial" w:cs="Arial" w:eastAsia="Arial" w:hAnsi="Arial"/>
          <w:sz w:val="16"/>
          <w:szCs w:val="16"/>
          <w:color w:val="auto"/>
        </w:rPr>
      </w:pPr>
    </w:p>
    <w:p>
      <w:pPr>
        <w:ind w:left="800" w:right="80" w:hanging="342"/>
        <w:spacing w:after="0" w:line="290"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Economically and environmentally attractive product</w:t>
      </w:r>
      <w:r>
        <w:rPr>
          <w:rFonts w:ascii="Arial" w:cs="Arial" w:eastAsia="Arial" w:hAnsi="Arial"/>
          <w:sz w:val="16"/>
          <w:szCs w:val="16"/>
          <w:color w:val="auto"/>
        </w:rPr>
        <w:t>. We believe natural gas is a cheaper, cleaner and thus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58" w:lineRule="exact"/>
        <w:rPr>
          <w:rFonts w:ascii="Arial" w:cs="Arial" w:eastAsia="Arial" w:hAnsi="Arial"/>
          <w:sz w:val="16"/>
          <w:szCs w:val="16"/>
          <w:color w:val="auto"/>
        </w:rPr>
      </w:pPr>
    </w:p>
    <w:p>
      <w:pPr>
        <w:ind w:left="800" w:right="300" w:hanging="342"/>
        <w:spacing w:after="0" w:line="26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Scalable infrastructure can drive margin expansion</w:t>
      </w:r>
      <w:r>
        <w:rPr>
          <w:rFonts w:ascii="Arial" w:cs="Arial" w:eastAsia="Arial" w:hAnsi="Arial"/>
          <w:sz w:val="18"/>
          <w:szCs w:val="18"/>
          <w:color w:val="auto"/>
        </w:rPr>
        <w:t>. Our Jamaica Terminals, CHP Plant and other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us to deliver natural gas to additional islands throughout the Atlantic Basin and beyond. We believe we can augment our existing infrastructure by investing limited amounts of</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5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6856095"/>
                    </a:xfrm>
                    <a:prstGeom prst="rect">
                      <a:avLst/>
                    </a:prstGeom>
                    <a:noFill/>
                  </pic:spPr>
                </pic:pic>
              </a:graphicData>
            </a:graphic>
          </wp:anchor>
        </w:drawing>
      </w:r>
    </w:p>
    <w:p>
      <w:pPr>
        <w:spacing w:after="0" w:line="138" w:lineRule="exact"/>
        <w:rPr>
          <w:sz w:val="20"/>
          <w:szCs w:val="20"/>
          <w:color w:val="auto"/>
        </w:rPr>
      </w:pPr>
    </w:p>
    <w:p>
      <w:pPr>
        <w:ind w:left="820" w:right="40"/>
        <w:spacing w:after="0" w:line="276" w:lineRule="auto"/>
        <w:rPr>
          <w:sz w:val="20"/>
          <w:szCs w:val="20"/>
          <w:color w:val="auto"/>
        </w:rPr>
      </w:pPr>
      <w:r>
        <w:rPr>
          <w:rFonts w:ascii="Arial" w:cs="Arial" w:eastAsia="Arial" w:hAnsi="Arial"/>
          <w:sz w:val="17"/>
          <w:szCs w:val="17"/>
          <w:color w:val="auto"/>
        </w:rPr>
        <w:t>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Facilities,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Relationship with New Fortress Energy Holdings and its Affiliates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the completion of this offering, New Fortress Energy Holdings will retain a significant interest in us through its</w:t>
      </w:r>
    </w:p>
    <w:p>
      <w:pPr>
        <w:spacing w:after="0" w:line="35" w:lineRule="exact"/>
        <w:rPr>
          <w:sz w:val="20"/>
          <w:szCs w:val="20"/>
          <w:color w:val="auto"/>
        </w:rPr>
      </w:pPr>
    </w:p>
    <w:p>
      <w:pPr>
        <w:ind w:left="520" w:right="100" w:hanging="404"/>
        <w:spacing w:after="0" w:line="261" w:lineRule="auto"/>
        <w:rPr>
          <w:sz w:val="20"/>
          <w:szCs w:val="20"/>
          <w:color w:val="auto"/>
        </w:rPr>
      </w:pPr>
      <w:r>
        <w:rPr>
          <w:rFonts w:ascii="Arial" w:cs="Arial" w:eastAsia="Arial" w:hAnsi="Arial"/>
          <w:sz w:val="18"/>
          <w:szCs w:val="18"/>
          <w:color w:val="auto"/>
        </w:rPr>
        <w:t>ownership of</w:t>
      </w:r>
      <w:r>
        <w:rPr>
          <w:sz w:val="20"/>
          <w:szCs w:val="20"/>
          <w:color w:val="auto"/>
        </w:rPr>
        <w:t xml:space="preserve"> </w:t>
      </w:r>
      <w:r>
        <w:rPr>
          <w:rFonts w:ascii="Arial" w:cs="Arial" w:eastAsia="Arial" w:hAnsi="Arial"/>
          <w:sz w:val="18"/>
          <w:szCs w:val="18"/>
          <w:color w:val="auto"/>
        </w:rPr>
        <w:t>Class B shares, representing a % voting and non-economic limited liability company interest in us and a % economic interest in NFI.</w:t>
      </w:r>
    </w:p>
    <w:p>
      <w:pPr>
        <w:spacing w:after="0" w:line="76" w:lineRule="exact"/>
        <w:rPr>
          <w:sz w:val="20"/>
          <w:szCs w:val="20"/>
          <w:color w:val="auto"/>
        </w:rPr>
      </w:pPr>
    </w:p>
    <w:p>
      <w:pPr>
        <w:ind w:left="100" w:right="160" w:firstLine="360"/>
        <w:spacing w:after="0" w:line="286" w:lineRule="auto"/>
        <w:rPr>
          <w:sz w:val="20"/>
          <w:szCs w:val="20"/>
          <w:color w:val="auto"/>
        </w:rPr>
      </w:pPr>
      <w:r>
        <w:rPr>
          <w:rFonts w:ascii="Arial" w:cs="Arial" w:eastAsia="Arial" w:hAnsi="Arial"/>
          <w:sz w:val="17"/>
          <w:szCs w:val="17"/>
          <w:color w:val="auto"/>
        </w:rPr>
        <w:t>A substantial majority of the equity of New Fortress Energy Holdings is owned by Fortress Equity Partners (A) LP (the “Fortress Shareholder”), a Delaware limited partnership. The Fortress Shareholder is managed by FIG LLC, a Delaware limited liability company (“FIG LLC”), which is an affiliate of Fortress Investment Group LLC (“Fortress”).</w:t>
      </w:r>
    </w:p>
    <w:p>
      <w:pPr>
        <w:spacing w:after="0" w:line="57" w:lineRule="exact"/>
        <w:rPr>
          <w:sz w:val="20"/>
          <w:szCs w:val="20"/>
          <w:color w:val="auto"/>
        </w:rPr>
      </w:pPr>
    </w:p>
    <w:p>
      <w:pPr>
        <w:ind w:left="100" w:right="300" w:firstLine="360"/>
        <w:spacing w:after="0" w:line="277" w:lineRule="auto"/>
        <w:rPr>
          <w:sz w:val="20"/>
          <w:szCs w:val="20"/>
          <w:color w:val="auto"/>
        </w:rPr>
      </w:pPr>
      <w:r>
        <w:rPr>
          <w:rFonts w:ascii="Arial" w:cs="Arial" w:eastAsia="Arial" w:hAnsi="Arial"/>
          <w:sz w:val="18"/>
          <w:szCs w:val="18"/>
          <w:color w:val="auto"/>
        </w:rPr>
        <w:t>While our relationship with New Fortress Energy Holdings and its affiliates is a significant strength, it is also a source of potential conflicts. Please read “—Controlled Company Status” and “Risk Factors.”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Emerging Growth Company Status</w:t>
      </w:r>
    </w:p>
    <w:p>
      <w:pPr>
        <w:spacing w:after="0" w:line="121" w:lineRule="exact"/>
        <w:rPr>
          <w:sz w:val="20"/>
          <w:szCs w:val="20"/>
          <w:color w:val="auto"/>
        </w:rPr>
      </w:pPr>
    </w:p>
    <w:p>
      <w:pPr>
        <w:ind w:left="100" w:right="14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For as long as we are an emerging growth company, unlike other public companies, we will not be required to:</w:t>
      </w:r>
    </w:p>
    <w:p>
      <w:pPr>
        <w:spacing w:after="0" w:line="62" w:lineRule="exact"/>
        <w:rPr>
          <w:sz w:val="20"/>
          <w:szCs w:val="20"/>
          <w:color w:val="auto"/>
        </w:rPr>
      </w:pPr>
    </w:p>
    <w:p>
      <w:pPr>
        <w:ind w:left="800" w:right="360" w:hanging="342"/>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an auditor’s attestation report on the effectiveness of our system of internal control over financial reporting pursuant to Section 404(b) of the Sarbanes-Oxley Act of 2002 (the “Sarbanes-Oxley Act”);</w:t>
      </w:r>
    </w:p>
    <w:p>
      <w:pPr>
        <w:spacing w:after="0" w:line="62" w:lineRule="exact"/>
        <w:rPr>
          <w:rFonts w:ascii="Arial" w:cs="Arial" w:eastAsia="Arial" w:hAnsi="Arial"/>
          <w:sz w:val="18"/>
          <w:szCs w:val="18"/>
          <w:color w:val="auto"/>
        </w:rPr>
      </w:pPr>
    </w:p>
    <w:p>
      <w:pPr>
        <w:ind w:left="800" w:right="160" w:hanging="342"/>
        <w:spacing w:after="0" w:line="286"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comply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w:t>
      </w:r>
    </w:p>
    <w:p>
      <w:pPr>
        <w:spacing w:after="0" w:line="57" w:lineRule="exact"/>
        <w:rPr>
          <w:rFonts w:ascii="Arial" w:cs="Arial" w:eastAsia="Arial" w:hAnsi="Arial"/>
          <w:sz w:val="17"/>
          <w:szCs w:val="17"/>
          <w:color w:val="auto"/>
        </w:rPr>
      </w:pPr>
    </w:p>
    <w:p>
      <w:pPr>
        <w:ind w:left="800" w:hanging="34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 with any new audit rules adopted by the PCAOB, unless the SEC determines otherwise;</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certain disclosure regarding executive compensation required of larger public companies; or</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shareholder approval of any golden parachute payments not previously approved.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cease to be an “emerging growth company” upon the earliest of:</w:t>
      </w:r>
    </w:p>
    <w:p>
      <w:pPr>
        <w:spacing w:after="0" w:line="117" w:lineRule="exact"/>
        <w:rPr>
          <w:sz w:val="20"/>
          <w:szCs w:val="20"/>
          <w:color w:val="auto"/>
        </w:rPr>
      </w:pP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have $1.07 billion or more in annual revenues;</w:t>
      </w:r>
    </w:p>
    <w:p>
      <w:pPr>
        <w:spacing w:after="0" w:line="117" w:lineRule="exact"/>
        <w:rPr>
          <w:rFonts w:ascii="Arial" w:cs="Arial" w:eastAsia="Arial" w:hAnsi="Arial"/>
          <w:sz w:val="18"/>
          <w:szCs w:val="18"/>
          <w:color w:val="auto"/>
        </w:rPr>
      </w:pPr>
    </w:p>
    <w:p>
      <w:pPr>
        <w:ind w:left="800" w:right="100" w:hanging="342"/>
        <w:spacing w:after="0" w:line="290"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date on which we become a “large-accelerated filer” (i.e., the end of the fiscal year on which the total market value of our common equity securities held by non-affiliates is $700.0 million or more as of the preceding June 30</w:t>
      </w:r>
      <w:r>
        <w:rPr>
          <w:rFonts w:ascii="Arial" w:cs="Arial" w:eastAsia="Arial" w:hAnsi="Arial"/>
          <w:sz w:val="24"/>
          <w:szCs w:val="24"/>
          <w:color w:val="auto"/>
          <w:vertAlign w:val="superscript"/>
        </w:rPr>
        <w:t>th</w:t>
      </w:r>
      <w:r>
        <w:rPr>
          <w:rFonts w:ascii="Arial" w:cs="Arial" w:eastAsia="Arial" w:hAnsi="Arial"/>
          <w:sz w:val="16"/>
          <w:szCs w:val="16"/>
          <w:color w:val="auto"/>
        </w:rPr>
        <w:t>);</w:t>
      </w: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issue more than $1.0 billion of non-convertible debt over a three-year period; or</w:t>
      </w:r>
    </w:p>
    <w:p>
      <w:pPr>
        <w:spacing w:after="0" w:line="101" w:lineRule="exact"/>
        <w:rPr>
          <w:rFonts w:ascii="Arial" w:cs="Arial" w:eastAsia="Arial" w:hAnsi="Arial"/>
          <w:sz w:val="18"/>
          <w:szCs w:val="18"/>
          <w:color w:val="auto"/>
        </w:rPr>
      </w:pPr>
    </w:p>
    <w:p>
      <w:pPr>
        <w:ind w:left="800" w:hanging="34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initial public offering.</w:t>
      </w:r>
    </w:p>
    <w:p>
      <w:pPr>
        <w:spacing w:after="0" w:line="117"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102(b)(2) of the JOBS Act, that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05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740537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00" w:right="100" w:firstLine="360"/>
        <w:spacing w:after="0" w:line="274" w:lineRule="auto"/>
        <w:rPr>
          <w:sz w:val="20"/>
          <w:szCs w:val="20"/>
          <w:color w:val="auto"/>
        </w:rPr>
      </w:pPr>
      <w:r>
        <w:rPr>
          <w:rFonts w:ascii="Arial" w:cs="Arial" w:eastAsia="Arial" w:hAnsi="Arial"/>
          <w:sz w:val="17"/>
          <w:szCs w:val="17"/>
          <w:color w:val="auto"/>
        </w:rPr>
        <w:t>Because New Fortress Energy Holdings will initially hold approximately % of the voting power of our shares following the completion of this offering (or approximately % if the underwriters’ option to purchase additional Class A shares is</w:t>
      </w:r>
    </w:p>
    <w:p>
      <w:pPr>
        <w:ind w:left="100" w:right="20"/>
        <w:spacing w:after="0" w:line="281" w:lineRule="auto"/>
        <w:rPr>
          <w:sz w:val="20"/>
          <w:szCs w:val="20"/>
          <w:color w:val="auto"/>
        </w:rPr>
      </w:pPr>
      <w:r>
        <w:rPr>
          <w:rFonts w:ascii="Arial" w:cs="Arial" w:eastAsia="Arial" w:hAnsi="Arial"/>
          <w:sz w:val="16"/>
          <w:szCs w:val="16"/>
          <w:color w:val="auto"/>
        </w:rPr>
        <w:t>exercised in full), we expect to be a controlled company as of the completion of the offering under the Sarbanes-Oxley Act and Nasdaq Global Select Market (“NASDAQ”) rules. A controlled company does not need its board of directors to have a majority of independent directors or to form an independent compensation or nominating and corporate governance committee. As a controlled company, we will remain subject to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w:t>
      </w:r>
    </w:p>
    <w:p>
      <w:pPr>
        <w:spacing w:after="0" w:line="5" w:lineRule="exact"/>
        <w:rPr>
          <w:sz w:val="20"/>
          <w:szCs w:val="20"/>
          <w:color w:val="auto"/>
        </w:rPr>
      </w:pPr>
    </w:p>
    <w:p>
      <w:pPr>
        <w:ind w:left="100"/>
        <w:spacing w:after="0"/>
        <w:tabs>
          <w:tab w:leader="none" w:pos="2300" w:val="left"/>
        </w:tabs>
        <w:rPr>
          <w:sz w:val="20"/>
          <w:szCs w:val="20"/>
          <w:color w:val="auto"/>
        </w:rPr>
      </w:pPr>
      <w:r>
        <w:rPr>
          <w:rFonts w:ascii="Arial" w:cs="Arial" w:eastAsia="Arial" w:hAnsi="Arial"/>
          <w:sz w:val="18"/>
          <w:szCs w:val="18"/>
          <w:color w:val="auto"/>
        </w:rPr>
        <w:t>date. We expect to have</w:t>
      </w:r>
      <w:r>
        <w:rPr>
          <w:sz w:val="20"/>
          <w:szCs w:val="20"/>
          <w:color w:val="auto"/>
        </w:rPr>
        <w:tab/>
      </w:r>
      <w:r>
        <w:rPr>
          <w:rFonts w:ascii="Arial" w:cs="Arial" w:eastAsia="Arial" w:hAnsi="Arial"/>
          <w:sz w:val="16"/>
          <w:szCs w:val="16"/>
          <w:color w:val="auto"/>
        </w:rPr>
        <w:t>independent directors upon the closing of this offering.</w:t>
      </w:r>
    </w:p>
    <w:p>
      <w:pPr>
        <w:spacing w:after="0" w:line="103" w:lineRule="exact"/>
        <w:rPr>
          <w:sz w:val="20"/>
          <w:szCs w:val="20"/>
          <w:color w:val="auto"/>
        </w:rPr>
      </w:pPr>
    </w:p>
    <w:p>
      <w:pPr>
        <w:jc w:val="both"/>
        <w:ind w:left="100" w:right="20" w:firstLine="360"/>
        <w:spacing w:after="0" w:line="264"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rules, including by appointing a majority of independent directors to our board of directors, subject to a permitted “phase-in” period.</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100" w:right="160" w:firstLine="360"/>
        <w:spacing w:after="0" w:line="302" w:lineRule="auto"/>
        <w:rPr>
          <w:sz w:val="20"/>
          <w:szCs w:val="20"/>
          <w:color w:val="auto"/>
        </w:rPr>
      </w:pPr>
      <w:r>
        <w:rPr>
          <w:rFonts w:ascii="Arial" w:cs="Arial" w:eastAsia="Arial" w:hAnsi="Arial"/>
          <w:sz w:val="16"/>
          <w:szCs w:val="16"/>
          <w:color w:val="auto"/>
        </w:rPr>
        <w:t>An investment in our Class A shares involves risks associated with our business, regulatory and legal matters, our limited liability company structure and the tax characteristics of our Class A shares. Below is a summary of certain key risk factors that you should consider in evaluating an investment in our Class A shares. However, this list is not exhaustive. Please read the full discussion of these risks and the other risks described under “Risk Factors” and “Forward-Looking Statements.”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include the following:</w:t>
      </w:r>
    </w:p>
    <w:p>
      <w:pPr>
        <w:spacing w:after="0" w:line="117" w:lineRule="exact"/>
        <w:rPr>
          <w:sz w:val="20"/>
          <w:szCs w:val="20"/>
          <w:color w:val="auto"/>
        </w:rPr>
      </w:pPr>
    </w:p>
    <w:p>
      <w:pPr>
        <w:ind w:left="800" w:hanging="34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an investment in our Class A shares is highly speculative.</w:t>
      </w:r>
    </w:p>
    <w:p>
      <w:pPr>
        <w:spacing w:after="0" w:line="117" w:lineRule="exact"/>
        <w:rPr>
          <w:rFonts w:ascii="Arial" w:cs="Arial" w:eastAsia="Arial" w:hAnsi="Arial"/>
          <w:sz w:val="18"/>
          <w:szCs w:val="18"/>
          <w:color w:val="auto"/>
        </w:rPr>
      </w:pPr>
    </w:p>
    <w:p>
      <w:pPr>
        <w:ind w:left="80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62" w:lineRule="exact"/>
        <w:rPr>
          <w:rFonts w:ascii="Arial" w:cs="Arial" w:eastAsia="Arial" w:hAnsi="Arial"/>
          <w:sz w:val="18"/>
          <w:szCs w:val="18"/>
          <w:color w:val="auto"/>
        </w:rPr>
      </w:pPr>
    </w:p>
    <w:p>
      <w:pPr>
        <w:ind w:left="800" w:right="34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pacing w:after="0" w:line="62" w:lineRule="exact"/>
        <w:rPr>
          <w:rFonts w:ascii="Arial" w:cs="Arial" w:eastAsia="Arial" w:hAnsi="Arial"/>
          <w:sz w:val="18"/>
          <w:szCs w:val="18"/>
          <w:color w:val="auto"/>
        </w:rPr>
      </w:pPr>
    </w:p>
    <w:p>
      <w:pPr>
        <w:jc w:val="both"/>
        <w:ind w:left="800" w:right="100" w:hanging="342"/>
        <w:spacing w:after="0" w:line="26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3" w:lineRule="exact"/>
        <w:rPr>
          <w:rFonts w:ascii="Arial" w:cs="Arial" w:eastAsia="Arial" w:hAnsi="Arial"/>
          <w:sz w:val="18"/>
          <w:szCs w:val="18"/>
          <w:color w:val="auto"/>
        </w:rPr>
      </w:pPr>
    </w:p>
    <w:p>
      <w:pPr>
        <w:ind w:left="800" w:right="50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2" w:lineRule="exact"/>
        <w:rPr>
          <w:rFonts w:ascii="Arial" w:cs="Arial" w:eastAsia="Arial" w:hAnsi="Arial"/>
          <w:sz w:val="18"/>
          <w:szCs w:val="18"/>
          <w:color w:val="auto"/>
        </w:rPr>
      </w:pPr>
    </w:p>
    <w:p>
      <w:pPr>
        <w:ind w:left="800" w:right="52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2" w:lineRule="exact"/>
        <w:rPr>
          <w:rFonts w:ascii="Arial" w:cs="Arial" w:eastAsia="Arial" w:hAnsi="Arial"/>
          <w:sz w:val="18"/>
          <w:szCs w:val="18"/>
          <w:color w:val="auto"/>
        </w:rPr>
      </w:pPr>
    </w:p>
    <w:p>
      <w:pPr>
        <w:ind w:left="800" w:right="60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spacing w:after="0" w:line="62" w:lineRule="exact"/>
        <w:rPr>
          <w:rFonts w:ascii="Arial" w:cs="Arial" w:eastAsia="Arial" w:hAnsi="Arial"/>
          <w:sz w:val="18"/>
          <w:szCs w:val="18"/>
          <w:color w:val="auto"/>
        </w:rPr>
      </w:pPr>
    </w:p>
    <w:p>
      <w:pPr>
        <w:ind w:left="800" w:right="200" w:hanging="34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and the other jurisdictions in which we operate.</w:t>
      </w:r>
    </w:p>
    <w:p>
      <w:pPr>
        <w:spacing w:after="0" w:line="62" w:lineRule="exact"/>
        <w:rPr>
          <w:rFonts w:ascii="Arial" w:cs="Arial" w:eastAsia="Arial" w:hAnsi="Arial"/>
          <w:sz w:val="18"/>
          <w:szCs w:val="18"/>
          <w:color w:val="auto"/>
        </w:rPr>
      </w:pPr>
    </w:p>
    <w:p>
      <w:pPr>
        <w:ind w:left="800" w:right="320" w:hanging="342"/>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sz w:val="20"/>
          <w:szCs w:val="20"/>
          <w:color w:val="auto"/>
        </w:rPr>
      </w:pPr>
    </w:p>
    <w:p>
      <w:pPr>
        <w:ind w:left="460"/>
        <w:spacing w:after="0"/>
        <w:tabs>
          <w:tab w:leader="none" w:pos="78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Shareholders will experience immediate and substantial dilution of $</w:t>
      </w:r>
      <w:r>
        <w:rPr>
          <w:sz w:val="20"/>
          <w:szCs w:val="20"/>
          <w:color w:val="auto"/>
        </w:rPr>
        <w:tab/>
      </w:r>
      <w:r>
        <w:rPr>
          <w:rFonts w:ascii="Arial" w:cs="Arial" w:eastAsia="Arial" w:hAnsi="Arial"/>
          <w:sz w:val="15"/>
          <w:szCs w:val="15"/>
          <w:color w:val="auto"/>
        </w:rPr>
        <w:t>per Class A share.</w:t>
      </w:r>
    </w:p>
    <w:p>
      <w:pPr>
        <w:spacing w:after="0" w:line="117" w:lineRule="exact"/>
        <w:rPr>
          <w:sz w:val="20"/>
          <w:szCs w:val="20"/>
          <w:color w:val="auto"/>
        </w:rPr>
      </w:pPr>
    </w:p>
    <w:p>
      <w:pPr>
        <w:ind w:left="800" w:right="440" w:hanging="342"/>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Fortress Energy Holdings has the ability to direct the voting of a majority of our shares, and its interests may conflict with those of our other shareholders.</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7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7679690"/>
                    </a:xfrm>
                    <a:prstGeom prst="rect">
                      <a:avLst/>
                    </a:prstGeom>
                    <a:noFill/>
                  </pic:spPr>
                </pic:pic>
              </a:graphicData>
            </a:graphic>
          </wp:anchor>
        </w:drawing>
      </w:r>
    </w:p>
    <w:p>
      <w:pPr>
        <w:spacing w:after="0" w:line="246" w:lineRule="exact"/>
        <w:rPr>
          <w:sz w:val="20"/>
          <w:szCs w:val="20"/>
          <w:color w:val="auto"/>
        </w:rPr>
      </w:pPr>
    </w:p>
    <w:p>
      <w:pPr>
        <w:ind w:left="800" w:right="80" w:hanging="34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intend to pay cash dividends on our Class A shares. Consequently, your only opportunity to achieve a return on your investment is if the price of our Class A shares appreciates.</w:t>
      </w:r>
    </w:p>
    <w:p>
      <w:pPr>
        <w:spacing w:after="0" w:line="62" w:lineRule="exact"/>
        <w:rPr>
          <w:rFonts w:ascii="Arial" w:cs="Arial" w:eastAsia="Arial" w:hAnsi="Arial"/>
          <w:sz w:val="18"/>
          <w:szCs w:val="18"/>
          <w:color w:val="auto"/>
        </w:rPr>
      </w:pPr>
    </w:p>
    <w:p>
      <w:pPr>
        <w:ind w:left="800" w:right="100" w:hanging="342"/>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73" w:lineRule="exact"/>
        <w:rPr>
          <w:rFonts w:ascii="Arial" w:cs="Arial" w:eastAsia="Arial" w:hAnsi="Arial"/>
          <w:sz w:val="18"/>
          <w:szCs w:val="18"/>
          <w:color w:val="auto"/>
        </w:rPr>
      </w:pPr>
    </w:p>
    <w:p>
      <w:pPr>
        <w:ind w:left="800" w:right="320" w:hanging="34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be a “controlled company” within the meaning of NASDAQ rules and, as a result, will qualify for and intend to rely on exemptions from certain corporate governance requirements.</w:t>
      </w:r>
    </w:p>
    <w:p>
      <w:pPr>
        <w:spacing w:after="0" w:line="62" w:lineRule="exact"/>
        <w:rPr>
          <w:rFonts w:ascii="Arial" w:cs="Arial" w:eastAsia="Arial" w:hAnsi="Arial"/>
          <w:sz w:val="18"/>
          <w:szCs w:val="18"/>
          <w:color w:val="auto"/>
        </w:rPr>
      </w:pPr>
    </w:p>
    <w:p>
      <w:pPr>
        <w:ind w:left="800" w:right="80" w:hanging="342"/>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NFE is a holding company. NFE’s sole material asset after completion of this offering will be its equity interest in NFI, and accordingly, NFE will be dependent upon dividends from NFI to pay taxes and cover its corporate and other overhead expenses.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ind w:left="100" w:right="300" w:firstLine="360"/>
        <w:spacing w:after="0" w:line="279" w:lineRule="auto"/>
        <w:rPr>
          <w:sz w:val="20"/>
          <w:szCs w:val="20"/>
          <w:color w:val="auto"/>
        </w:rPr>
      </w:pPr>
      <w:r>
        <w:rPr>
          <w:rFonts w:ascii="Arial" w:cs="Arial" w:eastAsia="Arial" w:hAnsi="Arial"/>
          <w:sz w:val="17"/>
          <w:szCs w:val="17"/>
          <w:color w:val="auto"/>
        </w:rPr>
        <w:t>NFE was formed as a Delaware limited liability company by New Fortress Energy Holdings on August 6, 2018. NFE currently has no assets or liabilities and has conducted no operations. New Fortress Energy Holdings currently owns all of the outstanding membership interests of the subsidiaries through which we operate our business, including NFE Atlantic. New Fortress Energy Holdings’ only asset other than cash is its investments in consolidated subsidiaries.</w:t>
      </w:r>
    </w:p>
    <w:p>
      <w:pPr>
        <w:spacing w:after="0" w:line="63"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Following this offering and the related transactions described below, NFE will be a holding company whose only material asset will consist of membership interests in NFI, which will own all of the outstanding membership interests in NFE Atlantic. NFE will be the sole managing member of NFI, will be responsible for all operational, management and administrative decisions relating to NFI’s business and will consolidate financial results of NFI and its subsidiaries.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offering, the following transactions have occurred or will occur:</w:t>
      </w:r>
    </w:p>
    <w:p>
      <w:pPr>
        <w:spacing w:after="0" w:line="117" w:lineRule="exact"/>
        <w:rPr>
          <w:sz w:val="20"/>
          <w:szCs w:val="20"/>
          <w:color w:val="auto"/>
        </w:rPr>
      </w:pPr>
    </w:p>
    <w:p>
      <w:pPr>
        <w:ind w:left="800" w:right="80" w:hanging="342"/>
        <w:spacing w:after="0" w:line="308"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Fortress Energy Holdings will contribute all of its interests in NFE Atlantic and its limited assets and liabilities, if any, to NFI in exchange for common units of NFI (“NFI LLC Units”), which will be the only class of units of NFI;</w:t>
      </w:r>
    </w:p>
    <w:p>
      <w:pPr>
        <w:sectPr>
          <w:pgSz w:w="11900" w:h="16838" w:orient="portrait"/>
          <w:cols w:equalWidth="0" w:num="1">
            <w:col w:w="9460"/>
          </w:cols>
          <w:pgMar w:left="1180" w:top="279" w:right="1259" w:bottom="1440" w:gutter="0" w:footer="0" w:header="0"/>
        </w:sectPr>
      </w:pP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NFE will issue Class A shares in this offering to the public, representing limited liability company interests with 100% of the economic rights in NFE, at an initial offering price of $ per Class A share;</w:t>
      </w:r>
    </w:p>
    <w:p>
      <w:pPr>
        <w:spacing w:after="0" w:line="62" w:lineRule="exact"/>
        <w:rPr>
          <w:sz w:val="20"/>
          <w:szCs w:val="20"/>
          <w:color w:val="auto"/>
        </w:rPr>
      </w:pPr>
    </w:p>
    <w:p>
      <w:pPr>
        <w:sectPr>
          <w:pgSz w:w="11900" w:h="16838" w:orient="portrait"/>
          <w:cols w:equalWidth="0" w:num="2">
            <w:col w:w="520" w:space="280"/>
            <w:col w:w="8660"/>
          </w:cols>
          <w:pgMar w:left="1180" w:top="279" w:right="1259" w:bottom="1440" w:gutter="0" w:footer="0" w:header="0"/>
          <w:type w:val="continuous"/>
        </w:sectPr>
      </w:pPr>
    </w:p>
    <w:p>
      <w:pPr>
        <w:ind w:left="800" w:hanging="342"/>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NFE will contribute the net proceeds from this offering (including any net proceeds from the exercise of the</w:t>
      </w:r>
    </w:p>
    <w:p>
      <w:pPr>
        <w:sectPr>
          <w:pgSz w:w="11900" w:h="16838" w:orient="portrait"/>
          <w:cols w:equalWidth="0" w:num="1">
            <w:col w:w="9460"/>
          </w:cols>
          <w:pgMar w:left="1180" w:top="279" w:right="1259" w:bottom="1440" w:gutter="0" w:footer="0" w:header="0"/>
          <w:type w:val="continuous"/>
        </w:sectPr>
      </w:pPr>
    </w:p>
    <w:p>
      <w:pPr>
        <w:spacing w:after="0" w:line="46" w:lineRule="exact"/>
        <w:rPr>
          <w:sz w:val="20"/>
          <w:szCs w:val="20"/>
          <w:color w:val="auto"/>
        </w:rPr>
      </w:pPr>
    </w:p>
    <w:p>
      <w:pPr>
        <w:ind w:left="800" w:right="60"/>
        <w:spacing w:after="0" w:line="261" w:lineRule="auto"/>
        <w:rPr>
          <w:sz w:val="20"/>
          <w:szCs w:val="20"/>
          <w:color w:val="auto"/>
        </w:rPr>
      </w:pPr>
      <w:r>
        <w:rPr>
          <w:rFonts w:ascii="Arial" w:cs="Arial" w:eastAsia="Arial" w:hAnsi="Arial"/>
          <w:sz w:val="18"/>
          <w:szCs w:val="18"/>
          <w:color w:val="auto"/>
        </w:rPr>
        <w:t>underwriters’ option to purchase additional Class A shares from us) to NFI in exchange for NFI LLC Units, equal to the number of Class A shares sold in this offering;</w:t>
      </w:r>
    </w:p>
    <w:p>
      <w:pPr>
        <w:sectPr>
          <w:pgSz w:w="11900" w:h="16838" w:orient="portrait"/>
          <w:cols w:equalWidth="0" w:num="1">
            <w:col w:w="9460"/>
          </w:cols>
          <w:pgMar w:left="1180" w:top="279" w:right="1259" w:bottom="1440" w:gutter="0" w:footer="0" w:header="0"/>
          <w:type w:val="continuous"/>
        </w:sectPr>
      </w:pPr>
    </w:p>
    <w:p>
      <w:pPr>
        <w:spacing w:after="0" w:line="76" w:lineRule="exact"/>
        <w:rPr>
          <w:sz w:val="20"/>
          <w:szCs w:val="20"/>
          <w:color w:val="auto"/>
        </w:rPr>
      </w:pPr>
    </w:p>
    <w:p>
      <w:pPr>
        <w:ind w:left="800" w:right="400" w:hanging="342"/>
        <w:spacing w:after="0" w:line="308"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NFI will use the net proceeds from this offering (including any net proceeds from the exercise of the underwriters’ option to purchase additional Class A shares from us) as described in “Use of Proceeds;” and</w:t>
      </w:r>
    </w:p>
    <w:p>
      <w:pPr>
        <w:spacing w:after="0" w:line="38" w:lineRule="exact"/>
        <w:rPr>
          <w:rFonts w:ascii="Arial" w:cs="Arial" w:eastAsia="Arial" w:hAnsi="Arial"/>
          <w:sz w:val="17"/>
          <w:szCs w:val="17"/>
          <w:color w:val="auto"/>
        </w:rPr>
      </w:pPr>
    </w:p>
    <w:p>
      <w:pPr>
        <w:ind w:left="800" w:right="120" w:hanging="34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this offering.</w:t>
      </w:r>
    </w:p>
    <w:p>
      <w:pPr>
        <w:spacing w:after="0" w:line="62"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diagram under “—Organizational Structure” below depicts a simplified version of our organization and ownership structure after giving effect to this offering and the related formation transactions.</w:t>
      </w:r>
    </w:p>
    <w:p>
      <w:pPr>
        <w:spacing w:after="0" w:line="62" w:lineRule="exact"/>
        <w:rPr>
          <w:sz w:val="20"/>
          <w:szCs w:val="20"/>
          <w:color w:val="auto"/>
        </w:rPr>
      </w:pPr>
    </w:p>
    <w:p>
      <w:pPr>
        <w:ind w:left="100" w:right="940" w:firstLine="360"/>
        <w:spacing w:after="0" w:line="277" w:lineRule="auto"/>
        <w:rPr>
          <w:sz w:val="20"/>
          <w:szCs w:val="20"/>
          <w:color w:val="auto"/>
        </w:rPr>
      </w:pPr>
      <w:r>
        <w:rPr>
          <w:rFonts w:ascii="Arial" w:cs="Arial" w:eastAsia="Arial" w:hAnsi="Arial"/>
          <w:sz w:val="18"/>
          <w:szCs w:val="18"/>
          <w:color w:val="auto"/>
        </w:rPr>
        <w:t>For further details on our agreements with New Fortress Energy Holdings and its affiliates, please read “Certain Relationships and Related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 above transactions throughout this prospectus as the “Transactions.”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Class A shares and Class B shares</w:t>
      </w:r>
    </w:p>
    <w:p>
      <w:pPr>
        <w:spacing w:after="0" w:line="117" w:lineRule="exact"/>
        <w:rPr>
          <w:sz w:val="20"/>
          <w:szCs w:val="20"/>
          <w:color w:val="auto"/>
        </w:rPr>
      </w:pPr>
    </w:p>
    <w:p>
      <w:pPr>
        <w:jc w:val="both"/>
        <w:ind w:left="100" w:firstLine="360"/>
        <w:spacing w:after="0" w:line="257" w:lineRule="auto"/>
        <w:rPr>
          <w:sz w:val="20"/>
          <w:szCs w:val="20"/>
          <w:color w:val="auto"/>
        </w:rPr>
      </w:pPr>
      <w:r>
        <w:rPr>
          <w:rFonts w:ascii="Arial" w:cs="Arial" w:eastAsia="Arial" w:hAnsi="Arial"/>
          <w:sz w:val="18"/>
          <w:szCs w:val="18"/>
          <w:color w:val="auto"/>
        </w:rPr>
        <w:t>Our first amended and restated limited liability company agreement (the “operating agreement”) will provide for two classes of shares, Class A shares and Class B shares, representing limited liability company interests in us. Only the holders of our Class A shares are entitled to participate in any dividends our board of directors may declare. Each Class A share will also be entitled to one vote on the limited matters to be voted on by our shareholders. We expect to list our Class A shares for trading on NASDAQ under the symbol “NFE.”</w:t>
      </w:r>
    </w:p>
    <w:p>
      <w:pPr>
        <w:spacing w:after="0" w:line="80" w:lineRule="exact"/>
        <w:rPr>
          <w:sz w:val="20"/>
          <w:szCs w:val="20"/>
          <w:color w:val="auto"/>
        </w:rPr>
      </w:pPr>
    </w:p>
    <w:p>
      <w:pPr>
        <w:ind w:left="100" w:right="460" w:firstLine="360"/>
        <w:spacing w:after="0" w:line="308" w:lineRule="auto"/>
        <w:rPr>
          <w:sz w:val="20"/>
          <w:szCs w:val="20"/>
          <w:color w:val="auto"/>
        </w:rPr>
      </w:pPr>
      <w:r>
        <w:rPr>
          <w:rFonts w:ascii="Arial" w:cs="Arial" w:eastAsia="Arial" w:hAnsi="Arial"/>
          <w:sz w:val="17"/>
          <w:szCs w:val="17"/>
          <w:color w:val="auto"/>
        </w:rPr>
        <w:t>Class B shares are not entitled to receive dividends but will be entitled to vote on the same basis as the Class A shares. Holders of Class A shares and Class B shares will vote together as a single class on all matters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138" w:lineRule="exact"/>
        <w:rPr>
          <w:sz w:val="20"/>
          <w:szCs w:val="20"/>
          <w:color w:val="auto"/>
        </w:rPr>
      </w:pPr>
    </w:p>
    <w:p>
      <w:pPr>
        <w:ind w:left="100" w:right="140"/>
        <w:spacing w:after="0" w:line="259" w:lineRule="auto"/>
        <w:rPr>
          <w:sz w:val="20"/>
          <w:szCs w:val="20"/>
          <w:color w:val="auto"/>
        </w:rPr>
      </w:pPr>
      <w:r>
        <w:rPr>
          <w:rFonts w:ascii="Arial" w:cs="Arial" w:eastAsia="Arial" w:hAnsi="Arial"/>
          <w:sz w:val="18"/>
          <w:szCs w:val="18"/>
          <w:color w:val="auto"/>
        </w:rPr>
        <w:t>presented to our shareholders for their vote or approval, except as otherwise required by applicable law. We do not intend to list the Class B shares on any stock exchange. All of our Class B shares will initially be owned by New Fortress Energy Holdings. For a description of the rights and privileges of shareholders under our operating agreement, including voting rights, please read “Our Operating Agreement.”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Redemption Right</w:t>
      </w:r>
    </w:p>
    <w:p>
      <w:pPr>
        <w:spacing w:after="0" w:line="117" w:lineRule="exact"/>
        <w:rPr>
          <w:sz w:val="20"/>
          <w:szCs w:val="20"/>
          <w:color w:val="auto"/>
        </w:rPr>
      </w:pPr>
    </w:p>
    <w:p>
      <w:pPr>
        <w:ind w:left="100" w:firstLine="360"/>
        <w:spacing w:after="0" w:line="267" w:lineRule="auto"/>
        <w:rPr>
          <w:sz w:val="20"/>
          <w:szCs w:val="20"/>
          <w:color w:val="auto"/>
        </w:rPr>
      </w:pPr>
      <w:r>
        <w:rPr>
          <w:rFonts w:ascii="Arial" w:cs="Arial" w:eastAsia="Arial" w:hAnsi="Arial"/>
          <w:sz w:val="17"/>
          <w:szCs w:val="17"/>
          <w:color w:val="auto"/>
        </w:rPr>
        <w:t>Following this offering, under the NFI limited liability company agreement (the “NFI LLC Agreement”), New Fortress Energy Holdings and any permitted transferees of New Fortress Energy Holdings’ NFI LLC Units will,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the trading price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our board of directors. Alternatively, upon the exercise of the Redemption Right, NFE (instead of NFI) will have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at NFE’s election. In connection with any redemption of NFI LLC Units pursuant to the Redemption Right or our Call Right, the corresponding number of Class B shares will be automatically cancelled.</w:t>
      </w:r>
    </w:p>
    <w:p>
      <w:pPr>
        <w:spacing w:after="0" w:line="85" w:lineRule="exact"/>
        <w:rPr>
          <w:sz w:val="20"/>
          <w:szCs w:val="20"/>
          <w:color w:val="auto"/>
        </w:rPr>
      </w:pPr>
    </w:p>
    <w:p>
      <w:pPr>
        <w:ind w:left="100" w:right="6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79" w:lineRule="exact"/>
        <w:rPr>
          <w:sz w:val="20"/>
          <w:szCs w:val="20"/>
          <w:color w:val="auto"/>
        </w:rPr>
      </w:pPr>
    </w:p>
    <w:p>
      <w:pPr>
        <w:ind w:left="100" w:right="360" w:firstLine="360"/>
        <w:spacing w:after="0" w:line="308" w:lineRule="auto"/>
        <w:rPr>
          <w:sz w:val="20"/>
          <w:szCs w:val="20"/>
          <w:color w:val="auto"/>
        </w:rPr>
      </w:pPr>
      <w:r>
        <w:rPr>
          <w:rFonts w:ascii="Arial" w:cs="Arial" w:eastAsia="Arial" w:hAnsi="Arial"/>
          <w:sz w:val="17"/>
          <w:szCs w:val="17"/>
          <w:color w:val="auto"/>
        </w:rPr>
        <w:t>For additional information, please read “Certain Relationships and Related Transactions—Agreements with Affiliates in Connection with the Transactions—Amended and Restated Limited Liability Company Agreement of NFI.”</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117" w:lineRule="exact"/>
        <w:rPr>
          <w:sz w:val="20"/>
          <w:szCs w:val="20"/>
          <w:color w:val="auto"/>
        </w:rPr>
      </w:pPr>
    </w:p>
    <w:p>
      <w:pPr>
        <w:ind w:left="100" w:right="60" w:firstLine="360"/>
        <w:spacing w:after="0" w:line="257" w:lineRule="auto"/>
        <w:rPr>
          <w:sz w:val="20"/>
          <w:szCs w:val="20"/>
          <w:color w:val="auto"/>
        </w:rPr>
      </w:pPr>
      <w:r>
        <w:rPr>
          <w:rFonts w:ascii="Arial" w:cs="Arial" w:eastAsia="Arial" w:hAnsi="Arial"/>
          <w:sz w:val="18"/>
          <w:szCs w:val="18"/>
          <w:color w:val="auto"/>
        </w:rPr>
        <w:t>Our post-offering organizational structure will allow New Fortress Energy Holdings to retain a direct equity ownership in NFI, which will be classified as a partnership for U.S. federal income tax purposes following the offering. Investors in this offering will, by contrast, hold a direct equity ownership in us in the form of Class A shares, and an indirect ownership interest in NFI through our ownership of NFI LLC Units. Although we were formed as a limited liability company, we have elected to be taxed as a corporation for U.S. federal income tax purposes.</w:t>
      </w:r>
    </w:p>
    <w:p>
      <w:pPr>
        <w:spacing w:after="0" w:line="80" w:lineRule="exact"/>
        <w:rPr>
          <w:sz w:val="20"/>
          <w:szCs w:val="20"/>
          <w:color w:val="auto"/>
        </w:rPr>
      </w:pPr>
    </w:p>
    <w:p>
      <w:pPr>
        <w:ind w:left="100" w:right="100" w:firstLine="360"/>
        <w:spacing w:after="0" w:line="264" w:lineRule="auto"/>
        <w:rPr>
          <w:sz w:val="20"/>
          <w:szCs w:val="20"/>
          <w:color w:val="auto"/>
        </w:rPr>
      </w:pPr>
      <w:r>
        <w:rPr>
          <w:rFonts w:ascii="Arial" w:cs="Arial" w:eastAsia="Arial" w:hAnsi="Arial"/>
          <w:sz w:val="18"/>
          <w:szCs w:val="18"/>
          <w:color w:val="auto"/>
        </w:rPr>
        <w:t>Pursuant to our operating agreement and the NFI LLC Agreement, our capital structure and the capital structure of NFI will generally replicate one another and will provide for customary antidilution mechanisms in order to maintain the one-for-one exchange ratio between the NFI LLC Units and our Class A shares.</w:t>
      </w:r>
    </w:p>
    <w:p>
      <w:pPr>
        <w:spacing w:after="0" w:line="73" w:lineRule="exact"/>
        <w:rPr>
          <w:sz w:val="20"/>
          <w:szCs w:val="20"/>
          <w:color w:val="auto"/>
        </w:rPr>
      </w:pPr>
    </w:p>
    <w:p>
      <w:pPr>
        <w:jc w:val="both"/>
        <w:ind w:left="100" w:right="40" w:firstLine="360"/>
        <w:spacing w:after="0" w:line="264" w:lineRule="auto"/>
        <w:rPr>
          <w:sz w:val="20"/>
          <w:szCs w:val="20"/>
          <w:color w:val="auto"/>
        </w:rPr>
      </w:pPr>
      <w:r>
        <w:rPr>
          <w:rFonts w:ascii="Arial" w:cs="Arial" w:eastAsia="Arial" w:hAnsi="Arial"/>
          <w:sz w:val="18"/>
          <w:szCs w:val="18"/>
          <w:color w:val="auto"/>
        </w:rPr>
        <w:t>For additional information, please read “—Organizational Structure” and “Certain Relationships and Related Transactions— Agreements with Affiliates in Connection with the Transactions—Amended and Restated Limited Liability Company Agreement of NFI.”</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3" w:lineRule="exact"/>
        <w:rPr>
          <w:sz w:val="20"/>
          <w:szCs w:val="20"/>
          <w:color w:val="auto"/>
        </w:rPr>
      </w:pPr>
    </w:p>
    <w:p>
      <w:pPr>
        <w:ind w:left="100" w:right="180" w:firstLine="360"/>
        <w:spacing w:after="0" w:line="277" w:lineRule="auto"/>
        <w:rPr>
          <w:sz w:val="20"/>
          <w:szCs w:val="20"/>
          <w:color w:val="auto"/>
        </w:rPr>
      </w:pPr>
      <w:r>
        <w:rPr>
          <w:rFonts w:ascii="Arial" w:cs="Arial" w:eastAsia="Arial" w:hAnsi="Arial"/>
          <w:sz w:val="18"/>
          <w:szCs w:val="18"/>
          <w:color w:val="auto"/>
        </w:rPr>
        <w:t>One or more of our officers and directors have responsibilities and commitments to entities other than us. For example, we have some of the same directors and officers as other entities affiliated with Fortress. In</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396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2396490"/>
                    </a:xfrm>
                    <a:prstGeom prst="rect">
                      <a:avLst/>
                    </a:prstGeom>
                    <a:noFill/>
                  </pic:spPr>
                </pic:pic>
              </a:graphicData>
            </a:graphic>
          </wp:anchor>
        </w:drawing>
      </w:r>
    </w:p>
    <w:p>
      <w:pPr>
        <w:spacing w:after="0" w:line="138" w:lineRule="exact"/>
        <w:rPr>
          <w:sz w:val="20"/>
          <w:szCs w:val="20"/>
          <w:color w:val="auto"/>
        </w:rPr>
      </w:pPr>
    </w:p>
    <w:p>
      <w:pPr>
        <w:ind w:left="100" w:right="100"/>
        <w:spacing w:after="0" w:line="255" w:lineRule="auto"/>
        <w:rPr>
          <w:sz w:val="20"/>
          <w:szCs w:val="20"/>
          <w:color w:val="auto"/>
        </w:rPr>
      </w:pPr>
      <w:r>
        <w:rPr>
          <w:rFonts w:ascii="Arial" w:cs="Arial" w:eastAsia="Arial" w:hAnsi="Arial"/>
          <w:sz w:val="18"/>
          <w:szCs w:val="18"/>
          <w:color w:val="auto"/>
        </w:rPr>
        <w:t>addition, we do not have a policy that expressly prohibits our directors, officers, securityholders or affiliates from engaging in business activities of the types conducted by us for their own account. Fortress and its members, managers, officers and employees may pursue acquisition opportunities that we may acquire or dispose of assets in which such persons have a personal interest. In the event of a violation of this code of business conduct and ethics that does not constitute bad faith, willful misconduct, gross negligence or reckless disregard of our directors’ or officers’ duties, our directors, officers or employees will not be liable to us.</w:t>
      </w:r>
    </w:p>
    <w:p>
      <w:pPr>
        <w:spacing w:after="0" w:line="85"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Our key agreements, including our operating agreement and the NFI LLC Agreement, were negotiated among related parties, and their respective terms, including fees and other amounts payable, may not be as favorable to us as terms negotiated at an arm’s-length basis with unaffiliated parties.</w:t>
      </w:r>
    </w:p>
    <w:p>
      <w:pPr>
        <w:spacing w:after="0" w:line="73" w:lineRule="exact"/>
        <w:rPr>
          <w:sz w:val="20"/>
          <w:szCs w:val="20"/>
          <w:color w:val="auto"/>
        </w:rPr>
      </w:pPr>
    </w:p>
    <w:p>
      <w:pPr>
        <w:ind w:left="100" w:firstLine="360"/>
        <w:spacing w:after="0" w:line="293" w:lineRule="auto"/>
        <w:rPr>
          <w:sz w:val="20"/>
          <w:szCs w:val="20"/>
          <w:color w:val="auto"/>
        </w:rPr>
      </w:pPr>
      <w:r>
        <w:rPr>
          <w:rFonts w:ascii="Arial" w:cs="Arial" w:eastAsia="Arial" w:hAnsi="Arial"/>
          <w:sz w:val="16"/>
          <w:szCs w:val="16"/>
          <w:color w:val="auto"/>
        </w:rPr>
        <w:t>We may compete with entities affiliated with Fortress for certain business opportunities. From time to time, affiliates of Fortress may focus on investments in assets in industries in which we currently, and may seek to in the future, operate. These affiliates may have meaningful access to capital, which may change over time depending upon a variety of factors, including, but not limited to, available equity capital and debt financing, market conditions and cash on hand. Fortress has multiple existing and planned funds focused on investing in the industries in which we currently, and may seek to in the future, operate, each with significant current or expected capital commitments. We may also co-invest with these funds in certain business opportunities.</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427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642747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00" w:right="700" w:firstLine="360"/>
        <w:spacing w:after="0" w:line="308" w:lineRule="auto"/>
        <w:rPr>
          <w:sz w:val="20"/>
          <w:szCs w:val="20"/>
          <w:color w:val="auto"/>
        </w:rPr>
      </w:pPr>
      <w:r>
        <w:rPr>
          <w:rFonts w:ascii="Arial" w:cs="Arial" w:eastAsia="Arial" w:hAnsi="Arial"/>
          <w:sz w:val="17"/>
          <w:szCs w:val="17"/>
          <w:color w:val="auto"/>
        </w:rPr>
        <w:t>The following is a simplified diagram of our ownership structure after giving effect to this offering and the related transactions assuming the underwriters do not exercise their option to purchase additional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hanging="353"/>
        <w:spacing w:after="0" w:line="25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Class B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0"/>
          </w:cols>
          <w:pgMar w:left="1180" w:top="279" w:right="1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230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123063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11" w:lineRule="exact"/>
        <w:rPr>
          <w:sz w:val="20"/>
          <w:szCs w:val="20"/>
          <w:color w:val="auto"/>
        </w:rPr>
      </w:pPr>
    </w:p>
    <w:p>
      <w:pPr>
        <w:ind w:left="100" w:firstLine="360"/>
        <w:spacing w:after="0" w:line="266" w:lineRule="auto"/>
        <w:rPr>
          <w:sz w:val="20"/>
          <w:szCs w:val="20"/>
          <w:color w:val="auto"/>
        </w:rPr>
      </w:pPr>
      <w:r>
        <w:rPr>
          <w:rFonts w:ascii="Arial" w:cs="Arial" w:eastAsia="Arial" w:hAnsi="Arial"/>
          <w:sz w:val="16"/>
          <w:szCs w:val="16"/>
          <w:color w:val="auto"/>
        </w:rPr>
        <w:t>Our principal executive offices are located at 111 W. 19</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Street, 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New York 10011 and our telephone number is (516) 268-7400. Our website is located at </w:t>
      </w:r>
      <w:r>
        <w:rPr>
          <w:rFonts w:ascii="Arial" w:cs="Arial" w:eastAsia="Arial" w:hAnsi="Arial"/>
          <w:sz w:val="16"/>
          <w:szCs w:val="16"/>
          <w:i w:val="1"/>
          <w:iCs w:val="1"/>
          <w:color w:val="auto"/>
        </w:rPr>
        <w:t>www.newfortressenergy.com</w:t>
      </w:r>
      <w:r>
        <w:rPr>
          <w:rFonts w:ascii="Arial" w:cs="Arial" w:eastAsia="Arial" w:hAnsi="Arial"/>
          <w:sz w:val="16"/>
          <w:szCs w:val="16"/>
          <w:color w:val="auto"/>
        </w:rPr>
        <w:t>.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101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2825" cy="6101715"/>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offered to the public</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outstanding after this offering</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s>
        <w:rPr>
          <w:sz w:val="20"/>
          <w:szCs w:val="20"/>
          <w:color w:val="auto"/>
        </w:rPr>
      </w:pPr>
      <w:r>
        <w:rPr>
          <w:rFonts w:ascii="Arial" w:cs="Arial" w:eastAsia="Arial" w:hAnsi="Arial"/>
          <w:sz w:val="18"/>
          <w:szCs w:val="18"/>
          <w:color w:val="auto"/>
        </w:rPr>
        <w:t>Class B shares outstanding after this offering</w:t>
      </w:r>
      <w:r>
        <w:rPr>
          <w:sz w:val="20"/>
          <w:szCs w:val="20"/>
          <w:color w:val="auto"/>
        </w:rPr>
        <w:tab/>
      </w:r>
      <w:r>
        <w:rPr>
          <w:rFonts w:ascii="Arial" w:cs="Arial" w:eastAsia="Arial" w:hAnsi="Arial"/>
          <w:sz w:val="16"/>
          <w:szCs w:val="16"/>
          <w:color w:val="auto"/>
        </w:rPr>
        <w:t>Class B shares, or one Class B share for each NFI LLC Unit</w:t>
      </w:r>
    </w:p>
    <w:p>
      <w:pPr>
        <w:spacing w:after="0" w:line="23" w:lineRule="exact"/>
        <w:rPr>
          <w:sz w:val="20"/>
          <w:szCs w:val="20"/>
          <w:color w:val="auto"/>
        </w:rPr>
      </w:pPr>
    </w:p>
    <w:p>
      <w:pPr>
        <w:ind w:left="4420" w:right="140"/>
        <w:spacing w:after="0" w:line="271" w:lineRule="auto"/>
        <w:rPr>
          <w:sz w:val="20"/>
          <w:szCs w:val="20"/>
          <w:color w:val="auto"/>
        </w:rPr>
      </w:pPr>
      <w:r>
        <w:rPr>
          <w:rFonts w:ascii="Arial" w:cs="Arial" w:eastAsia="Arial" w:hAnsi="Arial"/>
          <w:sz w:val="17"/>
          <w:szCs w:val="17"/>
          <w:color w:val="auto"/>
        </w:rPr>
        <w:t>held by New Fortress Energy Holdings immediately following this offering. Class B shares vote together as a single class with Class A shares, but have no right to receive any dividends. When a NFI LLC Unit currently held by New Fortress Energy Holdings is redeemed for a Class A share, a Class B share will be cancelled.</w:t>
      </w:r>
    </w:p>
    <w:p>
      <w:pPr>
        <w:sectPr>
          <w:pgSz w:w="11900" w:h="16838" w:orient="portrait"/>
          <w:cols w:equalWidth="0" w:num="1">
            <w:col w:w="9600"/>
          </w:cols>
          <w:pgMar w:left="1180" w:top="279" w:right="1119" w:bottom="1440" w:gutter="0" w:footer="0" w:header="0"/>
        </w:sectPr>
      </w:pPr>
    </w:p>
    <w:p>
      <w:pPr>
        <w:spacing w:after="0" w:line="71" w:lineRule="exact"/>
        <w:rPr>
          <w:sz w:val="20"/>
          <w:szCs w:val="20"/>
          <w:color w:val="auto"/>
        </w:rPr>
      </w:pPr>
    </w:p>
    <w:p>
      <w:pPr>
        <w:ind w:left="280" w:hanging="179"/>
        <w:spacing w:after="0" w:line="277" w:lineRule="auto"/>
        <w:rPr>
          <w:sz w:val="20"/>
          <w:szCs w:val="20"/>
          <w:color w:val="auto"/>
        </w:rPr>
      </w:pPr>
      <w:r>
        <w:rPr>
          <w:rFonts w:ascii="Arial" w:cs="Arial" w:eastAsia="Arial" w:hAnsi="Arial"/>
          <w:sz w:val="18"/>
          <w:szCs w:val="18"/>
          <w:color w:val="auto"/>
        </w:rPr>
        <w:t>Voting power of Class A shares after giving effect to this offering</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 (or % if the underwriters’ option to purchase additional Class A shares is exercised in full). The voting power of our Class A shares would be 100% if all outstanding NFI LLC Units held by New Fortress Energy Holdings were redeemed (and a corresponding number of our Class B shares was cancelled) for newly issued Class A shares on a one-for-one basis.</w:t>
      </w:r>
    </w:p>
    <w:p>
      <w:pPr>
        <w:spacing w:after="0" w:line="70" w:lineRule="exact"/>
        <w:rPr>
          <w:sz w:val="20"/>
          <w:szCs w:val="20"/>
          <w:color w:val="auto"/>
        </w:rPr>
      </w:pPr>
    </w:p>
    <w:p>
      <w:pPr>
        <w:sectPr>
          <w:pgSz w:w="11900" w:h="16838" w:orient="portrait"/>
          <w:cols w:equalWidth="0" w:num="2">
            <w:col w:w="4200" w:space="220"/>
            <w:col w:w="5180"/>
          </w:cols>
          <w:pgMar w:left="1180" w:top="279" w:right="1119" w:bottom="1440" w:gutter="0" w:footer="0" w:header="0"/>
          <w:type w:val="continuous"/>
        </w:sectPr>
      </w:pPr>
    </w:p>
    <w:p>
      <w:pPr>
        <w:ind w:left="280" w:hanging="179"/>
        <w:spacing w:after="0" w:line="277" w:lineRule="auto"/>
        <w:rPr>
          <w:sz w:val="20"/>
          <w:szCs w:val="20"/>
          <w:color w:val="auto"/>
        </w:rPr>
      </w:pPr>
      <w:r>
        <w:rPr>
          <w:rFonts w:ascii="Arial" w:cs="Arial" w:eastAsia="Arial" w:hAnsi="Arial"/>
          <w:sz w:val="18"/>
          <w:szCs w:val="18"/>
          <w:color w:val="auto"/>
        </w:rPr>
        <w:t>Voting power of Class B shares after giving effect to this offering</w:t>
      </w:r>
    </w:p>
    <w:p>
      <w:pPr>
        <w:spacing w:after="0" w:line="20" w:lineRule="exact"/>
        <w:rPr>
          <w:sz w:val="20"/>
          <w:szCs w:val="20"/>
          <w:color w:val="auto"/>
        </w:rPr>
      </w:pPr>
      <w:r>
        <w:rPr>
          <w:sz w:val="20"/>
          <w:szCs w:val="20"/>
          <w:color w:val="auto"/>
        </w:rPr>
        <w:br w:type="column"/>
      </w:r>
    </w:p>
    <w:p>
      <w:pPr>
        <w:ind w:right="140" w:firstLine="269"/>
        <w:spacing w:after="0" w:line="273" w:lineRule="auto"/>
        <w:rPr>
          <w:sz w:val="20"/>
          <w:szCs w:val="20"/>
          <w:color w:val="auto"/>
        </w:rPr>
      </w:pPr>
      <w:r>
        <w:rPr>
          <w:rFonts w:ascii="Arial" w:cs="Arial" w:eastAsia="Arial" w:hAnsi="Arial"/>
          <w:sz w:val="17"/>
          <w:szCs w:val="17"/>
          <w:color w:val="auto"/>
        </w:rPr>
        <w:t>% (or % if the underwriters’ option to purchase additional Class A shares is exercised in full). The voting power of our Class B shares would be 0% if all outstanding NFI LLC Units held by New Fortress Energy Holdings were redeemed (along with the cancellation of a corresponding number of our Class B shares) for newly issued Class A shares on a one-for-one basis.</w:t>
      </w:r>
    </w:p>
    <w:p>
      <w:pPr>
        <w:spacing w:after="0" w:line="70" w:lineRule="exact"/>
        <w:rPr>
          <w:sz w:val="20"/>
          <w:szCs w:val="20"/>
          <w:color w:val="auto"/>
        </w:rPr>
      </w:pPr>
    </w:p>
    <w:p>
      <w:pPr>
        <w:sectPr>
          <w:pgSz w:w="11900" w:h="16838" w:orient="portrait"/>
          <w:cols w:equalWidth="0" w:num="2">
            <w:col w:w="4180" w:space="240"/>
            <w:col w:w="5180"/>
          </w:cols>
          <w:pgMar w:left="1180" w:top="279" w:right="11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Voting rights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3"/>
              </w:rPr>
              <w:t>Each Class A share entitles its holder to one vote on all matters to be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6"/>
              </w:rPr>
              <w:t>voted on by shareholders generally. Each Class B share entitles its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holder to one vote on all matters to be voted on by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8"/>
              </w:rPr>
              <w:t>generally. Holders of our Class A shares and Class B shares vote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1"/>
              </w:rPr>
              <w:t>together as a single class on all matters presented to our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4"/>
              </w:rPr>
              <w:t>for their vote or approval, except as otherwise required by applicable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law or by our operating agreement. See “Description of Shares.”</w:t>
            </w:r>
          </w:p>
        </w:tc>
      </w:tr>
      <w:tr>
        <w:trPr>
          <w:trHeight w:val="310"/>
        </w:trPr>
        <w:tc>
          <w:tcPr>
            <w:tcW w:w="28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expect the estimated net proceeds from this offering to be</w:t>
            </w:r>
          </w:p>
        </w:tc>
      </w:tr>
      <w:tr>
        <w:trPr>
          <w:trHeight w:val="216"/>
        </w:trPr>
        <w:tc>
          <w:tcPr>
            <w:tcW w:w="2840" w:type="dxa"/>
            <w:vAlign w:val="bottom"/>
          </w:tcPr>
          <w:p>
            <w:pPr>
              <w:spacing w:after="0"/>
              <w:rPr>
                <w:sz w:val="18"/>
                <w:szCs w:val="18"/>
                <w:color w:val="auto"/>
              </w:rPr>
            </w:pPr>
          </w:p>
        </w:tc>
        <w:tc>
          <w:tcPr>
            <w:tcW w:w="2920" w:type="dxa"/>
            <w:vAlign w:val="bottom"/>
            <w:gridSpan w:val="2"/>
          </w:tcPr>
          <w:p>
            <w:pPr>
              <w:ind w:left="1580"/>
              <w:spacing w:after="0"/>
              <w:rPr>
                <w:sz w:val="20"/>
                <w:szCs w:val="20"/>
                <w:color w:val="auto"/>
              </w:rPr>
            </w:pPr>
            <w:r>
              <w:rPr>
                <w:rFonts w:ascii="Arial" w:cs="Arial" w:eastAsia="Arial" w:hAnsi="Arial"/>
                <w:sz w:val="18"/>
                <w:szCs w:val="18"/>
                <w:color w:val="auto"/>
              </w:rPr>
              <w:t>approximately $</w:t>
            </w: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million (based on an assumed initial offering</w:t>
            </w:r>
          </w:p>
        </w:tc>
      </w:tr>
      <w:tr>
        <w:trPr>
          <w:trHeight w:val="216"/>
        </w:trPr>
        <w:tc>
          <w:tcPr>
            <w:tcW w:w="2840" w:type="dxa"/>
            <w:vAlign w:val="bottom"/>
          </w:tcPr>
          <w:p>
            <w:pPr>
              <w:spacing w:after="0"/>
              <w:rPr>
                <w:sz w:val="18"/>
                <w:szCs w:val="18"/>
                <w:color w:val="auto"/>
              </w:rPr>
            </w:pPr>
          </w:p>
        </w:tc>
        <w:tc>
          <w:tcPr>
            <w:tcW w:w="2480" w:type="dxa"/>
            <w:vAlign w:val="bottom"/>
          </w:tcPr>
          <w:p>
            <w:pPr>
              <w:ind w:left="1580"/>
              <w:spacing w:after="0"/>
              <w:rPr>
                <w:sz w:val="20"/>
                <w:szCs w:val="20"/>
                <w:color w:val="auto"/>
              </w:rPr>
            </w:pPr>
            <w:r>
              <w:rPr>
                <w:rFonts w:ascii="Arial" w:cs="Arial" w:eastAsia="Arial" w:hAnsi="Arial"/>
                <w:sz w:val="18"/>
                <w:szCs w:val="18"/>
                <w:color w:val="auto"/>
              </w:rPr>
              <w:t>price of $</w:t>
            </w:r>
          </w:p>
        </w:tc>
        <w:tc>
          <w:tcPr>
            <w:tcW w:w="4280" w:type="dxa"/>
            <w:vAlign w:val="bottom"/>
            <w:gridSpan w:val="4"/>
          </w:tcPr>
          <w:p>
            <w:pPr>
              <w:ind w:left="120"/>
              <w:spacing w:after="0"/>
              <w:rPr>
                <w:sz w:val="20"/>
                <w:szCs w:val="20"/>
                <w:color w:val="auto"/>
              </w:rPr>
            </w:pPr>
            <w:r>
              <w:rPr>
                <w:rFonts w:ascii="Arial" w:cs="Arial" w:eastAsia="Arial" w:hAnsi="Arial"/>
                <w:sz w:val="18"/>
                <w:szCs w:val="18"/>
                <w:color w:val="auto"/>
                <w:w w:val="96"/>
              </w:rPr>
              <w:t>per Class A share, the mid-point of the price range set</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forth on the cover page of this prospectus), after deducting the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estimated underwriting discounts and offering expenses.</w:t>
            </w:r>
          </w:p>
        </w:tc>
      </w:tr>
      <w:tr>
        <w:trPr>
          <w:trHeight w:val="310"/>
        </w:trPr>
        <w:tc>
          <w:tcPr>
            <w:tcW w:w="2840" w:type="dxa"/>
            <w:vAlign w:val="bottom"/>
          </w:tcPr>
          <w:p>
            <w:pPr>
              <w:spacing w:after="0"/>
              <w:rPr>
                <w:sz w:val="24"/>
                <w:szCs w:val="24"/>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will contribute the net proceeds of this offering to NFI in</w:t>
            </w:r>
          </w:p>
        </w:tc>
      </w:tr>
      <w:tr>
        <w:trPr>
          <w:trHeight w:val="216"/>
        </w:trPr>
        <w:tc>
          <w:tcPr>
            <w:tcW w:w="2840" w:type="dxa"/>
            <w:vAlign w:val="bottom"/>
          </w:tcPr>
          <w:p>
            <w:pPr>
              <w:spacing w:after="0"/>
              <w:rPr>
                <w:sz w:val="18"/>
                <w:szCs w:val="18"/>
                <w:color w:val="auto"/>
              </w:rPr>
            </w:pPr>
          </w:p>
        </w:tc>
        <w:tc>
          <w:tcPr>
            <w:tcW w:w="4520" w:type="dxa"/>
            <w:vAlign w:val="bottom"/>
            <w:gridSpan w:val="3"/>
          </w:tcPr>
          <w:p>
            <w:pPr>
              <w:ind w:left="1580"/>
              <w:spacing w:after="0"/>
              <w:rPr>
                <w:sz w:val="20"/>
                <w:szCs w:val="20"/>
                <w:color w:val="auto"/>
              </w:rPr>
            </w:pPr>
            <w:r>
              <w:rPr>
                <w:rFonts w:ascii="Arial" w:cs="Arial" w:eastAsia="Arial" w:hAnsi="Arial"/>
                <w:sz w:val="18"/>
                <w:szCs w:val="18"/>
                <w:color w:val="auto"/>
              </w:rPr>
              <w:t>exchange for NFI’s issuance to us of</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NFI LLC Units. NFI will</w:t>
            </w:r>
          </w:p>
        </w:tc>
      </w:tr>
      <w:tr>
        <w:trPr>
          <w:trHeight w:val="230"/>
        </w:trPr>
        <w:tc>
          <w:tcPr>
            <w:tcW w:w="2840" w:type="dxa"/>
            <w:vAlign w:val="bottom"/>
          </w:tcPr>
          <w:p>
            <w:pPr>
              <w:spacing w:after="0"/>
              <w:rPr>
                <w:sz w:val="20"/>
                <w:szCs w:val="20"/>
                <w:color w:val="auto"/>
              </w:rPr>
            </w:pPr>
          </w:p>
        </w:tc>
        <w:tc>
          <w:tcPr>
            <w:tcW w:w="2480" w:type="dxa"/>
            <w:vAlign w:val="bottom"/>
          </w:tcPr>
          <w:p>
            <w:pPr>
              <w:ind w:left="1580"/>
              <w:spacing w:after="0"/>
              <w:rPr>
                <w:sz w:val="20"/>
                <w:szCs w:val="20"/>
                <w:color w:val="auto"/>
              </w:rPr>
            </w:pPr>
            <w:r>
              <w:rPr>
                <w:rFonts w:ascii="Arial" w:cs="Arial" w:eastAsia="Arial" w:hAnsi="Arial"/>
                <w:sz w:val="18"/>
                <w:szCs w:val="18"/>
                <w:color w:val="auto"/>
                <w:w w:val="98"/>
              </w:rPr>
              <w:t>use the net</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7"/>
        </w:trPr>
        <w:tc>
          <w:tcPr>
            <w:tcW w:w="284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284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40" w:type="dxa"/>
            <w:vAlign w:val="bottom"/>
            <w:shd w:val="clear" w:color="auto" w:fill="000000"/>
          </w:tcPr>
          <w:p>
            <w:pPr>
              <w:spacing w:after="0"/>
              <w:rPr>
                <w:sz w:val="5"/>
                <w:szCs w:val="5"/>
                <w:color w:val="auto"/>
              </w:rPr>
            </w:pPr>
          </w:p>
        </w:tc>
        <w:tc>
          <w:tcPr>
            <w:tcW w:w="24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1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proceeds to complete the construction of our Terminals and</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Liquefaction Facilities, as well as for working capital and general</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corporate purposes, including the development of future projects.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Please read “Use of Proceeds” for additional information.</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If the underwriters exercise their option to purchase additional Class</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4"/>
              </w:rPr>
              <w:t>A shares in full, the additional net proceeds will be approximately $</w:t>
            </w:r>
          </w:p>
        </w:tc>
      </w:tr>
      <w:tr>
        <w:trPr>
          <w:trHeight w:val="216"/>
        </w:trPr>
        <w:tc>
          <w:tcPr>
            <w:tcW w:w="2840" w:type="dxa"/>
            <w:vAlign w:val="bottom"/>
          </w:tcPr>
          <w:p>
            <w:pPr>
              <w:spacing w:after="0"/>
              <w:rPr>
                <w:sz w:val="18"/>
                <w:szCs w:val="18"/>
                <w:color w:val="auto"/>
              </w:rPr>
            </w:pPr>
          </w:p>
        </w:tc>
        <w:tc>
          <w:tcPr>
            <w:tcW w:w="5860" w:type="dxa"/>
            <w:vAlign w:val="bottom"/>
            <w:gridSpan w:val="3"/>
          </w:tcPr>
          <w:p>
            <w:pPr>
              <w:ind w:left="1760"/>
              <w:spacing w:after="0"/>
              <w:rPr>
                <w:sz w:val="20"/>
                <w:szCs w:val="20"/>
                <w:color w:val="auto"/>
              </w:rPr>
            </w:pPr>
            <w:r>
              <w:rPr>
                <w:rFonts w:ascii="Arial" w:cs="Arial" w:eastAsia="Arial" w:hAnsi="Arial"/>
                <w:sz w:val="18"/>
                <w:szCs w:val="18"/>
                <w:color w:val="auto"/>
                <w:w w:val="95"/>
              </w:rPr>
              <w:t>million (based on an assumed initial offering price of $</w:t>
            </w:r>
          </w:p>
        </w:tc>
        <w:tc>
          <w:tcPr>
            <w:tcW w:w="660" w:type="dxa"/>
            <w:vAlign w:val="bottom"/>
          </w:tcPr>
          <w:p>
            <w:pPr>
              <w:ind w:left="120"/>
              <w:spacing w:after="0"/>
              <w:rPr>
                <w:sz w:val="20"/>
                <w:szCs w:val="20"/>
                <w:color w:val="auto"/>
              </w:rPr>
            </w:pPr>
            <w:r>
              <w:rPr>
                <w:rFonts w:ascii="Arial" w:cs="Arial" w:eastAsia="Arial" w:hAnsi="Arial"/>
                <w:sz w:val="18"/>
                <w:szCs w:val="18"/>
                <w:color w:val="auto"/>
              </w:rPr>
              <w:t>per</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Class A share, the mid-point of the price range set forth on the cover</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0"/>
              </w:rPr>
              <w:t>page of this prospectus). The net proceeds from any exercise of such</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5"/>
              </w:rPr>
              <w:t>option will be contributed to NFI in exchange for NFI’s issuance to</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rPr>
              <w:t>us of additional NFI LLC Units. After the application of the net</w:t>
            </w:r>
          </w:p>
        </w:tc>
      </w:tr>
      <w:tr>
        <w:trPr>
          <w:trHeight w:val="216"/>
        </w:trPr>
        <w:tc>
          <w:tcPr>
            <w:tcW w:w="2840" w:type="dxa"/>
            <w:vAlign w:val="bottom"/>
          </w:tcPr>
          <w:p>
            <w:pPr>
              <w:spacing w:after="0"/>
              <w:rPr>
                <w:sz w:val="18"/>
                <w:szCs w:val="18"/>
                <w:color w:val="auto"/>
              </w:rPr>
            </w:pPr>
          </w:p>
        </w:tc>
        <w:tc>
          <w:tcPr>
            <w:tcW w:w="4680" w:type="dxa"/>
            <w:vAlign w:val="bottom"/>
            <w:gridSpan w:val="2"/>
          </w:tcPr>
          <w:p>
            <w:pPr>
              <w:ind w:left="1480"/>
              <w:spacing w:after="0"/>
              <w:rPr>
                <w:sz w:val="20"/>
                <w:szCs w:val="20"/>
                <w:color w:val="auto"/>
              </w:rPr>
            </w:pPr>
            <w:r>
              <w:rPr>
                <w:rFonts w:ascii="Arial" w:cs="Arial" w:eastAsia="Arial" w:hAnsi="Arial"/>
                <w:sz w:val="18"/>
                <w:szCs w:val="18"/>
                <w:color w:val="auto"/>
                <w:w w:val="96"/>
              </w:rPr>
              <w:t>proceeds from this offering, we will own a</w:t>
            </w: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w w:val="91"/>
              </w:rPr>
              <w:t>% membership interest</w:t>
            </w:r>
          </w:p>
        </w:tc>
      </w:tr>
      <w:tr>
        <w:trPr>
          <w:trHeight w:val="216"/>
        </w:trPr>
        <w:tc>
          <w:tcPr>
            <w:tcW w:w="2840" w:type="dxa"/>
            <w:vAlign w:val="bottom"/>
          </w:tcPr>
          <w:p>
            <w:pPr>
              <w:spacing w:after="0"/>
              <w:rPr>
                <w:sz w:val="18"/>
                <w:szCs w:val="18"/>
                <w:color w:val="auto"/>
              </w:rPr>
            </w:pPr>
          </w:p>
        </w:tc>
        <w:tc>
          <w:tcPr>
            <w:tcW w:w="2580" w:type="dxa"/>
            <w:vAlign w:val="bottom"/>
          </w:tcPr>
          <w:p>
            <w:pPr>
              <w:ind w:left="1480"/>
              <w:spacing w:after="0"/>
              <w:rPr>
                <w:sz w:val="20"/>
                <w:szCs w:val="20"/>
                <w:color w:val="auto"/>
              </w:rPr>
            </w:pPr>
            <w:r>
              <w:rPr>
                <w:rFonts w:ascii="Arial" w:cs="Arial" w:eastAsia="Arial" w:hAnsi="Arial"/>
                <w:sz w:val="18"/>
                <w:szCs w:val="18"/>
                <w:color w:val="auto"/>
              </w:rPr>
              <w:t>in NFI (or a</w:t>
            </w:r>
          </w:p>
        </w:tc>
        <w:tc>
          <w:tcPr>
            <w:tcW w:w="3940" w:type="dxa"/>
            <w:vAlign w:val="bottom"/>
            <w:gridSpan w:val="3"/>
          </w:tcPr>
          <w:p>
            <w:pPr>
              <w:ind w:left="40"/>
              <w:spacing w:after="0"/>
              <w:rPr>
                <w:sz w:val="20"/>
                <w:szCs w:val="20"/>
                <w:color w:val="auto"/>
              </w:rPr>
            </w:pPr>
            <w:r>
              <w:rPr>
                <w:rFonts w:ascii="Arial" w:cs="Arial" w:eastAsia="Arial" w:hAnsi="Arial"/>
                <w:sz w:val="18"/>
                <w:szCs w:val="18"/>
                <w:color w:val="auto"/>
                <w:w w:val="94"/>
              </w:rPr>
              <w:t>% membership interest if the underwriters’ option to</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purchase additional Class A shares is exercised in full). Please read</w:t>
            </w:r>
          </w:p>
        </w:tc>
      </w:tr>
      <w:tr>
        <w:trPr>
          <w:trHeight w:val="216"/>
        </w:trPr>
        <w:tc>
          <w:tcPr>
            <w:tcW w:w="2840" w:type="dxa"/>
            <w:vAlign w:val="bottom"/>
          </w:tcPr>
          <w:p>
            <w:pPr>
              <w:spacing w:after="0"/>
              <w:rPr>
                <w:sz w:val="18"/>
                <w:szCs w:val="18"/>
                <w:color w:val="auto"/>
              </w:rPr>
            </w:pPr>
          </w:p>
        </w:tc>
        <w:tc>
          <w:tcPr>
            <w:tcW w:w="5860" w:type="dxa"/>
            <w:vAlign w:val="bottom"/>
            <w:gridSpan w:val="3"/>
          </w:tcPr>
          <w:p>
            <w:pPr>
              <w:ind w:left="1480"/>
              <w:spacing w:after="0"/>
              <w:rPr>
                <w:sz w:val="20"/>
                <w:szCs w:val="20"/>
                <w:color w:val="auto"/>
              </w:rPr>
            </w:pPr>
            <w:r>
              <w:rPr>
                <w:rFonts w:ascii="Arial" w:cs="Arial" w:eastAsia="Arial" w:hAnsi="Arial"/>
                <w:sz w:val="18"/>
                <w:szCs w:val="18"/>
                <w:color w:val="auto"/>
              </w:rPr>
              <w:t>“Security Ownership of Certain Beneficial Owners and</w:t>
            </w:r>
          </w:p>
        </w:tc>
        <w:tc>
          <w:tcPr>
            <w:tcW w:w="66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2580" w:type="dxa"/>
            <w:vAlign w:val="bottom"/>
          </w:tcPr>
          <w:p>
            <w:pPr>
              <w:ind w:left="1480"/>
              <w:spacing w:after="0"/>
              <w:rPr>
                <w:sz w:val="20"/>
                <w:szCs w:val="20"/>
                <w:color w:val="auto"/>
              </w:rPr>
            </w:pPr>
            <w:r>
              <w:rPr>
                <w:rFonts w:ascii="Arial" w:cs="Arial" w:eastAsia="Arial" w:hAnsi="Arial"/>
                <w:sz w:val="18"/>
                <w:szCs w:val="18"/>
                <w:color w:val="auto"/>
                <w:w w:val="93"/>
              </w:rPr>
              <w:t>Management.”</w:t>
            </w: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Dividend policy</w:t>
            </w: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89"/>
              </w:rPr>
              <w:t>We do not anticipate paying any dividends on our Class A shares. See</w:t>
            </w:r>
          </w:p>
        </w:tc>
      </w:tr>
      <w:tr>
        <w:trPr>
          <w:trHeight w:val="230"/>
        </w:trPr>
        <w:tc>
          <w:tcPr>
            <w:tcW w:w="2840" w:type="dxa"/>
            <w:vAlign w:val="bottom"/>
          </w:tcPr>
          <w:p>
            <w:pPr>
              <w:spacing w:after="0"/>
              <w:rPr>
                <w:sz w:val="20"/>
                <w:szCs w:val="20"/>
                <w:color w:val="auto"/>
              </w:rPr>
            </w:pPr>
          </w:p>
        </w:tc>
        <w:tc>
          <w:tcPr>
            <w:tcW w:w="4680" w:type="dxa"/>
            <w:vAlign w:val="bottom"/>
            <w:gridSpan w:val="2"/>
          </w:tcPr>
          <w:p>
            <w:pPr>
              <w:ind w:left="1480"/>
              <w:spacing w:after="0"/>
              <w:rPr>
                <w:sz w:val="20"/>
                <w:szCs w:val="20"/>
                <w:color w:val="auto"/>
              </w:rPr>
            </w:pPr>
            <w:r>
              <w:rPr>
                <w:rFonts w:ascii="Arial" w:cs="Arial" w:eastAsia="Arial" w:hAnsi="Arial"/>
                <w:sz w:val="18"/>
                <w:szCs w:val="18"/>
                <w:color w:val="auto"/>
              </w:rPr>
              <w:t>“Dividend Policy.”</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Redemption Right</w:t>
            </w: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4"/>
              </w:rPr>
              <w:t>Under the NFI LLC Agreement, New Fortress Energy Holdings and</w:t>
            </w:r>
          </w:p>
        </w:tc>
      </w:tr>
      <w:tr>
        <w:trPr>
          <w:trHeight w:val="230"/>
        </w:trPr>
        <w:tc>
          <w:tcPr>
            <w:tcW w:w="2840" w:type="dxa"/>
            <w:vAlign w:val="bottom"/>
          </w:tcPr>
          <w:p>
            <w:pPr>
              <w:spacing w:after="0"/>
              <w:rPr>
                <w:sz w:val="20"/>
                <w:szCs w:val="20"/>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8"/>
              </w:rPr>
              <w:t>any permitted transferees of New Fortress Energy Holdings’ NFI</w:t>
            </w:r>
          </w:p>
        </w:tc>
      </w:tr>
    </w:tbl>
    <w:p>
      <w:pPr>
        <w:ind w:left="4420" w:right="20"/>
        <w:spacing w:after="0" w:line="281" w:lineRule="auto"/>
        <w:rPr>
          <w:sz w:val="20"/>
          <w:szCs w:val="20"/>
          <w:color w:val="auto"/>
        </w:rPr>
      </w:pPr>
      <w:r>
        <w:rPr>
          <w:rFonts w:ascii="Arial" w:cs="Arial" w:eastAsia="Arial" w:hAnsi="Arial"/>
          <w:sz w:val="16"/>
          <w:szCs w:val="16"/>
          <w:color w:val="auto"/>
        </w:rPr>
        <w:t>LLC Units will, subject to certain limitations, have the right, pursuant to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w:t>
      </w:r>
    </w:p>
    <w:p>
      <w:pPr>
        <w:spacing w:after="0" w:line="4" w:lineRule="exact"/>
        <w:rPr>
          <w:sz w:val="20"/>
          <w:szCs w:val="20"/>
          <w:color w:val="auto"/>
        </w:rPr>
      </w:pPr>
    </w:p>
    <w:p>
      <w:pPr>
        <w:ind w:left="4420" w:firstLine="10"/>
        <w:spacing w:after="0" w:line="266" w:lineRule="auto"/>
        <w:tabs>
          <w:tab w:leader="none" w:pos="468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equivalent amount of cash. Alternatively, upon the exercise of the Redemption Right, NFE (instead of NFI) will have the right, pursuant to the Call Right, to acquire each tendered NFI LLC Unit directly from the redeeming NFI unitholder for, at NFE’s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at NFE’s election. In connection with any redemption of NFI LLC Units pursuant to the Redemption Right or our Call Right, the corresponding number of Class B shares will be cancelled. For additional information, please read “Certain Relationships and Related Transactions—Agreements with Affiliates in Connection with the Transactions—Amended and Restated Limited Liability Company Agreement of NFI.”</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28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Exchange listing</w:t>
            </w:r>
          </w:p>
        </w:tc>
        <w:tc>
          <w:tcPr>
            <w:tcW w:w="674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We intend to apply to list our Class A shares on NASDAQ, under the</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symbol “NFE.”</w:t>
            </w:r>
          </w:p>
        </w:tc>
      </w:tr>
      <w:tr>
        <w:trPr>
          <w:trHeight w:val="310"/>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Risk Factors</w:t>
            </w: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You should carefully read and consider the information set forth</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under the heading “Risk Factors” and all other information set forth</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in this prospectus before deciding to invest in our Class A shares.</w:t>
            </w:r>
          </w:p>
        </w:tc>
      </w:tr>
      <w:tr>
        <w:trPr>
          <w:trHeight w:val="267"/>
        </w:trPr>
        <w:tc>
          <w:tcPr>
            <w:tcW w:w="2860" w:type="dxa"/>
            <w:vAlign w:val="bottom"/>
            <w:tcBorders>
              <w:left w:val="single" w:sz="8" w:color="auto"/>
              <w:bottom w:val="single" w:sz="8" w:color="auto"/>
            </w:tcBorders>
          </w:tcPr>
          <w:p>
            <w:pPr>
              <w:spacing w:after="0"/>
              <w:rPr>
                <w:sz w:val="23"/>
                <w:szCs w:val="23"/>
                <w:color w:val="auto"/>
              </w:rPr>
            </w:pPr>
          </w:p>
        </w:tc>
        <w:tc>
          <w:tcPr>
            <w:tcW w:w="67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2860" w:type="dxa"/>
            <w:vAlign w:val="bottom"/>
          </w:tcPr>
          <w:p>
            <w:pPr>
              <w:spacing w:after="0"/>
              <w:rPr>
                <w:sz w:val="24"/>
                <w:szCs w:val="24"/>
                <w:color w:val="auto"/>
              </w:rPr>
            </w:pPr>
          </w:p>
        </w:tc>
        <w:tc>
          <w:tcPr>
            <w:tcW w:w="6700" w:type="dxa"/>
            <w:vAlign w:val="bottom"/>
          </w:tcPr>
          <w:p>
            <w:pPr>
              <w:ind w:left="18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46"/>
        </w:trPr>
        <w:tc>
          <w:tcPr>
            <w:tcW w:w="28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60" w:type="dxa"/>
            <w:vAlign w:val="bottom"/>
            <w:tcBorders>
              <w:left w:val="single" w:sz="8" w:color="auto"/>
            </w:tcBorders>
            <w:shd w:val="clear" w:color="auto" w:fill="000000"/>
          </w:tcPr>
          <w:p>
            <w:pPr>
              <w:spacing w:after="0"/>
              <w:rPr>
                <w:sz w:val="5"/>
                <w:szCs w:val="5"/>
                <w:color w:val="auto"/>
              </w:rPr>
            </w:pPr>
          </w:p>
        </w:tc>
        <w:tc>
          <w:tcPr>
            <w:tcW w:w="67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954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92825" cy="795401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Financial Data</w:t>
      </w:r>
    </w:p>
    <w:p>
      <w:pPr>
        <w:spacing w:after="0" w:line="121" w:lineRule="exact"/>
        <w:rPr>
          <w:sz w:val="20"/>
          <w:szCs w:val="20"/>
          <w:color w:val="auto"/>
        </w:rPr>
      </w:pPr>
    </w:p>
    <w:p>
      <w:pPr>
        <w:ind w:left="100" w:right="160" w:firstLine="360"/>
        <w:spacing w:after="0" w:line="257"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summary historical financial information of New Fortress Energy Holdings, our predecessor, for the periods and as of the dates indicated. The summary historical financial data as of and for the years ended December 31, 2017 and 2016 was derived from the audited historical consolidated financial statements of New Fortress Energy Holdings included elsewhere in this prospectus.</w:t>
      </w:r>
    </w:p>
    <w:p>
      <w:pPr>
        <w:spacing w:after="0" w:line="80" w:lineRule="exact"/>
        <w:rPr>
          <w:sz w:val="20"/>
          <w:szCs w:val="20"/>
          <w:color w:val="auto"/>
        </w:rPr>
      </w:pPr>
    </w:p>
    <w:p>
      <w:pPr>
        <w:ind w:left="100" w:firstLine="360"/>
        <w:spacing w:after="0" w:line="259" w:lineRule="auto"/>
        <w:rPr>
          <w:sz w:val="20"/>
          <w:szCs w:val="20"/>
          <w:color w:val="auto"/>
        </w:rPr>
      </w:pPr>
      <w:r>
        <w:rPr>
          <w:rFonts w:ascii="Arial" w:cs="Arial" w:eastAsia="Arial" w:hAnsi="Arial"/>
          <w:sz w:val="18"/>
          <w:szCs w:val="18"/>
          <w:color w:val="auto"/>
        </w:rPr>
        <w:t>You should read the information set forth below together with “Use of Proceeds,” “Selected Historical Financial Data,”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78,692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(24,990)</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(31,145)</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 and diluted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58,753,425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(52,396)</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180" w:top="279" w:right="1239" w:bottom="1440" w:gutter="0" w:footer="0" w:header="0"/>
          <w:type w:val="continuous"/>
        </w:sect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i w:val="1"/>
          <w:iCs w:val="1"/>
          <w:color w:val="auto"/>
        </w:rPr>
        <w:t>Investing in our Class A shares involves risks. You should carefully consider the following risk factors together with all of the other information included in this prospectus in evaluating an investment in our Class A shares. Additional risks not presently known to us or that we currently deem immaterial could also materially affect our business.</w:t>
      </w:r>
    </w:p>
    <w:p>
      <w:pPr>
        <w:spacing w:after="0" w:line="57"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i w:val="1"/>
          <w:iCs w:val="1"/>
          <w:color w:val="auto"/>
        </w:rPr>
        <w:t>If any of the following risks were to occur, our business, financial condition and results of operations could be materially adversely affected. In that case, the trading price of our Class A shares could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left="360" w:right="100"/>
        <w:spacing w:after="0" w:line="343" w:lineRule="auto"/>
        <w:rPr>
          <w:sz w:val="20"/>
          <w:szCs w:val="20"/>
          <w:color w:val="auto"/>
        </w:rPr>
      </w:pPr>
      <w:r>
        <w:rPr>
          <w:rFonts w:ascii="Arial" w:cs="Arial" w:eastAsia="Arial" w:hAnsi="Arial"/>
          <w:sz w:val="15"/>
          <w:szCs w:val="15"/>
          <w:b w:val="1"/>
          <w:bCs w:val="1"/>
          <w:i w:val="1"/>
          <w:iCs w:val="1"/>
          <w:color w:val="auto"/>
        </w:rPr>
        <w:t>We have not yet completed construction and commissioning of all of our Terminals and Liquefaction Facilities. There can be no assurance that our Terminals and Liquefaction Facilities will operate as described in this prospectus, or at all.</w:t>
      </w:r>
    </w:p>
    <w:p>
      <w:pPr>
        <w:spacing w:after="0" w:line="7" w:lineRule="exact"/>
        <w:rPr>
          <w:sz w:val="20"/>
          <w:szCs w:val="20"/>
          <w:color w:val="auto"/>
        </w:rPr>
      </w:pPr>
    </w:p>
    <w:p>
      <w:pPr>
        <w:ind w:right="20" w:firstLine="360"/>
        <w:spacing w:after="0" w:line="267" w:lineRule="auto"/>
        <w:rPr>
          <w:sz w:val="20"/>
          <w:szCs w:val="20"/>
          <w:color w:val="auto"/>
        </w:rPr>
      </w:pPr>
      <w:r>
        <w:rPr>
          <w:rFonts w:ascii="Arial" w:cs="Arial" w:eastAsia="Arial" w:hAnsi="Arial"/>
          <w:sz w:val="17"/>
          <w:szCs w:val="17"/>
          <w:color w:val="auto"/>
        </w:rPr>
        <w:t>While our marine LNG storage and regasification terminal approximately three nautical miles from the Old Harbour Power Plant (the “Old Harbour Terminal” and, together with the Montego Bay Terminal, the “Jamaica Terminals”) is substantially complete, it must still undergo extensive testing and commissioning before operations can commence. With respect to our Pennsylvania Facilities, though we are in the advanced stages of design, development and permitting of our first Pennsylvania Facility, we have not reached a final investment decision regarding such facility. As such, we have not entered into binding construction contracts or obtained all necessary environmental, regulatory, construction and zoning permissions. There can be no assurance that we will be able to enter into the contracts required for the development of these assets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 from our transportation assets to our occupying vessel. If we are unable to enter into favorable contracts or to obtain the necessary regulatory and land use approvals on favorable terms, we may not be able to construct and operate these assets as described in this prospectus, or at all.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described in this prospectus, or, when and if constructed, they do not accomplish the goals described in this prospectus,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175" w:lineRule="exact"/>
        <w:rPr>
          <w:sz w:val="20"/>
          <w:szCs w:val="20"/>
          <w:color w:val="auto"/>
        </w:rPr>
      </w:pPr>
    </w:p>
    <w:p>
      <w:pPr>
        <w:ind w:left="360" w:right="380"/>
        <w:spacing w:after="0" w:line="246"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Ireland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Old Harbour Terminal, the Pennsylvania Facilities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w:t>
      </w:r>
      <w:r>
        <w:rPr>
          <w:rFonts w:ascii="Arial" w:cs="Arial" w:eastAsia="Arial" w:hAnsi="Arial"/>
          <w:sz w:val="16"/>
          <w:szCs w:val="16"/>
          <w:b w:val="1"/>
          <w:bCs w:val="1"/>
          <w:color w:val="auto"/>
        </w:rPr>
        <w:t>-</w:t>
      </w:r>
      <w:r>
        <w:rPr>
          <w:rFonts w:ascii="Arial" w:cs="Arial" w:eastAsia="Arial" w:hAnsi="Arial"/>
          <w:sz w:val="16"/>
          <w:szCs w:val="16"/>
          <w:color w:val="auto"/>
        </w:rPr>
        <w:t>term capital appreciation and liquidity with respect to such investments.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73"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Our future ability to execute our business strategy is uncertain, and it can be expected that one or more of our assumptions will prove to be incorrect and that we will face unanticipated events and circumstances that may adversely affect our proposed business. Any one or more of the following factors may have a material adverse effect on our ability to implement our proposed strategy and achieve our targets:</w:t>
      </w:r>
    </w:p>
    <w:p>
      <w:pPr>
        <w:spacing w:after="0" w:line="79"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source LNG in sufficient quantities and/or at economically attractive prices;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and elsewhere;</w:t>
      </w:r>
    </w:p>
    <w:p>
      <w:pPr>
        <w:spacing w:after="0" w:line="62"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inability to raise additional capital in the future to implement our strategy as well as to operate and expand our business;</w:t>
      </w:r>
    </w:p>
    <w:p>
      <w:pPr>
        <w:spacing w:after="0" w:line="140" w:lineRule="exact"/>
        <w:rPr>
          <w:rFonts w:ascii="Arial" w:cs="Arial" w:eastAsia="Arial" w:hAnsi="Arial"/>
          <w:sz w:val="16"/>
          <w:szCs w:val="16"/>
          <w:color w:val="auto"/>
        </w:rPr>
      </w:pPr>
    </w:p>
    <w:p>
      <w:pPr>
        <w:ind w:left="700" w:right="16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and in the other geographic areas in which we intend to operate;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Facilities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win new bids or contracts, including our proposal to PREPA;</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7" w:lineRule="exact"/>
        <w:rPr>
          <w:rFonts w:ascii="Arial" w:cs="Arial" w:eastAsia="Arial" w:hAnsi="Arial"/>
          <w:sz w:val="18"/>
          <w:szCs w:val="18"/>
          <w:color w:val="auto"/>
        </w:rPr>
      </w:pPr>
    </w:p>
    <w:p>
      <w:pPr>
        <w:ind w:left="700" w:right="180" w:hanging="356"/>
        <w:spacing w:after="0" w:line="25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(for further discussion of counterparty risk, see “—Risks Related to Our Business—Our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80"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limited operating history, and an investment in our Class A shares is highly speculative.</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and $31.7 million in 2017.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Accordingly, your investment in our Class A shares is speculative and subject to a high degree of risk. Prior to investing in our Class A shares, you should understand that there is a possibility of the loss of your entire investment.</w:t>
      </w:r>
    </w:p>
    <w:p>
      <w:pPr>
        <w:spacing w:after="0" w:line="7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Jamaica Terminals, and we have not completed constructing all of our Terminals and Liquefaction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ind w:right="200" w:firstLine="360"/>
        <w:spacing w:after="0" w:line="253" w:lineRule="auto"/>
        <w:rPr>
          <w:sz w:val="20"/>
          <w:szCs w:val="20"/>
          <w:color w:val="auto"/>
        </w:rPr>
      </w:pPr>
      <w:r>
        <w:rPr>
          <w:rFonts w:ascii="Arial" w:cs="Arial" w:eastAsia="Arial" w:hAnsi="Arial"/>
          <w:sz w:val="18"/>
          <w:szCs w:val="18"/>
          <w:color w:val="auto"/>
        </w:rPr>
        <w:t>We have a limited operating history and did not commence revenue-generating activities until 2016, and therefore did not achieve profitability as of December 31, 2017. We will invest a substantial portion of the proceeds of this offering in capital expenditures or in pursuit of development opportunities.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8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68" w:lineRule="exact"/>
        <w:rPr>
          <w:sz w:val="20"/>
          <w:szCs w:val="20"/>
          <w:color w:val="auto"/>
        </w:rPr>
      </w:pPr>
    </w:p>
    <w:p>
      <w:pPr>
        <w:ind w:left="360" w:right="60"/>
        <w:spacing w:after="0" w:line="246"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75" w:lineRule="exact"/>
        <w:rPr>
          <w:sz w:val="20"/>
          <w:szCs w:val="20"/>
          <w:color w:val="auto"/>
        </w:rPr>
      </w:pPr>
    </w:p>
    <w:p>
      <w:pPr>
        <w:ind w:right="320" w:firstLine="360"/>
        <w:spacing w:after="0" w:line="293"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JPS, JPC and Jamalco. We may be unable to accomplish our business plan to diversify and expand our customer base by attracting a broad array of customers, which could negatively affect our business, results of operations and financial condition.</w:t>
      </w:r>
    </w:p>
    <w:p>
      <w:pPr>
        <w:spacing w:after="0" w:line="151" w:lineRule="exact"/>
        <w:rPr>
          <w:sz w:val="20"/>
          <w:szCs w:val="20"/>
          <w:color w:val="auto"/>
        </w:rPr>
      </w:pPr>
    </w:p>
    <w:p>
      <w:pPr>
        <w:ind w:left="360" w:right="220"/>
        <w:spacing w:after="0" w:line="276"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54"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Our current results of operations and liquidity are, and will continue to be in the near future, substantially dependent upon performance by JPS and JPC, which have each entered into long-term GSAs and, in the case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JPS, a PPA in relation to the power produced at the CHP Plant, with us, and Jamalco, which has entered into a long-term SSA with us. Our GSAs, PPA and SSA have a weighted average of 14.3 years remaining under such contracts, weighted based on contracted volumes. Our near term ability to generate cash is dependent on JPS’s, JPC’s and Jamalco’s continued willingness and ability to perform their obligations under their respective contracts. If any of JPS, JPC or Jamalco fails to perform its obligations under its contract, our operating results, cash flow and liquidity could be materially and adversely affected, even if we were ultimately successful in seeking damages from JPS, JPC or Jamalco for a breach of the contract.</w:t>
      </w:r>
    </w:p>
    <w:p>
      <w:pPr>
        <w:spacing w:after="0" w:line="70"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Risks of nonpayment and nonperformance by customers are a consideration in our businesses,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(“GAJ”), one of the lessors, is a subsidiary of Noble Group, which is undergoing a financial restructuring that was recently approved by its shareholders.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w:t>
      </w:r>
    </w:p>
    <w:p>
      <w:pPr>
        <w:spacing w:after="0" w:line="65"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and Jamalco, contains various termination rights allowing our customers to terminate the contract, including, without limitation:</w:t>
      </w:r>
    </w:p>
    <w:p>
      <w:pPr>
        <w:spacing w:after="0" w:line="73" w:lineRule="exact"/>
        <w:rPr>
          <w:sz w:val="20"/>
          <w:szCs w:val="20"/>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220"/>
        <w:spacing w:after="0" w:line="235"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39" w:lineRule="exact"/>
        <w:rPr>
          <w:sz w:val="20"/>
          <w:szCs w:val="20"/>
          <w:color w:val="auto"/>
        </w:rPr>
      </w:pPr>
    </w:p>
    <w:p>
      <w:pPr>
        <w:ind w:left="700" w:right="32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Adverse trends or developments affecting any of these factors – in particular prior to our Pennsylvania Facilities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In particular, because we have not currently procured fixed-price, long-term LNG supply (our plan being to liquefy natural gas ourselves in our Liquefaction Facilities), increases in LNG prices and/or shortages of LNG supply could be material and adverse to our business.</w:t>
      </w:r>
    </w:p>
    <w:p>
      <w:pPr>
        <w:spacing w:after="0" w:line="176" w:lineRule="exact"/>
        <w:rPr>
          <w:sz w:val="20"/>
          <w:szCs w:val="20"/>
          <w:color w:val="auto"/>
        </w:rPr>
      </w:pPr>
    </w:p>
    <w:p>
      <w:pPr>
        <w:ind w:left="360" w:right="60"/>
        <w:spacing w:after="0" w:line="246"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7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The net proceeds from this offering will not be sufficient to fully execute our business plan. After giving effect to this offering and committed debt financing of $ million, we believe that our cash resources will be sufficient to meet projected capital expenditures, financing obligations and operating requirements related to the construction and development of our Pennsylvania Facilities, the Ireland Terminal, the San Juan Facility and the La Paz Terminal, which are further described in “Business.” In the future, we expect to pursue additional offerings of debt or equity securities to assist us in developing our operations. If we are unable to secure additional funding, or if it is only available on terms that we determine are not acceptable to us, we may be unable to fully execute our business plan and our business, financial condition or results of operations may be adversely affected. Our ability to raise additional capital will depend on financial, economic and market conditions and other factors, many of which are beyond our control. We cannot assure you that such additional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these covenants and service our debt, we may lose control of our business and be forced to reduce or delay planned investments or capital expenditures, sell assets, restructure our operations or submit to foreclosure proceedings, all of which would result in a material adverse effect upon our business and reduce the value of your investment.</w:t>
      </w:r>
    </w:p>
    <w:p>
      <w:pPr>
        <w:spacing w:after="0" w:line="8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53" w:lineRule="exact"/>
        <w:rPr>
          <w:sz w:val="20"/>
          <w:szCs w:val="20"/>
          <w:color w:val="auto"/>
        </w:rPr>
      </w:pPr>
    </w:p>
    <w:p>
      <w:pPr>
        <w:ind w:left="360" w:right="160"/>
        <w:spacing w:after="0" w:line="24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September 30, 2018, we had $130 million of total indebtedness outstanding, excluding deferred financing costs, and, as of the closing of this offering, we expect to have $ million of total indebtedness outstanding.</w:t>
      </w:r>
    </w:p>
    <w:p>
      <w:pPr>
        <w:spacing w:after="0" w:line="57"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in each case, which could result in your losing your investment.</w:t>
      </w:r>
    </w:p>
    <w:p>
      <w:pPr>
        <w:spacing w:after="0" w:line="141" w:lineRule="exact"/>
        <w:rPr>
          <w:sz w:val="20"/>
          <w:szCs w:val="20"/>
          <w:color w:val="auto"/>
        </w:rPr>
      </w:pPr>
    </w:p>
    <w:p>
      <w:pPr>
        <w:ind w:left="360" w:right="520"/>
        <w:spacing w:after="0" w:line="246"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7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have significant working capital requirements, primarily driven by the delay between the purchase of and payment for natural gas and the extended payment terms that we offer our customers. Differences between the date when we pay our merchant clients and the date when we receive payments from our customers may adversely affect our liquidity and our cash flows. We expect our working capital needs to increase as our total business increases. If we do not have sufficient working capital, we may not be able to pursue our growth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strategy, respond to competitive pressures or fund key strategic initiatives, such as the development of our facilities, which may harm our business, financial condition and results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more fully discussed in this prospectus, our existing facilities and expected future facilities face operational risks, including the following: performing below expected levels of efficiency, breakdowns or failures of equipment, operational errors by trucks, tankers or tug operators, operational errors by us or any contracted facility operator, labor disputes and weather-related or natural disaster interruptions of operations.</w:t>
      </w:r>
    </w:p>
    <w:p>
      <w:pPr>
        <w:spacing w:after="0" w:line="7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7"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64" w:lineRule="exact"/>
        <w:rPr>
          <w:sz w:val="20"/>
          <w:szCs w:val="20"/>
          <w:color w:val="auto"/>
        </w:rPr>
      </w:pPr>
    </w:p>
    <w:p>
      <w:pPr>
        <w:ind w:left="360" w:right="140"/>
        <w:spacing w:after="0" w:line="235"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81" w:lineRule="exact"/>
        <w:rPr>
          <w:sz w:val="20"/>
          <w:szCs w:val="20"/>
          <w:color w:val="auto"/>
        </w:rPr>
      </w:pPr>
    </w:p>
    <w:p>
      <w:pPr>
        <w:ind w:right="220" w:firstLine="360"/>
        <w:spacing w:after="0" w:line="289" w:lineRule="auto"/>
        <w:rPr>
          <w:sz w:val="20"/>
          <w:szCs w:val="20"/>
          <w:color w:val="auto"/>
        </w:rPr>
      </w:pPr>
      <w:r>
        <w:rPr>
          <w:rFonts w:ascii="Arial" w:cs="Arial" w:eastAsia="Arial" w:hAnsi="Arial"/>
          <w:sz w:val="16"/>
          <w:szCs w:val="16"/>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5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and could have a material adverse effect on our business, contracts, financial condition, operating results, cash flow, liquidity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operations.</w:t>
      </w:r>
    </w:p>
    <w:p>
      <w:pPr>
        <w:spacing w:after="0" w:line="115"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6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8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success depends on key members of our management, the loss of any of whom could disrupt our business operations.</w:t>
      </w:r>
    </w:p>
    <w:p>
      <w:pPr>
        <w:spacing w:after="0" w:line="138"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depend to a large extent on the services of our chief executive officer, Wesley R. Edens, and some of our other executive officers. The loss of the services of Mr. Edens or one or more of our other key executives could disrupt our operations and increase our exposure to the other risks described in this “Risk Factors” section. We do not maintain key man insurance on Mr. Edens or any of our employees. As a result, we are not insured against any losses resulting from the death of our key employees.</w:t>
      </w:r>
    </w:p>
    <w:p>
      <w:pPr>
        <w:spacing w:after="0" w:line="141" w:lineRule="exact"/>
        <w:rPr>
          <w:sz w:val="20"/>
          <w:szCs w:val="20"/>
          <w:color w:val="auto"/>
        </w:rPr>
      </w:pPr>
    </w:p>
    <w:p>
      <w:pPr>
        <w:ind w:left="360" w:right="240"/>
        <w:spacing w:after="0" w:line="246"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7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6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60" w:hanging="356"/>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73"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ind w:left="700" w:right="160" w:hanging="356"/>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 may depend on the completion of a third-party construction project (e.g., additional public utility infrastructure projects) that we do not control and that may be subject to numerous additional potential risks, delays and complexities;</w:t>
      </w:r>
    </w:p>
    <w:p>
      <w:pPr>
        <w:spacing w:after="0" w:line="73" w:lineRule="exact"/>
        <w:rPr>
          <w:rFonts w:ascii="Arial" w:cs="Arial" w:eastAsia="Arial" w:hAnsi="Arial"/>
          <w:sz w:val="18"/>
          <w:szCs w:val="18"/>
          <w:color w:val="auto"/>
        </w:rPr>
      </w:pPr>
    </w:p>
    <w:p>
      <w:pPr>
        <w:ind w:left="700" w:right="240" w:hanging="356"/>
        <w:spacing w:after="0" w:line="279"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 and</w:t>
      </w:r>
    </w:p>
    <w:p>
      <w:pPr>
        <w:spacing w:after="0" w:line="63" w:lineRule="exact"/>
        <w:rPr>
          <w:rFonts w:ascii="Arial" w:cs="Arial" w:eastAsia="Arial" w:hAnsi="Arial"/>
          <w:sz w:val="17"/>
          <w:szCs w:val="17"/>
          <w:color w:val="auto"/>
        </w:rPr>
      </w:pPr>
    </w:p>
    <w:p>
      <w:pPr>
        <w:ind w:left="700" w:right="1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68"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7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80"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700" w:right="9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We expect to enter into an EPC contract for our first Pennsylvania Facility in the fourth quarter of 2018.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This would likely result in significant project delays and increased costs, which could have a material adverse effect on our business, contracts, financial condition, operating results, cash flow, liquidity and prospects.</w:t>
      </w:r>
    </w:p>
    <w:p>
      <w:pPr>
        <w:spacing w:after="0" w:line="180"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b w:val="1"/>
          <w:bCs w:val="1"/>
          <w:i w:val="1"/>
          <w:iCs w:val="1"/>
          <w:color w:val="auto"/>
        </w:rPr>
        <w:t>We are relying on third party engineers to estimate the future rated capacity and performance capabilities of our existing and future facilities, and these estimates may prove to be inaccurate.</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51" w:lineRule="exact"/>
        <w:rPr>
          <w:sz w:val="20"/>
          <w:szCs w:val="20"/>
          <w:color w:val="auto"/>
        </w:rPr>
      </w:pPr>
    </w:p>
    <w:p>
      <w:pPr>
        <w:ind w:left="360" w:right="240"/>
        <w:spacing w:after="0" w:line="235"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Under the GSAs with JPS and JPC, we are required to deliver to JPS and JPC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its GSA, PPA or SSA, as applicable. In addition, price fluctuations in natural gas and LNG may make it expensive or uneconomical for us to acquire adequate supply of these items (until our Pennsylvania Facilities are operational).</w:t>
      </w:r>
    </w:p>
    <w:p>
      <w:pPr>
        <w:spacing w:after="0" w:line="5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Until the Pennsylvania Facilities become fully operational, we will be dependent upon third 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5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intend to enter into purchase agreements pursuant to which we expect to have the option to purchase LNG to supply the Jamaica Terminals that will facilitate delivery of natural gas to JPS, JPC and Jamalco until the Pennsylvania Facilities are operational.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 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Facilities or be able to supply our facilities with LNG produced at our own facilities. Even if we do complete the Pennsylvania Facilities, there can be no assurance that they will operate as we expect or that we will succeed in our goal of reducing the risk to our operations of future LNG price variations.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39"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3"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“Risk Related to Our Business—We have not yet completed construction and commissioning of all of our Terminals and Liquefaction Facilities. There can be no assurance that our Terminals and Liquefaction Facilities will operate as described in this prospectus, or at all.”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54" w:lineRule="exact"/>
        <w:rPr>
          <w:sz w:val="20"/>
          <w:szCs w:val="20"/>
          <w:color w:val="auto"/>
        </w:rPr>
      </w:pPr>
    </w:p>
    <w:p>
      <w:pPr>
        <w:ind w:left="360" w:right="680"/>
        <w:spacing w:after="0" w:line="246"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7"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85"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3" w:lineRule="exact"/>
        <w:rPr>
          <w:sz w:val="20"/>
          <w:szCs w:val="20"/>
          <w:color w:val="auto"/>
        </w:rPr>
      </w:pPr>
    </w:p>
    <w:p>
      <w:pPr>
        <w:ind w:left="360" w:right="500"/>
        <w:spacing w:after="0" w:line="246"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7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obtained long-term leases and corresponding rights-of-way agreements with respect to the land on which the Jamaica Terminals, the pipeline connecting the Montego Bay Terminal to the Bogue Power Plant, the Miami Facility and the CHP Plant are situated. However, we do not own the land. As a result, we are subject to the possibility of increased costs to retain necessary land use rights.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7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64" w:lineRule="exact"/>
        <w:rPr>
          <w:sz w:val="20"/>
          <w:szCs w:val="20"/>
          <w:color w:val="auto"/>
        </w:rPr>
      </w:pPr>
    </w:p>
    <w:p>
      <w:pPr>
        <w:ind w:left="360"/>
        <w:spacing w:after="0" w:line="275" w:lineRule="auto"/>
        <w:rPr>
          <w:sz w:val="20"/>
          <w:szCs w:val="20"/>
          <w:color w:val="auto"/>
        </w:rPr>
      </w:pPr>
      <w:r>
        <w:rPr>
          <w:rFonts w:ascii="Arial" w:cs="Arial" w:eastAsia="Arial" w:hAnsi="Arial"/>
          <w:sz w:val="17"/>
          <w:szCs w:val="17"/>
          <w:b w:val="1"/>
          <w:bCs w:val="1"/>
          <w:i w:val="1"/>
          <w:iCs w:val="1"/>
          <w:color w:val="auto"/>
        </w:rPr>
        <w:t>We may not be able to successfully enter into contracts or renew existing contracts to charter tankers and to lease or acquire ship-to-ship kits in the future, which may result in us not being able to meet our obligations.</w:t>
      </w:r>
    </w:p>
    <w:p>
      <w:pPr>
        <w:spacing w:after="0" w:line="5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also rely on two ship-to-ship kits, one of which we currently own and one of which we currently lease, and one ship-to-shore kit, which we currently own, to transmit LNG between ships and to transport it onshore. We may need to purchase additional kits, or upgrade our existing kits, in the future. We may not be able to successfully enter into contracts or renew existing contracts to charter tankers and to lease or acquire kits in the future, which may result in us not being able to meet our obligations. We are also exposed to changes in market rates and availability for tankers and kits,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We rely on the operation of tankers under our time charters and kits to transfer LNG between ships. The operation of ocean-going tankers and kits carries inherent risks. These risks include the possibility of:</w:t>
      </w:r>
    </w:p>
    <w:p>
      <w:pPr>
        <w:spacing w:after="0" w:line="62"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do not currently maintain a redundant supply of ships, ship-to-ship kits or other equipment. As a result, if our current equipment fails, is unavailable or insufficient to service our production, we may need to 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71" w:lineRule="exact"/>
        <w:rPr>
          <w:sz w:val="20"/>
          <w:szCs w:val="20"/>
          <w:color w:val="auto"/>
        </w:rPr>
      </w:pPr>
    </w:p>
    <w:p>
      <w:pPr>
        <w:ind w:left="360" w:right="800"/>
        <w:spacing w:after="0" w:line="262"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7"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weaken our financial condition and negatively affect our ability to pay dividends.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(“ECAs”)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 of Ships and for Pollution Prevention (the “ISM Code”), the IMO International Convention on Load Lines of 1966, as amended from time to time and the International Convention for the Control and Management of Ships’ Ballast Water and Sediments in February 2004.</w:t>
      </w:r>
    </w:p>
    <w:p>
      <w:pPr>
        <w:spacing w:after="0" w:line="6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4"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4" w:lineRule="exact"/>
        <w:rPr>
          <w:sz w:val="20"/>
          <w:szCs w:val="20"/>
          <w:color w:val="auto"/>
        </w:rPr>
      </w:pPr>
    </w:p>
    <w:p>
      <w:pPr>
        <w:ind w:left="360" w:right="100"/>
        <w:spacing w:after="0" w:line="246"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5"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58"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75" w:lineRule="exact"/>
        <w:rPr>
          <w:sz w:val="20"/>
          <w:szCs w:val="20"/>
          <w:color w:val="auto"/>
        </w:rPr>
      </w:pPr>
    </w:p>
    <w:p>
      <w:pPr>
        <w:jc w:val="both"/>
        <w:ind w:right="680" w:firstLine="360"/>
        <w:spacing w:after="0" w:line="342" w:lineRule="auto"/>
        <w:rPr>
          <w:sz w:val="20"/>
          <w:szCs w:val="20"/>
          <w:color w:val="auto"/>
        </w:rPr>
      </w:pPr>
      <w:r>
        <w:rPr>
          <w:rFonts w:ascii="Arial" w:cs="Arial" w:eastAsia="Arial" w:hAnsi="Arial"/>
          <w:sz w:val="16"/>
          <w:szCs w:val="16"/>
          <w:color w:val="auto"/>
        </w:rPr>
        <w:t>We plan to operate in the highly competitive area of LNG production and face intense competition from independent, technology-driven companies as well as from both major and other independent oil and natural gas companies and utilities.</w:t>
      </w:r>
    </w:p>
    <w:p>
      <w:pPr>
        <w:spacing w:after="0" w:line="16"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84" w:lineRule="exact"/>
        <w:rPr>
          <w:sz w:val="20"/>
          <w:szCs w:val="20"/>
          <w:color w:val="auto"/>
        </w:rPr>
      </w:pPr>
    </w:p>
    <w:p>
      <w:pPr>
        <w:ind w:left="360" w:right="680"/>
        <w:spacing w:after="0" w:line="246"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5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5"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63"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have a material adverse effect on our business, financial condition and operating results.</w:t>
      </w:r>
    </w:p>
    <w:p>
      <w:pPr>
        <w:spacing w:after="0" w:line="173"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Facilities or be able to supply our facilities and the CHP Plant with LNG produced at our own facilities. Even if we do complete the Pennsylvania Facilities, there can be no assurance that it will operate as described in this prospectus or that we will succeed in our goal of reducing the risk to our operations of future LNG price variations.</w:t>
      </w:r>
    </w:p>
    <w:p>
      <w:pPr>
        <w:spacing w:after="0" w:line="164" w:lineRule="exact"/>
        <w:rPr>
          <w:sz w:val="20"/>
          <w:szCs w:val="20"/>
          <w:color w:val="auto"/>
        </w:rPr>
      </w:pPr>
    </w:p>
    <w:p>
      <w:pPr>
        <w:ind w:left="360" w:right="520"/>
        <w:spacing w:after="0" w:line="246"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100"/>
        <w:spacing w:after="0" w:line="246"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75"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substantial majority of our anticipated revenue in 2018 and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impairments to goodwill or long-lived assets.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We currently intend to test goodwill for impairment annually, or more frequently as circumstances dictate. Significant negative industry or economic trends, and decline of our market capitalization, reduced estimates of future cash flows for our business segments or disruptions to our business could lead to an impairment charge of our long-lived assets, including goodwill.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goodwill or long-lived assets, we may be required to record a charge to earnings in our consolidated financial statements during a period in which such impairment is determined to exist, which may negatively impact our operating results.</w:t>
      </w:r>
    </w:p>
    <w:p>
      <w:pPr>
        <w:spacing w:after="0" w:line="153" w:lineRule="exact"/>
        <w:rPr>
          <w:sz w:val="20"/>
          <w:szCs w:val="20"/>
          <w:color w:val="auto"/>
        </w:rPr>
      </w:pPr>
    </w:p>
    <w:p>
      <w:pPr>
        <w:ind w:left="360"/>
        <w:spacing w:after="0" w:line="231"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6" w:lineRule="exact"/>
        <w:rPr>
          <w:sz w:val="20"/>
          <w:szCs w:val="20"/>
          <w:color w:val="auto"/>
        </w:rPr>
      </w:pPr>
    </w:p>
    <w:p>
      <w:pPr>
        <w:ind w:left="360" w:right="260"/>
        <w:spacing w:after="0" w:line="289"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4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the Liquefaction Facilities.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288"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left="7" w:firstLine="360"/>
        <w:spacing w:after="0" w:line="269" w:lineRule="auto"/>
        <w:rPr>
          <w:sz w:val="20"/>
          <w:szCs w:val="20"/>
          <w:color w:val="auto"/>
        </w:rPr>
      </w:pPr>
      <w:r>
        <w:rPr>
          <w:rFonts w:ascii="Arial" w:cs="Arial" w:eastAsia="Arial" w:hAnsi="Arial"/>
          <w:sz w:val="17"/>
          <w:szCs w:val="17"/>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75" w:lineRule="exact"/>
        <w:rPr>
          <w:sz w:val="20"/>
          <w:szCs w:val="20"/>
          <w:color w:val="auto"/>
        </w:rPr>
      </w:pPr>
    </w:p>
    <w:p>
      <w:pPr>
        <w:ind w:left="7" w:right="20" w:firstLine="360"/>
        <w:spacing w:after="0" w:line="270" w:lineRule="auto"/>
        <w:rPr>
          <w:sz w:val="20"/>
          <w:szCs w:val="20"/>
          <w:color w:val="auto"/>
        </w:rPr>
      </w:pPr>
      <w:r>
        <w:rPr>
          <w:rFonts w:ascii="Arial" w:cs="Arial" w:eastAsia="Arial" w:hAnsi="Arial"/>
          <w:sz w:val="17"/>
          <w:szCs w:val="17"/>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74" w:lineRule="exact"/>
        <w:rPr>
          <w:sz w:val="20"/>
          <w:szCs w:val="20"/>
          <w:color w:val="auto"/>
        </w:rPr>
      </w:pPr>
    </w:p>
    <w:p>
      <w:pPr>
        <w:ind w:left="7" w:right="80" w:firstLine="360"/>
        <w:spacing w:after="0" w:line="288" w:lineRule="auto"/>
        <w:rPr>
          <w:sz w:val="20"/>
          <w:szCs w:val="20"/>
          <w:color w:val="auto"/>
        </w:rPr>
      </w:pPr>
      <w:r>
        <w:rPr>
          <w:rFonts w:ascii="Arial" w:cs="Arial" w:eastAsia="Arial" w:hAnsi="Arial"/>
          <w:sz w:val="16"/>
          <w:szCs w:val="16"/>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w:t>
      </w:r>
    </w:p>
    <w:p>
      <w:pPr>
        <w:ind w:left="7" w:hanging="7"/>
        <w:spacing w:after="0" w:line="290" w:lineRule="auto"/>
        <w:tabs>
          <w:tab w:leader="none" w:pos="2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56" w:lineRule="exact"/>
        <w:rPr>
          <w:sz w:val="20"/>
          <w:szCs w:val="20"/>
          <w:color w:val="auto"/>
        </w:rPr>
      </w:pPr>
    </w:p>
    <w:p>
      <w:pPr>
        <w:ind w:left="7" w:right="100" w:firstLine="360"/>
        <w:spacing w:after="0" w:line="255" w:lineRule="auto"/>
        <w:rPr>
          <w:sz w:val="20"/>
          <w:szCs w:val="20"/>
          <w:color w:val="auto"/>
        </w:rPr>
      </w:pPr>
      <w:r>
        <w:rPr>
          <w:rFonts w:ascii="Arial" w:cs="Arial" w:eastAsia="Arial" w:hAnsi="Arial"/>
          <w:sz w:val="18"/>
          <w:szCs w:val="18"/>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75" w:lineRule="exact"/>
        <w:rPr>
          <w:sz w:val="20"/>
          <w:szCs w:val="20"/>
          <w:color w:val="auto"/>
        </w:rPr>
      </w:pPr>
    </w:p>
    <w:p>
      <w:pPr>
        <w:ind w:left="360" w:right="520"/>
        <w:spacing w:after="0" w:line="235"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8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Ireland or other jurisdictions, including with respect to land use approvals needed to construct and operate our facilities.</w:t>
      </w:r>
    </w:p>
    <w:p>
      <w:pPr>
        <w:spacing w:after="0" w:line="80"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59" w:lineRule="exact"/>
        <w:rPr>
          <w:sz w:val="20"/>
          <w:szCs w:val="20"/>
          <w:color w:val="auto"/>
        </w:rPr>
      </w:pPr>
    </w:p>
    <w:p>
      <w:pPr>
        <w:ind w:left="360" w:right="300"/>
        <w:spacing w:after="0" w:line="246"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7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None of our LNG facilities are subject to PHMSA’s jurisdiction, but state and local regulators can impose similar siting, design, construction and operational requirements.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Facilities.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70"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59" w:lineRule="exact"/>
        <w:rPr>
          <w:sz w:val="20"/>
          <w:szCs w:val="20"/>
          <w:color w:val="auto"/>
        </w:rPr>
      </w:pPr>
    </w:p>
    <w:p>
      <w:pPr>
        <w:ind w:right="340" w:firstLine="360"/>
        <w:spacing w:after="0" w:line="233" w:lineRule="auto"/>
        <w:rPr>
          <w:sz w:val="20"/>
          <w:szCs w:val="20"/>
          <w:color w:val="auto"/>
        </w:rPr>
      </w:pPr>
      <w:r>
        <w:rPr>
          <w:rFonts w:ascii="Arial" w:cs="Arial" w:eastAsia="Arial" w:hAnsi="Arial"/>
          <w:sz w:val="18"/>
          <w:szCs w:val="18"/>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w:t>
      </w:r>
      <w:r>
        <w:rPr>
          <w:rFonts w:ascii="Arial" w:cs="Arial" w:eastAsia="Arial" w:hAnsi="Arial"/>
          <w:sz w:val="27"/>
          <w:szCs w:val="27"/>
          <w:color w:val="auto"/>
          <w:vertAlign w:val="superscript"/>
        </w:rPr>
        <w:t>st</w:t>
      </w:r>
      <w:r>
        <w:rPr>
          <w:rFonts w:ascii="Arial" w:cs="Arial" w:eastAsia="Arial" w:hAnsi="Arial"/>
          <w:sz w:val="18"/>
          <w:szCs w:val="18"/>
          <w:color w:val="auto"/>
        </w:rPr>
        <w:t xml:space="preserve"> century. Each party is to prepare a plan on its contributions to reach this goal; each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70"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i w:val="1"/>
          <w:iCs w:val="1"/>
          <w:color w:val="auto"/>
        </w:rPr>
        <w:t>Fossil Fuels</w:t>
      </w:r>
      <w:r>
        <w:rPr>
          <w:rFonts w:ascii="Arial" w:cs="Arial" w:eastAsia="Arial" w:hAnsi="Arial"/>
          <w:sz w:val="16"/>
          <w:szCs w:val="16"/>
          <w:color w:val="auto"/>
        </w:rPr>
        <w:t>. Our business activities depend upon a sufficient and reliable supply of natural gas feedstock, and are therefore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58"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employ hydraulic fracturing techniques to stimulate natural gas production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64"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right="40"/>
        <w:spacing w:after="0" w:line="248"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 failure by us to comply with such laws and regulations could subject us to liability and have a material adverse impact on our business, results of operations or financial condition.</w:t>
      </w:r>
    </w:p>
    <w:p>
      <w:pPr>
        <w:spacing w:after="0" w:line="74"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 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70"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08" w:lineRule="exact"/>
        <w:rPr>
          <w:sz w:val="20"/>
          <w:szCs w:val="20"/>
          <w:color w:val="auto"/>
        </w:rPr>
      </w:pPr>
    </w:p>
    <w:p>
      <w:pPr>
        <w:ind w:left="360" w:right="480"/>
        <w:spacing w:after="0" w:line="246"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7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currently have interests and operations in Jamaica and the United States and currently intend to expand into the Caribbean,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71" w:lineRule="exact"/>
        <w:rPr>
          <w:sz w:val="20"/>
          <w:szCs w:val="20"/>
          <w:color w:val="auto"/>
        </w:rPr>
      </w:pPr>
    </w:p>
    <w:p>
      <w:pPr>
        <w:jc w:val="both"/>
        <w:ind w:right="300" w:firstLine="360"/>
        <w:spacing w:after="0" w:line="286" w:lineRule="auto"/>
        <w:rPr>
          <w:sz w:val="20"/>
          <w:szCs w:val="20"/>
          <w:color w:val="auto"/>
        </w:rPr>
      </w:pPr>
      <w:r>
        <w:rPr>
          <w:rFonts w:ascii="Arial" w:cs="Arial" w:eastAsia="Arial" w:hAnsi="Arial"/>
          <w:sz w:val="17"/>
          <w:szCs w:val="17"/>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57"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0"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We cannot be sure that non-U.S. currencies will not be subject to volatility and depreciation or that the current exchange rate policies affecting these currencies will remain the same. We may choose not to hedge, or we may not be effective in efforts to hedge, this foreign currency risk.</w:t>
      </w:r>
    </w:p>
    <w:p>
      <w:pPr>
        <w:spacing w:after="0" w:line="2"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6" w:lineRule="exact"/>
        <w:rPr>
          <w:sz w:val="20"/>
          <w:szCs w:val="20"/>
          <w:color w:val="auto"/>
        </w:rPr>
      </w:pPr>
    </w:p>
    <w:p>
      <w:pPr>
        <w:ind w:left="360" w:right="120"/>
        <w:spacing w:after="0" w:line="303" w:lineRule="auto"/>
        <w:rPr>
          <w:sz w:val="20"/>
          <w:szCs w:val="20"/>
          <w:color w:val="auto"/>
        </w:rPr>
      </w:pPr>
      <w:r>
        <w:rPr>
          <w:rFonts w:ascii="Arial" w:cs="Arial" w:eastAsia="Arial" w:hAnsi="Arial"/>
          <w:sz w:val="15"/>
          <w:szCs w:val="15"/>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8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addition, our after-tax profitability may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and the Multilateral Convention to Implement Tax Treaty Related Measures to Prevent BEPS recently entered into force among the jurisdictions that ratified it, both of which could result in further changes to our global taxation. These tax reforms provided for new and complex</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08" w:lineRule="exact"/>
        <w:rPr>
          <w:sz w:val="20"/>
          <w:szCs w:val="20"/>
          <w:color w:val="auto"/>
        </w:rPr>
      </w:pPr>
    </w:p>
    <w:p>
      <w:pPr>
        <w:ind w:left="360" w:right="140"/>
        <w:spacing w:after="0" w:line="246"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its interests may conflict with those of our other shareholders.</w:t>
      </w:r>
    </w:p>
    <w:p>
      <w:pPr>
        <w:spacing w:after="0" w:line="75"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Upon completion of this offering, New Fortress Energy Holdings will initially own, an aggregate of approximately Class B shares representing % of our voting power (or approximately % if the underwriters’ option to purchase additional Class A shares is exercised in full).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 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77"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Holdings’s tax or other considerations which may differ from the considerations of us or our other stockholders.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governing documents will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54" w:lineRule="exact"/>
        <w:rPr>
          <w:sz w:val="20"/>
          <w:szCs w:val="20"/>
          <w:color w:val="auto"/>
        </w:rPr>
      </w:pPr>
    </w:p>
    <w:p>
      <w:pPr>
        <w:ind w:left="360" w:right="40"/>
        <w:spacing w:after="0" w:line="235" w:lineRule="auto"/>
        <w:rPr>
          <w:sz w:val="20"/>
          <w:szCs w:val="20"/>
          <w:color w:val="auto"/>
        </w:rPr>
      </w:pPr>
      <w:r>
        <w:rPr>
          <w:rFonts w:ascii="Arial" w:cs="Arial" w:eastAsia="Arial" w:hAnsi="Arial"/>
          <w:sz w:val="18"/>
          <w:szCs w:val="18"/>
          <w:b w:val="1"/>
          <w:bCs w:val="1"/>
          <w:i w:val="1"/>
          <w:iCs w:val="1"/>
          <w:color w:val="auto"/>
        </w:rPr>
        <w:t>Our operating agreement, as well as Delaware law, will contain provisions that could discourage acquisition bids or merger proposals, which may adversely affect the market price of our Class A shares and could deprive our investors of the opportunity to receive a premium for their shares.</w:t>
      </w:r>
    </w:p>
    <w:p>
      <w:pPr>
        <w:spacing w:after="0" w:line="8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operating agreement will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0"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236" w:lineRule="exact"/>
        <w:rPr>
          <w:rFonts w:ascii="Arial" w:cs="Arial" w:eastAsia="Arial" w:hAnsi="Arial"/>
          <w:sz w:val="17"/>
          <w:szCs w:val="17"/>
          <w:color w:val="auto"/>
        </w:rPr>
      </w:pPr>
    </w:p>
    <w:p>
      <w:pPr>
        <w:ind w:left="4680"/>
        <w:spacing w:after="0"/>
        <w:rPr>
          <w:rFonts w:ascii="Arial" w:cs="Arial" w:eastAsia="Arial" w:hAnsi="Arial"/>
          <w:sz w:val="17"/>
          <w:szCs w:val="17"/>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500" w:hanging="356"/>
        <w:spacing w:after="0" w:line="264"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73" w:lineRule="exact"/>
        <w:rPr>
          <w:rFonts w:ascii="Arial" w:cs="Arial" w:eastAsia="Arial" w:hAnsi="Arial"/>
          <w:sz w:val="18"/>
          <w:szCs w:val="18"/>
          <w:color w:val="auto"/>
        </w:rPr>
      </w:pPr>
    </w:p>
    <w:p>
      <w:pPr>
        <w:ind w:left="700" w:right="300" w:hanging="356"/>
        <w:spacing w:after="0" w:line="34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5"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223" w:lineRule="exact"/>
        <w:rPr>
          <w:sz w:val="20"/>
          <w:szCs w:val="20"/>
          <w:color w:val="auto"/>
        </w:rPr>
      </w:pPr>
    </w:p>
    <w:p>
      <w:pPr>
        <w:ind w:left="360" w:right="100"/>
        <w:spacing w:after="0" w:line="235"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8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ectPr>
          <w:pgSz w:w="11900" w:h="16838" w:orient="portrait"/>
          <w:cols w:equalWidth="0" w:num="1">
            <w:col w:w="9540"/>
          </w:cols>
          <w:pgMar w:left="1180" w:top="279" w:right="1179" w:bottom="1440" w:gutter="0" w:footer="0" w:header="0"/>
        </w:sectPr>
      </w:pP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Shareholders will experience immediate and substantial dilution of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 Class A share.</w:t>
      </w:r>
    </w:p>
    <w:p>
      <w:pPr>
        <w:spacing w:after="0" w:line="152" w:lineRule="exact"/>
        <w:rPr>
          <w:sz w:val="20"/>
          <w:szCs w:val="20"/>
          <w:color w:val="auto"/>
        </w:rPr>
      </w:pPr>
    </w:p>
    <w:p>
      <w:pPr>
        <w:sectPr>
          <w:pgSz w:w="11900" w:h="16838" w:orient="portrait"/>
          <w:cols w:equalWidth="0" w:num="2">
            <w:col w:w="5460" w:space="300"/>
            <w:col w:w="3780"/>
          </w:cols>
          <w:pgMar w:left="1180" w:top="279" w:right="1179" w:bottom="1440" w:gutter="0" w:footer="0" w:header="0"/>
          <w:type w:val="continuous"/>
        </w:sectPr>
      </w:pPr>
    </w:p>
    <w:p>
      <w:pPr>
        <w:ind w:firstLine="360"/>
        <w:spacing w:after="0" w:line="288" w:lineRule="auto"/>
        <w:rPr>
          <w:sz w:val="20"/>
          <w:szCs w:val="20"/>
          <w:color w:val="auto"/>
        </w:rPr>
      </w:pPr>
      <w:r>
        <w:rPr>
          <w:rFonts w:ascii="Arial" w:cs="Arial" w:eastAsia="Arial" w:hAnsi="Arial"/>
          <w:sz w:val="16"/>
          <w:szCs w:val="16"/>
          <w:color w:val="auto"/>
        </w:rPr>
        <w:t>The assumed initial public offering price of $ per Class A share (the mid-point of the price range set forth on the cover page of this prospectus) exceeds our pro forma net tangible book value of $ per Class A share. Based on the assumed initial public offering price of $ per Class A share, shareholders will incur immediate and substantial dilution of $ per Class A share in the</w:t>
      </w:r>
    </w:p>
    <w:p>
      <w:pPr>
        <w:sectPr>
          <w:pgSz w:w="11900" w:h="16838" w:orient="portrait"/>
          <w:cols w:equalWidth="0" w:num="1">
            <w:col w:w="9540"/>
          </w:cols>
          <w:pgMar w:left="1180" w:top="279" w:right="1179" w:bottom="1440" w:gutter="0" w:footer="0" w:header="0"/>
          <w:type w:val="continuous"/>
        </w:sectPr>
      </w:pPr>
    </w:p>
    <w:p>
      <w:pPr>
        <w:jc w:val="both"/>
        <w:ind w:right="240"/>
        <w:spacing w:after="0" w:line="255" w:lineRule="auto"/>
        <w:rPr>
          <w:sz w:val="20"/>
          <w:szCs w:val="20"/>
          <w:color w:val="auto"/>
        </w:rPr>
      </w:pPr>
      <w:r>
        <w:rPr>
          <w:rFonts w:ascii="Arial" w:cs="Arial" w:eastAsia="Arial" w:hAnsi="Arial"/>
          <w:sz w:val="18"/>
          <w:szCs w:val="18"/>
          <w:color w:val="auto"/>
        </w:rPr>
        <w:t>pro forma net tangible book value per share. This dilution results primarily because the assets contributed to us by New Fortress Energy Holdings are recorded at their historical cost in accordance with generally accepted accounting principles (“GAAP”), and not their fair value. Please read “Dilution.”</w:t>
      </w:r>
    </w:p>
    <w:p>
      <w:pPr>
        <w:spacing w:after="0" w:line="177" w:lineRule="exact"/>
        <w:rPr>
          <w:sz w:val="20"/>
          <w:szCs w:val="20"/>
          <w:color w:val="auto"/>
        </w:rPr>
      </w:pPr>
    </w:p>
    <w:p>
      <w:pPr>
        <w:ind w:left="360" w:right="180"/>
        <w:spacing w:after="0" w:line="246" w:lineRule="auto"/>
        <w:rPr>
          <w:sz w:val="20"/>
          <w:szCs w:val="20"/>
          <w:color w:val="auto"/>
        </w:rPr>
      </w:pPr>
      <w:r>
        <w:rPr>
          <w:rFonts w:ascii="Arial" w:cs="Arial" w:eastAsia="Arial" w:hAnsi="Arial"/>
          <w:sz w:val="18"/>
          <w:szCs w:val="18"/>
          <w:b w:val="1"/>
          <w:bCs w:val="1"/>
          <w:i w:val="1"/>
          <w:iCs w:val="1"/>
          <w:color w:val="auto"/>
        </w:rPr>
        <w:t>We do not intend to pay cash dividends on our Class A shares. Consequently, your only opportunity to achieve a return on your investment is if the price of our Class A shares appreciates.</w:t>
      </w:r>
    </w:p>
    <w:p>
      <w:pPr>
        <w:spacing w:after="0" w:line="75"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We do not plan to declare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shares that will prevail in the market will ever exceed the price that you pay in this offering.</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issue preferred shares, the terms of which could adversely affect the voting power or value of our Class A shares.</w:t>
      </w:r>
    </w:p>
    <w:p>
      <w:pPr>
        <w:spacing w:after="0" w:line="13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operating agreement will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54" w:lineRule="exact"/>
        <w:rPr>
          <w:sz w:val="20"/>
          <w:szCs w:val="20"/>
          <w:color w:val="auto"/>
        </w:rPr>
      </w:pPr>
    </w:p>
    <w:p>
      <w:pPr>
        <w:ind w:left="360" w:right="80"/>
        <w:spacing w:after="0" w:line="294" w:lineRule="auto"/>
        <w:rPr>
          <w:sz w:val="20"/>
          <w:szCs w:val="20"/>
          <w:color w:val="auto"/>
        </w:rPr>
      </w:pPr>
      <w:r>
        <w:rPr>
          <w:rFonts w:ascii="Arial" w:cs="Arial" w:eastAsia="Arial" w:hAnsi="Arial"/>
          <w:sz w:val="16"/>
          <w:szCs w:val="16"/>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or other large holders.</w:t>
      </w:r>
    </w:p>
    <w:p>
      <w:pPr>
        <w:spacing w:after="0" w:line="40"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After this offering, we will have Class A shares and Class B shares outstanding, assuming no exercise of the underwriters’ option to purchase additional Class A shares. The Class A shares sold in this offering will be freely tradable without restriction under the Securities Act except for any Class A shares that may be held or acquired by our directors, officers or affiliates, which will be restricted securities under the Securities Act. The NFI LLC Units held by New Fortress Energy Holdings and any Class A shares New Fortress Energy Holdings acquires through the exercise of the Redemption Right will be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following this offering,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 Please read “Shares Eligible for Future Sale.”</w:t>
      </w:r>
    </w:p>
    <w:p>
      <w:pPr>
        <w:spacing w:after="0" w:line="385" w:lineRule="exact"/>
        <w:rPr>
          <w:sz w:val="20"/>
          <w:szCs w:val="20"/>
          <w:color w:val="auto"/>
        </w:rPr>
      </w:pPr>
    </w:p>
    <w:p>
      <w:pPr>
        <w:ind w:left="360" w:right="220"/>
        <w:spacing w:after="0" w:line="248" w:lineRule="auto"/>
        <w:rPr>
          <w:sz w:val="20"/>
          <w:szCs w:val="20"/>
          <w:color w:val="auto"/>
        </w:rPr>
      </w:pPr>
      <w:r>
        <w:rPr>
          <w:rFonts w:ascii="Arial" w:cs="Arial" w:eastAsia="Arial" w:hAnsi="Arial"/>
          <w:sz w:val="18"/>
          <w:szCs w:val="18"/>
          <w:b w:val="1"/>
          <w:bCs w:val="1"/>
          <w:i w:val="1"/>
          <w:iCs w:val="1"/>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74" w:lineRule="exact"/>
        <w:rPr>
          <w:sz w:val="20"/>
          <w:szCs w:val="20"/>
          <w:color w:val="auto"/>
        </w:rPr>
      </w:pPr>
    </w:p>
    <w:p>
      <w:pPr>
        <w:ind w:left="540" w:right="520" w:hanging="179"/>
        <w:spacing w:after="0" w:line="291" w:lineRule="auto"/>
        <w:rPr>
          <w:sz w:val="20"/>
          <w:szCs w:val="20"/>
          <w:color w:val="auto"/>
        </w:rPr>
      </w:pPr>
      <w:r>
        <w:rPr>
          <w:rFonts w:ascii="Arial" w:cs="Arial" w:eastAsia="Arial" w:hAnsi="Arial"/>
          <w:sz w:val="16"/>
          <w:szCs w:val="16"/>
          <w:color w:val="auto"/>
        </w:rPr>
        <w:t>Prior to this offering, there has been no public market for the Class A shares. After this offering, there will be only publicly-traded Class A shares. We do not know the extent to which investor interest will lead to the development of a</w:t>
      </w:r>
    </w:p>
    <w:p>
      <w:pPr>
        <w:ind w:right="220"/>
        <w:spacing w:after="0" w:line="302" w:lineRule="auto"/>
        <w:rPr>
          <w:sz w:val="20"/>
          <w:szCs w:val="20"/>
          <w:color w:val="auto"/>
        </w:rPr>
      </w:pPr>
      <w:r>
        <w:rPr>
          <w:rFonts w:ascii="Arial" w:cs="Arial" w:eastAsia="Arial" w:hAnsi="Arial"/>
          <w:sz w:val="16"/>
          <w:szCs w:val="16"/>
          <w:color w:val="auto"/>
        </w:rPr>
        <w:t>trading market or how liquid that market might be. Class A shareholders may not be able to resell their Class A shares at or above the initial public offering price. Additionally, the lack of liquidity may result in wide bid-ask spreads, contribute to significant fluctuations in the market price of the Class A shares and limit the number of investors who are able to buy the Class A shares.</w:t>
      </w:r>
    </w:p>
    <w:p>
      <w:pPr>
        <w:spacing w:after="0" w:line="4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initial public offering price for our Class A shares will be determined by negotiations between us and the representatives of the underwriters and may not be indicative of the price of the Class A shares that will prevail in the trading market. The market price of our Class A shares may decline below the initial public offering price. The market price of our Class A shares may also be influenced by many factors, some of which are beyond our control, including:</w:t>
      </w:r>
    </w:p>
    <w:p>
      <w:pPr>
        <w:spacing w:after="0" w:line="79" w:lineRule="exact"/>
        <w:rPr>
          <w:sz w:val="20"/>
          <w:szCs w:val="20"/>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shares after this offering or changes in financial estimates by analysts;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sales of our Class A shares;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7" w:right="140"/>
        <w:spacing w:after="0" w:line="262"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NASDAQ rules and, as a result, will qualify for and intend to rely on exemptions from certain corporate governance requirements.</w:t>
      </w:r>
    </w:p>
    <w:p>
      <w:pPr>
        <w:spacing w:after="0" w:line="61" w:lineRule="exact"/>
        <w:rPr>
          <w:sz w:val="20"/>
          <w:szCs w:val="20"/>
          <w:color w:val="auto"/>
        </w:rPr>
      </w:pPr>
    </w:p>
    <w:p>
      <w:pPr>
        <w:ind w:left="7" w:right="120" w:firstLine="360"/>
        <w:spacing w:after="0" w:line="257" w:lineRule="auto"/>
        <w:rPr>
          <w:sz w:val="20"/>
          <w:szCs w:val="20"/>
          <w:color w:val="auto"/>
        </w:rPr>
      </w:pPr>
      <w:r>
        <w:rPr>
          <w:rFonts w:ascii="Arial" w:cs="Arial" w:eastAsia="Arial" w:hAnsi="Arial"/>
          <w:sz w:val="18"/>
          <w:szCs w:val="18"/>
          <w:color w:val="auto"/>
        </w:rPr>
        <w:t>Upon completion of this offering, New Fortress Energy Holdings will hold a majority of the voting power of our shares. As a result, we expect to be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80" w:lineRule="exact"/>
        <w:rPr>
          <w:sz w:val="20"/>
          <w:szCs w:val="20"/>
          <w:color w:val="auto"/>
        </w:rPr>
      </w:pPr>
    </w:p>
    <w:p>
      <w:pPr>
        <w:ind w:left="707" w:hanging="356"/>
        <w:spacing w:after="0"/>
        <w:tabs>
          <w:tab w:leader="none" w:pos="7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7" w:hanging="356"/>
        <w:spacing w:after="0" w:line="277" w:lineRule="auto"/>
        <w:tabs>
          <w:tab w:leader="none" w:pos="7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707" w:right="720" w:hanging="356"/>
        <w:spacing w:after="0" w:line="277" w:lineRule="auto"/>
        <w:tabs>
          <w:tab w:leader="none" w:pos="7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Following this offering, we intend to utilize some or all of these exemptions. Accordingly, you may not have the same protections afforded to shareholders of companies that are subject to all of the corporate governance requirements of NASDAQ. See “Management.”</w:t>
      </w:r>
    </w:p>
    <w:p>
      <w:pPr>
        <w:spacing w:after="0" w:line="188" w:lineRule="exact"/>
        <w:rPr>
          <w:sz w:val="20"/>
          <w:szCs w:val="20"/>
          <w:color w:val="auto"/>
        </w:rPr>
      </w:pPr>
    </w:p>
    <w:p>
      <w:pPr>
        <w:ind w:left="367" w:right="100"/>
        <w:spacing w:after="0" w:line="248"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74" w:lineRule="exact"/>
        <w:rPr>
          <w:sz w:val="20"/>
          <w:szCs w:val="20"/>
          <w:color w:val="auto"/>
        </w:rPr>
      </w:pPr>
    </w:p>
    <w:p>
      <w:pPr>
        <w:ind w:left="7" w:right="20" w:firstLine="360"/>
        <w:spacing w:after="0" w:line="284"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1" w:lineRule="exact"/>
        <w:rPr>
          <w:sz w:val="20"/>
          <w:szCs w:val="20"/>
          <w:color w:val="auto"/>
        </w:rPr>
      </w:pPr>
    </w:p>
    <w:p>
      <w:pPr>
        <w:ind w:left="7" w:right="60" w:hanging="7"/>
        <w:spacing w:after="0" w:line="268" w:lineRule="auto"/>
        <w:tabs>
          <w:tab w:leader="none" w:pos="312" w:val="left"/>
        </w:tabs>
        <w:numPr>
          <w:ilvl w:val="0"/>
          <w:numId w:val="39"/>
        </w:numPr>
        <w:rPr>
          <w:rFonts w:ascii="Arial" w:cs="Arial" w:eastAsia="Arial" w:hAnsi="Arial"/>
          <w:sz w:val="17"/>
          <w:szCs w:val="17"/>
          <w:color w:val="auto"/>
        </w:rPr>
      </w:pPr>
      <w:r>
        <w:rPr>
          <w:rFonts w:ascii="Arial" w:cs="Arial" w:eastAsia="Arial" w:hAnsi="Arial"/>
          <w:sz w:val="17"/>
          <w:szCs w:val="17"/>
          <w:color w:val="auto"/>
        </w:rPr>
        <w:t>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74"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300"/>
        <w:spacing w:after="0" w:line="276" w:lineRule="auto"/>
        <w:rPr>
          <w:sz w:val="20"/>
          <w:szCs w:val="20"/>
          <w:color w:val="auto"/>
        </w:rPr>
      </w:pPr>
      <w:r>
        <w:rPr>
          <w:rFonts w:ascii="Arial" w:cs="Arial" w:eastAsia="Arial" w:hAnsi="Arial"/>
          <w:sz w:val="16"/>
          <w:szCs w:val="16"/>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54"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2017, we concluded there was a significant deficiency in our internal controls over financial reporting. While we implemented measures, or expect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intend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have no history operating as a publicly traded company. As a newly public company with shares listed on NASDAQ, we will need to comply with an extensive body of regulations that did not apply to us previously, including certain provisions of the Sarbanes-Oxley Act, the Dodd-Frank Wall Street Reform and Consumer Protection Act, regulations of the SEC and NASDAQ requirements. We expect these rules and regulations will increase our legal, accounting and other expenses that we did not incur prior to this offering and make some activities more time-consuming and costly. For example, as a result of becoming a public company, we intend to add independent directors and create additional board committees.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We estimate that we will incur approximately $ million of incremental costs per year associated with being a publicly traded company; however, it is possible that our actual incremental costs of being a publicly traded company will be higher than we currently estimate.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74" w:lineRule="exact"/>
        <w:rPr>
          <w:sz w:val="20"/>
          <w:szCs w:val="20"/>
          <w:color w:val="auto"/>
        </w:rPr>
      </w:pPr>
    </w:p>
    <w:p>
      <w:pPr>
        <w:ind w:left="360" w:right="200"/>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8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33"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b w:val="1"/>
          <w:bCs w:val="1"/>
          <w:i w:val="1"/>
          <w:iCs w:val="1"/>
          <w:color w:val="auto"/>
        </w:rPr>
        <w:t>NFE is a holding company. NFE’s sole material asset after completion of this offering will be its equity interest in NFI, and accordingly, NFE will be dependent upon distributions from NFI to pay taxes and cover its corporate and other overhead expenses.</w:t>
      </w:r>
    </w:p>
    <w:p>
      <w:pPr>
        <w:spacing w:after="0" w:line="8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NFE is a holding company and will have no material assets other than its equity interest in NFI. Please read “Summary— Organizational Structure.” NFE has no independent means of generating revenue. To the extent NFI has available cash and subject to the terms of NFI’s credit agreements and any other debt instruments, we intend to cause NFI to make (i) pro rata distributions to its unitholders, including NFE, in an amount sufficient to allow NFE to pay its taxes, (ii) at the election of certain holders of NFI LLC Units, additional distributions in an amount generally intended to allow such holders to satisfy their respective income tax liabilities with respect to their allocable share of the income of NFI (based on certain assumptions and conventions), which additional distributions may be made on a pro rata basis to all holders of NFI LLC Units or a non-pro rata basis 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redemption of NFI LLC Units from the relevant holders,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41" w:lineRule="exact"/>
        <w:rPr>
          <w:sz w:val="20"/>
          <w:szCs w:val="20"/>
          <w:color w:val="auto"/>
        </w:rPr>
      </w:pPr>
    </w:p>
    <w:p>
      <w:pPr>
        <w:ind w:left="360"/>
        <w:spacing w:after="0" w:line="231" w:lineRule="auto"/>
        <w:rPr>
          <w:sz w:val="20"/>
          <w:szCs w:val="20"/>
          <w:color w:val="auto"/>
        </w:rPr>
      </w:pPr>
      <w:r>
        <w:rPr>
          <w:rFonts w:ascii="Arial" w:cs="Arial" w:eastAsia="Arial" w:hAnsi="Arial"/>
          <w:sz w:val="18"/>
          <w:szCs w:val="18"/>
          <w:b w:val="1"/>
          <w:bCs w:val="1"/>
          <w:i w:val="1"/>
          <w:iCs w:val="1"/>
          <w:color w:val="auto"/>
        </w:rPr>
        <w:t>In certain circumstances, NFI will be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8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Pursuant to the NFI LLC Agreement, NFI will make generally pro rata distributions to the holders of NFI LLC Units, including NFE, in an amount sufficient to allow NFE to satisfy its actual tax liabilities. In addition, to the extent NFI has available cash and certain holders of NFI LLC Units require additional distributions to satisfy their assumed income tax liabilities with respect to their allocable share of the income of NFI (based on certain assumptions and conventions) and elect to receive such distributions, NFI will be required to make additional tax distributions in an amount generally intended to allow such other holders of NFI LLC Units to satisfy their assumed income tax liabilities. These additional tax distributions may be made either (x) on a pro rata basis to all unitholders, including NFE, or (y) on a non-pro rata basis to unitholders other than NFE in redemption of a number of NFI LLC Units from each such unitholder with a value equivalent to the amount of the additional tax distribution to such unitholder.</w:t>
      </w:r>
    </w:p>
    <w:p>
      <w:pPr>
        <w:spacing w:after="0" w:line="58"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The amount of such additional tax distributions will be determined based on certain assumptions, including assumed income tax rates, and will be calculated after taking into account other distributions (including other tax distributions) made by NFI. To the extent additional tax distributions are made pro rata based on ownership,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71" w:lineRule="exact"/>
        <w:rPr>
          <w:sz w:val="20"/>
          <w:szCs w:val="20"/>
          <w:color w:val="auto"/>
        </w:rPr>
      </w:pPr>
    </w:p>
    <w:p>
      <w:pPr>
        <w:jc w:val="both"/>
        <w:ind w:right="200" w:firstLine="360"/>
        <w:spacing w:after="0" w:line="288" w:lineRule="auto"/>
        <w:rPr>
          <w:sz w:val="20"/>
          <w:szCs w:val="20"/>
          <w:color w:val="auto"/>
        </w:rPr>
      </w:pPr>
      <w:r>
        <w:rPr>
          <w:rFonts w:ascii="Arial" w:cs="Arial" w:eastAsia="Arial" w:hAnsi="Arial"/>
          <w:sz w:val="16"/>
          <w:szCs w:val="16"/>
          <w:color w:val="auto"/>
        </w:rPr>
        <w:t>In addition, regardless of whether such additional tax distributions are made pro rata or in redemption of NFI LLC Units, the tax distributions that NFI may be required to make may be substantial. In addition, the amount of any additional tax distributions NFI is required to make likely will exceed the tax liabilities that would be owed by a corporate taxpayer similarly situated to NFI.</w:t>
      </w:r>
    </w:p>
    <w:p>
      <w:pPr>
        <w:ind w:right="40"/>
        <w:spacing w:after="0" w:line="255" w:lineRule="auto"/>
        <w:rPr>
          <w:sz w:val="20"/>
          <w:szCs w:val="20"/>
          <w:color w:val="auto"/>
        </w:rPr>
      </w:pPr>
      <w:r>
        <w:rPr>
          <w:rFonts w:ascii="Arial" w:cs="Arial" w:eastAsia="Arial" w:hAnsi="Arial"/>
          <w:sz w:val="18"/>
          <w:szCs w:val="18"/>
          <w:color w:val="auto"/>
        </w:rPr>
        <w:t>Funds used by NFI to satisfy its obligation to make tax distributions will not be available for reinvestment in our business, except to the extent additional tax distributions are made on a pro rata basis and NFE uses any excess cash it receives to reinvest in NFI for additional NFI LLC Units.</w:t>
      </w:r>
    </w:p>
    <w:p>
      <w:pPr>
        <w:spacing w:after="0" w:line="177" w:lineRule="exact"/>
        <w:rPr>
          <w:sz w:val="20"/>
          <w:szCs w:val="20"/>
          <w:color w:val="auto"/>
        </w:rPr>
      </w:pPr>
    </w:p>
    <w:p>
      <w:pPr>
        <w:ind w:left="360" w:right="680"/>
        <w:spacing w:after="0" w:line="246"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which will be entered into in connection with the closing of this offering, will provide for limitations on the ability of unitholders of NFI to transfer their NFI LLC Units and will provide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6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tbl>
      <w:tblPr>
        <w:tblLayout w:type="fixed"/>
        <w:tblInd w:w="7" w:type="dxa"/>
        <w:tblCellMar>
          <w:top w:w="0" w:type="dxa"/>
          <w:left w:w="0" w:type="dxa"/>
          <w:bottom w:w="0" w:type="dxa"/>
          <w:right w:w="0" w:type="dxa"/>
        </w:tblCellMar>
      </w:tblPr>
      <w:tr>
        <w:trPr>
          <w:trHeight w:val="161"/>
        </w:trPr>
        <w:tc>
          <w:tcPr>
            <w:tcW w:w="6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26"/>
        </w:trPr>
        <w:tc>
          <w:tcPr>
            <w:tcW w:w="1540" w:type="dxa"/>
            <w:vAlign w:val="bottom"/>
            <w:tcBorders>
              <w:top w:val="single" w:sz="8" w:color="0000EE"/>
            </w:tcBorders>
          </w:tcPr>
          <w:p>
            <w:pPr>
              <w:spacing w:after="0"/>
              <w:rPr>
                <w:sz w:val="24"/>
                <w:szCs w:val="24"/>
                <w:color w:val="auto"/>
              </w:rPr>
            </w:pPr>
          </w:p>
        </w:tc>
        <w:tc>
          <w:tcPr>
            <w:tcW w:w="4620" w:type="dxa"/>
            <w:vAlign w:val="bottom"/>
          </w:tcPr>
          <w:p>
            <w:pPr>
              <w:ind w:left="2400"/>
              <w:spacing w:after="0"/>
              <w:rPr>
                <w:sz w:val="20"/>
                <w:szCs w:val="20"/>
                <w:color w:val="auto"/>
              </w:rPr>
            </w:pPr>
            <w:r>
              <w:rPr>
                <w:rFonts w:ascii="Arial" w:cs="Arial" w:eastAsia="Arial" w:hAnsi="Arial"/>
                <w:sz w:val="18"/>
                <w:szCs w:val="18"/>
                <w:b w:val="1"/>
                <w:bCs w:val="1"/>
                <w:color w:val="auto"/>
              </w:rPr>
              <w:t>USE OF PROCEEDS</w:t>
            </w: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0"/>
        </w:trPr>
        <w:tc>
          <w:tcPr>
            <w:tcW w:w="6160" w:type="dxa"/>
            <w:vAlign w:val="bottom"/>
            <w:gridSpan w:val="2"/>
          </w:tcPr>
          <w:p>
            <w:pPr>
              <w:ind w:left="360"/>
              <w:spacing w:after="0"/>
              <w:rPr>
                <w:sz w:val="20"/>
                <w:szCs w:val="20"/>
                <w:color w:val="auto"/>
              </w:rPr>
            </w:pPr>
            <w:r>
              <w:rPr>
                <w:rFonts w:ascii="Arial" w:cs="Arial" w:eastAsia="Arial" w:hAnsi="Arial"/>
                <w:sz w:val="18"/>
                <w:szCs w:val="18"/>
                <w:color w:val="auto"/>
                <w:w w:val="92"/>
              </w:rPr>
              <w:t>We expect the estimated net proceeds from this offering to be approximately $</w:t>
            </w:r>
          </w:p>
        </w:tc>
        <w:tc>
          <w:tcPr>
            <w:tcW w:w="3360" w:type="dxa"/>
            <w:vAlign w:val="bottom"/>
            <w:gridSpan w:val="2"/>
          </w:tcPr>
          <w:p>
            <w:pPr>
              <w:ind w:left="140"/>
              <w:spacing w:after="0"/>
              <w:rPr>
                <w:sz w:val="20"/>
                <w:szCs w:val="20"/>
                <w:color w:val="auto"/>
              </w:rPr>
            </w:pPr>
            <w:r>
              <w:rPr>
                <w:rFonts w:ascii="Arial" w:cs="Arial" w:eastAsia="Arial" w:hAnsi="Arial"/>
                <w:sz w:val="18"/>
                <w:szCs w:val="18"/>
                <w:color w:val="auto"/>
                <w:w w:val="95"/>
              </w:rPr>
              <w:t>million, before offering expenses and after</w:t>
            </w: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w w:val="92"/>
              </w:rPr>
              <w:t>deducting underwriting discounts and commissions, based on an assumed initial public offering price of $</w:t>
            </w:r>
          </w:p>
        </w:tc>
        <w:tc>
          <w:tcPr>
            <w:tcW w:w="1740" w:type="dxa"/>
            <w:vAlign w:val="bottom"/>
          </w:tcPr>
          <w:p>
            <w:pPr>
              <w:ind w:left="140"/>
              <w:spacing w:after="0"/>
              <w:rPr>
                <w:sz w:val="20"/>
                <w:szCs w:val="20"/>
                <w:color w:val="auto"/>
              </w:rPr>
            </w:pPr>
            <w:r>
              <w:rPr>
                <w:rFonts w:ascii="Arial" w:cs="Arial" w:eastAsia="Arial" w:hAnsi="Arial"/>
                <w:sz w:val="18"/>
                <w:szCs w:val="18"/>
                <w:color w:val="auto"/>
                <w:w w:val="88"/>
              </w:rPr>
              <w:t>per Class A share (the</w:t>
            </w:r>
          </w:p>
        </w:tc>
      </w:tr>
    </w:tbl>
    <w:p>
      <w:pPr>
        <w:ind w:left="7" w:right="20"/>
        <w:spacing w:after="0" w:line="255" w:lineRule="auto"/>
        <w:rPr>
          <w:sz w:val="20"/>
          <w:szCs w:val="20"/>
          <w:color w:val="auto"/>
        </w:rPr>
      </w:pPr>
      <w:r>
        <w:rPr>
          <w:rFonts w:ascii="Arial" w:cs="Arial" w:eastAsia="Arial" w:hAnsi="Arial"/>
          <w:sz w:val="18"/>
          <w:szCs w:val="18"/>
          <w:color w:val="auto"/>
        </w:rPr>
        <w:t>mid-point of the price range set forth on the cover of this prospectus). If the underwriters exercise their option to purchase additional Class A shares in full, we expect the estimated net proceeds to be approximately $ million. See “Underwriting (Conflicts of Interest).”</w:t>
      </w:r>
    </w:p>
    <w:p>
      <w:pPr>
        <w:spacing w:after="0" w:line="82" w:lineRule="exact"/>
        <w:rPr>
          <w:sz w:val="20"/>
          <w:szCs w:val="20"/>
          <w:color w:val="auto"/>
        </w:rPr>
      </w:pPr>
    </w:p>
    <w:p>
      <w:pPr>
        <w:ind w:left="7" w:right="60" w:firstLine="360"/>
        <w:spacing w:after="0" w:line="291" w:lineRule="auto"/>
        <w:rPr>
          <w:sz w:val="20"/>
          <w:szCs w:val="20"/>
          <w:color w:val="auto"/>
        </w:rPr>
      </w:pPr>
      <w:r>
        <w:rPr>
          <w:rFonts w:ascii="Arial" w:cs="Arial" w:eastAsia="Arial" w:hAnsi="Arial"/>
          <w:sz w:val="16"/>
          <w:szCs w:val="16"/>
          <w:color w:val="auto"/>
        </w:rPr>
        <w:t>We will contribute the net proceeds of this offering to NFI in exchange for NFI’s issuance to us of NFI LLC Units. NFI intends to use the net proceeds from this offering in the following manner: (i) $ million to complete the construction of the Old Harbour</w:t>
      </w:r>
    </w:p>
    <w:p>
      <w:pPr>
        <w:ind w:left="7" w:right="40"/>
        <w:spacing w:after="0" w:line="35" w:lineRule="auto"/>
        <w:rPr>
          <w:sz w:val="20"/>
          <w:szCs w:val="20"/>
          <w:color w:val="auto"/>
        </w:rPr>
      </w:pPr>
      <w:r>
        <w:rPr>
          <w:rFonts w:ascii="Arial" w:cs="Arial" w:eastAsia="Arial" w:hAnsi="Arial"/>
          <w:sz w:val="1"/>
          <w:szCs w:val="1"/>
          <w:color w:val="auto"/>
        </w:rPr>
        <w:t>Terminal, (ii) $ million to complete the construction of the Pennsylvania Facilities, (iii) $ million to complete the construction of the CHP Plant, (iv) $ million to complete the construction of the La Paz Terminal, (v) $ million to complete the construction of the San Juan Facility, (vi) $ million to complete the construction of the Ireland Terminal and (vii) $ million for general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 w:right="40"/>
        <w:spacing w:after="0" w:line="274" w:lineRule="auto"/>
        <w:rPr>
          <w:sz w:val="20"/>
          <w:szCs w:val="20"/>
          <w:color w:val="auto"/>
        </w:rPr>
      </w:pPr>
      <w:r>
        <w:rPr>
          <w:rFonts w:ascii="Arial" w:cs="Arial" w:eastAsia="Arial" w:hAnsi="Arial"/>
          <w:sz w:val="17"/>
          <w:szCs w:val="17"/>
          <w:color w:val="auto"/>
        </w:rPr>
        <w:t>purposes, including the development of future projects. If the underwriters exercise their option to purchase additional Class A shares in full, the additional net proceeds will be approximately $ million (based on an assumed initial offering price of $ per</w:t>
      </w:r>
    </w:p>
    <w:p>
      <w:pPr>
        <w:ind w:left="7"/>
        <w:spacing w:after="0" w:line="271" w:lineRule="auto"/>
        <w:rPr>
          <w:sz w:val="20"/>
          <w:szCs w:val="20"/>
          <w:color w:val="auto"/>
        </w:rPr>
      </w:pPr>
      <w:r>
        <w:rPr>
          <w:rFonts w:ascii="Arial" w:cs="Arial" w:eastAsia="Arial" w:hAnsi="Arial"/>
          <w:sz w:val="17"/>
          <w:szCs w:val="17"/>
          <w:color w:val="auto"/>
        </w:rPr>
        <w:t>Class A share, the mid-point of the price range set forth on the cover page of this prospectus). The net proceeds from any exercise of such option will be contributed to NFI in exchange for NFI’s issuance to us of NFI LLC Units. After the application of the net proceeds from this offering, we will own a % membership interest in NFI (or a % membership interest if the underwriters’ option to purchase additional Class A shares is exercised in full). Please read “Security Ownership of Certain Beneficial Owners and Management.” For a description of our Terminals and Liquefaction Facilities, see “Business.”</w:t>
      </w:r>
    </w:p>
    <w:p>
      <w:pPr>
        <w:spacing w:after="0" w:line="7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Pending any use, the net proceeds of this offering may be invested in short-term, interest-bearing investment-grade securities.</w:t>
      </w:r>
    </w:p>
    <w:p>
      <w:pPr>
        <w:spacing w:after="0" w:line="140" w:lineRule="exact"/>
        <w:rPr>
          <w:sz w:val="20"/>
          <w:szCs w:val="20"/>
          <w:color w:val="auto"/>
        </w:rPr>
      </w:pPr>
    </w:p>
    <w:p>
      <w:pPr>
        <w:ind w:left="7" w:right="380" w:firstLine="360"/>
        <w:spacing w:after="0" w:line="288" w:lineRule="auto"/>
        <w:rPr>
          <w:sz w:val="20"/>
          <w:szCs w:val="20"/>
          <w:color w:val="auto"/>
        </w:rPr>
      </w:pPr>
      <w:r>
        <w:rPr>
          <w:rFonts w:ascii="Arial" w:cs="Arial" w:eastAsia="Arial" w:hAnsi="Arial"/>
          <w:sz w:val="16"/>
          <w:szCs w:val="16"/>
          <w:color w:val="auto"/>
        </w:rPr>
        <w:t>Assuming no exercise of the underwriters’ option to purchase additional Class A shares, a $1.00 increase (decrease) in the assumed initial public offering price of $ per Class A share would increase (decrease) the net proceeds from this offering received by us, after deducting the underwriting discounts and commissions and estimated offering expenses, by approximately</w:t>
      </w:r>
    </w:p>
    <w:p>
      <w:pPr>
        <w:ind w:left="7" w:right="280" w:hanging="7"/>
        <w:spacing w:after="0" w:line="261" w:lineRule="auto"/>
        <w:tabs>
          <w:tab w:leader="none" w:pos="4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million, assuming the number of Class A shares offered by us, as set forth on the cover page of this prospectus, remains the same.</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54" w:name="page55"/>
    <w:bookmarkEnd w:id="5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2017:</w:t>
      </w:r>
    </w:p>
    <w:p>
      <w:pPr>
        <w:spacing w:after="0" w:line="117" w:lineRule="exact"/>
        <w:rPr>
          <w:sz w:val="20"/>
          <w:szCs w:val="20"/>
          <w:color w:val="auto"/>
        </w:rPr>
      </w:pPr>
    </w:p>
    <w:p>
      <w:pPr>
        <w:ind w:left="707" w:hanging="356"/>
        <w:spacing w:after="0"/>
        <w:tabs>
          <w:tab w:leader="none" w:pos="7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an adjusted basis to give effect to (i) the Transactions, (ii) the sale by us of Class A shares at the initial public offering</w:t>
      </w:r>
    </w:p>
    <w:p>
      <w:pPr>
        <w:spacing w:after="0" w:line="46" w:lineRule="exact"/>
        <w:rPr>
          <w:rFonts w:ascii="Arial" w:cs="Arial" w:eastAsia="Arial" w:hAnsi="Arial"/>
          <w:sz w:val="16"/>
          <w:szCs w:val="16"/>
          <w:color w:val="auto"/>
        </w:rPr>
      </w:pPr>
    </w:p>
    <w:p>
      <w:pPr>
        <w:ind w:left="707" w:right="80"/>
        <w:spacing w:after="0" w:line="253" w:lineRule="auto"/>
        <w:rPr>
          <w:rFonts w:ascii="Arial" w:cs="Arial" w:eastAsia="Arial" w:hAnsi="Arial"/>
          <w:sz w:val="16"/>
          <w:szCs w:val="16"/>
          <w:color w:val="auto"/>
        </w:rPr>
      </w:pPr>
      <w:r>
        <w:rPr>
          <w:rFonts w:ascii="Arial" w:cs="Arial" w:eastAsia="Arial" w:hAnsi="Arial"/>
          <w:sz w:val="18"/>
          <w:szCs w:val="18"/>
          <w:color w:val="auto"/>
        </w:rPr>
        <w:t>price of $ per Class A share (the mid-point of the price range set forth on the cover page of this prospectus), after deducting assumed underwriting discounts and commissions and estimated offering expenses, and the application of the proceeds from this offering, each as described under “Use of Proceeds,” (iii) the entry into a $240,000 Term Loan Facility on August 16, 2018 and (iv) and repayment in full of the outstanding indebtedness of the Miami Loan and the MoBay Loan.</w:t>
      </w:r>
    </w:p>
    <w:p>
      <w:pPr>
        <w:spacing w:after="0" w:line="83"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The as adjusted information set forth in the table below is illustrative only and will be adjusted based on the actual initial public offering price and other terms of this offering determined at pricing. You should read this table in conjunction with “Summary— Formation Transactions and Structure,” “Use of Proceeds,” “Management’s Discussion and Analysis of Financial Condition and Results of Operations” and our consolidated financial statements and related notes contained elsewhere in this prospectus.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49"/>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Pr>
          <w:p>
            <w:pPr>
              <w:spacing w:after="0"/>
              <w:rPr>
                <w:sz w:val="14"/>
                <w:szCs w:val="14"/>
                <w:color w:val="auto"/>
              </w:rPr>
            </w:pPr>
          </w:p>
        </w:tc>
      </w:tr>
      <w:tr>
        <w:trPr>
          <w:trHeight w:val="170"/>
        </w:trPr>
        <w:tc>
          <w:tcPr>
            <w:tcW w:w="1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r>
      <w:tr>
        <w:trPr>
          <w:trHeight w:val="202"/>
        </w:trPr>
        <w:tc>
          <w:tcPr>
            <w:tcW w:w="14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9"/>
              <w:spacing w:after="0" w:line="202" w:lineRule="exact"/>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23"/>
                <w:szCs w:val="23"/>
                <w:b w:val="1"/>
                <w:bCs w:val="1"/>
                <w:color w:val="auto"/>
                <w:w w:val="94"/>
                <w:vertAlign w:val="superscript"/>
              </w:rPr>
              <w:t>(1)</w:t>
            </w:r>
          </w:p>
        </w:tc>
        <w:tc>
          <w:tcPr>
            <w:tcW w:w="10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6"/>
          </w:tcPr>
          <w:p>
            <w:pPr>
              <w:ind w:left="380"/>
              <w:spacing w:after="0"/>
              <w:rPr>
                <w:sz w:val="20"/>
                <w:szCs w:val="20"/>
                <w:color w:val="auto"/>
              </w:rPr>
            </w:pPr>
            <w:r>
              <w:rPr>
                <w:rFonts w:ascii="Arial" w:cs="Arial" w:eastAsia="Arial" w:hAnsi="Arial"/>
                <w:sz w:val="14"/>
                <w:szCs w:val="14"/>
                <w:b w:val="1"/>
                <w:bCs w:val="1"/>
                <w:color w:val="auto"/>
              </w:rPr>
              <w:t>(Dollars in thousands)</w:t>
            </w:r>
          </w:p>
        </w:tc>
      </w:tr>
      <w:tr>
        <w:trPr>
          <w:trHeight w:val="277"/>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84"/>
        </w:trPr>
        <w:tc>
          <w:tcPr>
            <w:tcW w:w="4900" w:type="dxa"/>
            <w:vAlign w:val="bottom"/>
            <w:tcBorders>
              <w:top w:val="single" w:sz="8" w:color="CCEEFF"/>
            </w:tcBorders>
            <w:gridSpan w:val="2"/>
          </w:tcPr>
          <w:p>
            <w:pPr>
              <w:spacing w:after="0" w:line="284" w:lineRule="exact"/>
              <w:rPr>
                <w:sz w:val="20"/>
                <w:szCs w:val="20"/>
                <w:color w:val="auto"/>
              </w:rPr>
            </w:pPr>
            <w:r>
              <w:rPr>
                <w:rFonts w:ascii="Arial" w:cs="Arial" w:eastAsia="Arial" w:hAnsi="Arial"/>
                <w:sz w:val="18"/>
                <w:szCs w:val="18"/>
                <w:color w:val="auto"/>
              </w:rPr>
              <w:t>Total long-term debt</w:t>
            </w:r>
            <w:r>
              <w:rPr>
                <w:rFonts w:ascii="Arial" w:cs="Arial" w:eastAsia="Arial" w:hAnsi="Arial"/>
                <w:sz w:val="29"/>
                <w:szCs w:val="29"/>
                <w:color w:val="auto"/>
                <w:vertAlign w:val="superscript"/>
              </w:rPr>
              <w:t>(2)</w:t>
            </w:r>
          </w:p>
        </w:tc>
        <w:tc>
          <w:tcPr>
            <w:tcW w:w="20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43"/>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equity/Shareholders’ equity</w:t>
            </w:r>
          </w:p>
        </w:tc>
        <w:tc>
          <w:tcPr>
            <w:tcW w:w="2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Members’ equity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 A shareholders – Public</w:t>
            </w:r>
          </w:p>
        </w:tc>
        <w:tc>
          <w:tcPr>
            <w:tcW w:w="2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Class B shareholders – New Fortress Energy Holdings</w:t>
            </w: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members’ equity/shareholders’ equity</w:t>
            </w:r>
          </w:p>
        </w:tc>
        <w:tc>
          <w:tcPr>
            <w:tcW w:w="2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354,163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660" w:type="dxa"/>
            <w:vAlign w:val="bottom"/>
            <w:gridSpan w:val="8"/>
          </w:tcPr>
          <w:p>
            <w:pPr>
              <w:spacing w:after="0"/>
              <w:rPr>
                <w:sz w:val="15"/>
                <w:szCs w:val="15"/>
                <w:color w:val="auto"/>
              </w:rPr>
            </w:pPr>
          </w:p>
        </w:tc>
      </w:tr>
      <w:tr>
        <w:trPr>
          <w:trHeight w:val="258"/>
        </w:trPr>
        <w:tc>
          <w:tcPr>
            <w:tcW w:w="4900" w:type="dxa"/>
            <w:vAlign w:val="bottom"/>
            <w:gridSpan w:val="2"/>
          </w:tcPr>
          <w:p>
            <w:pPr>
              <w:spacing w:after="0"/>
              <w:rPr>
                <w:sz w:val="20"/>
                <w:szCs w:val="20"/>
                <w:color w:val="auto"/>
              </w:rPr>
            </w:pPr>
            <w:r>
              <w:rPr>
                <w:rFonts w:ascii="Arial" w:cs="Arial" w:eastAsia="Arial" w:hAnsi="Arial"/>
                <w:sz w:val="14"/>
                <w:szCs w:val="14"/>
                <w:color w:val="auto"/>
                <w:w w:val="97"/>
              </w:rPr>
              <w:t>(1)   Each $1.00 increase (decrease) in the assumed initial public offering price of</w:t>
            </w:r>
          </w:p>
        </w:tc>
        <w:tc>
          <w:tcPr>
            <w:tcW w:w="4660" w:type="dxa"/>
            <w:vAlign w:val="bottom"/>
            <w:gridSpan w:val="8"/>
          </w:tcPr>
          <w:p>
            <w:pPr>
              <w:ind w:left="140"/>
              <w:spacing w:after="0"/>
              <w:rPr>
                <w:sz w:val="20"/>
                <w:szCs w:val="20"/>
                <w:color w:val="auto"/>
              </w:rPr>
            </w:pPr>
            <w:r>
              <w:rPr>
                <w:rFonts w:ascii="Arial" w:cs="Arial" w:eastAsia="Arial" w:hAnsi="Arial"/>
                <w:sz w:val="14"/>
                <w:szCs w:val="14"/>
                <w:color w:val="auto"/>
              </w:rPr>
              <w:t>per share, which is the mid-point of the price range set forth on the cover</w:t>
            </w:r>
          </w:p>
        </w:tc>
      </w:tr>
      <w:tr>
        <w:trPr>
          <w:trHeight w:val="174"/>
        </w:trPr>
        <w:tc>
          <w:tcPr>
            <w:tcW w:w="8540" w:type="dxa"/>
            <w:vAlign w:val="bottom"/>
            <w:gridSpan w:val="8"/>
          </w:tcPr>
          <w:p>
            <w:pPr>
              <w:ind w:left="340"/>
              <w:spacing w:after="0"/>
              <w:rPr>
                <w:sz w:val="20"/>
                <w:szCs w:val="20"/>
                <w:color w:val="auto"/>
              </w:rPr>
            </w:pPr>
            <w:r>
              <w:rPr>
                <w:rFonts w:ascii="Arial" w:cs="Arial" w:eastAsia="Arial" w:hAnsi="Arial"/>
                <w:sz w:val="14"/>
                <w:szCs w:val="14"/>
                <w:color w:val="auto"/>
                <w:w w:val="93"/>
              </w:rPr>
              <w:t>page of this prospectus, would increase (decrease) our as adjusted cash, total shareholders’ equity and total capitalization by approximately $</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w w:val="90"/>
              </w:rPr>
              <w:t>, assuming that</w:t>
            </w:r>
          </w:p>
        </w:tc>
      </w:tr>
    </w:tbl>
    <w:p>
      <w:pPr>
        <w:ind w:left="347" w:right="280"/>
        <w:spacing w:after="0" w:line="281" w:lineRule="auto"/>
        <w:rPr>
          <w:sz w:val="20"/>
          <w:szCs w:val="20"/>
          <w:color w:val="auto"/>
        </w:rPr>
      </w:pPr>
      <w:r>
        <w:rPr>
          <w:rFonts w:ascii="Arial" w:cs="Arial" w:eastAsia="Arial" w:hAnsi="Arial"/>
          <w:sz w:val="12"/>
          <w:szCs w:val="12"/>
          <w:color w:val="auto"/>
        </w:rPr>
        <w:t>the number of Class A shares offered by us, as set forth on the cover page of this prospectus, remains the same after deducting underwriting discounts and commissions and estimated offering expenses payable by us. Each increase (decrease) of 1,000 shares in the number of Class A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7" w:right="60"/>
        <w:spacing w:after="0" w:line="257" w:lineRule="auto"/>
        <w:rPr>
          <w:sz w:val="20"/>
          <w:szCs w:val="20"/>
          <w:color w:val="auto"/>
        </w:rPr>
      </w:pPr>
      <w:r>
        <w:rPr>
          <w:rFonts w:ascii="Arial" w:cs="Arial" w:eastAsia="Arial" w:hAnsi="Arial"/>
          <w:sz w:val="14"/>
          <w:szCs w:val="14"/>
          <w:color w:val="auto"/>
        </w:rPr>
        <w:t>increase (decrease) the amount of our as adjusted cash, total shareholders’ equity and total capitalization by approximately $ , assuming an initial public offering price of $ per share, which is the mid-point of the price range set forth on the cover page of this prospectus, after deducting underwriting discounts and commissions and estimated offering expenses payable by us.</w:t>
      </w:r>
    </w:p>
    <w:p>
      <w:pPr>
        <w:spacing w:after="0" w:line="77"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presented are net of unamortized debt issuance costs and includes the current portion of the long-term debt outstanding.</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5" w:name="page56"/>
    <w:bookmarkEnd w:id="5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Dilution is the amount by which the offering price per Class A share in this offering will exceed the pro forma net tangible</w:t>
      </w:r>
    </w:p>
    <w:p>
      <w:pPr>
        <w:spacing w:after="0" w:line="35" w:lineRule="exact"/>
        <w:rPr>
          <w:sz w:val="20"/>
          <w:szCs w:val="20"/>
          <w:color w:val="auto"/>
        </w:rPr>
      </w:pPr>
    </w:p>
    <w:p>
      <w:pPr>
        <w:jc w:val="both"/>
        <w:ind w:left="7" w:right="20"/>
        <w:spacing w:after="0" w:line="265" w:lineRule="auto"/>
        <w:rPr>
          <w:sz w:val="20"/>
          <w:szCs w:val="20"/>
          <w:color w:val="auto"/>
        </w:rPr>
      </w:pPr>
      <w:r>
        <w:rPr>
          <w:rFonts w:ascii="Arial" w:cs="Arial" w:eastAsia="Arial" w:hAnsi="Arial"/>
          <w:sz w:val="17"/>
          <w:szCs w:val="17"/>
          <w:color w:val="auto"/>
        </w:rPr>
        <w:t>book value per share after the offering. On a pro forma basis as of , 2018, after giving effect to the offering of Class A shares and the Transactions, our net tangible book value was approximately $ million, or $ per Class A share. Purchasers of Class A</w:t>
      </w:r>
    </w:p>
    <w:p>
      <w:pPr>
        <w:ind w:left="7" w:right="80"/>
        <w:spacing w:after="0" w:line="261" w:lineRule="auto"/>
        <w:rPr>
          <w:sz w:val="20"/>
          <w:szCs w:val="20"/>
          <w:color w:val="auto"/>
        </w:rPr>
      </w:pPr>
      <w:r>
        <w:rPr>
          <w:rFonts w:ascii="Arial" w:cs="Arial" w:eastAsia="Arial" w:hAnsi="Arial"/>
          <w:sz w:val="18"/>
          <w:szCs w:val="18"/>
          <w:color w:val="auto"/>
        </w:rPr>
        <w:t>shares in this offering will experience substantial and immediate dilution in pro forma net tangible book value per Class A share for financial accounting purposes, as illustrated in the following table.</w:t>
      </w:r>
    </w:p>
    <w:tbl>
      <w:tblPr>
        <w:tblLayout w:type="fixed"/>
        <w:tblInd w:w="7"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6940" w:type="dxa"/>
            <w:vAlign w:val="bottom"/>
            <w:gridSpan w:val="2"/>
            <w:shd w:val="clear" w:color="auto" w:fill="CCEEFF"/>
          </w:tcPr>
          <w:p>
            <w:pPr>
              <w:spacing w:after="0" w:line="320" w:lineRule="exact"/>
              <w:rPr>
                <w:sz w:val="20"/>
                <w:szCs w:val="20"/>
                <w:color w:val="auto"/>
              </w:rPr>
            </w:pPr>
            <w:r>
              <w:rPr>
                <w:rFonts w:ascii="Arial" w:cs="Arial" w:eastAsia="Arial" w:hAnsi="Arial"/>
                <w:sz w:val="18"/>
                <w:szCs w:val="18"/>
                <w:color w:val="auto"/>
              </w:rPr>
              <w:t>Assumed initial public offering price per Class A share</w:t>
            </w:r>
            <w:r>
              <w:rPr>
                <w:rFonts w:ascii="Arial" w:cs="Arial" w:eastAsia="Arial" w:hAnsi="Arial"/>
                <w:sz w:val="29"/>
                <w:szCs w:val="29"/>
                <w:color w:val="auto"/>
                <w:vertAlign w:val="superscript"/>
              </w:rPr>
              <w:t>(1)</w:t>
            </w:r>
          </w:p>
        </w:tc>
        <w:tc>
          <w:tcPr>
            <w:tcW w:w="25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r>
      <w:tr>
        <w:trPr>
          <w:trHeight w:val="284"/>
        </w:trPr>
        <w:tc>
          <w:tcPr>
            <w:tcW w:w="6960" w:type="dxa"/>
            <w:vAlign w:val="bottom"/>
            <w:gridSpan w:val="3"/>
          </w:tcPr>
          <w:p>
            <w:pPr>
              <w:spacing w:after="0" w:line="284" w:lineRule="exact"/>
              <w:rPr>
                <w:sz w:val="20"/>
                <w:szCs w:val="20"/>
                <w:color w:val="auto"/>
              </w:rPr>
            </w:pPr>
            <w:r>
              <w:rPr>
                <w:rFonts w:ascii="Arial" w:cs="Arial" w:eastAsia="Arial" w:hAnsi="Arial"/>
                <w:sz w:val="18"/>
                <w:szCs w:val="18"/>
                <w:color w:val="auto"/>
              </w:rPr>
              <w:t>Pro forma net tangible book value per Class A share before the offering</w:t>
            </w:r>
            <w:r>
              <w:rPr>
                <w:rFonts w:ascii="Arial" w:cs="Arial" w:eastAsia="Arial" w:hAnsi="Arial"/>
                <w:sz w:val="29"/>
                <w:szCs w:val="29"/>
                <w:color w:val="auto"/>
                <w:vertAlign w:val="superscript"/>
              </w:rPr>
              <w:t>(2)</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 in net tangible book value per share attributable to purchasers in the offering</w:t>
            </w:r>
          </w:p>
        </w:tc>
        <w:tc>
          <w:tcPr>
            <w:tcW w:w="1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64"/>
        </w:trPr>
        <w:tc>
          <w:tcPr>
            <w:tcW w:w="69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Pro forma net tangible book value per share after the offering</w:t>
            </w:r>
            <w:r>
              <w:rPr>
                <w:rFonts w:ascii="Arial" w:cs="Arial" w:eastAsia="Arial" w:hAnsi="Arial"/>
                <w:sz w:val="29"/>
                <w:szCs w:val="29"/>
                <w:color w:val="auto"/>
                <w:vertAlign w:val="superscript"/>
              </w:rPr>
              <w:t>(3)</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Immediate dilution in net tangible book value per Class A share to purchasers in the</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01"/>
        </w:trPr>
        <w:tc>
          <w:tcPr>
            <w:tcW w:w="20" w:type="dxa"/>
            <w:vAlign w:val="bottom"/>
          </w:tcPr>
          <w:p>
            <w:pPr>
              <w:spacing w:after="0"/>
              <w:rPr>
                <w:sz w:val="24"/>
                <w:szCs w:val="24"/>
                <w:color w:val="auto"/>
              </w:rPr>
            </w:pPr>
          </w:p>
        </w:tc>
        <w:tc>
          <w:tcPr>
            <w:tcW w:w="694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offering</w:t>
            </w:r>
            <w:r>
              <w:rPr>
                <w:rFonts w:ascii="Arial" w:cs="Arial" w:eastAsia="Arial" w:hAnsi="Arial"/>
                <w:sz w:val="29"/>
                <w:szCs w:val="29"/>
                <w:color w:val="auto"/>
                <w:vertAlign w:val="superscript"/>
              </w:rPr>
              <w:t>(4)(5)</w:t>
            </w:r>
          </w:p>
        </w:tc>
        <w:tc>
          <w:tcPr>
            <w:tcW w:w="25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552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mid-point of the price range set forth on the cover of this prospectus.</w:t>
      </w:r>
    </w:p>
    <w:p>
      <w:pPr>
        <w:spacing w:after="0" w:line="109"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Determined by dividing the number of Class B shares ( Class B shares) to be issued to New Fortress Energy Holdings and its affiliates for their contribution of assets and liabilities to us into the pro forma net tangible book value of the contributed assets and liabilities.</w:t>
      </w:r>
    </w:p>
    <w:p>
      <w:pPr>
        <w:spacing w:after="0" w:line="66" w:lineRule="exact"/>
        <w:rPr>
          <w:sz w:val="20"/>
          <w:szCs w:val="20"/>
          <w:color w:val="auto"/>
        </w:rPr>
      </w:pPr>
    </w:p>
    <w:p>
      <w:pPr>
        <w:ind w:left="347" w:right="40" w:hanging="339"/>
        <w:spacing w:after="0" w:line="273" w:lineRule="auto"/>
        <w:tabs>
          <w:tab w:leader="none" w:pos="326" w:val="left"/>
        </w:tabs>
        <w:rPr>
          <w:sz w:val="20"/>
          <w:szCs w:val="20"/>
          <w:color w:val="auto"/>
        </w:rPr>
      </w:pPr>
      <w:r>
        <w:rPr>
          <w:rFonts w:ascii="Arial" w:cs="Arial" w:eastAsia="Arial" w:hAnsi="Arial"/>
          <w:sz w:val="14"/>
          <w:szCs w:val="14"/>
          <w:color w:val="auto"/>
        </w:rPr>
        <w:t>(3)</w:t>
        <w:tab/>
        <w:t>Determined by dividing the number of shares to be outstanding after this offering ( Class A shares and Class B shares) and the application of the related net proceeds into our pro forma net tangible book value, after giving effect to the application of the net proceeds of this offering.</w:t>
      </w:r>
    </w:p>
    <w:p>
      <w:pPr>
        <w:spacing w:after="0" w:line="66" w:lineRule="exact"/>
        <w:rPr>
          <w:sz w:val="20"/>
          <w:szCs w:val="20"/>
          <w:color w:val="auto"/>
        </w:rPr>
      </w:pPr>
    </w:p>
    <w:p>
      <w:pPr>
        <w:ind w:left="347" w:right="300" w:hanging="347"/>
        <w:spacing w:after="0" w:line="273" w:lineRule="auto"/>
        <w:tabs>
          <w:tab w:leader="none" w:pos="3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the initial public offering price were to increase or decrease by $1.00 per Class A share, then dilution in net tangible book value per Class A share would equal $ and $ , respectively.</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Assumes the underwriters’ option to purchase additional Class A shares from us is not exercised. If the underwriters’ option to purchase additional Class A</w:t>
      </w:r>
    </w:p>
    <w:p>
      <w:pPr>
        <w:spacing w:after="0" w:line="25" w:lineRule="exact"/>
        <w:rPr>
          <w:sz w:val="20"/>
          <w:szCs w:val="20"/>
          <w:color w:val="auto"/>
        </w:rPr>
      </w:pPr>
    </w:p>
    <w:p>
      <w:pPr>
        <w:ind w:left="347"/>
        <w:spacing w:after="0"/>
        <w:tabs>
          <w:tab w:leader="none" w:pos="8846" w:val="left"/>
        </w:tabs>
        <w:rPr>
          <w:sz w:val="20"/>
          <w:szCs w:val="20"/>
          <w:color w:val="auto"/>
        </w:rPr>
      </w:pPr>
      <w:r>
        <w:rPr>
          <w:rFonts w:ascii="Arial" w:cs="Arial" w:eastAsia="Arial" w:hAnsi="Arial"/>
          <w:sz w:val="13"/>
          <w:szCs w:val="13"/>
          <w:color w:val="auto"/>
        </w:rPr>
        <w:t>shares from us is exercised in full, the immediate dilution in net tangible book value per Class A share to purchasers in this offering will remain $</w:t>
      </w:r>
      <w:r>
        <w:rPr>
          <w:sz w:val="20"/>
          <w:szCs w:val="20"/>
          <w:color w:val="auto"/>
        </w:rPr>
        <w:tab/>
      </w:r>
      <w:r>
        <w:rPr>
          <w:rFonts w:ascii="Arial" w:cs="Arial" w:eastAsia="Arial" w:hAnsi="Arial"/>
          <w:sz w:val="14"/>
          <w:szCs w:val="14"/>
          <w:color w:val="auto"/>
        </w:rPr>
        <w:t>.</w:t>
      </w:r>
    </w:p>
    <w:p>
      <w:pPr>
        <w:spacing w:after="0" w:line="88" w:lineRule="exact"/>
        <w:rPr>
          <w:sz w:val="20"/>
          <w:szCs w:val="20"/>
          <w:color w:val="auto"/>
        </w:rPr>
      </w:pPr>
    </w:p>
    <w:p>
      <w:pPr>
        <w:ind w:left="7" w:right="180" w:firstLine="360"/>
        <w:spacing w:after="0" w:line="312" w:lineRule="auto"/>
        <w:rPr>
          <w:sz w:val="20"/>
          <w:szCs w:val="20"/>
          <w:color w:val="auto"/>
        </w:rPr>
      </w:pPr>
      <w:r>
        <w:rPr>
          <w:rFonts w:ascii="Arial" w:cs="Arial" w:eastAsia="Arial" w:hAnsi="Arial"/>
          <w:sz w:val="16"/>
          <w:szCs w:val="16"/>
          <w:color w:val="auto"/>
        </w:rPr>
        <w:t>The following table sets forth the number of Class A and Class B shares that we will issue and the total consideration contributed to us by New Fortress Energy Holdings and by the purchasers of Class A shares calculated before deducting estimated underwriting discounts and commissions and estimated offering expenses payable by us (in millions, except per share amounts):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7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Price</w:t>
            </w:r>
          </w:p>
        </w:tc>
      </w:tr>
      <w:tr>
        <w:trPr>
          <w:trHeight w:val="185"/>
        </w:trPr>
        <w:tc>
          <w:tcPr>
            <w:tcW w:w="1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Acquired</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Consideration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w w:val="97"/>
              </w:rPr>
              <w:t>($ in millions)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84"/>
        </w:trPr>
        <w:tc>
          <w:tcPr>
            <w:tcW w:w="5440" w:type="dxa"/>
            <w:vAlign w:val="bottom"/>
            <w:gridSpan w:val="5"/>
            <w:shd w:val="clear" w:color="auto" w:fill="CCEEFF"/>
          </w:tcPr>
          <w:p>
            <w:pPr>
              <w:spacing w:after="0" w:line="284" w:lineRule="exact"/>
              <w:rPr>
                <w:sz w:val="20"/>
                <w:szCs w:val="20"/>
                <w:color w:val="auto"/>
              </w:rPr>
            </w:pPr>
            <w:r>
              <w:rPr>
                <w:rFonts w:ascii="Arial" w:cs="Arial" w:eastAsia="Arial" w:hAnsi="Arial"/>
                <w:sz w:val="18"/>
                <w:szCs w:val="18"/>
                <w:color w:val="auto"/>
              </w:rPr>
              <w:t>New Fortress Energy Holdings</w:t>
            </w:r>
            <w:r>
              <w:rPr>
                <w:rFonts w:ascii="Arial" w:cs="Arial" w:eastAsia="Arial" w:hAnsi="Arial"/>
                <w:sz w:val="29"/>
                <w:szCs w:val="29"/>
                <w:color w:val="auto"/>
                <w:vertAlign w:val="superscript"/>
              </w:rPr>
              <w:t>(1)(2)(3)</w:t>
            </w: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4"/>
                <w:szCs w:val="24"/>
                <w:color w:val="auto"/>
              </w:rPr>
            </w:pPr>
          </w:p>
        </w:tc>
      </w:tr>
      <w:tr>
        <w:trPr>
          <w:trHeight w:val="270"/>
        </w:trPr>
        <w:tc>
          <w:tcPr>
            <w:tcW w:w="4160" w:type="dxa"/>
            <w:vAlign w:val="bottom"/>
            <w:gridSpan w:val="2"/>
          </w:tcPr>
          <w:p>
            <w:pPr>
              <w:spacing w:after="0" w:line="270" w:lineRule="exact"/>
              <w:rPr>
                <w:sz w:val="20"/>
                <w:szCs w:val="20"/>
                <w:color w:val="auto"/>
              </w:rPr>
            </w:pPr>
            <w:r>
              <w:rPr>
                <w:rFonts w:ascii="Arial" w:cs="Arial" w:eastAsia="Arial" w:hAnsi="Arial"/>
                <w:sz w:val="18"/>
                <w:szCs w:val="18"/>
                <w:color w:val="auto"/>
              </w:rPr>
              <w:t>Purchasers in this offering</w:t>
            </w:r>
            <w:r>
              <w:rPr>
                <w:rFonts w:ascii="Arial" w:cs="Arial" w:eastAsia="Arial" w:hAnsi="Arial"/>
                <w:sz w:val="29"/>
                <w:szCs w:val="29"/>
                <w:color w:val="auto"/>
                <w:vertAlign w:val="superscript"/>
              </w:rPr>
              <w:t>(2)</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3"/>
                <w:szCs w:val="23"/>
                <w:color w:val="auto"/>
              </w:rPr>
            </w:pPr>
          </w:p>
        </w:tc>
      </w:tr>
      <w:tr>
        <w:trPr>
          <w:trHeight w:val="20"/>
        </w:trPr>
        <w:tc>
          <w:tcPr>
            <w:tcW w:w="1440" w:type="dxa"/>
            <w:vAlign w:val="bottom"/>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gridSpan w:val="2"/>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79"/>
        </w:trPr>
        <w:tc>
          <w:tcPr>
            <w:tcW w:w="7340" w:type="dxa"/>
            <w:vAlign w:val="bottom"/>
            <w:gridSpan w:val="10"/>
          </w:tcPr>
          <w:p>
            <w:pPr>
              <w:spacing w:after="0"/>
              <w:rPr>
                <w:sz w:val="20"/>
                <w:szCs w:val="20"/>
                <w:color w:val="auto"/>
              </w:rPr>
            </w:pPr>
            <w:r>
              <w:rPr>
                <w:rFonts w:ascii="Arial" w:cs="Arial" w:eastAsia="Arial" w:hAnsi="Arial"/>
                <w:sz w:val="14"/>
                <w:szCs w:val="14"/>
                <w:color w:val="auto"/>
                <w:w w:val="96"/>
              </w:rPr>
              <w:t>(1)   Upon the consummation of the Transactions contemplated by this prospectus, New Fortress Energy Holdings will own</w:t>
            </w:r>
          </w:p>
        </w:tc>
        <w:tc>
          <w:tcPr>
            <w:tcW w:w="2220" w:type="dxa"/>
            <w:vAlign w:val="bottom"/>
            <w:gridSpan w:val="5"/>
          </w:tcPr>
          <w:p>
            <w:pPr>
              <w:ind w:left="120"/>
              <w:spacing w:after="0"/>
              <w:rPr>
                <w:sz w:val="20"/>
                <w:szCs w:val="20"/>
                <w:color w:val="auto"/>
              </w:rPr>
            </w:pPr>
            <w:r>
              <w:rPr>
                <w:rFonts w:ascii="Arial" w:cs="Arial" w:eastAsia="Arial" w:hAnsi="Arial"/>
                <w:sz w:val="14"/>
                <w:szCs w:val="14"/>
                <w:color w:val="auto"/>
              </w:rPr>
              <w:t>Class B shares.</w:t>
            </w:r>
          </w:p>
        </w:tc>
      </w:tr>
    </w:tbl>
    <w:p>
      <w:pPr>
        <w:spacing w:after="0" w:line="88" w:lineRule="exact"/>
        <w:rPr>
          <w:sz w:val="20"/>
          <w:szCs w:val="20"/>
          <w:color w:val="auto"/>
        </w:rPr>
      </w:pPr>
    </w:p>
    <w:p>
      <w:pPr>
        <w:ind w:left="347" w:hanging="347"/>
        <w:spacing w:after="0"/>
        <w:tabs>
          <w:tab w:leader="none" w:pos="3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underwriters’ option to purchase additional Class A shares from us is not exercised.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assets contributed by New Fortress Energy Holdings were recorded at historical cost in accordance with GAAP. Book value of the consideration provided</w:t>
      </w:r>
    </w:p>
    <w:p>
      <w:pPr>
        <w:spacing w:after="0" w:line="25" w:lineRule="exact"/>
        <w:rPr>
          <w:sz w:val="20"/>
          <w:szCs w:val="20"/>
          <w:color w:val="auto"/>
        </w:rPr>
      </w:pPr>
    </w:p>
    <w:p>
      <w:pPr>
        <w:jc w:val="center"/>
        <w:ind w:right="-106"/>
        <w:spacing w:after="0"/>
        <w:tabs>
          <w:tab w:leader="none" w:pos="240" w:val="left"/>
          <w:tab w:leader="none" w:pos="240" w:val="left"/>
        </w:tabs>
        <w:rPr>
          <w:sz w:val="20"/>
          <w:szCs w:val="20"/>
          <w:color w:val="auto"/>
        </w:rPr>
      </w:pPr>
      <w:r>
        <w:rPr>
          <w:rFonts w:ascii="Arial" w:cs="Arial" w:eastAsia="Arial" w:hAnsi="Arial"/>
          <w:sz w:val="14"/>
          <w:szCs w:val="14"/>
          <w:color w:val="auto"/>
        </w:rPr>
        <w:t>by New Fortress Energy Holdings and its affiliates, as of</w:t>
      </w:r>
      <w:r>
        <w:rPr>
          <w:sz w:val="20"/>
          <w:szCs w:val="20"/>
          <w:color w:val="auto"/>
        </w:rPr>
        <w:tab/>
      </w:r>
      <w:r>
        <w:rPr>
          <w:rFonts w:ascii="Arial" w:cs="Arial" w:eastAsia="Arial" w:hAnsi="Arial"/>
          <w:sz w:val="14"/>
          <w:szCs w:val="14"/>
          <w:color w:val="auto"/>
        </w:rPr>
        <w:t>, 2018, after giving effect to the application of the net proceeds of the offering, is $</w:t>
      </w:r>
      <w:r>
        <w:rPr>
          <w:sz w:val="20"/>
          <w:szCs w:val="20"/>
          <w:color w:val="auto"/>
        </w:rPr>
        <w:tab/>
      </w:r>
      <w:r>
        <w:rPr>
          <w:rFonts w:ascii="Arial" w:cs="Arial" w:eastAsia="Arial" w:hAnsi="Arial"/>
          <w:sz w:val="14"/>
          <w:szCs w:val="14"/>
          <w:color w:val="auto"/>
        </w:rPr>
        <w:t>million.</w:t>
      </w:r>
    </w:p>
    <w:p>
      <w:pPr>
        <w:spacing w:after="0" w:line="1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do not anticipate declaring or paying any cash dividends to holders of our Class A shares in the foreseeable future.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selected historical financial information of New Fortress Energy Holdings, our predecessor, for the periods and as of the dates indicated. The selected historical financial data as of and for the years ended December 31, 2017 and 2016 was derived from the audited historical consolidated financial statements of New Fortress Energy Holdings included elsewhere in this prospectus.</w:t>
      </w:r>
    </w:p>
    <w:p>
      <w:pPr>
        <w:spacing w:after="0" w:line="80" w:lineRule="exact"/>
        <w:rPr>
          <w:sz w:val="20"/>
          <w:szCs w:val="20"/>
          <w:color w:val="auto"/>
        </w:rPr>
      </w:pPr>
    </w:p>
    <w:p>
      <w:pPr>
        <w:jc w:val="both"/>
        <w:ind w:right="140" w:firstLine="360"/>
        <w:spacing w:after="0" w:line="312" w:lineRule="auto"/>
        <w:rPr>
          <w:sz w:val="20"/>
          <w:szCs w:val="20"/>
          <w:color w:val="auto"/>
        </w:rPr>
      </w:pPr>
      <w:r>
        <w:rPr>
          <w:rFonts w:ascii="Arial" w:cs="Arial" w:eastAsia="Arial" w:hAnsi="Arial"/>
          <w:sz w:val="16"/>
          <w:szCs w:val="16"/>
          <w:color w:val="auto"/>
        </w:rPr>
        <w:t>You should read the information set forth below together with “Use of Proceeds,”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Costs of sales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58,753,425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69,350</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66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Certain information contained in this discussion and analysis or set forth elsewhere in this prospectus or accompanying marketing material, including information with respect to our plans, strategy, projections and expected timeline for our business and related financing, includes forward-looking statements that involve risks and uncertainties. Forward-looking statements contained in this prospectus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You should read “Risk Factors” and “Forward-Looking Statements” elsewhere in this prospectus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The following information should be read in conjunction with our consolidated financial statements and accompanying notes included elsewhere in this prospectus, as well as the information presented under “Selected Historical Financial Data.”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Financal Results” for further discussion. Unless otherwise indicated, dollar amounts are presented in thousands.</w:t>
      </w:r>
    </w:p>
    <w:p>
      <w:pPr>
        <w:spacing w:after="0" w:line="8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NFE Financial Holdings LLC and its subsidiaries. When used in a historical context, “Company,” “we,” “our,” “us,” or like terms refer to New Fortress Energy Holdings LLC, a Delaware limited liability company (“New Fortress Energy Holdings”), our predecessor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We are engaged in providing energy and logistical services to end users worldwide seeking to convert their operating assets from diesel or heavy fuel oil (“HFO”) to LNG. The Company currently has liquefaction and regasification operations in the United States and Jamaica. We currently source LNG from a combination of our own liquefaction facility in Miami, Florida and purchases on the open market. We are developing the infrastructure necessary to supply all of our existing and future customers with LNG produced primarily at our own facilities. We expect that control of our vertical supply chain, from liquefaction to delivery of LNG, will help to reduce our exposure to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primarily at our own facilities, including our expanded delivery logistics chain in Northern Pennsylvania (the “Pennsylvania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gas to JPS to fuel the 145MW turbines at the Bogue Power Plant in Montego Bay, Jamaica (the “Bogue Power Plant”). The Montego Bay Terminal commenced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commercial operations on October 30, 2016 and stores approximately two million gallons of LNG in seven storage tanks. The Montego Bay Terminal also consists of an ISO loading facility that can transport LNG to all of our industrial and manufacturing (“small-scale”) sales across the island. The small-scale business provides these users with an alternative fuel to support their business operations and limit reliance on monopolistic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117"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color w:val="auto"/>
        </w:rPr>
        <w:t>Our Miami Facility began operation in April 2016. We believe, based on available data, it is the first privately owned natural gas liquefaction plant in Florida. This facility enables us to produce LNG for our customers and reduces our dependence on other suppliers for LNG. The facility is the first plant to successfully export domestically produced LNG from the lower 48 states to a non-free trade agreement country and it employs one of the largest ISO container fleets in the world. The Miami Facility provides LNG to small-scale customers in south Florida including Florida East Coast Railway via our train loading facility and other customers throughout the Caribbean using ISO containers.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63,489</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55,945</w:t>
            </w:r>
          </w:p>
        </w:tc>
        <w:tc>
          <w:tcPr>
            <w:tcW w:w="100" w:type="dxa"/>
            <w:vAlign w:val="bottom"/>
          </w:tcPr>
          <w:p>
            <w:pPr>
              <w:spacing w:after="0"/>
              <w:rPr>
                <w:sz w:val="20"/>
                <w:szCs w:val="20"/>
                <w:color w:val="auto"/>
              </w:rPr>
            </w:pP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73,799</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Tax provision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1"/>
                <w:szCs w:val="21"/>
                <w:color w:val="auto"/>
              </w:rPr>
            </w:pPr>
          </w:p>
        </w:tc>
      </w:tr>
      <w:tr>
        <w:trPr>
          <w:trHeight w:val="27"/>
        </w:trPr>
        <w:tc>
          <w:tcPr>
            <w:tcW w:w="60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For the year ended December 31, 2017, the Miami Facility available to produce LNG over 95.5% of the time. We have executed three contracts in 2016, three contracts in 2017 and one contract year-to-date in 2018 to provide customers with LNG from our Miami Facility. We continue to build our small-scale pipeline of customers and are in advanced dialogues with various domestic and international customers across the utility, power, industrial and transportation sectors to execute additional long-term purchase contracts.</w:t>
      </w:r>
    </w:p>
    <w:p>
      <w:pPr>
        <w:spacing w:after="0" w:line="80"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During the year ended December 31, 2017, the Montego Bay Terminal was available over 98.5% of the time. We have also generated revenue from our small-scale customers by supplying LNG directly to industrial end-users in Jamaica.</w:t>
      </w:r>
    </w:p>
    <w:p>
      <w:pPr>
        <w:spacing w:after="0" w:line="38"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Operating revenue from LNG and natural gas sales for the year ended December 31, 2017 was $82,104 which increased by $63,489 from $18,615 for the year ended December 31, 2016. The increase in revenue was attributable to twelve months of operations at the Miami Facility and Montego Bay Terminal during the year ended December 31, 2017 whereas the Miami Facility and Montego Bay Terminal were operating for eight and two months, respectively, during the year ended December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year ended December 31, 2017 was $15,158 which increased $12,378 from $2,780 for the year-ended December 31, 2016. The increase is attributable to twelve months of operations at the Montego Bay Terminal during the year ended December 31, 2017 whereas the Montego Bay Terminal operated for two months in 2016.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 facilities. Costs to convert natural gas to LNG, including labor and other direct costs to operate our liquefaction facility are also included in Cost of sales. Cost of sales for the year ended December 31, 2017 was $78,692 which increased $55,945 from $22,747 for the year ended December 31, 2016. The increase in Cost of Sales was attributable to twelve months of operations at the Miami Facility and Montego Bay Terminal for the year ended December 31, 2017, whereas the Miami Facility and Montego Bay Terminal were operating for eight and two months, respectively, for the year ended December 30, 2016.</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Operations and maintenance relates to costs of operating our Miami Facility exclusive of conversion costs reflected in Cost of sales. Operations and maintenance for the year ended December 31, 2017 was $7,456 which increased $2,251 from $5,205 for the year-ended December 31, 2016. The increase is primarily a result of the Miami Facility operating for twelve months in 2017 in comparison to operating for eight months in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year-ended December 31, 2016 primarily as a result of increased development activities and employee travel as well as increased headcount.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Depreciation and amortization for the year ended December 31, 2017 was $2,761 which increased $420 from $2,341 for the year ended December 31, 2016. The increase is primarily a result of twelve months of operations at the Miami Facility and the purchase of additional equipment and vehicles which were placed into service during 2017.</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Interest expense for the year ended December 31, 2017 was $6,456, which increased $1,351 from $5,105 for the year ended December 31, 2016, primarily as a result of interest on the MoBay Loan (as defined below) of $3,611 and $643 and Miami Loan (as defined below)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 in capitalized interest compared to December 31, 2016. The increase in interest expense is partially offset by the reduction of interest expense on the Corporate Loan which was repaid at maturity in June 2016.</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80" w:firstLine="360"/>
        <w:spacing w:after="0" w:line="308"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year-ended December 31, 2016, primarily as a result of an increase in interest income and realized foreign currency gain.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7"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Tax provision (benefit) for the year ended December 31, 2017 was $526, which increased $887 from ($361) for the year ended December 31, 2016 due to a decrease in net taxable losses in foreign jurisdiction when comparing 2017 to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62" w:lineRule="exact"/>
        <w:rPr>
          <w:sz w:val="20"/>
          <w:szCs w:val="20"/>
          <w:color w:val="auto"/>
        </w:rPr>
      </w:pPr>
    </w:p>
    <w:p>
      <w:pPr>
        <w:ind w:left="700" w:hanging="356"/>
        <w:spacing w:after="0" w:line="255"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historical financial results only include our Miami Facility and our Montego Bay Terminal. </w:t>
      </w:r>
      <w:r>
        <w:rPr>
          <w:rFonts w:ascii="Arial" w:cs="Arial" w:eastAsia="Arial" w:hAnsi="Arial"/>
          <w:sz w:val="18"/>
          <w:szCs w:val="18"/>
          <w:color w:val="auto"/>
        </w:rPr>
        <w:t>Our historical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only include our Miami Facility and our Montego Bay Terminal and do not include future revenue resulting from long-term take-or-pay contracts with downstream customers, expected from projects under development, including the Old Harbour Power Plant, the CHP Plant, the San Juan Facility, the La Paz Terminal, the Ireland Terminal and the Pennsylvania Facilities. Some of these development projects are expected to be completed and operational as early as January 2019.</w:t>
      </w:r>
    </w:p>
    <w:p>
      <w:pPr>
        <w:spacing w:after="0" w:line="85" w:lineRule="exact"/>
        <w:rPr>
          <w:rFonts w:ascii="Arial" w:cs="Arial" w:eastAsia="Arial" w:hAnsi="Arial"/>
          <w:sz w:val="18"/>
          <w:szCs w:val="18"/>
          <w:color w:val="auto"/>
        </w:rPr>
      </w:pPr>
    </w:p>
    <w:p>
      <w:pPr>
        <w:ind w:left="720" w:right="60"/>
        <w:spacing w:after="0" w:line="276" w:lineRule="auto"/>
        <w:rPr>
          <w:rFonts w:ascii="Arial" w:cs="Arial" w:eastAsia="Arial" w:hAnsi="Arial"/>
          <w:sz w:val="18"/>
          <w:szCs w:val="18"/>
          <w:color w:val="auto"/>
        </w:rPr>
      </w:pPr>
      <w:r>
        <w:rPr>
          <w:rFonts w:ascii="Arial" w:cs="Arial" w:eastAsia="Arial" w:hAnsi="Arial"/>
          <w:sz w:val="17"/>
          <w:szCs w:val="17"/>
          <w:color w:val="auto"/>
        </w:rPr>
        <w:t>In addition, we currently purchase the majority of our supply of LNG from third parties. For the year ended December 31, 2017, our first full year of commercial operations, we sourced 94.1% of our LNG volumes from third parties. NFE is in the process of developing in-basin liquefaction facilities that will vertically integrate our supply and eliminate the need to source LNG from third parties; this, combined with lower cost production, should significantly impact our results of operations and cash flows from both contracted and expected downstream sales.</w:t>
      </w:r>
    </w:p>
    <w:p>
      <w:pPr>
        <w:spacing w:after="0" w:line="64" w:lineRule="exact"/>
        <w:rPr>
          <w:rFonts w:ascii="Arial" w:cs="Arial" w:eastAsia="Arial" w:hAnsi="Arial"/>
          <w:sz w:val="18"/>
          <w:szCs w:val="18"/>
          <w:color w:val="auto"/>
        </w:rPr>
      </w:pPr>
    </w:p>
    <w:p>
      <w:pPr>
        <w:ind w:left="700" w:right="200" w:hanging="356"/>
        <w:spacing w:after="0" w:line="271"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expect to incur incremental, selling, general and administrative expenses related to our transition to a publicly traded company. </w:t>
      </w:r>
      <w:r>
        <w:rPr>
          <w:rFonts w:ascii="Arial" w:cs="Arial" w:eastAsia="Arial" w:hAnsi="Arial"/>
          <w:sz w:val="17"/>
          <w:szCs w:val="17"/>
          <w:color w:val="auto"/>
        </w:rPr>
        <w:t>Upon completion of this offering, we expect to incur direct, incremental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 a result of being a publicly traded company, including costs associated with the employment of additional personnel, compliance under the Exchange Act, annual and quarterly reports to common shareholders, registrar and transfer agent fees, national stock exchange fees, the costs associated with the initial implementation of our Sarbanes-Oxley Section 404 internal controls and testing, audit fees, incremental director and officer liability insurance costs and director and officer compensation. These direct, incremental general and administrative expenses are not included in our historical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twelve months. We expect to fund our current operations and continued development of additional facilities through a combination of cash on hand, additional debt and the proceeds from this offering. We expect to make significant capital expenditures to build out our Terminals and Liquefaction Facilities. We have assumed total expenditures for all completed and existing projects to be approximately $500,000, with approximately $285,000 having already been spent through September 30, 2018. This estimate represents the complete construction of projects in Jamaica and Miami. We are currently exploring opportunities to expand our business into new markets, including the Caribbean, Mexico and we will require significant additional capital to implement our strategy.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(43,493)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shd w:val="clear" w:color="auto" w:fill="CCEEFF"/>
          </w:tcPr>
          <w:p>
            <w:pPr>
              <w:spacing w:after="0"/>
              <w:rPr>
                <w:sz w:val="22"/>
                <w:szCs w:val="22"/>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277,699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20" w:type="dxa"/>
            <w:vAlign w:val="bottom"/>
          </w:tcPr>
          <w:p>
            <w:pPr>
              <w:spacing w:after="0"/>
              <w:rPr>
                <w:sz w:val="2"/>
                <w:szCs w:val="2"/>
                <w:color w:val="auto"/>
              </w:rPr>
            </w:pPr>
          </w:p>
        </w:tc>
        <w:tc>
          <w:tcPr>
            <w:tcW w:w="5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 ended December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cash flow used in investing activities was $52,396 in 2017, which decreased by $51,644 from $104,040 in 2016. The decrease in cash flow used in investing activities is due to significant cash expenditures incurred in 2016 as the Company completed construction of its Miami Facility and its Montego Bay Terminal. The decrease was offset by construction that began in 2017 on JPC’s Old Harbour Power Plant in Old Harbour, Jamaica (the “Old Harbour Power Plant”) resulting in approximately $28,500 in capital expenditures. The decrease was also partially offset by a restriction of $15,000 as collateral posted for performance under a gas sales agreement with a customer, and $7,000 of collateral posted with LNG suppliers for an upcoming delivery.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Our cash flow provided by financing activities was $11,346 in 2017, which decreased by $266,353 from $277,699 in 2016. The decrease in cash flow provided by financing activities is due to the Company issuing Class A shares in June 2016 in exchange for $300,505. The Company also received additional borrowings under the MoBay Loan of $44,000. The receipt of debt and equity capital in 2016 was offset by the repayment of Corporate Loan of $65,000. In December 2017, the Company undertook an additional capital raise of $70,100 of which $20,100 of cash was received during the year and the remainder in January 2018. This capital contribution was offset by principal payments on the Miami Loan and the MoBay Loan of $5,828.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7"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color w:val="auto"/>
        </w:rPr>
        <w:t>In June 2016, NFE North Holdings Limited (“NFE North”), a wholly owned subsidiary of the Company entered into a syndicated loan agreement (the “MoBay Loan Agreement”) providing for a $44,000 term loan facility (the “MoBay Loan”) in connection with the construction and development of the Montego Bay Terminal and related infrastructure. The maturity date for each loan drawn under the MoBay Loan is the day immediately preceding the seventh anniversary of the drawdown date of such loan.</w:t>
      </w:r>
    </w:p>
    <w:p>
      <w:pPr>
        <w:spacing w:after="0" w:line="8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Outstanding amounts under the MoBay Loan accrue interest at a per annum rate of 8.10%. During the continuance of any uncured event of default by the borrower, interest will instead accrue at a per annum rate of 14.10%, subject to any applicable grace period. The MoBay Loan is required to be repaid in advance of the maturity date in consecutive, equal monthly payments, with the remaining outstanding amount due on the maturity date. The MoBay Loan may be prepaid at any time, upon 30 days’ prior written notice to the agent, subject to a prepayment fee of 2% of any amount being prepaid for prepayments during the one year period from the date of the first loan drawdown of the MoBay Loan, or 1% of any amount being prepaid for prepayments during the period commencing one year from the date of the first loan drawdown of the MoBay Loan and expiring on the fifth anniversary of such date. Prepayments made after the fifth anniversary of the date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first loan drawdown of the MoBay Loan are not subject to any prepayment fee. Prepayment of 100% of the outstanding principal amount of the MoBay Loan, and any accrued and unpaid interest thereon, is required to be made, by notice from the agent acting on the direction of the majority lenders, upon the event of any change of control or a merger (as defined in the MoBay Loan Agreement and does not include an IPO or similar liquidity event) of NFE North that is not consented to by the lenders or any material adverse change (as defined in the MoBay Loan Agreement).</w:t>
      </w:r>
    </w:p>
    <w:p>
      <w:pPr>
        <w:spacing w:after="0" w:line="80"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The borrower’s obligations under the MoBay Loan Agreement are guaranteed by Atlantic Energy Holdings Limited (Barbados), our subsidiary and parent company of NFE North and is secured by the LNG Terminal in Montego Bay, Jamaica. The MoBay Loan Agreement contains customary representations and warranties, positive and negative covenants, including certain financial covenants, and such negative covenants include, among other things, restrictions on security interests and additional indebtedness, restrictions on sales or disposals of assets, and restrictions on capital expenditures.</w:t>
      </w:r>
    </w:p>
    <w:p>
      <w:pPr>
        <w:spacing w:after="0" w:line="6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Under the terms of the MoBay Loan, NFE North is required to maintain a Debt Service Reserve Account (the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w:t>
      </w:r>
    </w:p>
    <w:p>
      <w:pPr>
        <w:spacing w:after="0" w:line="79" w:lineRule="exact"/>
        <w:rPr>
          <w:sz w:val="20"/>
          <w:szCs w:val="20"/>
          <w:color w:val="auto"/>
        </w:rPr>
      </w:pPr>
    </w:p>
    <w:p>
      <w:pPr>
        <w:jc w:val="both"/>
        <w:ind w:right="400" w:firstLine="360"/>
        <w:spacing w:after="0" w:line="264"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Interest expense, inclusive of amortized debt fees for the years ended December 31, 2017 and 2016, totaled $3,611 and $1,990, respectively, of which $0 and $1,347, respectively, was capitalized as a finance lease.</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Financial covenants stipulated by the MoBay Loan Agreement were not effective until December 31, 2017. As of December 31, 2017, NFE North was in compliance with all covenants under this agreement.</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MoBay Loan in full in September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7" w:lineRule="exact"/>
        <w:rPr>
          <w:sz w:val="20"/>
          <w:szCs w:val="20"/>
          <w:color w:val="auto"/>
        </w:rPr>
      </w:pPr>
    </w:p>
    <w:p>
      <w:pPr>
        <w:ind w:right="160" w:firstLine="360"/>
        <w:spacing w:after="0" w:line="289"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the Miami Facility.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w:t>
      </w:r>
    </w:p>
    <w:p>
      <w:pPr>
        <w:spacing w:after="0" w:line="5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where LHFL selected the monthly interest rate option. In addition, with respect to LIBOR based borrowings, LHFL, at its option, may elect to defer up to ten interest periods outstanding at any point in 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3-month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84"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Under the terms of the Miami Loan, LHFL is required to maintain the DSR Account in the amount of $912. Such amount is included as a component of restricted cash on the Company’s consolidated balance sheet (see Note 6 of the Notes to the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Company used the net proceeds of the Term Loan Facility entered into in August 2018 to repay the Miami Loan in full in August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7"/>
          <w:szCs w:val="17"/>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84"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funded at the payoff of the Miami Loan and then the remainder funded in September 2018 at the payoff of the Mobay Loan.</w:t>
      </w:r>
    </w:p>
    <w:p>
      <w:pPr>
        <w:spacing w:after="0" w:line="73"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The Company used the net proceeds of the Term Loan Facility to repay the Miami Loan in full during August 2018. The Company used the net proceeds of the Term Loan Facility to repay the Mobay Loan in September 2018. The remaining proceeds will be used for general corporate purposes, including capital expenditures and future construction projects under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As of December 31, 2017, other than operating leases and certain contractual obligations for the purchase of LNG and natural gas, we had no transactions that met the definition of off-balance sheet arrangements that may have a current or future material effect on our consolidated financial position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Less than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More than</w:t>
            </w:r>
          </w:p>
        </w:tc>
      </w:tr>
      <w:tr>
        <w:trPr>
          <w:trHeight w:val="185"/>
        </w:trPr>
        <w:tc>
          <w:tcPr>
            <w:tcW w:w="4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 to 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100" w:type="dxa"/>
            <w:vAlign w:val="bottom"/>
          </w:tcPr>
          <w:p>
            <w:pPr>
              <w:spacing w:after="0"/>
              <w:rPr>
                <w:sz w:val="16"/>
                <w:szCs w:val="16"/>
                <w:color w:val="auto"/>
              </w:rPr>
            </w:pPr>
          </w:p>
        </w:tc>
      </w:tr>
      <w:tr>
        <w:trPr>
          <w:trHeight w:val="23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55,099</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31,042</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For information on our long-term debt obligations, see “—Liquidity and Capital Resources—Long-Term Debt.” The amounts included in the table above are based on the total debt balance, scheduled maturities and interest rates in effect at December 31, 2017. On May 16, 2018, the Company extended the maturity of the Miami Loan to November 2019; this extension of principal payments and the corresponding interest costs has been reflected in the table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6"/>
          <w:szCs w:val="16"/>
          <w:color w:val="auto"/>
        </w:rPr>
        <w:t>The Company used proceeds from the Term Loan Facility to repay both the Miami Loan and the MoBay Loan in accordance with their respective terms; these repayments have not not been reflected in the table above. The Company has borrowed $240,000 under the Term Loan Facility with a scheduled maturity of August 14, 2019. Principal payments of $600 are due each quarter; the Company will be required to pay $600 in principal payments in 2018 and the remaining principal balance of $239,400 in 2019.</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Based on the interest rate of 6.08% in effect as of the closing of the Term Loan Facility, the Company is committed to pay $5,477 in interest payments in 2018 and $9,034 in interest payments prior to the maturity date in 2019.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Company is party to contractual purchase commitments with terms of 38 months and 60 months, principally take-or-pay contracts, which require the purchase of minimum quantities of natural gas. These commitments are designed to assure sources of supply and are not expected to be in excess of normal requirements.</w:t>
      </w:r>
    </w:p>
    <w:p>
      <w:pPr>
        <w:spacing w:after="0" w:line="73" w:lineRule="exact"/>
        <w:rPr>
          <w:sz w:val="20"/>
          <w:szCs w:val="20"/>
          <w:color w:val="auto"/>
        </w:rPr>
      </w:pPr>
    </w:p>
    <w:p>
      <w:pPr>
        <w:jc w:val="both"/>
        <w:ind w:right="220" w:firstLine="360"/>
        <w:spacing w:after="0" w:line="277" w:lineRule="auto"/>
        <w:rPr>
          <w:sz w:val="20"/>
          <w:szCs w:val="20"/>
          <w:color w:val="auto"/>
        </w:rPr>
      </w:pPr>
      <w:r>
        <w:rPr>
          <w:rFonts w:ascii="Arial" w:cs="Arial" w:eastAsia="Arial" w:hAnsi="Arial"/>
          <w:sz w:val="18"/>
          <w:szCs w:val="18"/>
          <w:color w:val="auto"/>
        </w:rPr>
        <w:t>On December 20, 2016, the Company committed to the purchase of at least 16,800,000 MMBtu or ~756,000 cubic meters of LNG, with half of the commitment delivered in 2017 and half in 2018.</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March 2018, the Company entered into a 15 year agreement with a large production company for gas supply to our first Pennsylvania Facility, which was subsequently amended and restated in September 2018. This agreement provides for 100% of the required supply of feedgas to the facility, inclusive of all support functions of the plant, including transportation and power supply. The terms of the agreement require the Company to obtain all requisite permits and make a final investment decision before the agreement is effective.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five years, and the marine port berth lease had an initial term up to 10 years. Both leases contain renewal options.</w:t>
      </w:r>
    </w:p>
    <w:p>
      <w:pPr>
        <w:spacing w:after="0" w:line="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leases contain variable components based on LNG processed. The Company has also restricted funds of approximately $2,200 as collateral for these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6" w:name="page67"/>
    <w:bookmarkEnd w:id="6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the LNG is transferred to the customer. Title typically transfers either when shipped or delivered to the customers’ storage facilities, depending on the terms of the contract.</w:t>
      </w:r>
    </w:p>
    <w:p>
      <w:pPr>
        <w:spacing w:after="0" w:line="62"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w:t>
      </w:r>
    </w:p>
    <w:p>
      <w:pPr>
        <w:spacing w:after="0" w:line="85"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cost of the leased items plus an expected profit margin.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17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6"/>
          <w:szCs w:val="16"/>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7" w:firstLine="360"/>
        <w:spacing w:after="0" w:line="291"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ind w:left="7" w:right="140"/>
        <w:spacing w:after="0" w:line="254"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intend to take advantage of the exemptions discussed above. Accordingly, the information contained herein may be different than the information you receive from other public companies.</w:t>
      </w:r>
    </w:p>
    <w:p>
      <w:pPr>
        <w:spacing w:after="0" w:line="82" w:lineRule="exact"/>
        <w:rPr>
          <w:sz w:val="20"/>
          <w:szCs w:val="20"/>
          <w:color w:val="auto"/>
        </w:rPr>
      </w:pPr>
    </w:p>
    <w:p>
      <w:pPr>
        <w:ind w:left="7" w:right="140" w:firstLine="360"/>
        <w:spacing w:after="0" w:line="291"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EGC, we intend to rely on certain of these exemptions, including without limitation,</w:t>
      </w:r>
    </w:p>
    <w:p>
      <w:pPr>
        <w:ind w:left="7" w:hanging="7"/>
        <w:spacing w:after="0" w:line="287" w:lineRule="auto"/>
        <w:tabs>
          <w:tab w:leader="none" w:pos="2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this offering;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Recent Account Standards</w:t>
      </w:r>
    </w:p>
    <w:p>
      <w:pPr>
        <w:spacing w:after="0" w:line="121" w:lineRule="exact"/>
        <w:rPr>
          <w:sz w:val="20"/>
          <w:szCs w:val="20"/>
          <w:color w:val="auto"/>
        </w:rPr>
      </w:pPr>
    </w:p>
    <w:p>
      <w:pPr>
        <w:ind w:left="7" w:right="220" w:firstLine="360"/>
        <w:spacing w:after="0" w:line="277" w:lineRule="auto"/>
        <w:rPr>
          <w:sz w:val="20"/>
          <w:szCs w:val="20"/>
          <w:color w:val="auto"/>
        </w:rPr>
      </w:pPr>
      <w:r>
        <w:rPr>
          <w:rFonts w:ascii="Arial" w:cs="Arial" w:eastAsia="Arial" w:hAnsi="Arial"/>
          <w:sz w:val="18"/>
          <w:szCs w:val="18"/>
          <w:color w:val="auto"/>
        </w:rPr>
        <w:t>For descriptions of recently issued accounting standards, see Note 3 - Adoption of new and revised standards of our Notes to Consolidated Financial Statements.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Debt that we incurred under the Miami Loan and the Term Loan Facility bore interest at variable rates and exposed us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We repaid the Miami Loan with proceeds received from the Term Loan Facility. Interest is calculated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Term Loan Facility based on our selection, from time to time, of one of the index rates available to us plus an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that varies based on certain factors. See “—Liquidity and Capital Resources—Long-Term Debt.” Assuming the full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$240,000 principal amount remains outstanding, the impact on interest expense of a 1% increase or decrease in the interest rate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in place upon closing of the Term Loan Facility would be approximately $2,400 per year. We do not currently have or intend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into any derivative arrangements to protect against fluctuations in interest rates applicable to our outstanding indebtedness.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LNG industry. We aim to deliver targeted energy solutions to customers around the world, thereby reducing their energy costs and diversifying their energy resources, while also reducing pollution and generating compelling margins.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two liquefiers in the Marcellus area of Pennsylvania, each of which is expected to have the capacity to produce approximately 3 to 4 million gallons of LNG (which is the equivalent of 250,000 to 350,000 MMBtu) per day, and intend to develop five or more additional liquefiers over the next five years.</w:t>
      </w:r>
    </w:p>
    <w:p>
      <w:pPr>
        <w:spacing w:after="0" w:line="80"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 We expect to own or control the logistics assets necessary to deliver LNG to our customers through our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Tanker trucks will transport LNG from our liquefiers to a port on the Delaware river for Marcellus sourced LNG or the Gulf of Mexico for Mid-Continent sourced LNG, at which point LNG will be transloaded directly to large marine vessels.</w:t>
      </w:r>
    </w:p>
    <w:p>
      <w:pPr>
        <w:spacing w:after="0" w:line="3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FSUs and FSRUs, and smaller LNGCs. These assets transport LNG</w:t>
      </w:r>
      <w:r>
        <w:rPr>
          <w:rFonts w:ascii="Arial" w:cs="Arial" w:eastAsia="Arial" w:hAnsi="Arial"/>
          <w:sz w:val="18"/>
          <w:szCs w:val="18"/>
          <w:i w:val="1"/>
          <w:iCs w:val="1"/>
          <w:color w:val="auto"/>
        </w:rPr>
        <w:t xml:space="preserve"> </w:t>
      </w:r>
      <w:r>
        <w:rPr>
          <w:rFonts w:ascii="Arial" w:cs="Arial" w:eastAsia="Arial" w:hAnsi="Arial"/>
          <w:sz w:val="18"/>
          <w:szCs w:val="18"/>
          <w:color w:val="auto"/>
        </w:rPr>
        <w:t>from ports to our downstream terminals for ultimate delivery to our customers. There is approximately a five day sail time from port to our downstream terminals in the Caribbean.</w:t>
      </w:r>
    </w:p>
    <w:p>
      <w:pPr>
        <w:spacing w:after="0" w:line="73"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i w:val="1"/>
          <w:iCs w:val="1"/>
          <w:color w:val="auto"/>
        </w:rPr>
        <w:t xml:space="preserve">Terminals </w:t>
      </w:r>
      <w:r>
        <w:rPr>
          <w:rFonts w:ascii="Arial" w:cs="Arial" w:eastAsia="Arial" w:hAnsi="Arial"/>
          <w:sz w:val="16"/>
          <w:szCs w:val="16"/>
          <w:color w:val="auto"/>
        </w:rPr>
        <w:t>– Through our network of current and planned downstream terminals, we will be positioned to deliver gas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to our customers seeking either to transition from environmentally dirtier distillate fuels such as ADO and HFO or to purchase natural gas to meet their current fuel needs. Our goal is to build 10 - 20 downstream terminals over the next five years.</w:t>
      </w:r>
    </w:p>
    <w:p>
      <w:pPr>
        <w:spacing w:after="0" w:line="39"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We believe this compelling business model will provide opportunities to generate average revenues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NFE’s Global Market Landscape</w:t>
      </w:r>
    </w:p>
    <w:p>
      <w:pPr>
        <w:spacing w:after="0" w:line="121"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and an additional 347 mtpa of liquefaction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9" w:name="page70"/>
    <w:bookmarkEnd w:id="6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80" w:lineRule="exact"/>
        <w:rPr>
          <w:sz w:val="20"/>
          <w:szCs w:val="20"/>
          <w:color w:val="auto"/>
        </w:rPr>
      </w:pPr>
    </w:p>
    <w:p>
      <w:pPr>
        <w:ind w:left="7" w:right="40" w:firstLine="360"/>
        <w:spacing w:after="0" w:line="272"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supply estimates are almost half that of demand expectations. By 2025, this equates to an addressable LNG market with 450 mtpa (approximately 740 million gallons per day) of demand, which management estimates to represent a global market value of approximately $212 billion per annum. Based on this report, by 2025, we expect the shortfall in supply to be approximately 200 mtpa versus current operating plants and 100 mtpa versus projects under construction. This shortfall is the equivalent of approximately 50 to 100 liquefiers of similar capacity to one of our liquefiers in Pennsylvania.</w:t>
      </w:r>
    </w:p>
    <w:p>
      <w:pPr>
        <w:spacing w:after="0" w:line="70"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5488305" cy="4262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830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EIA World Shale Gas Resource Assessment Reports</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2015 International Energy Agency Report</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IHS Markit</w:t>
      </w:r>
    </w:p>
    <w:p>
      <w:pPr>
        <w:spacing w:after="0" w:line="20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goal is to purchase gas, liquefy it, and transport it to one of our Terminals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$8.00 to $12.00 per MMBtu, depending on the size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Montego Bay Terminal and at our Miami Facility, are currently generating revenue on sales of approximately 400,000 gallons of LNG (33,000 MMBtu) per day. We have contracts, letters of intent or expect to secure contracts in the near term to sell LNG volumes in excess of 8.3 million gallons (685,000 MMBtu) per day, which includes approximately 1.1 million gallons per day that are currently contracted. We are in active discussions with additional customers who may have significant demand for additional LNG, although there can be no assurance that these discussions will result in additional contracts or the terms of such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Terminals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Downstream, we have five terminals operational or under development. Our Terminals will position us to access customers in a number of attractive markets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wp:posOffset>
            </wp:positionV>
            <wp:extent cx="4905375" cy="3370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0537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We currently have two operational terminals and three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and features approximately 7,000 cubic meters of onsite storage. It supplies natural gas to 145MW turbines at the power plant operated by JPS pursuant to a long-term take-or-pay contract for natural gas equivalent to approximately 300,000 gallons of LNG (25,000 MMBtu) per day. The Montego Bay Terminal also supplies several on-island industrial users with natural gas or LNG pursuant to other long-term take-or-pay contracts. We have total aggregate contracted volumes of approximately 378,000 gallons of LNG (32,000 MMBtu) per day at our Montego Bay Terminal with an average contract length of 17.8 years. Our Montego Bay Terminal is currently operating at 36%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7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i w:val="1"/>
          <w:iCs w:val="1"/>
          <w:color w:val="auto"/>
        </w:rPr>
        <w:t xml:space="preserve">Old Harbour, Jamaica – </w:t>
      </w:r>
      <w:r>
        <w:rPr>
          <w:rFonts w:ascii="Arial" w:cs="Arial" w:eastAsia="Arial" w:hAnsi="Arial"/>
          <w:sz w:val="17"/>
          <w:szCs w:val="17"/>
          <w:color w:val="auto"/>
        </w:rPr>
        <w:t>Our Old Harbour Terminal is substantially complete and expected to commence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first quarter 2019. It is capable of processing approximately 6 million gallons of LNG (500,000 MMBtu) per day. The Old Harbour Terminal is expected to supply gas to the Old Harbour Power Plant operated JPC pursuant to a long-term take-or-pay contract for natural gas equivalent to approximately 350,000 gallons of LNG (29,000 MMBtu) per day. We also expect the Old Harbour Terminal to supply gas to a new 94MW power plant that we are constructing, and, subject to agreement on terms, approximately 269,000 gallons of LNG (22,000 MMBtu) per day to the alumina refinery operated by Jamalco, an entity owned by the government of Jamaica with a focus on bauxite mining and alumina production in Jamaica. We have total aggregate contracted volumes of approximately 619,000 gallons of LNG (51,200 MMBtu) per day at our Old Harbour Terminal with an average contract length of 14.4 years.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 xml:space="preserve">San Juan, Puerto Rico </w:t>
      </w:r>
      <w:r>
        <w:rPr>
          <w:rFonts w:ascii="Arial" w:cs="Arial" w:eastAsia="Arial" w:hAnsi="Arial"/>
          <w:sz w:val="17"/>
          <w:szCs w:val="17"/>
          <w:color w:val="auto"/>
        </w:rPr>
        <w:t>– Our San Juan Facility is currently under development and is expected to commence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second quarter 2019. It is designed as a landed multi-fuel handling facility located in the Port of San Juan, Puerto Rico. The San Juan Facility is being constructed with multiple truck loading bays to provide LNG to on-island industrial users. In addition, we have submitted a proposal to PREPA to convert and supply natural gas to Units 5 and 6 of the San Juan Combined Cycle Power Plant – which have a capacity of 440MW. The power plant is currently running on diesel, and we plan to convert the power plant to run on natural gas and provide approximately 25 TBtu of natural gas per year, which would equal approximately 850,000 gallons of LNG (70,000 MMBtu) per day. We expect the conversion to natural gas under our proposal would allow PREPA to realize significant, recurring annual cost savings of approximately $250 million (based on current diesel pricing and information provided in PREPA’s request for proposals) after one time conversion costs while also using a more sustainable, environmentally friendly form of energy.</w:t>
      </w:r>
    </w:p>
    <w:p>
      <w:pPr>
        <w:spacing w:after="0" w:line="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La Paz, Baja California Sur, Mexico </w:t>
      </w:r>
      <w:r>
        <w:rPr>
          <w:rFonts w:ascii="Arial" w:cs="Arial" w:eastAsia="Arial" w:hAnsi="Arial"/>
          <w:sz w:val="18"/>
          <w:szCs w:val="18"/>
          <w:color w:val="auto"/>
        </w:rPr>
        <w:t>– Our La Paz Terminal is currently under development and is expected to commence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operations in October 2019. It is being designed as an LNG receiving terminal located at the Port of Pichilingue in Baja California Sur, Mexico, where LNG will be delivered via a small LNGC vessel or barge. Initially, the La Paz Terminal is expected to supply approximately 225,000 gallons of LNG (18,000 MMBtu) per day under an intercompany GSA for a 94MW gas-fired mobile power unit that we plan to develop,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own, and operate. Similarly, we expect that we will use the La Paz Terminal infrastructure, which includes truckloading bays, to facilitate the conversion of, and supply approximately 180,000 gallons of LNG (15,000 MMBtu) per day to the 80MW Los Cabos power plant, as well as regional industrial users such as ferries and hotels.</w:t>
      </w:r>
    </w:p>
    <w:p>
      <w:pPr>
        <w:spacing w:after="0" w:line="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 xml:space="preserve">Shannon, Ireland </w:t>
      </w:r>
      <w:r>
        <w:rPr>
          <w:rFonts w:ascii="Arial" w:cs="Arial" w:eastAsia="Arial" w:hAnsi="Arial"/>
          <w:sz w:val="17"/>
          <w:szCs w:val="17"/>
          <w:color w:val="auto"/>
        </w:rPr>
        <w:t>– Our Ireland Terminal is currently under development and is expected to commence commercial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fourth quarter 2020. We intend this terminal to include a floating storage facility with onshore regasification equipment and pipeline connection into the distribution system of Gas Networks Ireland, Ireland’s national gas network. We plan to deliver LNG to the terminal via a traditional size LNGC and offloaded into the FSU moored at the dock.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are currently developing our Pennsylvania Facilities and plan to develop five or more additional liquefaction facilities over the next five years.</w:t>
      </w:r>
    </w:p>
    <w:p>
      <w:pPr>
        <w:spacing w:after="0" w:line="7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We believe that, by building smaller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achieve these cost targets, this is considerably more cost-effective than the industry’s published liquefaction costs, which range from $511 to $867 per ton excluding ancillary infrastructure. Each of our Liquefaction Facilities is anticipated to produce between 3-4 million gallons of LNG (250,000 – 330,000 MMBtu) per day, or between 1.75 – 2.5 mtpa of LNG.</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95.5% dispatchable during 2017. The facility also has three LNG storage tanks, with total capacity of approximately 270,000 gallons (22,000 MMBtu). The plant also includes two separate LNG transfer areas capable of serving both truck and rail. We are currently delivering approximately 31,000 gallons of LNG per day from the Miami Facility pursuant to long-term, take-or-pay contracts.</w:t>
      </w:r>
    </w:p>
    <w:p>
      <w:pPr>
        <w:spacing w:after="0" w:line="81"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We are in advanced stages of the design, development and permitting for our first Pennsylvania Facility, and we expect it to be substantially complete in the fourth quarter of 2020. We expect our first Pennsylvania Facility to have the capacity to liquefy 3-4 million gallons of LNG (250,000 – 330,000 MMBtu) per day. We have already entered into a 15-year contract to acquire all of the feedgas needed to operate our first Pennsylvania Facility at capacity, with pricing that is generally fixed at $2.50 per MMBtu. Once LNG is produced at this facility, a dedicated tanker truck fleet will transport the LNG to a nearby port. We are currently developing plans with a suitable port approximately 195 miles away along the Delaware river, and we expect to finalize a long-term contract prior to the completion of this offering. Under these plans, we expect that LNG will be transferred directly from tanker truck to marine vessel through multiple transloading bays, allowing for simultaneous and continuous operations. From there, our dedicated fleet of marine vessels will be able to transport the LNG to our Terminals and then on to our customers. We are also in the process of developing our second Pennsylvania Facility and expect to begin commercial operations in the third quarter of 2021.</w:t>
      </w:r>
    </w:p>
    <w:p>
      <w:pPr>
        <w:spacing w:after="0" w:line="6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Pending completion and commissioning of our liquefiers in development, we expect to continue to supply our downstream customers with LNG and natural gas sourced from a combination of our Miami Facility, which operated at 28% capacity during the first half of 2018, and purchases of LNG on the open market. We are drawing on our experience from the construction and operation of our Miami Facility to optimize the development of our Pennsylvania Facilities.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Customers</w:t>
      </w:r>
    </w:p>
    <w:p>
      <w:pPr>
        <w:spacing w:after="0" w:line="121"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39"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achieve our targeted pricing. In general, the better the credit and larger the size of the user, the lower the contract price of our fuel.</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To date, we have contracts, letters of intent or expect to secure contracts in the near term to sell LNG volumes in excess of 8.3 million gallons (685,000 MMBtu) per day, which includes approximately 1.1 million gallons per day currently contracted with a weight average remaining term of 14.3 years. Our operations, which are currently conducted primarily at our Montego Bay Terminal and at our Miami Facility, are currently generating revenue from sales of approximately 400,000 gallons (33,000 MMBtu) per day. Our ambition is to continue to aggressively grow this customer portfolio. We are in active discussions with additional customers who may have significant demand for additional LNG.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Jamaica Customers</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several contracts with government affiliated entities in Jamaica, including contracts with JPS, JPC and Jamalco (the “Jamaica GSAs”) as further described below. The Jamaica GSAs represent 50% of Jamaica’s installed capacity and sales of approximately 919,000 gallons (76,000 MMBtu) of LNG per day. The Jamaica GSAs have remaining terms of at least 20 years, with mutual options to extend, subject to certain conditions.</w:t>
      </w:r>
    </w:p>
    <w:p>
      <w:pPr>
        <w:spacing w:after="0" w:line="79"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refer to the structure of our contracts as “take-or-pay” because they include a firm obligation to take a fixed quantity of product at a stated price and provisions that ensure we will be made whole in the case of our customer’s failure to accept all or a part of the contracted volumes or for termination by our customer. Pricing under these contracts generally consists of a fixed fee plus a variable rate, and, in some cases, an additional index price or volume discount. Our contracts also provide for annual inflation-based adjustments and reimbursement for government charges incurred. The aggregate minimum quantities we are required to deliver, and our counterparties are required to purchase, under the Jamaica GSAs initially total approximately 39,973 MMBtu per day.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Bogue Power Plant</w:t>
      </w:r>
    </w:p>
    <w:p>
      <w:pPr>
        <w:spacing w:after="0" w:line="117"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We have executed a 22-year agreement to supply JPS’s Bogue Power Plant in Montego Bay, Jamaica with natural gas. The Bogue Power Plant is an approximately 211MW capacity power plant converted to run on natural gas as well as ADO. We believe the Bogue Power Plant is a compelling example of the power of our business strategy.</w:t>
      </w:r>
    </w:p>
    <w:p>
      <w:pPr>
        <w:spacing w:after="0" w:line="57"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The plant was originally constructed to burn natural gas, but, because the plant could not procure sufficient amounts of natural gas, the plant has burned ADO in recent years. We provide a comprehensive solution for JPS to use natural gas to power turbines with 145MW power generation capacity at the Bogue Power Plant at prices that are economically attractive compared to ADO in exchange for JPS entering into a long-term, take-or-pay supply agreement with us. Under the terms of the agreement, we ship LNG to Jamaica, regasify it and ultimately deliver natural gas to the Bogue Power Plant. We constructed the Montego Bay Terminal that commenced commercial operations on October 30, 2016. The Montego Bay Terminal has the capacity to store approximately two million gallons of LNG in seven storage tanks. The facility has regasification equipment and a pipeline capable of transporting sufficient natural gas to support approximately up to 250MW of generation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Harbour Power Plant</w:t>
      </w:r>
    </w:p>
    <w:p>
      <w:pPr>
        <w:spacing w:after="0" w:line="117"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190MW capacity dual fuel plant owned by JPC.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Similar to our agreement with JPS regarding the Bogue Power Plant, we provide a comprehensive solution to JPC to use natural gas at the Old Harbour Power Plant at prices that are economically attractive relative to distillate fuel alternatives in exchange for JPC entering into a long-term, take-or-pay supply agreement with us. Under the terms of the agreement, we will ship LNG to Jamaica, regasify it and ultimately deliver natural gas to the Old Harbour Power Plant with ADO available as a back-up supply when natural gas is not available. Development has begun at the Old Harbour Terminal and is expected to be completed in the second half of 2018. Upon completion, the Old Harbour Terminal is expected to have the capacity to store up to 33 million gallons of LNG in a floating marine storage unit. The facility will have regasification equipment and a pipeline capable of transporting natural gas to the Old Harbour Power Plant to support approximately 400MW of generation capacity. We have secured binding EPC contracts for substantially all of the projected budget for the Old Harbour Terminal, and construction began in August 2017. We have also secured back-up ADO fuel supply under a contract with Petrojam.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Jamalco Combined Heat &amp; Power Plant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also executed a suite of agreements, including a 20 year SSA to supply Jamalco with steam for use in its alumina refinery operations and a 20 year PPA to supply electricity to JPS, to support our development of the CHP Plant. The CHP Plant will be a 94MW capacity power plant and will be fueled by natural gas with the ability to run on diesel as a backup fuel source. We will ship LNG to Jamaica, regasify it at the Old Harbour Terminal and deliver it to the CHP Plant, which will be owned by our wholly owned subsidiary NFE South Power. We have obtained a power generation license for the CHP Plant and we expect construction to be completed by the first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Jamaica Industrial End-User Sales</w:t>
      </w:r>
    </w:p>
    <w:p>
      <w:pPr>
        <w:spacing w:after="0" w:line="117"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We have entered into multiple long-term contracts to sell LNG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w:t>
      </w:r>
    </w:p>
    <w:p>
      <w:pPr>
        <w:spacing w:after="0" w:line="57" w:lineRule="exact"/>
        <w:rPr>
          <w:sz w:val="20"/>
          <w:szCs w:val="20"/>
          <w:color w:val="auto"/>
        </w:rPr>
      </w:pPr>
    </w:p>
    <w:p>
      <w:pPr>
        <w:ind w:right="400" w:firstLine="360"/>
        <w:spacing w:after="0" w:line="255" w:lineRule="auto"/>
        <w:rPr>
          <w:sz w:val="20"/>
          <w:szCs w:val="20"/>
          <w:color w:val="auto"/>
        </w:rPr>
      </w:pPr>
      <w:r>
        <w:rPr>
          <w:rFonts w:ascii="Arial" w:cs="Arial" w:eastAsia="Arial" w:hAnsi="Arial"/>
          <w:sz w:val="18"/>
          <w:szCs w:val="18"/>
          <w:color w:val="auto"/>
        </w:rPr>
        <w:t>For example, we have entered into a 10-year agreement to supply Red Stripe with LNG to power its brewery operations through Red Stripe’s own CHP facility located on-site at its brewery in Kingston, Jamaica. We constructed the necessary LNG storage and regasification infrastructure “behind the fence” at Red Stripe’s factory in less than three months, and natural-gas powered operations commenced on October 6, 2017. Red Stripe estimates that its conversion to natural gas will save it at least $336,000 per year (not including conversion costs). The agreement with Red Stripe is the first of what we aim to be many such arrangements to supply LNG directly to industrial end-users in Jamaica and elsewhere utilizing our end-to-end, fully integrated LNG supply network.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September 2018, we amended and restated our GSA with an affiliate of Chesapeake Energy Corporation (“Chesapeake”) to provide for the delivery of natural gas to our Pennsylvania Facilities. Deliveries will commence once the first Pennsylvania Facility has completed commissioning and testing and is capable of receiving the minimum volume of gas. The initial contract term is 15 years and we will purchase gas from Chesapeake at a price equal to a fixed fee plus a variable rate, subject to a minimum volume.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79"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Proven Ability to Execute. </w:t>
      </w:r>
      <w:r>
        <w:rPr>
          <w:rFonts w:ascii="Arial" w:cs="Arial" w:eastAsia="Arial" w:hAnsi="Arial"/>
          <w:sz w:val="18"/>
          <w:szCs w:val="18"/>
          <w:color w:val="auto"/>
        </w:rPr>
        <w:t>We are confident in our ability to execute and scale our business model to support our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expect to commission our Old Harbour Terminal starting in December 2018. Construction is complete, and we expect our chartered FSRU to arrive in the fourth quarter 2018. When operational, the Old Harbour Terminal will service a new 190MW power plant operated by JPC and a new 94MW plant that we have begun constructing at 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75"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i w:val="1"/>
          <w:iCs w:val="1"/>
          <w:color w:val="auto"/>
        </w:rPr>
        <w:t>Growth Opportunity — Africa</w:t>
      </w:r>
      <w:r>
        <w:rPr>
          <w:rFonts w:ascii="Arial" w:cs="Arial" w:eastAsia="Arial" w:hAnsi="Arial"/>
          <w:sz w:val="17"/>
          <w:szCs w:val="17"/>
          <w:color w:val="auto"/>
        </w:rPr>
        <w:t>. In Sub-Saharan Africa, 590 million people, or 57% of the population, lack access to electricity.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power generation on the continent is anticipated to more than double to 253GW by 2030. Natural gas consumption is expected to grow by nearly 150% over this timeframe, outpacing nearly every other fuel. We recognize the immense opportunity that Africa affords and are opening our first office in Ghana in late 2018. We have engaged with multiple local counterparties, and we anticipate deploying meaningful capital in African projects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62" w:lineRule="exact"/>
        <w:rPr>
          <w:sz w:val="20"/>
          <w:szCs w:val="20"/>
          <w:color w:val="auto"/>
        </w:rPr>
      </w:pPr>
    </w:p>
    <w:p>
      <w:pPr>
        <w:ind w:left="700" w:right="80" w:hanging="356"/>
        <w:spacing w:after="0" w:line="293" w:lineRule="auto"/>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LNG liquefaction and distribution facilities. </w:t>
      </w:r>
      <w:r>
        <w:rPr>
          <w:rFonts w:ascii="Arial" w:cs="Arial" w:eastAsia="Arial" w:hAnsi="Arial"/>
          <w:sz w:val="16"/>
          <w:szCs w:val="16"/>
          <w:color w:val="auto"/>
        </w:rPr>
        <w:t>We currently procure our LNG either by purchasing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Facilities.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56" w:lineRule="exact"/>
        <w:rPr>
          <w:rFonts w:ascii="Arial" w:cs="Arial" w:eastAsia="Arial" w:hAnsi="Arial"/>
          <w:sz w:val="16"/>
          <w:szCs w:val="16"/>
          <w:color w:val="auto"/>
        </w:rPr>
      </w:pPr>
    </w:p>
    <w:p>
      <w:pPr>
        <w:ind w:left="700" w:right="40" w:hanging="356"/>
        <w:spacing w:after="0" w:line="289" w:lineRule="auto"/>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LNG distribution business. </w:t>
      </w:r>
      <w:r>
        <w:rPr>
          <w:rFonts w:ascii="Arial" w:cs="Arial" w:eastAsia="Arial" w:hAnsi="Arial"/>
          <w:sz w:val="16"/>
          <w:szCs w:val="16"/>
          <w:color w:val="auto"/>
        </w:rPr>
        <w:t>Our sales and marketing team seeks to identify utilities, transportation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industrial end-users who may view natural gas or LNG as a potentially compelling alternative to traditional distillate fuels and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8" w:lineRule="exact"/>
        <w:rPr>
          <w:rFonts w:ascii="Arial" w:cs="Arial" w:eastAsia="Arial" w:hAnsi="Arial"/>
          <w:sz w:val="16"/>
          <w:szCs w:val="16"/>
          <w:color w:val="auto"/>
        </w:rPr>
      </w:pPr>
    </w:p>
    <w:p>
      <w:pPr>
        <w:ind w:left="700" w:hanging="356"/>
        <w:spacing w:after="0" w:line="272" w:lineRule="auto"/>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gas-fired power generation assets. </w:t>
      </w:r>
      <w:r>
        <w:rPr>
          <w:rFonts w:ascii="Arial" w:cs="Arial" w:eastAsia="Arial" w:hAnsi="Arial"/>
          <w:sz w:val="17"/>
          <w:szCs w:val="17"/>
          <w:color w:val="auto"/>
        </w:rPr>
        <w:t>We believe that developing and constructing our own gas-fired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assets is a compelling growth strategy for our company. We are currently developing the CHP Plant in Clarendon, Jamaica,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69" w:lineRule="exact"/>
        <w:rPr>
          <w:rFonts w:ascii="Arial" w:cs="Arial" w:eastAsia="Arial" w:hAnsi="Arial"/>
          <w:sz w:val="17"/>
          <w:szCs w:val="17"/>
          <w:color w:val="auto"/>
        </w:rPr>
      </w:pPr>
    </w:p>
    <w:p>
      <w:pPr>
        <w:ind w:left="700" w:right="20" w:hanging="356"/>
        <w:spacing w:after="0" w:line="288" w:lineRule="auto"/>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build-out our Caribbean infrastructure. </w:t>
      </w:r>
      <w:r>
        <w:rPr>
          <w:rFonts w:ascii="Arial" w:cs="Arial" w:eastAsia="Arial" w:hAnsi="Arial"/>
          <w:sz w:val="16"/>
          <w:szCs w:val="16"/>
          <w:color w:val="auto"/>
        </w:rPr>
        <w:t>Our take-or-pay GSAs and SSAs with electric utilities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end-users in Jamaica provide us with the opportunity for stable, long-term contracted cash flows. In order to service these contracts efficiently and cost effectively, we have begun to develop the necessary assets and infrastructure in Jamaica.</w:t>
      </w:r>
    </w:p>
    <w:p>
      <w:pPr>
        <w:ind w:left="700"/>
        <w:spacing w:after="0"/>
        <w:rPr>
          <w:rFonts w:ascii="Arial" w:cs="Arial" w:eastAsia="Arial" w:hAnsi="Arial"/>
          <w:sz w:val="16"/>
          <w:szCs w:val="16"/>
          <w:color w:val="auto"/>
        </w:rPr>
      </w:pPr>
      <w:r>
        <w:rPr>
          <w:rFonts w:ascii="Arial" w:cs="Arial" w:eastAsia="Arial" w:hAnsi="Arial"/>
          <w:sz w:val="18"/>
          <w:szCs w:val="18"/>
          <w:color w:val="auto"/>
        </w:rPr>
        <w:t>Following this offering, we intend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79" w:lineRule="auto"/>
        <w:rPr>
          <w:sz w:val="20"/>
          <w:szCs w:val="20"/>
          <w:color w:val="auto"/>
        </w:rPr>
      </w:pPr>
      <w:r>
        <w:rPr>
          <w:rFonts w:ascii="Arial" w:cs="Arial" w:eastAsia="Arial" w:hAnsi="Arial"/>
          <w:sz w:val="17"/>
          <w:szCs w:val="17"/>
          <w:color w:val="auto"/>
        </w:rPr>
        <w:t>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63"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financial strength and flexibility. </w:t>
      </w:r>
      <w:r>
        <w:rPr>
          <w:rFonts w:ascii="Arial" w:cs="Arial" w:eastAsia="Arial" w:hAnsi="Arial"/>
          <w:sz w:val="16"/>
          <w:szCs w:val="16"/>
          <w:color w:val="auto"/>
        </w:rPr>
        <w:t>We will seek to maintain a conservative balance sheet, which will allow us to</w:t>
      </w:r>
    </w:p>
    <w:p>
      <w:pPr>
        <w:sectPr>
          <w:pgSz w:w="11900" w:h="16838" w:orient="portrait"/>
          <w:cols w:equalWidth="0" w:num="1">
            <w:col w:w="9540"/>
          </w:cols>
          <w:pgMar w:left="1180" w:top="279" w:right="1179" w:bottom="1440" w:gutter="0" w:footer="0" w:header="0"/>
        </w:sectPr>
      </w:pPr>
    </w:p>
    <w:p>
      <w:pPr>
        <w:spacing w:after="0" w:line="46" w:lineRule="exact"/>
        <w:rPr>
          <w:sz w:val="20"/>
          <w:szCs w:val="20"/>
          <w:color w:val="auto"/>
        </w:rPr>
      </w:pPr>
    </w:p>
    <w:p>
      <w:pPr>
        <w:ind w:left="700" w:right="40"/>
        <w:spacing w:after="0" w:line="265" w:lineRule="auto"/>
        <w:rPr>
          <w:sz w:val="20"/>
          <w:szCs w:val="20"/>
          <w:color w:val="auto"/>
        </w:rPr>
      </w:pPr>
      <w:r>
        <w:rPr>
          <w:rFonts w:ascii="Arial" w:cs="Arial" w:eastAsia="Arial" w:hAnsi="Arial"/>
          <w:sz w:val="17"/>
          <w:szCs w:val="17"/>
          <w:color w:val="auto"/>
        </w:rPr>
        <w:t>better react to our customers’ changing needs. As of the closing of this offering, we expect to have $ in total assets (including $ in cash and cash equivalents) and $ of total indebtedness outstanding. We believe this low leverage</w:t>
      </w:r>
    </w:p>
    <w:p>
      <w:pPr>
        <w:sectPr>
          <w:pgSz w:w="11900" w:h="16838" w:orient="portrait"/>
          <w:cols w:equalWidth="0" w:num="1">
            <w:col w:w="9540"/>
          </w:cols>
          <w:pgMar w:left="1180" w:top="279" w:right="1179" w:bottom="1440" w:gutter="0" w:footer="0" w:header="0"/>
          <w:type w:val="continuous"/>
        </w:sectPr>
      </w:pPr>
    </w:p>
    <w:p>
      <w:pPr>
        <w:ind w:left="700" w:right="320"/>
        <w:spacing w:after="0" w:line="261" w:lineRule="auto"/>
        <w:rPr>
          <w:sz w:val="20"/>
          <w:szCs w:val="20"/>
          <w:color w:val="auto"/>
        </w:rPr>
      </w:pPr>
      <w:r>
        <w:rPr>
          <w:rFonts w:ascii="Arial" w:cs="Arial" w:eastAsia="Arial" w:hAnsi="Arial"/>
          <w:sz w:val="18"/>
          <w:szCs w:val="18"/>
          <w:color w:val="auto"/>
        </w:rPr>
        <w:t>and cash position, along with our cash flows from operations will provide us with sufficient liquidity to execute on the business strategies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700" w:right="40" w:hanging="356"/>
        <w:spacing w:after="0" w:line="293"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Comprehensive energy solution creates new customer base. </w:t>
      </w:r>
      <w:r>
        <w:rPr>
          <w:rFonts w:ascii="Arial" w:cs="Arial" w:eastAsia="Arial" w:hAnsi="Arial"/>
          <w:sz w:val="16"/>
          <w:szCs w:val="16"/>
          <w:color w:val="auto"/>
        </w:rPr>
        <w:t>We offer our customers a comprehensive energy 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56" w:lineRule="exact"/>
        <w:rPr>
          <w:rFonts w:ascii="Arial" w:cs="Arial" w:eastAsia="Arial" w:hAnsi="Arial"/>
          <w:sz w:val="16"/>
          <w:szCs w:val="16"/>
          <w:color w:val="auto"/>
        </w:rPr>
      </w:pPr>
    </w:p>
    <w:p>
      <w:pPr>
        <w:ind w:left="700" w:right="100" w:hanging="356"/>
        <w:spacing w:after="0" w:line="255"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ability to execute. </w:t>
      </w:r>
      <w:r>
        <w:rPr>
          <w:rFonts w:ascii="Arial" w:cs="Arial" w:eastAsia="Arial" w:hAnsi="Arial"/>
          <w:sz w:val="18"/>
          <w:szCs w:val="18"/>
          <w:color w:val="auto"/>
        </w:rPr>
        <w:t>The success of our business strategy and its benefit to our customers is demonstrated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proven ability to secure long-term, take-or-pay contracts. Our Montego Bay Terminal and related infrastructure (operational since October 30, 2016) has enabled JPS to use natural gas at the Bogue Power Plant, rather than rely on ADO, at prices that are competitive with ADO. We have also entered into a long-term, take-or-pay contract with JPC to supply the Old Harbour Power Plant with LNG, a 20-year SSA to supply Jamalco with steam for use in its alumina refinery operations, and a 20-year PPA to supply electricity to the Jamaica power grid from our CHP Plant in Clarendon, Jamaica.</w:t>
      </w:r>
    </w:p>
    <w:p>
      <w:pPr>
        <w:spacing w:after="0" w:line="81" w:lineRule="exact"/>
        <w:rPr>
          <w:rFonts w:ascii="Arial" w:cs="Arial" w:eastAsia="Arial" w:hAnsi="Arial"/>
          <w:sz w:val="18"/>
          <w:szCs w:val="18"/>
          <w:color w:val="auto"/>
        </w:rPr>
      </w:pPr>
    </w:p>
    <w:p>
      <w:pPr>
        <w:ind w:left="700" w:hanging="356"/>
        <w:spacing w:after="0" w:line="271" w:lineRule="auto"/>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Economically and environmentally attractive product. </w:t>
      </w:r>
      <w:r>
        <w:rPr>
          <w:rFonts w:ascii="Arial" w:cs="Arial" w:eastAsia="Arial" w:hAnsi="Arial"/>
          <w:sz w:val="17"/>
          <w:szCs w:val="17"/>
          <w:color w:val="auto"/>
        </w:rPr>
        <w:t>We believe natural gas is a cheaper, cleaner and thus superior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70" w:lineRule="exact"/>
        <w:rPr>
          <w:rFonts w:ascii="Arial" w:cs="Arial" w:eastAsia="Arial" w:hAnsi="Arial"/>
          <w:sz w:val="17"/>
          <w:szCs w:val="17"/>
          <w:color w:val="auto"/>
        </w:rPr>
      </w:pPr>
    </w:p>
    <w:p>
      <w:pPr>
        <w:ind w:left="700" w:right="40" w:hanging="356"/>
        <w:spacing w:after="0" w:line="29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infrastructure can drive margin expansion. </w:t>
      </w:r>
      <w:r>
        <w:rPr>
          <w:rFonts w:ascii="Arial" w:cs="Arial" w:eastAsia="Arial" w:hAnsi="Arial"/>
          <w:sz w:val="16"/>
          <w:szCs w:val="16"/>
          <w:color w:val="auto"/>
        </w:rPr>
        <w:t>Our Jamaica Terminals, CHP Plant and other infrastructure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Facilities,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marketers who sell their own natural gas production or the production of an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63"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39"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There are no other liquefaction terminals currently in operation in south Florida. However, a number of plants are currently under development in the region that could compete with our Miami Facility.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7" w:lineRule="exact"/>
        <w:rPr>
          <w:sz w:val="20"/>
          <w:szCs w:val="20"/>
          <w:color w:val="auto"/>
        </w:rPr>
      </w:pPr>
    </w:p>
    <w:p>
      <w:pPr>
        <w:ind w:left="700" w:right="180" w:hanging="356"/>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DOE Export</w:t>
      </w:r>
    </w:p>
    <w:p>
      <w:pPr>
        <w:spacing w:after="0" w:line="117"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The DOE issued orders authorizing us, through our subsidiary, American LNG Marketing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Facilities) to FTA and/or non-FTA countries will require us to obtain new authorizations from the DOE.</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currently-unregulated gathering lines in rural areas, expand the integrity management requirements beyond “High Consequence Areas” to apply to gas pipelines in newly-defined “Moderate Consequence Areas,” and require pressure testing of many formerly-grandfathered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64"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70"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Federal Aviation Administration determinations or approvals relating to certain ground construction activities.</w:t>
      </w:r>
    </w:p>
    <w:p>
      <w:pPr>
        <w:spacing w:after="0" w:line="6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7" w:lineRule="exact"/>
        <w:rPr>
          <w:sz w:val="20"/>
          <w:szCs w:val="20"/>
          <w:color w:val="auto"/>
        </w:rPr>
      </w:pPr>
    </w:p>
    <w:p>
      <w:pPr>
        <w:ind w:right="220" w:firstLine="360"/>
        <w:spacing w:after="0" w:line="269"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which could delay or protract the process for obtaining and implementing this permission. While we believe that the extension was properly issued, it is not clear how Ireland’s High Court will rule on such a challenge, or whether the ruling of the High Court will be subject to any further appeal.</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Mexican law comprehensively regulates all aspects of the receipt, delivery, storage, re-vaporization of LNG as well as the generation and transmission of electricity. Various federal agencies in Mexico regulate these activities, including the Environment, Natural Resources &amp; Fisheries Ministry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IMO is the United Nations agency that provides international regulations governing shipping and international maritime trade. The requirements contained in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8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Vessels that transport gas, including LNG carriers,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6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8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6"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7"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The Dodd-Frank Act provides for federal regulation of the OTC derivatives market and entities, such as us, that participate in that market. The regulatory regime created by the Dodd-Frank Act is designed primarily to (1) regulate certain participants in the swaps markets, including entities falling within the categories of “Swap Dealer” and “Major Swap Participant,” (2) require clearing and exchange trading of certain classes of swaps as designated by the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futures products as it finds necessary and appropriate, and (6) otherwise enhance the rulemaking and enforcement authority of the CFTC and the SEC regarding the derivatives markets. As required by the Dodd-Frank Act, the CFTC, the SEC and other regulators have been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8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8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0"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EMIR is a European Union (“EU”) regulation designed to increase the stability of the OTC derivative markets throughout the EU member states. EMIR regulates OTC derivatives, central counterparties and trade 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6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w:t>
      </w:r>
    </w:p>
    <w:p>
      <w:pPr>
        <w:spacing w:after="0" w:line="117"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Market participants and third parties acting on their behalf are required to report transactions in wholesale energy contracts admitted to trading at organized market places and fundamental data from the European 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storage system operators and LNG system operators had to be provided to ACER as of April 7, 2016.</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8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European Union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 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3" w:name="page84"/>
    <w:bookmarkEnd w:id="8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0"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 Abuse Regulation (“MAR”)</w:t>
      </w:r>
    </w:p>
    <w:p>
      <w:pPr>
        <w:spacing w:after="0" w:line="117" w:lineRule="exact"/>
        <w:rPr>
          <w:sz w:val="20"/>
          <w:szCs w:val="20"/>
          <w:color w:val="auto"/>
        </w:rPr>
      </w:pPr>
    </w:p>
    <w:p>
      <w:pPr>
        <w:ind w:left="7" w:right="120" w:firstLine="360"/>
        <w:spacing w:after="0" w:line="283"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7" w:lineRule="exact"/>
        <w:rPr>
          <w:sz w:val="20"/>
          <w:szCs w:val="20"/>
          <w:color w:val="auto"/>
        </w:rPr>
      </w:pPr>
    </w:p>
    <w:p>
      <w:pPr>
        <w:ind w:left="7" w:right="420" w:hanging="7"/>
        <w:spacing w:after="0" w:line="277" w:lineRule="auto"/>
        <w:tabs>
          <w:tab w:leader="none" w:pos="2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ind w:left="7" w:right="140" w:firstLine="360"/>
        <w:spacing w:after="0" w:line="25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79" w:lineRule="exact"/>
        <w:rPr>
          <w:sz w:val="20"/>
          <w:szCs w:val="20"/>
          <w:color w:val="auto"/>
        </w:rPr>
      </w:pPr>
    </w:p>
    <w:p>
      <w:pPr>
        <w:ind w:left="367"/>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46" w:lineRule="exact"/>
        <w:rPr>
          <w:sz w:val="20"/>
          <w:szCs w:val="20"/>
          <w:color w:val="auto"/>
        </w:rPr>
      </w:pPr>
    </w:p>
    <w:p>
      <w:pPr>
        <w:jc w:val="both"/>
        <w:ind w:left="7" w:right="100"/>
        <w:spacing w:after="0" w:line="255"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7" w:right="200" w:firstLine="360"/>
        <w:spacing w:after="0" w:line="277" w:lineRule="auto"/>
        <w:rPr>
          <w:sz w:val="20"/>
          <w:szCs w:val="20"/>
          <w:color w:val="auto"/>
        </w:rPr>
      </w:pPr>
      <w:r>
        <w:rPr>
          <w:rFonts w:ascii="Arial" w:cs="Arial" w:eastAsia="Arial" w:hAnsi="Arial"/>
          <w:sz w:val="18"/>
          <w:szCs w:val="18"/>
          <w:color w:val="auto"/>
        </w:rPr>
        <w:t>Because of our limited operating history and stage of development, a limited number of customers currently represent a large percentage of our income. During 2017, JPS accounted for more than 10% of our revenues.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7" w:right="460" w:firstLine="360"/>
        <w:spacing w:after="0" w:line="279" w:lineRule="auto"/>
        <w:rPr>
          <w:sz w:val="20"/>
          <w:szCs w:val="20"/>
          <w:color w:val="auto"/>
        </w:rPr>
      </w:pPr>
      <w:r>
        <w:rPr>
          <w:rFonts w:ascii="Arial" w:cs="Arial" w:eastAsia="Arial" w:hAnsi="Arial"/>
          <w:sz w:val="17"/>
          <w:szCs w:val="17"/>
          <w:color w:val="auto"/>
        </w:rPr>
        <w:t>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ind w:left="7" w:right="120" w:firstLine="360"/>
        <w:spacing w:after="0" w:line="276"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 Facility and builders risk insurance at the Montego Bay Terminal. We also maintain pollution liability insurance in the U.S. and other policies in the U.S. and outside of the U.S. customary for our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the ordinary course of business, various legal and regulatory claims and proceedings are pending or threatened against us. While the amounts may be substantial, we are unable to predict with certainty the ultimate outcome of such claims and proceedings. We believe that the ultimate outcome of any matter currently pending will not materially affect our business, financial condition, liquidity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147 full-time employees as of September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NFE Financial Holdings LLC</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Our board of directors will be divided into three classes that are, as nearly as possible, of equal size. Each class of directors will be elected for a three-year term of office, but the terms are staggered so that the term of only one class of directors expires at each annual general meeting. The initial terms of the Class I, Class II and Class III directors will expire in 2020, 2021 and 2022, respectively. All officers serve at the discretion of the board of directors.</w:t>
      </w:r>
    </w:p>
    <w:p>
      <w:pPr>
        <w:spacing w:after="0" w:line="57"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color w:val="auto"/>
        </w:rPr>
        <w:t>Upon consummation of this offering, we will have</w:t>
      </w:r>
      <w:r>
        <w:rPr>
          <w:sz w:val="20"/>
          <w:szCs w:val="20"/>
          <w:color w:val="auto"/>
        </w:rPr>
        <w:tab/>
      </w:r>
      <w:r>
        <w:rPr>
          <w:rFonts w:ascii="Arial" w:cs="Arial" w:eastAsia="Arial" w:hAnsi="Arial"/>
          <w:sz w:val="16"/>
          <w:szCs w:val="16"/>
          <w:color w:val="auto"/>
        </w:rPr>
        <w:t>directors. We expect our board of directors to determine that Messrs.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qualify as independent directors under the corporate governance standards of NASDAQ.</w:t>
      </w:r>
    </w:p>
    <w:p>
      <w:pPr>
        <w:spacing w:after="0" w:line="10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80" w:lineRule="exact"/>
        <w:rPr>
          <w:sz w:val="20"/>
          <w:szCs w:val="20"/>
          <w:color w:val="auto"/>
        </w:rPr>
      </w:pPr>
    </w:p>
    <w:p>
      <w:pPr>
        <w:ind w:right="440" w:firstLine="360"/>
        <w:spacing w:after="0" w:line="312" w:lineRule="auto"/>
        <w:rPr>
          <w:sz w:val="20"/>
          <w:szCs w:val="20"/>
          <w:color w:val="auto"/>
        </w:rPr>
      </w:pPr>
      <w:r>
        <w:rPr>
          <w:rFonts w:ascii="Arial" w:cs="Arial" w:eastAsia="Arial" w:hAnsi="Arial"/>
          <w:sz w:val="16"/>
          <w:szCs w:val="16"/>
          <w:color w:val="auto"/>
        </w:rPr>
        <w:t>In evaluating director candidates, our board of directors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following table shows information for our executive officers and directors upon the consummation of this offering.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5"/>
                <w:szCs w:val="15"/>
                <w:color w:val="auto"/>
              </w:rPr>
            </w:pPr>
          </w:p>
        </w:tc>
        <w:tc>
          <w:tcPr>
            <w:tcW w:w="5180" w:type="dxa"/>
            <w:vAlign w:val="bottom"/>
            <w:gridSpan w:val="2"/>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20" w:type="dxa"/>
            <w:vAlign w:val="bottom"/>
          </w:tcPr>
          <w:p>
            <w:pPr>
              <w:spacing w:after="0"/>
              <w:rPr>
                <w:sz w:val="21"/>
                <w:szCs w:val="21"/>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180" w:type="dxa"/>
            <w:vAlign w:val="bottom"/>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60" w:type="dxa"/>
            <w:vAlign w:val="bottom"/>
            <w:shd w:val="clear" w:color="auto" w:fill="CCEEFF"/>
          </w:tcPr>
          <w:p>
            <w:pPr>
              <w:spacing w:after="0"/>
              <w:rPr>
                <w:sz w:val="21"/>
                <w:szCs w:val="21"/>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Christopher S. Guinta</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35</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Michael J. Utsler</w:t>
            </w:r>
          </w:p>
        </w:tc>
        <w:tc>
          <w:tcPr>
            <w:tcW w:w="8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62</w:t>
            </w: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Randal A. Nardone</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63</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8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67</w:t>
            </w: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John J. Mack</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73</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8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37</w:t>
            </w: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bl>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Wesley R. Edens</w:t>
      </w:r>
      <w:r>
        <w:rPr>
          <w:rFonts w:ascii="Arial" w:cs="Arial" w:eastAsia="Arial" w:hAnsi="Arial"/>
          <w:sz w:val="17"/>
          <w:szCs w:val="17"/>
          <w:color w:val="auto"/>
        </w:rPr>
        <w:t>— Mr. Edens has been our Chief Executive Officer and a member of our board of directors since August</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2018. He is the Co-Chief Executive Officer of Fortress and has been a member of the board of directors of Fortress since November</w:t>
      </w:r>
    </w:p>
    <w:p>
      <w:pPr>
        <w:spacing w:after="0" w:line="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each of New Media Investment Group Inc. (a publisher of print and online media), New Senior Investment Group Inc. (a real estate investment trust with a diversified portfolio of senior housing properties located across the United States), and Drive Shack Inc. (an owner and operator of golf-related leisure and entertainment business). He is a director of Mapeley Limited (a large full service real estate outsourcing and investment company in the United Kingdom).</w:t>
      </w:r>
    </w:p>
    <w:p>
      <w:pPr>
        <w:spacing w:after="0" w:line="84"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Mr. Edens previously served on the board of the following publicly traded companies and registered investment companies: OneMain Holdings, Inc. (a leading consumer finance company) from November 2010 to June 2018, Fortress Transportation and Infrastructure Investors LLC (which owns and acquires high quality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October 2013 to October 2016; Nationstar Mortgage Holdings Inc. (a residential mortgage loan originator and servicer) from 2012 to July 2016; New Residential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Limited from August 2006 to August 2012; RailAmerica Inc. from November 2006 to October 2012; Eurocastle Investment Limited, from August 2003 to November 2011; Whistler Blackcomb Holdings Inc., from October 2010 to November 2012; Fortress Registered Investment Trust, from December 1999 until deregistered with the SEC in September 2011; and FRIT PINN LLC, from November 2001 until deregistered with the SEC in September 2011.</w:t>
      </w:r>
    </w:p>
    <w:p>
      <w:pPr>
        <w:spacing w:after="0" w:line="75"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w:t>
      </w:r>
    </w:p>
    <w:p>
      <w:pPr>
        <w:spacing w:after="0" w:line="73"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1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Christopher S. Guinta</w:t>
      </w:r>
      <w:r>
        <w:rPr>
          <w:rFonts w:ascii="Arial" w:cs="Arial" w:eastAsia="Arial" w:hAnsi="Arial"/>
          <w:sz w:val="18"/>
          <w:szCs w:val="18"/>
          <w:color w:val="auto"/>
        </w:rPr>
        <w:t>— Mr. Guinta has been our Chief Financial Officer since August 2018, and the Chief Financial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8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Michael J. Utsler</w:t>
      </w:r>
      <w:r>
        <w:rPr>
          <w:rFonts w:ascii="Arial" w:cs="Arial" w:eastAsia="Arial" w:hAnsi="Arial"/>
          <w:sz w:val="18"/>
          <w:szCs w:val="18"/>
          <w:color w:val="auto"/>
        </w:rPr>
        <w:t>— Mr. Utsler has been our Chief Operating Officer since October 2018. Mr. Utsler has over 35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energy industry. Prior to joining us, Mr. Utsler served as Chief Operating Officer of Woodside Energy Ltd. from December 2013 to October 2018. Prior to Woodside Energy Ltd., Mr. Utsler served in various roles for BP p.l.c. (“BP”) from January 1999 to November 2013, including most recently as Chief Operating Officer and President of the BP Gulf Coast Restoration Organization from August 2010 to November 2013. Before BP, Mr. Utsler served in various roles for Amoco Corporation from 1978 to 1998. Mr. Utsler received a Bachelor of Science degree in Petroleum Engineering from The University of Oklahoma.</w:t>
      </w:r>
    </w:p>
    <w:p>
      <w:pPr>
        <w:spacing w:after="0" w:line="8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Randal A. Nardone</w:t>
      </w:r>
      <w:r>
        <w:rPr>
          <w:rFonts w:ascii="Arial" w:cs="Arial" w:eastAsia="Arial" w:hAnsi="Arial"/>
          <w:sz w:val="17"/>
          <w:szCs w:val="17"/>
          <w:color w:val="auto"/>
        </w:rPr>
        <w:t>— Mr.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Prior to joining BlackRock, Mr. Nardone was a partner and a member of the executive committee at the law firm of Thacher Proffitt &amp; Wood. Mr. Nardone received a Bachelor of Arts in English and Biology from the University of Connecticut and a Juris Doctorate from Boston University School of Law. We believe that Mr. Nardone’s leadership, management experience and experience with corporate and securities law bring valuable experience to our board of directors.</w:t>
      </w:r>
    </w:p>
    <w:p>
      <w:pPr>
        <w:spacing w:after="0" w:line="7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b w:val="1"/>
          <w:bCs w:val="1"/>
          <w:i w:val="1"/>
          <w:iCs w:val="1"/>
          <w:color w:val="auto"/>
        </w:rPr>
        <w:t>C. William Griffin</w:t>
      </w:r>
      <w:r>
        <w:rPr>
          <w:rFonts w:ascii="Arial" w:cs="Arial" w:eastAsia="Arial" w:hAnsi="Arial"/>
          <w:sz w:val="18"/>
          <w:szCs w:val="18"/>
          <w:color w:val="auto"/>
        </w:rPr>
        <w:t>— Bill Griffin will become a member of our board of directors in connection with our listing on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Griffin has more than 45 years of experience in financial services. He currently serves as Executive Vice President, Enterprise Strategy of ServiceLink, LLC, helping deliver end-to-end solutions to large financial institutions, a position he has held since January 2017. Prior to that, Mr. Griffin served in various capacities within Fidelity National Financial, Inc. (“Fidelity”) and its affiliates, including as Executive 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will bring significant value to our board of directors.</w:t>
      </w:r>
    </w:p>
    <w:p>
      <w:pPr>
        <w:spacing w:after="0" w:line="80"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b w:val="1"/>
          <w:bCs w:val="1"/>
          <w:i w:val="1"/>
          <w:iCs w:val="1"/>
          <w:color w:val="auto"/>
        </w:rPr>
        <w:t>John J. Mack</w:t>
      </w:r>
      <w:r>
        <w:rPr>
          <w:rFonts w:ascii="Arial" w:cs="Arial" w:eastAsia="Arial" w:hAnsi="Arial"/>
          <w:sz w:val="17"/>
          <w:szCs w:val="17"/>
          <w:color w:val="auto"/>
        </w:rPr>
        <w:t>— John Mack will become a member of our board of directors in connection with our listing on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and serves on the board of directors of Glencore International AG, a subsidiary of Glencore PLC, and LendingClub Corporation.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75" w:lineRule="exact"/>
        <w:rPr>
          <w:sz w:val="20"/>
          <w:szCs w:val="20"/>
          <w:color w:val="auto"/>
        </w:rPr>
      </w:pPr>
    </w:p>
    <w:p>
      <w:pPr>
        <w:ind w:right="220" w:firstLine="360"/>
        <w:spacing w:after="0" w:line="288" w:lineRule="auto"/>
        <w:rPr>
          <w:sz w:val="20"/>
          <w:szCs w:val="20"/>
          <w:color w:val="auto"/>
        </w:rPr>
      </w:pPr>
      <w:r>
        <w:rPr>
          <w:rFonts w:ascii="Arial" w:cs="Arial" w:eastAsia="Arial" w:hAnsi="Arial"/>
          <w:sz w:val="16"/>
          <w:szCs w:val="16"/>
          <w:b w:val="1"/>
          <w:bCs w:val="1"/>
          <w:i w:val="1"/>
          <w:iCs w:val="1"/>
          <w:color w:val="auto"/>
        </w:rPr>
        <w:t>Matthew Wilkinson</w:t>
      </w:r>
      <w:r>
        <w:rPr>
          <w:rFonts w:ascii="Arial" w:cs="Arial" w:eastAsia="Arial" w:hAnsi="Arial"/>
          <w:sz w:val="16"/>
          <w:szCs w:val="16"/>
          <w:color w:val="auto"/>
        </w:rPr>
        <w:t>— Matthew Wilkinson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Mr. Wilkinson currently serves as a director at ICG Advisors. Prior to that, Mr. Wilkinson served as vice president of strategy for Kayne Anderson Capital Advisors from January 2017 to March 2018. Prior to joining Kayne Anderson Capital Advisors, Mr. Wilkinson was with the State of Michigan Retirement Systems (“SMRS”) from July 2011 to January 2017, most recently serving as a senior portfolio manager in the short-term, absolute return and real return division from September 2014 to January 2017, where he built out and managed a real assets portfolio with $2 billion in commitments and a special situations portfolio with over $800 million in commitments for SMRS. Prior to SMRS, he founded and operated his own investment firm primarily focused on investing in small cap equities. Mr. Wilkinson holds an M.B.A. from Michigan State University and a B.A. (magna cum laude) from Ohio State University. We believe that Mr. Wilkinson’s leadership, management experience and strong background in corporate finance, bring important and valuable skills to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Because New Fortress Energy Holdings will initially hold approximately % of the voting power of our shares following the completion of this offering, we expect to be a controlled company as of the completion of the offering under the Sarbanes-Oxley Act and NASDAQ corporate governance standards. A controlled company does not need its board of directors to have a majority of independent directors or to form independent compensation and nominating and governance committees. Although we are not required to do so, we will establish independent compensation and nominating and governance committees upon completion of this offering. As a controlled company, we will remain subject to the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w:t>
      </w:r>
    </w:p>
    <w:p>
      <w:pPr>
        <w:spacing w:after="0" w:line="70"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Board is in the process of reviewing the independence of our directors using the independence standards of NASDAQ and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We are required to have an audit committee of at least three members, and all of its members are required to meet the independence and experience standards established by NASDAQ and the Securities Exchange Act of 1934, as amended, subject to certain transitional relief during the one-year period following consummation of this offering as described above. We will establish an audit committee compliant with NASDAQ and SEC rules prior to the completion of this offering and expect will serve as members of such committee. SEC rules also require that a public company disclose whether or not its audit committee has an “audit</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committee financial expert” as a member. will satisfy the definition of “audit committee financial expert.” We expect to adopt an audit committee charter defining the committee’s primary duties in a manner consistent with the rules of the SEC and NASDAQ standards.</w:t>
      </w:r>
    </w:p>
    <w:p>
      <w:pPr>
        <w:spacing w:after="0" w:line="82"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The audit committee will assist the board of directors in its oversight of the integrity of our financial statements and our compliance with legal and regulatory requirements and company policies and controls. The audit committee will have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 and our management.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will establish a compensation committee compliant with NASDAQ and SEC rules prior to the completion of this offering and expect will serve as members of such committee. This committee will establish salaries, incentives and other forms of compensation for officers and other employees. The compensation committee will also administer our incentive compensation and benefit plans. We expect to adopt a compensation committee charter defining the committee’s primary duties in a manner consistent with the rules of the SEC and NASDAQ or market standards.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will establish a nominating and corporate governance committee compliant with NASDAQ and SEC rules prior to the completion of this offering and expect will serve as members of such committee. This committee will identify, evaluate and recommend qualified nominees to serve on our board of directors, develop and oversee our internal corporate governance processes and maintain a management succession plan. We expect to adopt a nominating and corporate governance committee charter defining the committee’s primary duties in a manner consistent with the rules of the SEC and NASDAQ or market standards.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Advisory Committee Regarding Our Communities &amp; The Environment</w:t>
      </w:r>
    </w:p>
    <w:p>
      <w:pPr>
        <w:spacing w:after="0" w:line="11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recognize that billions of people around the planet lack access to affordable power. We seek to provide the capital, expertise and vision to address this problem while also making a positive impact on the communities in which we operate and the environment. Upon the consummation of this offering, we intend to establish an advisory committee (the “Advisory Committee”) to assist the board of directors in providing a meaningful and positive impact in the areas where we conduct our business. We intend to collaborate with the Advisory Committee to help improve the quality of life and increase advancement opportunities for members of the communities in which we operate. While our product is more environmentally friendly than many traditional distillate fuels, we recognize that our business has an environmental impact. As such, we intend to collaborate with the Advisory Committee to reduce any environmental impact we may have and help contribute to preserving our environment.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Prior to the completion of this offering, our board of directors will adopt a code of business conduct and ethics applicable to our employees, directors and officers, in accordance with applicable U.S. federal securities laws and the corporate governance rules of NASDAQ. Any waiver of this code may be made only by our board of directors and will be promptly disclosed as required by applicable U.S. federal securities laws and the corporate governance rules of NASDAQ.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0" w:name="page91"/>
    <w:bookmarkEnd w:id="9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completed fiscal year.</w:t>
      </w:r>
    </w:p>
    <w:p>
      <w:pPr>
        <w:spacing w:after="0" w:line="73" w:lineRule="exact"/>
        <w:rPr>
          <w:sz w:val="20"/>
          <w:szCs w:val="20"/>
          <w:color w:val="auto"/>
        </w:rPr>
      </w:pPr>
    </w:p>
    <w:p>
      <w:pPr>
        <w:ind w:left="7" w:right="20" w:firstLine="360"/>
        <w:spacing w:after="0" w:line="291" w:lineRule="auto"/>
        <w:rPr>
          <w:sz w:val="20"/>
          <w:szCs w:val="20"/>
          <w:color w:val="auto"/>
        </w:rPr>
      </w:pPr>
      <w:r>
        <w:rPr>
          <w:rFonts w:ascii="Arial" w:cs="Arial" w:eastAsia="Arial" w:hAnsi="Arial"/>
          <w:sz w:val="16"/>
          <w:szCs w:val="16"/>
          <w:color w:val="auto"/>
        </w:rPr>
        <w:t>We were formed on August 6, 2018 and, as a result, did not have executive officers during 2017. However, because (1) all of the assets and operations of New Fortress Energy Holdings (our predecessor for financial reporting purposes) will be contributed to NFI (which will be our subsidiary) in connection with this offering and such assets and operations will constitute our only assets and operations and (2) one of our executive officers was also an executive officer of New Fortress Energy Holdings and provided the same type of services to New Fortress Energy Holdings in 2017 as they provide to us, we have included disclosure regarding compensation paid to the executive officers of New Fortress Energy Holdings for the 2017 fiscal year. The only individuals serving as officers of New Fortress Energy Holdings during 2017 were Christopher Guinta and Christopher Carey.</w:t>
      </w:r>
    </w:p>
    <w:p>
      <w:pPr>
        <w:spacing w:after="0" w:line="24"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46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Position (New Fortress Energy Holdings)</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Christopher Guinta</w:t>
            </w:r>
          </w:p>
        </w:tc>
        <w:tc>
          <w:tcPr>
            <w:tcW w:w="1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Christopher Carey</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Former Chief Financial Officer</w:t>
            </w:r>
          </w:p>
        </w:tc>
      </w:tr>
    </w:tbl>
    <w:p>
      <w:pPr>
        <w:spacing w:after="0" w:line="107" w:lineRule="exact"/>
        <w:rPr>
          <w:sz w:val="20"/>
          <w:szCs w:val="20"/>
          <w:color w:val="auto"/>
        </w:rPr>
      </w:pPr>
    </w:p>
    <w:p>
      <w:pPr>
        <w:jc w:val="both"/>
        <w:ind w:left="7" w:right="200" w:firstLine="360"/>
        <w:spacing w:after="0" w:line="264" w:lineRule="auto"/>
        <w:rPr>
          <w:sz w:val="20"/>
          <w:szCs w:val="20"/>
          <w:color w:val="auto"/>
        </w:rPr>
      </w:pPr>
      <w:r>
        <w:rPr>
          <w:rFonts w:ascii="Arial" w:cs="Arial" w:eastAsia="Arial" w:hAnsi="Arial"/>
          <w:sz w:val="18"/>
          <w:szCs w:val="18"/>
          <w:color w:val="auto"/>
        </w:rPr>
        <w:t>Christopher Carey resigned from his position as Chief Financial Officer of New Fortress Energy Holdings effective February 10, 2017. Christopher Guinta was appointed as Chief Financial Officer of New Fortress Energy Holdings effective as of April 10, 2017 and he serves as our Chief Financial Officer as well.</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7" w:right="100"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the named executive officers during the fiscal year ended December 31, 2017.</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Bonus ($)</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5"/>
                <w:szCs w:val="15"/>
                <w:color w:val="auto"/>
              </w:rPr>
            </w:pPr>
          </w:p>
        </w:tc>
      </w:tr>
      <w:tr>
        <w:trPr>
          <w:trHeight w:val="284"/>
        </w:trPr>
        <w:tc>
          <w:tcPr>
            <w:tcW w:w="3840" w:type="dxa"/>
            <w:vAlign w:val="bottom"/>
            <w:shd w:val="clear" w:color="auto" w:fill="CCEEFF"/>
          </w:tcPr>
          <w:p>
            <w:pPr>
              <w:spacing w:after="0" w:line="284" w:lineRule="exact"/>
              <w:rPr>
                <w:sz w:val="20"/>
                <w:szCs w:val="20"/>
                <w:color w:val="auto"/>
              </w:rPr>
            </w:pPr>
            <w:r>
              <w:rPr>
                <w:rFonts w:ascii="Arial" w:cs="Arial" w:eastAsia="Arial" w:hAnsi="Arial"/>
                <w:sz w:val="18"/>
                <w:szCs w:val="18"/>
                <w:b w:val="1"/>
                <w:bCs w:val="1"/>
                <w:color w:val="auto"/>
              </w:rPr>
              <w:t xml:space="preserve">Chris Guinta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Chief Financial Officer</w:t>
            </w:r>
            <w:r>
              <w:rPr>
                <w:rFonts w:ascii="Arial" w:cs="Arial" w:eastAsia="Arial" w:hAnsi="Arial"/>
                <w:sz w:val="29"/>
                <w:szCs w:val="29"/>
                <w:color w:val="auto"/>
                <w:vertAlign w:val="superscript"/>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255,208</w:t>
            </w:r>
          </w:p>
        </w:tc>
        <w:tc>
          <w:tcPr>
            <w:tcW w:w="1120" w:type="dxa"/>
            <w:vAlign w:val="bottom"/>
            <w:gridSpan w:val="2"/>
            <w:shd w:val="clear" w:color="auto" w:fill="CCEEFF"/>
          </w:tcPr>
          <w:p>
            <w:pPr>
              <w:jc w:val="right"/>
              <w:spacing w:after="0" w:line="284" w:lineRule="exact"/>
              <w:rPr>
                <w:sz w:val="20"/>
                <w:szCs w:val="20"/>
                <w:color w:val="auto"/>
              </w:rPr>
            </w:pPr>
            <w:r>
              <w:rPr>
                <w:rFonts w:ascii="Arial" w:cs="Arial" w:eastAsia="Arial" w:hAnsi="Arial"/>
                <w:sz w:val="18"/>
                <w:szCs w:val="18"/>
                <w:color w:val="auto"/>
              </w:rPr>
              <w:t>475,000</w:t>
            </w:r>
            <w:r>
              <w:rPr>
                <w:rFonts w:ascii="Arial" w:cs="Arial" w:eastAsia="Arial" w:hAnsi="Arial"/>
                <w:sz w:val="29"/>
                <w:szCs w:val="29"/>
                <w:color w:val="auto"/>
                <w:vertAlign w:val="superscript"/>
              </w:rPr>
              <w:t>2</w:t>
            </w:r>
          </w:p>
        </w:tc>
        <w:tc>
          <w:tcPr>
            <w:tcW w:w="1420" w:type="dxa"/>
            <w:vAlign w:val="bottom"/>
            <w:gridSpan w:val="2"/>
            <w:shd w:val="clear" w:color="auto" w:fill="CCEEFF"/>
          </w:tcPr>
          <w:p>
            <w:pPr>
              <w:jc w:val="right"/>
              <w:spacing w:after="0" w:line="284" w:lineRule="exact"/>
              <w:rPr>
                <w:sz w:val="20"/>
                <w:szCs w:val="20"/>
                <w:color w:val="auto"/>
              </w:rPr>
            </w:pPr>
            <w:r>
              <w:rPr>
                <w:rFonts w:ascii="Arial" w:cs="Arial" w:eastAsia="Arial" w:hAnsi="Arial"/>
                <w:sz w:val="18"/>
                <w:szCs w:val="18"/>
                <w:color w:val="auto"/>
              </w:rPr>
              <w:t>35,422</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765,630</w:t>
            </w:r>
          </w:p>
        </w:tc>
        <w:tc>
          <w:tcPr>
            <w:tcW w:w="100" w:type="dxa"/>
            <w:vAlign w:val="bottom"/>
            <w:shd w:val="clear" w:color="auto" w:fill="CCEEFF"/>
          </w:tcPr>
          <w:p>
            <w:pPr>
              <w:spacing w:after="0"/>
              <w:rPr>
                <w:sz w:val="24"/>
                <w:szCs w:val="24"/>
                <w:color w:val="auto"/>
              </w:rPr>
            </w:pPr>
          </w:p>
        </w:tc>
      </w:tr>
      <w:tr>
        <w:trPr>
          <w:trHeight w:val="393"/>
        </w:trPr>
        <w:tc>
          <w:tcPr>
            <w:tcW w:w="3840" w:type="dxa"/>
            <w:vAlign w:val="bottom"/>
          </w:tcPr>
          <w:p>
            <w:pPr>
              <w:spacing w:after="0"/>
              <w:rPr>
                <w:sz w:val="20"/>
                <w:szCs w:val="20"/>
                <w:color w:val="auto"/>
              </w:rPr>
            </w:pPr>
            <w:r>
              <w:rPr>
                <w:rFonts w:ascii="Arial" w:cs="Arial" w:eastAsia="Arial" w:hAnsi="Arial"/>
                <w:sz w:val="18"/>
                <w:szCs w:val="18"/>
                <w:b w:val="1"/>
                <w:bCs w:val="1"/>
                <w:color w:val="auto"/>
              </w:rPr>
              <w:t xml:space="preserve">Chris Carey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Chief Financial Officer</w:t>
            </w:r>
            <w:r>
              <w:rPr>
                <w:rFonts w:ascii="Arial" w:cs="Arial" w:eastAsia="Arial" w:hAnsi="Arial"/>
                <w:sz w:val="29"/>
                <w:szCs w:val="29"/>
                <w:color w:val="auto"/>
                <w:vertAlign w:val="superscript"/>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36,891</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50,073</w:t>
            </w:r>
            <w:r>
              <w:rPr>
                <w:rFonts w:ascii="Arial" w:cs="Arial" w:eastAsia="Arial" w:hAnsi="Arial"/>
                <w:sz w:val="29"/>
                <w:szCs w:val="29"/>
                <w:color w:val="auto"/>
                <w:vertAlign w:val="superscript"/>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86,964</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909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8" w:lineRule="exact"/>
        <w:rPr>
          <w:sz w:val="20"/>
          <w:szCs w:val="20"/>
          <w:color w:val="auto"/>
        </w:rPr>
      </w:pPr>
    </w:p>
    <w:p>
      <w:pPr>
        <w:ind w:left="347" w:hanging="347"/>
        <w:spacing w:after="0"/>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Guinta was appointed as the Chief Financial Officer of New Fortress Energy Holdings effective as of April 10, 2017.</w:t>
      </w:r>
    </w:p>
    <w:p>
      <w:pPr>
        <w:spacing w:after="0" w:line="109" w:lineRule="exact"/>
        <w:rPr>
          <w:rFonts w:ascii="Arial" w:cs="Arial" w:eastAsia="Arial" w:hAnsi="Arial"/>
          <w:sz w:val="14"/>
          <w:szCs w:val="14"/>
          <w:color w:val="auto"/>
        </w:rPr>
      </w:pPr>
    </w:p>
    <w:p>
      <w:pPr>
        <w:ind w:left="347" w:right="140" w:hanging="347"/>
        <w:spacing w:after="0" w:line="273" w:lineRule="auto"/>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(i) a $75,000 sign-on bonus paid to Mr. Guinta in 2017 in connection with his appointment and (ii) an annual bonus for services rendered in 2017, but paid in 2018.</w:t>
      </w:r>
    </w:p>
    <w:p>
      <w:pPr>
        <w:spacing w:after="0" w:line="65"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(i) reimbursement for relocation expenses incurred as a result of Mr. Guinta’s appointment and relocation to New York, New York in the amount of $26,012 and (ii) a tax gross-up payment in the amount of $9,410.</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Carey served as the Chief Financial Officer of New Fortress Energy Holdings until his resignation on February 10, 2017.</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amounts paid to Mr. Carey in connection with his resignation.</w:t>
      </w:r>
    </w:p>
    <w:p>
      <w:pPr>
        <w:spacing w:after="0" w:line="208"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7" w:firstLine="360"/>
        <w:spacing w:after="0" w:line="293" w:lineRule="auto"/>
        <w:rPr>
          <w:sz w:val="20"/>
          <w:szCs w:val="20"/>
          <w:color w:val="auto"/>
        </w:rPr>
      </w:pPr>
      <w:r>
        <w:rPr>
          <w:rFonts w:ascii="Arial" w:cs="Arial" w:eastAsia="Arial" w:hAnsi="Arial"/>
          <w:sz w:val="16"/>
          <w:szCs w:val="16"/>
          <w:color w:val="auto"/>
        </w:rPr>
        <w:t>Base salary is a fixed component of compensation for each year, which may be increased from time to time based on the individual’s performance and other factors as determined by the sole member of New Fortress Energy Holdings. Base salaries were originally set pursuant to negotiations with the named executive officer at the time of hire. Mr. Carey’s annualized base salary prior to his resignation was $275,000. Mr. Guinta’s annualized base salary during 2017 was $350,000. For additional information on the elements of Mr. Carey’s and Mr. Guinta’s compensation, see “Narrative Disclosure to Summary Compensation Table — Carey Offer Letter” and “Narrative Disclosure to Summary Compensation Table — Guinta Offer Letter,” below.</w:t>
      </w:r>
    </w:p>
    <w:p>
      <w:pPr>
        <w:spacing w:after="0" w:line="165"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Cash Bonus</w:t>
      </w:r>
    </w:p>
    <w:p>
      <w:pPr>
        <w:spacing w:after="0" w:line="117" w:lineRule="exact"/>
        <w:rPr>
          <w:sz w:val="20"/>
          <w:szCs w:val="20"/>
          <w:color w:val="auto"/>
        </w:rPr>
      </w:pPr>
    </w:p>
    <w:p>
      <w:pPr>
        <w:ind w:left="7" w:right="420" w:firstLine="360"/>
        <w:spacing w:after="0" w:line="277" w:lineRule="auto"/>
        <w:rPr>
          <w:sz w:val="20"/>
          <w:szCs w:val="20"/>
          <w:color w:val="auto"/>
        </w:rPr>
      </w:pPr>
      <w:r>
        <w:rPr>
          <w:rFonts w:ascii="Arial" w:cs="Arial" w:eastAsia="Arial" w:hAnsi="Arial"/>
          <w:sz w:val="18"/>
          <w:szCs w:val="18"/>
          <w:color w:val="auto"/>
        </w:rPr>
        <w:t>For 2017, Mr. Carey's target bonus opportunity was 75% of his annualized base salary. However, due to his resignation on February 10, 2017, Mr. Carey did not receive a bonus.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For 2017, Mr. Guinta’s target bonus opportunity was 125% of his annualized base salary, with a guaranteed annual bonus for 2017 in an amount equal to $250,000. Following a review of performance by New Fortress Energy Holdings and its subsidiaries as well as Mr. Guinta’s contribution to that performance, New Fortress Energy Holdings elected to pay Mr. Guinta an annual bonus for 2017 in an amount equal to $400,000. For additional information regarding the elements of Mr. Carey’s and Mr. Guinta’s compensation, see “Narrative Disclosure to Summary Compensation Table — Carey Offer Letter” and “Narrative Disclosure to Summary Compensation Table — Guinta Offer Letter,” below.</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Incentive Awards</w:t>
      </w:r>
    </w:p>
    <w:p>
      <w:pPr>
        <w:spacing w:after="0" w:line="117"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named executive officers were not granted long-term incentive awards during 2017. However, in connection with this offering, we intend to adopt a long-term incentive plan. For more details on the terms of the long-term incentive plan, see “Long Term Incentive Plan,”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Guinta Offer Letter</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On March 14, 2017, NFE Management, LLC entered into an offer letter (the “Guinta Offer Letter”) with Mr. Guinta. The Guinta Offer Letter provides Mr. Guinta with (a) an annualized base salary of $350,000, (b) a discretionary target bonus opportunity equal to 125% of annual base salary (with a guaranteed $250,000 bonus for calendar year 2017), (c) a sign-on bonus of $75,000, which is required to be repaid by Mr. Guinta in the event of his resignation or termination of employment for Cause (as defined below) prior to the first anniversary of his start date, (d) subject to the adoption of a definitive equity compensation plan, an equity award grant with a grant date value of $2,500,000, which will be governed by the terms of such equity compensation plan and the applicable documents underlying the grant, and (e) eligibility to participate in the broad-based employee benefit plans, as may be adopted from time to time, subject to the eligibility requirements of such employee benefit plans.</w:t>
      </w:r>
    </w:p>
    <w:p>
      <w:pPr>
        <w:spacing w:after="0" w:line="58" w:lineRule="exact"/>
        <w:rPr>
          <w:sz w:val="20"/>
          <w:szCs w:val="20"/>
          <w:color w:val="auto"/>
        </w:rPr>
      </w:pPr>
    </w:p>
    <w:p>
      <w:pPr>
        <w:jc w:val="both"/>
        <w:ind w:right="700" w:firstLine="360"/>
        <w:spacing w:after="0" w:line="286" w:lineRule="auto"/>
        <w:rPr>
          <w:sz w:val="20"/>
          <w:szCs w:val="20"/>
          <w:color w:val="auto"/>
        </w:rPr>
      </w:pPr>
      <w:r>
        <w:rPr>
          <w:rFonts w:ascii="Arial" w:cs="Arial" w:eastAsia="Arial" w:hAnsi="Arial"/>
          <w:sz w:val="17"/>
          <w:szCs w:val="17"/>
          <w:color w:val="auto"/>
        </w:rPr>
        <w:t>The Guinta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57"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As used in the Guinta Offer Letter, “Cause” generally means Mr. Guinta’s (i) willful misconduct or gross negligence in the performance of his duties; (ii) failure to perform his duties or to follow the lawful directives of the board of directors;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Guinta Offer Letter or any other agreement with a member of the Company Group, including (without limitation), a violation of the code of conduct or other written policy of any such entity.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Carey Offer Letter</w:t>
      </w:r>
    </w:p>
    <w:p>
      <w:pPr>
        <w:spacing w:after="0" w:line="11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On March 23, 2016, NFE Management, LLC entered into an offer letter (the “Carey Offer Letter”) with Mr. Carey. As discussed in more detail below, Mr. Carey’s employment with NFE Management, LLC terminated effective as of February 10, 2017. The Carey Offer Letter provided Mr. Carey with (a) an annualized base salary of $275,000, (b) a discretionary target bonus opportunity equal to 75% of annual base salary, (c) a relocation bonus in the amount of $50,000, (d) the ability to participate in a long term equity incentive plan, if such a plan were ultimately adopted, and (e) eligibility to participate in the broad-based employee benefit plans, as may be adopted from time to time, subject to the eligibility requirements of such employee benefit plans.</w:t>
      </w:r>
    </w:p>
    <w:p>
      <w:pPr>
        <w:spacing w:after="0" w:line="57" w:lineRule="exact"/>
        <w:rPr>
          <w:sz w:val="20"/>
          <w:szCs w:val="20"/>
          <w:color w:val="auto"/>
        </w:rPr>
      </w:pPr>
    </w:p>
    <w:p>
      <w:pPr>
        <w:jc w:val="both"/>
        <w:ind w:right="660" w:firstLine="360"/>
        <w:spacing w:after="0" w:line="264" w:lineRule="auto"/>
        <w:rPr>
          <w:sz w:val="20"/>
          <w:szCs w:val="20"/>
          <w:color w:val="auto"/>
        </w:rPr>
      </w:pPr>
      <w:r>
        <w:rPr>
          <w:rFonts w:ascii="Arial" w:cs="Arial" w:eastAsia="Arial" w:hAnsi="Arial"/>
          <w:sz w:val="18"/>
          <w:szCs w:val="18"/>
          <w:color w:val="auto"/>
        </w:rPr>
        <w:t>The Carey Offer Letter also contained certain restrictive covenants, including (a) non-competition and non-solicitation covenants that were applicable during Mr. Carey’s term of employment and for 12 months thereafter and (b) restrictions on disclosure of confidential information.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Carey Separation Letter</w:t>
      </w:r>
    </w:p>
    <w:p>
      <w:pPr>
        <w:spacing w:after="0" w:line="117"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On February 26, 2017, NFE Management, LLC entered into a separation letter (the “Separation Letter”) that confirmed the agreement that was reached between Mr. Carey and NFE Management, LLC in connection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his resignation as Chief Financial Officer, effective as of February 10, 2017. Pursuant to the terms of the Separation Letter, Mr. Carey received a lump sum cash payment of $50,000 and a benefit reimbursement equal to $73. In connection with the payment, Mr. Carey (i) affirmed that he remained bound by all non-solicitation, non-interference, non-competition and confidentiality restrictions set forth in his prior agreements with NFE Management, LLC and its affiliates and (ii) agreed to release certain potential employment-based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had not been granted equity awards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2018 Omnibus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Prior to the completion of this offering, we will adopt the NFE 2018 Omnibus Incentive Plan (the “Plan”). The purposes of the Plan will be to provide additional incentives to selected employees, directors, independent contractors and consultants of NFE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options, share appreciation rights (“SARs”), restricted shares, restricted share units (“RSUs”), share bonuses, other share-based awards and cash awards.</w:t>
      </w:r>
    </w:p>
    <w:p>
      <w:pPr>
        <w:spacing w:after="0" w:line="5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Effective as of the date of the offering, we intend to grant RSUs under the Plan. We intend to grant to Mr. Guinta an award with a grant date value of approximately $ . For Mr. Utsler, we intend to grant an award with a grant date value of approximately $ .</w:t>
      </w:r>
    </w:p>
    <w:p>
      <w:pPr>
        <w:spacing w:after="0" w:line="1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Effective as of the date of the offering, we also intend to grant RSUs under the Plan to our non-employee directors. It is anticipated that the awards to directors will have a grant date value of approximately $1,000,000, calculated based on the price per share in this offering, and that such awards will vest in three equal installments on the date of each of the three annual meetings following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Expected Plan Terms</w:t>
      </w:r>
    </w:p>
    <w:p>
      <w:pPr>
        <w:spacing w:after="0" w:line="11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A total number of our Class A shares equal to 10% of our outstanding Class A shares as of the completion of this offering will be reserved and available for issuance under the Plan, as increased on the first day of each fiscal year beginning in calendar year 2020 by a number of our Class A shares equal to the number of Class A shares underlying awards that may be settled in Class A shares that were granted under the Plan during the immediately prior fiscal year.</w:t>
      </w:r>
    </w:p>
    <w:p>
      <w:pPr>
        <w:spacing w:after="0" w:line="6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Once subject to an award under the Plan, Class A shares will not again become available for issuance under the Plan, regardless of whether such Class A shares are actually delivered or whether the applicable award is paid or settled in cash. To the extent that an award can only be settled in cash, such award will not be counted against the total number of our Class A shares available for grant under the Plan.</w:t>
      </w:r>
    </w:p>
    <w:p>
      <w:pPr>
        <w:spacing w:after="0" w:line="79"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The Plan will initially be administered by our board of directors, although it may be administered by either our board of directors or any committee of our board of directors. The plan administrator may interpret the Plan and may prescribe, amend and rescind rules and make all other determinations necessary or desirable for the administration of the Plan.</w:t>
      </w:r>
    </w:p>
    <w:p>
      <w:pPr>
        <w:spacing w:after="0" w:line="5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of NFE or its affiliates who will receive awards, to determine the terms and conditions of those awards, including but not limited to the exercise price or other purchase price of an award, the number of our Class A shares or cash or other property subject to an award, the term of an award and the vesting schedule applicable to an award, and to amend the terms and conditions of outstanding awards.</w:t>
      </w:r>
    </w:p>
    <w:p>
      <w:pPr>
        <w:spacing w:after="0" w:line="80"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RSUs and restricted shares may be granted under the Plan. The plan administrator will determine the purchase price, vesting schedule and performance objectives, if any, applicable to the grant of RSUs and restricted shares. If the restrictions, performance objectives or other conditions determined by the plan administrator are not satisfied, the RSUs and restricted shares will be forfeited. Subject to the provisions of the Plan and the applicable individual award agreement, the plan administrator may provide for the lapse of restrictions in installments or the acceleration or waiver of restrictions (in whole or part) under certain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circumstances as set forth in the applicable individual award agreement, including the attainment of certain performance goals, a participant’s termination of employment or service or a participant’s death or disability. The rights of RSU and restricted shareholders upon a termination of employment or service will be set forth in individual award agreements.</w:t>
      </w:r>
    </w:p>
    <w:p>
      <w:pPr>
        <w:spacing w:after="0" w:line="5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Unless the applicable award agreement provides otherwise, participants with restricted shares will generally have all of the rights of a Class A shareholder during the restricted period, including the right to vote and receive dividends declared with respect to such restricted shares. Dividends declared during the restricted period with respect to such restricted shares may be paid or distributed when accrued, or may become payable if the underlying restricted shares vest. During the restricted period, participants with RSUs will generally not have any rights of a Class A shareholder, but, if the applicable individual award agreement so provides, may be credited with dividend equivalent rights. Dividend equivalents may be paid or distributed when accrued, or may be paid at the time that our Class A shares in respect of the related RSUs are delivered to the participant.</w:t>
      </w:r>
    </w:p>
    <w:p>
      <w:pPr>
        <w:spacing w:after="0" w:line="70"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We may issue share options under the Plan. Options granted under the Plan may be in the form of non-qualified options or “incentive share options” within the meaning of Section 422 of the Internal Revenue Code, as set forth in the applicable individual option award agreement. The exercise price of all options granted under the Plan will be determined by the plan administrator, but in no event may the exercise price be less than 100% of the fair market value of the related Class A shares on the date of grant. The maximum term of all share options granted under the Plan will be determined by the plan administrator, but may not exceed ten years. Each share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84"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Class A share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Class A share over the exercise price of the related option. Each SAR will be granted with a base price that is not less than 100% of the fair market value of the related Class A shares on the date of grant. The maximum term of all SARs granted under the Plan will be determined by the plan administrator, but may not exceed ten years. The plan administrator may determine to settle the exercise of a SAR in Class A shares, cash, or any combination thereof.</w:t>
      </w:r>
    </w:p>
    <w:p>
      <w:pPr>
        <w:spacing w:after="0" w:line="7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63"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Other share-based awards, valued in whole or in part by reference to, or otherwise based on, our Class A shares (including dividend equivalents) may be granted under the Plan. Dividends or dividend equivalents awarded under the Plan may be paid or distributed when accrued, or may be subject to the same restrictions, conditions and risks of forfeiture as the underlying awards and only become payable if the underlying awards vest. The plan administrator will determine the terms and conditions of such other share-based awards, including the number of Class A shares to be granted pursuant to such other share-based awards, the manner in which such other share-based awards will be settled (e.g., in Class A shares, cash or other property), and the conditions to the vesting and payment of such other share-based awards (including the achievement of performance objectives).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payable in fully vested Class A shares and awards that are payable solely in cash may also be granted under the Plan.</w:t>
      </w:r>
    </w:p>
    <w:p>
      <w:pPr>
        <w:spacing w:after="0" w:line="14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w:t>
      </w:r>
    </w:p>
    <w:p>
      <w:pPr>
        <w:spacing w:after="0" w:line="62" w:lineRule="exact"/>
        <w:rPr>
          <w:sz w:val="20"/>
          <w:szCs w:val="20"/>
          <w:color w:val="auto"/>
        </w:rPr>
      </w:pPr>
    </w:p>
    <w:p>
      <w:pPr>
        <w:ind w:right="680" w:firstLine="360"/>
        <w:spacing w:after="0" w:line="308" w:lineRule="auto"/>
        <w:rPr>
          <w:sz w:val="20"/>
          <w:szCs w:val="20"/>
          <w:color w:val="auto"/>
        </w:rPr>
      </w:pPr>
      <w:r>
        <w:rPr>
          <w:rFonts w:ascii="Arial" w:cs="Arial" w:eastAsia="Arial" w:hAnsi="Arial"/>
          <w:sz w:val="17"/>
          <w:szCs w:val="17"/>
          <w:color w:val="auto"/>
        </w:rPr>
        <w:t>In the event of a merger, consolidation, reclassification, recapitalization, spin-off, spin-out, repurchase, reorganization, corporate transaction or event, special or extraordinary dividend or other extraordinary distribution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(whether in the form of Class A shares, cash or other property), share split, reverse share split, subdivision or consolidation, combination, exchange of shares, or other change in corporate structure affecting our Class A shares, an equitable substitution or proportionate adjustment shall be made, at the sole discretion of the plan administrator, in (i) the aggregate number of our Class A shares reserved for issuance under the Plan, (ii) the kind and number of securities subject to, and the exercise price or base price of, any outstanding options and SARs granted under the Plan, (iii) the kind, number and purchase price of our Class A shares, or the amount of cash or amount or type of property, subject to outstanding restricted shares, RSUs, share bonuses and other share-based awards granted under the Plan, or (iv) the performance goals and periods applicable to award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Class A shares, cash or other property covered by such awards over the aggregate exercise price or base price, if any, of such awards, but if the exercise price or base price of any outstanding award is equal to or greater than the fair market value of our Class A shares, cash or other property covered by such award, the board of directors may cancel the award without the payment of any consideration to the participant.</w:t>
      </w:r>
    </w:p>
    <w:p>
      <w:pPr>
        <w:spacing w:after="0" w:line="67"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Each participant will be required to make arrangements satisfactory to the plan administrator regarding payment of an amount up to the maximum statutory tax rates in the participant’s applicable jurisdictions with respect to any award granted under the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delivery of our Class A shares, cash or other property, as applicable, or by delivering already owned unrestricted Class A shares, in each case, having a value not exceeding the applicable taxes to be withheld and applied to the tax obligations, determined based on the greatest withholding rates that may be used without creating adverse accounting treatment with respect to such award. We may also use any other method of obtaining the necessary payment or proceeds, as permitted by law, to satisfy our withholding obligation with respect to any award.</w:t>
      </w:r>
    </w:p>
    <w:p>
      <w:pPr>
        <w:spacing w:after="0" w:line="59"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The Plan provides the board of directors with authority to amend, alter or terminate the Plan, but generally such action may not impair the rights of any participant with respect to outstanding awards without the participant’s consent. The plan administrator may amend an award, prospectively or retroactively, but generally such amendment may not impair the rights of any participant without the participant’s consent. Shareholder approval of any such action will be obtained if required to comply with applicable law.</w:t>
      </w:r>
    </w:p>
    <w:p>
      <w:pPr>
        <w:spacing w:after="0" w:line="4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intend to file with the SEC a registration statement on Form S-8 covering the Class A shares issuable under the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We were formed on August 6, 2018 and, as a result, did not have any directors during 2017. New Fortress Energy Holdings (our predecessor for financial reporting purposes) did not award any compensation to members of its board of directors during 2017.</w:t>
      </w:r>
    </w:p>
    <w:p>
      <w:pPr>
        <w:spacing w:after="0" w:line="1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Following the closing of this offering, non-employee directors will receive an annual cash retainer equal to $100,000 per year, payable semiannually. Additionally, the chair of the Audit Committee of the board of directors will receive an additional $10,000 annual cash retainer, payable semiannually. As described in additional detail above under the heading “NFE 2018 Omnibus Incentive Plan – Introduction,” upon the completion of this offering, non-employee directors will also receive a grant of RSUs under the Plan equal to $1,000,000 (calculated based on the price per share in this offering), which will vest in equal parts on the day following each of our first three annual meetings.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5" w:name="page96"/>
    <w:bookmarkEnd w:id="9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7" w:right="20" w:firstLine="360"/>
        <w:spacing w:after="0" w:line="264" w:lineRule="auto"/>
        <w:rPr>
          <w:sz w:val="20"/>
          <w:szCs w:val="20"/>
          <w:color w:val="auto"/>
        </w:rPr>
      </w:pPr>
      <w:r>
        <w:rPr>
          <w:rFonts w:ascii="Arial" w:cs="Arial" w:eastAsia="Arial" w:hAnsi="Arial"/>
          <w:sz w:val="18"/>
          <w:szCs w:val="18"/>
          <w:color w:val="auto"/>
        </w:rPr>
        <w:t>The following table sets forth the beneficial ownership of our Class A shares and Class B shares that will be issued and outstanding upon the consummation of this offering and the related transactions, and assuming the underwriters do not exercise their option to purchase additional Class A shares and held by:</w:t>
      </w:r>
    </w:p>
    <w:p>
      <w:pPr>
        <w:spacing w:after="0" w:line="73" w:lineRule="exact"/>
        <w:rPr>
          <w:sz w:val="20"/>
          <w:szCs w:val="20"/>
          <w:color w:val="auto"/>
        </w:rPr>
      </w:pPr>
    </w:p>
    <w:p>
      <w:pPr>
        <w:ind w:left="707" w:hanging="356"/>
        <w:spacing w:after="0"/>
        <w:tabs>
          <w:tab w:leader="none" w:pos="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beneficial owners of 5% or more of any class of our shares;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director, director nominee and named executive officer;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7" w:lineRule="exact"/>
        <w:rPr>
          <w:sz w:val="20"/>
          <w:szCs w:val="20"/>
          <w:color w:val="auto"/>
        </w:rPr>
      </w:pPr>
    </w:p>
    <w:p>
      <w:pPr>
        <w:ind w:left="7" w:right="360" w:firstLine="360"/>
        <w:spacing w:after="0" w:line="211" w:lineRule="auto"/>
        <w:rPr>
          <w:sz w:val="20"/>
          <w:szCs w:val="20"/>
          <w:color w:val="auto"/>
        </w:rPr>
      </w:pPr>
      <w:r>
        <w:rPr>
          <w:rFonts w:ascii="Arial" w:cs="Arial" w:eastAsia="Arial" w:hAnsi="Arial"/>
          <w:sz w:val="18"/>
          <w:szCs w:val="18"/>
          <w:color w:val="auto"/>
        </w:rPr>
        <w:t>Unless otherwise noted, the address for each beneficial owner listed below is 111 W. 19</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New York 10011.</w:t>
      </w:r>
    </w:p>
    <w:p>
      <w:pPr>
        <w:spacing w:after="0" w:line="6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Percentage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Class A Shares</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Class A 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Class B Shares</w:t>
            </w: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Class B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Class B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Beneficially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Beneficially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Owned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New Fortress Energy Holdings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Director Nominees and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Executive Officers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Wesley R. Edens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Guinta</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Michael J. Utsler</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 A. Nardone</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 William Griffin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Mack</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Matthew Wilkinson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 executive officers and directors as 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  persons)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line="252" w:lineRule="auto"/>
        <w:tabs>
          <w:tab w:leader="none" w:pos="347" w:val="left"/>
        </w:tabs>
        <w:numPr>
          <w:ilvl w:val="0"/>
          <w:numId w:val="56"/>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Class B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 in Connection with the Transactions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In connection with this offering, we will enter into certain agreements with New Fortress Energy Holdings, as described in more detail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connection with the closing of this offering, we will enter into a contribution agreement that will effect the Transactions, including the transfer of the ownership interests in NFI to us, and the use of the net proceeds of this offering. While we believe this agreement is on terms no less favorable to any party than those that could have been negotiated with an unaffiliated third party, it will not be the result of arm’s-length negotiations. All of the transaction expenses incurred in connection with these transactions will be paid from the proceeds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the completion of this offering, we will enter into the Shareholders’ Agreement with New Fortress Energy Holdings.</w:t>
      </w:r>
    </w:p>
    <w:p>
      <w:pPr>
        <w:spacing w:after="0" w:line="1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As discussed further below, the Shareholders’ Agreement will provide certain rights to New Fortress Energy Holdings and its affiliates.</w:t>
      </w:r>
    </w:p>
    <w:p>
      <w:pPr>
        <w:spacing w:after="0" w:line="62"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Our Shareholders’ Agreement will provide that the parties thereto will use their respective reasonable efforts (including voting or causing to be voted all of our voting shares beneficially owned by each) so that no amendment is made to our operating agreement in effect as of the date of the Shareholders’ Agreement that would add restrictions to the transferability of our shares by New Fortress Energy Holdings or its permitted transferees which are beyond those provided for in our operating agreement,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Designation and Election of Directors</w:t>
      </w:r>
    </w:p>
    <w:p>
      <w:pPr>
        <w:spacing w:after="0" w:line="117"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Our Shareholders’ Agreement will provide that, for so long as the Shareholders’ Agreement is in effect, we and New Fortress Energy Holdings shall take all reasonable actions within our respective control (including voting or causing to be voted all of the securities entitled to vote generally in the election of our directors held of record or beneficially owned by New Fortress Energy Holdings or its affiliates, and, with respect to us, including in the slate of nominees recommended by the board those individuals designated by New Fortress Energy Holdings) so as to elect to the board, and to cause to continue in office, not more than directors (or such other number as New Fortress Energy Holdings may agree in writing), of whom, at any given time:</w:t>
      </w:r>
    </w:p>
    <w:p>
      <w:pPr>
        <w:spacing w:after="0" w:line="57" w:lineRule="exact"/>
        <w:rPr>
          <w:sz w:val="20"/>
          <w:szCs w:val="20"/>
          <w:color w:val="auto"/>
        </w:rPr>
      </w:pPr>
    </w:p>
    <w:p>
      <w:pPr>
        <w:ind w:left="700" w:hanging="35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number of directors equal to a majority of the board of directors, plus one director, shall be individuals designated by</w:t>
      </w:r>
    </w:p>
    <w:p>
      <w:pPr>
        <w:spacing w:after="0" w:line="46" w:lineRule="exact"/>
        <w:rPr>
          <w:sz w:val="20"/>
          <w:szCs w:val="20"/>
          <w:color w:val="auto"/>
        </w:rPr>
      </w:pPr>
    </w:p>
    <w:p>
      <w:pPr>
        <w:ind w:left="700" w:right="20"/>
        <w:spacing w:after="0" w:line="281" w:lineRule="auto"/>
        <w:rPr>
          <w:sz w:val="20"/>
          <w:szCs w:val="20"/>
          <w:color w:val="auto"/>
        </w:rPr>
      </w:pPr>
      <w:r>
        <w:rPr>
          <w:rFonts w:ascii="Arial" w:cs="Arial" w:eastAsia="Arial" w:hAnsi="Arial"/>
          <w:sz w:val="16"/>
          <w:szCs w:val="16"/>
          <w:color w:val="auto"/>
        </w:rPr>
        <w:t>New Fortress Energy Holdings, for so long as New Fortress Energy Holdings directly or indirectly beneficially owns, together with its affiliates and permitted transferees, at least % of our voting power, provided that if the board consists of</w:t>
      </w:r>
    </w:p>
    <w:p>
      <w:pPr>
        <w:spacing w:after="0" w:line="1" w:lineRule="exact"/>
        <w:rPr>
          <w:sz w:val="20"/>
          <w:szCs w:val="20"/>
          <w:color w:val="auto"/>
        </w:rPr>
      </w:pPr>
    </w:p>
    <w:p>
      <w:pPr>
        <w:ind w:left="700" w:right="80" w:firstLine="270"/>
        <w:spacing w:after="0" w:line="261" w:lineRule="auto"/>
        <w:rPr>
          <w:sz w:val="20"/>
          <w:szCs w:val="20"/>
          <w:color w:val="auto"/>
        </w:rPr>
      </w:pPr>
      <w:r>
        <w:rPr>
          <w:rFonts w:ascii="Arial" w:cs="Arial" w:eastAsia="Arial" w:hAnsi="Arial"/>
          <w:sz w:val="18"/>
          <w:szCs w:val="18"/>
          <w:color w:val="auto"/>
        </w:rPr>
        <w:t>or fewer directors, then New Fortress Energy Holdings shall have the right to designate a number of directors equal to a majority of the board;</w:t>
      </w:r>
    </w:p>
    <w:p>
      <w:pPr>
        <w:spacing w:after="0" w:line="76" w:lineRule="exact"/>
        <w:rPr>
          <w:sz w:val="20"/>
          <w:szCs w:val="20"/>
          <w:color w:val="auto"/>
        </w:rPr>
      </w:pPr>
    </w:p>
    <w:p>
      <w:pPr>
        <w:ind w:left="700" w:right="20" w:hanging="356"/>
        <w:spacing w:after="0" w:line="291"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number equal to a majority of the board of directors, minus one director, shall be individuals designated by New Fortress Energy Holdings, for so long as New Fortress Energy Holdings directly or indirectly beneficially owns, together with its</w:t>
      </w:r>
    </w:p>
    <w:p>
      <w:pPr>
        <w:ind w:left="700"/>
        <w:spacing w:after="0"/>
        <w:tabs>
          <w:tab w:leader="none" w:pos="4060" w:val="left"/>
          <w:tab w:leader="none" w:pos="5220" w:val="left"/>
        </w:tabs>
        <w:rPr>
          <w:sz w:val="20"/>
          <w:szCs w:val="20"/>
          <w:color w:val="auto"/>
        </w:rPr>
      </w:pPr>
      <w:r>
        <w:rPr>
          <w:rFonts w:ascii="Arial" w:cs="Arial" w:eastAsia="Arial" w:hAnsi="Arial"/>
          <w:sz w:val="18"/>
          <w:szCs w:val="18"/>
          <w:color w:val="auto"/>
        </w:rPr>
        <w:t>affiliates and permitted transferees, less than</w:t>
        <w:tab/>
        <w:t>% but at least</w:t>
      </w:r>
      <w:r>
        <w:rPr>
          <w:sz w:val="20"/>
          <w:szCs w:val="20"/>
          <w:color w:val="auto"/>
        </w:rPr>
        <w:tab/>
      </w:r>
      <w:r>
        <w:rPr>
          <w:rFonts w:ascii="Arial" w:cs="Arial" w:eastAsia="Arial" w:hAnsi="Arial"/>
          <w:sz w:val="16"/>
          <w:szCs w:val="16"/>
          <w:color w:val="auto"/>
        </w:rPr>
        <w:t>% of our voting power, provided that if the board of</w:t>
      </w:r>
    </w:p>
    <w:p>
      <w:pPr>
        <w:spacing w:after="0" w:line="9"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directors consists of or fewer directors, then New Fortress Energy Holdings shall have the right to designate a number of directors equal to three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88"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w:t>
      </w:r>
    </w:p>
    <w:p>
      <w:pPr>
        <w:ind w:left="700" w:right="180"/>
        <w:spacing w:after="0" w:line="290" w:lineRule="auto"/>
        <w:rPr>
          <w:sz w:val="20"/>
          <w:szCs w:val="20"/>
          <w:color w:val="auto"/>
        </w:rPr>
      </w:pPr>
      <w:r>
        <w:rPr>
          <w:rFonts w:ascii="Arial" w:cs="Arial" w:eastAsia="Arial" w:hAnsi="Arial"/>
          <w:sz w:val="17"/>
          <w:szCs w:val="17"/>
          <w:color w:val="auto"/>
        </w:rPr>
        <w:t>and permitted transferees, less than % but at least % of our voting power, provided that if the board of directors consists of or fewer directors, then New Fortress Energy Holdings shall have the right to designate directors; and</w:t>
      </w:r>
    </w:p>
    <w:p>
      <w:pPr>
        <w:spacing w:after="0" w:line="53" w:lineRule="exact"/>
        <w:rPr>
          <w:sz w:val="20"/>
          <w:szCs w:val="20"/>
          <w:color w:val="auto"/>
        </w:rPr>
      </w:pPr>
    </w:p>
    <w:p>
      <w:pPr>
        <w:ind w:left="700" w:hanging="356"/>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number of directors (rounded up to the nearest whole number) that would be required to maintain New Fortress Energy</w:t>
      </w:r>
    </w:p>
    <w:p>
      <w:pPr>
        <w:spacing w:after="0" w:line="46" w:lineRule="exact"/>
        <w:rPr>
          <w:sz w:val="20"/>
          <w:szCs w:val="20"/>
          <w:color w:val="auto"/>
        </w:rPr>
      </w:pPr>
    </w:p>
    <w:p>
      <w:pPr>
        <w:ind w:left="700" w:right="120"/>
        <w:spacing w:after="0" w:line="281" w:lineRule="auto"/>
        <w:rPr>
          <w:sz w:val="20"/>
          <w:szCs w:val="20"/>
          <w:color w:val="auto"/>
        </w:rPr>
      </w:pPr>
      <w:r>
        <w:rPr>
          <w:rFonts w:ascii="Arial" w:cs="Arial" w:eastAsia="Arial" w:hAnsi="Arial"/>
          <w:sz w:val="16"/>
          <w:szCs w:val="16"/>
          <w:color w:val="auto"/>
        </w:rPr>
        <w:t>Holdings’ proportional representation on the board of directors shall be individuals designated by New Fortress Energy Holdings for so long as New Fortress Energy Holdings directly or indirectly beneficially owns, together with its affiliates and permitted transferees, less than % but at least % of our voting power, provided that if the board of directors</w:t>
      </w:r>
    </w:p>
    <w:p>
      <w:pPr>
        <w:sectPr>
          <w:pgSz w:w="11900" w:h="16838" w:orient="portrait"/>
          <w:cols w:equalWidth="0" w:num="1">
            <w:col w:w="9540"/>
          </w:cols>
          <w:pgMar w:left="1180" w:top="279" w:right="1179" w:bottom="1440" w:gutter="0" w:footer="0" w:header="0"/>
        </w:sectPr>
      </w:pPr>
    </w:p>
    <w:p>
      <w:pPr>
        <w:spacing w:after="0" w:line="2" w:lineRule="exact"/>
        <w:rPr>
          <w:sz w:val="20"/>
          <w:szCs w:val="20"/>
          <w:color w:val="auto"/>
        </w:rPr>
      </w:pPr>
    </w:p>
    <w:p>
      <w:pPr>
        <w:ind w:left="700"/>
        <w:spacing w:after="0"/>
        <w:tabs>
          <w:tab w:leader="none" w:pos="1760" w:val="left"/>
          <w:tab w:leader="none" w:pos="8360" w:val="left"/>
        </w:tabs>
        <w:rPr>
          <w:sz w:val="20"/>
          <w:szCs w:val="20"/>
          <w:color w:val="auto"/>
        </w:rPr>
      </w:pPr>
      <w:r>
        <w:rPr>
          <w:rFonts w:ascii="Arial" w:cs="Arial" w:eastAsia="Arial" w:hAnsi="Arial"/>
          <w:sz w:val="18"/>
          <w:szCs w:val="18"/>
          <w:color w:val="auto"/>
        </w:rPr>
        <w:t>consists of</w:t>
      </w:r>
      <w:r>
        <w:rPr>
          <w:sz w:val="20"/>
          <w:szCs w:val="20"/>
          <w:color w:val="auto"/>
        </w:rPr>
        <w:tab/>
      </w:r>
      <w:r>
        <w:rPr>
          <w:rFonts w:ascii="Arial" w:cs="Arial" w:eastAsia="Arial" w:hAnsi="Arial"/>
          <w:sz w:val="18"/>
          <w:szCs w:val="18"/>
          <w:color w:val="auto"/>
        </w:rPr>
        <w:t>or fewer directors, then New Fortress Energy Holdings shall have the right to designate</w:t>
      </w:r>
      <w:r>
        <w:rPr>
          <w:sz w:val="20"/>
          <w:szCs w:val="20"/>
          <w:color w:val="auto"/>
        </w:rPr>
        <w:tab/>
      </w:r>
      <w:r>
        <w:rPr>
          <w:rFonts w:ascii="Arial" w:cs="Arial" w:eastAsia="Arial" w:hAnsi="Arial"/>
          <w:sz w:val="16"/>
          <w:szCs w:val="16"/>
          <w:color w:val="auto"/>
        </w:rPr>
        <w:t>directors.</w:t>
      </w:r>
    </w:p>
    <w:p>
      <w:pPr>
        <w:sectPr>
          <w:pgSz w:w="11900" w:h="16838" w:orient="portrait"/>
          <w:cols w:equalWidth="0" w:num="1">
            <w:col w:w="9540"/>
          </w:cols>
          <w:pgMar w:left="1180" w:top="279" w:right="1179" w:bottom="1440" w:gutter="0" w:footer="0" w:header="0"/>
          <w:type w:val="continuous"/>
        </w:sectPr>
      </w:pP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accordance with the Shareholders’ Agreement, New Fortress Energy Holdings has designated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for election to</w:t>
      </w:r>
    </w:p>
    <w:p>
      <w:pPr>
        <w:spacing w:after="0" w:line="45" w:lineRule="exact"/>
        <w:rPr>
          <w:sz w:val="20"/>
          <w:szCs w:val="20"/>
          <w:color w:val="auto"/>
        </w:rPr>
      </w:pPr>
    </w:p>
    <w:p>
      <w:pPr>
        <w:sectPr>
          <w:pgSz w:w="11900" w:h="16838" w:orient="portrait"/>
          <w:cols w:equalWidth="0" w:num="4">
            <w:col w:w="7300" w:space="260"/>
            <w:col w:w="60" w:space="300"/>
            <w:col w:w="260" w:space="320"/>
            <w:col w:w="1040"/>
          </w:cols>
          <w:pgMar w:left="1180" w:top="279" w:right="1179" w:bottom="1440" w:gutter="0" w:footer="0" w:header="0"/>
          <w:type w:val="continuous"/>
        </w:sectPr>
      </w:pPr>
    </w:p>
    <w:p>
      <w:pPr>
        <w:spacing w:after="0"/>
        <w:rPr>
          <w:sz w:val="20"/>
          <w:szCs w:val="20"/>
          <w:color w:val="auto"/>
        </w:rPr>
      </w:pPr>
      <w:r>
        <w:rPr>
          <w:rFonts w:ascii="Arial" w:cs="Arial" w:eastAsia="Arial" w:hAnsi="Arial"/>
          <w:sz w:val="18"/>
          <w:szCs w:val="18"/>
          <w:color w:val="auto"/>
        </w:rPr>
        <w:t>our board of directors.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agreement will provide that we will indemnify New Fortress Energy Holdings and its officers, directors, employees, agents and affiliates against losses arising out of third-party claims (including litigation matters and other claims) based on, arising out of or resulting from:</w:t>
      </w:r>
    </w:p>
    <w:p>
      <w:pPr>
        <w:spacing w:after="0" w:line="73" w:lineRule="exact"/>
        <w:rPr>
          <w:sz w:val="20"/>
          <w:szCs w:val="20"/>
          <w:color w:val="auto"/>
        </w:rPr>
      </w:pPr>
    </w:p>
    <w:p>
      <w:pPr>
        <w:ind w:left="700" w:right="640" w:hanging="356"/>
        <w:spacing w:after="0" w:line="277"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ownership or the operation of our assets or properties, and the operation or conduct of our business, prior to or following this offering;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addition, we will agree to indemnify New Fortress Energy Holdings and its officers, directors, employees, agents and affiliates against losses, including liabilities under the Securities Act and the Exchange Act, relating to misstatements in or omissions from the registration statement of which this prospectus is a part and any other registration statement or report that we file, other than misstatements or omissions made in reliance on information relating to and furnished by New Fortress Energy Holdings for use in the preparation of that registration statement or report, against which New Fortress Energy Holdings will agree to indemnify us.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i w:val="1"/>
          <w:iCs w:val="1"/>
          <w:color w:val="auto"/>
        </w:rPr>
        <w:t>Demand Rights</w:t>
      </w:r>
      <w:r>
        <w:rPr>
          <w:rFonts w:ascii="Arial" w:cs="Arial" w:eastAsia="Arial" w:hAnsi="Arial"/>
          <w:sz w:val="17"/>
          <w:szCs w:val="17"/>
          <w:color w:val="auto"/>
        </w:rPr>
        <w:t>. Under our Shareholders’ Agreement, New Fortress Energy Holdings will have, for so long as New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directly or indirectly beneficially owns, together with its affiliates, an amount of our Class A and Class B shares (whether owned at the time of this offering or subsequently acquired) equal to or greater than 1% of the Class A and Class B shares issued and outstanding immediately after the consummation of this offering (a “Registrable Amount”), “demand” registration rights that allow New Fortress Energy Holdings, for itself and for its affiliates and permitted transferees, at any time after 180 days following the consummation of this offering, to request that we register under the Securities Act an amount of Class A shares equal to or greater than a Registrable Amount. New Fortress Energy Holdings, for itself and for its affiliates and permitted transferees, will be entitled to unlimited demand registrations so long as such persons, together, beneficially own a Registrable Amount. We will also not be required to effect any demand registration within one month of a “firm commitment” underwritten offering to which the requestor held “piggyback” rights, described below, and which included at least 50% of the Class A shares requested by the requestor to be included. We will not be obligated to grant a request for a demand registration within three months of any other demand registration.</w:t>
      </w:r>
    </w:p>
    <w:p>
      <w:pPr>
        <w:spacing w:after="0" w:line="7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i w:val="1"/>
          <w:iCs w:val="1"/>
          <w:color w:val="auto"/>
        </w:rPr>
        <w:t>Piggyback Rights</w:t>
      </w:r>
      <w:r>
        <w:rPr>
          <w:rFonts w:ascii="Arial" w:cs="Arial" w:eastAsia="Arial" w:hAnsi="Arial"/>
          <w:sz w:val="18"/>
          <w:szCs w:val="18"/>
          <w:color w:val="auto"/>
        </w:rPr>
        <w:t>. For so long as New Fortress Energy Holdings beneficially owns, together with its affiliates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transferees, a Registrable Amount, New Fortress Energy Holdings (and its affiliates and permitted transferees) will also have “piggyback” registration rights that allow them to include Class A shares that they own in any public offering of equity securities initiated by us (other than those public offerings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pursuant to registration statements on Form S-4 or Form S-8 or pursuant to an employee benefit plan arrangement) or by any of our other shareholders that have registration rights. These “piggyback” registration rights will be subject to proportional cutbacks based on the manner of the offering and the identity of the party initiating such offering.</w:t>
      </w:r>
    </w:p>
    <w:p>
      <w:pPr>
        <w:spacing w:after="0" w:line="7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Shelf Registration</w:t>
      </w:r>
      <w:r>
        <w:rPr>
          <w:rFonts w:ascii="Arial" w:cs="Arial" w:eastAsia="Arial" w:hAnsi="Arial"/>
          <w:sz w:val="17"/>
          <w:szCs w:val="17"/>
          <w:color w:val="auto"/>
        </w:rPr>
        <w:t>. Under our Shareholders’ Agreement, we will grant to New Fortress Energy Holdings or any of its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 month period) if we determine that certain disclosures required by the shelf registration statement would be detrimental to us or our shareholders. In addition, New Fortress Energy Holdings, for itself and for its affiliates and permitted transferees, may elect to participate in such shelf registrations within ten days after notice of the registration is given.</w:t>
      </w:r>
    </w:p>
    <w:p>
      <w:pPr>
        <w:spacing w:after="0" w:line="7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Indemnification; Expenses; Lock-ups</w:t>
      </w:r>
      <w:r>
        <w:rPr>
          <w:rFonts w:ascii="Arial" w:cs="Arial" w:eastAsia="Arial" w:hAnsi="Arial"/>
          <w:sz w:val="17"/>
          <w:szCs w:val="17"/>
          <w:color w:val="auto"/>
        </w:rPr>
        <w:t>. Under our Shareholders’ Agreement, we will agree to indemnify the applicable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agree to indemnify us against all losses caused by its misstatements or omissions. We will pay all registration and offering-related expenses incidental to our performance under the Shareholders’ Agreement, and the applicable selling shareholder will pay its portion of all underwriting discounts, commissions and transfer taxes, if any, relating to the sale of its Class A shares under the Shareholders’ Agreement. We have agreed to enter into, and to cause our officers and directors to enter into, lock-up agreements in connection with any exercise of registration rights by New Fortress Energy Holdings, for itself and for its affiliates and permitted transferees.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Information Rights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Shareholders’ Agreement, New Fortress Energy Holdings will have the right to request certain information from us.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Assistance in the Sale of New Fortress Energy Holdings’ Shares</w:t>
      </w:r>
    </w:p>
    <w:p>
      <w:pPr>
        <w:spacing w:after="0" w:line="117"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Under our Shareholders’ Agreement, if New Fortress Energy Holdings seeks to sell its Class A shares other than pursuant to a registration statement, we shall use our reasonable best efforts to assist New Fortress Energy Holdings in the sale process, including by providing information to potential purchasers as requested by New Fortress Energy Holdings.</w:t>
      </w:r>
    </w:p>
    <w:p>
      <w:pPr>
        <w:spacing w:after="0" w:line="5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addition, if the board of the directors starts and then abandons a sale process and New Fortress Energy Holdings indicates that it wants to sell its Class A shares, we shall permit New Fortress Energy Holdings to engage in discussions with potential purchasers who participated in the abandoned sales process. We shall be obligated to assist New Fortress Energy Holdings in any such sale process to the extent required by the paragraph above.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form of NFI LLC Agreement is filed as an exhibit to the registration statement of which this prospectus forms a part, and the following description of the NFI LLC Agreement is qualified in its entirety by reference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jc w:val="both"/>
        <w:ind w:right="60" w:firstLine="360"/>
        <w:spacing w:after="0" w:line="259" w:lineRule="auto"/>
        <w:rPr>
          <w:sz w:val="20"/>
          <w:szCs w:val="20"/>
          <w:color w:val="auto"/>
        </w:rPr>
      </w:pPr>
      <w:r>
        <w:rPr>
          <w:rFonts w:ascii="Arial" w:cs="Arial" w:eastAsia="Arial" w:hAnsi="Arial"/>
          <w:sz w:val="18"/>
          <w:szCs w:val="18"/>
          <w:color w:val="auto"/>
        </w:rPr>
        <w:t>Following this offering, under the NFI LLC Agreement, New Fortress Energy Holdings and any permitted transferees of their NFI LLC Units will, subject to 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our board of directors. Wesley Edens and Randal Nardone will serve as members of such committee. Alternatively, upon the exercise of the Redemption Right, NFE (instead of NFI) will have the right, pursuant to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 and Allocations</w:t>
      </w:r>
    </w:p>
    <w:p>
      <w:pPr>
        <w:spacing w:after="0" w:line="117"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In accordance with the NFI LLC Agreement, subject to the requirement to make tax distributions described below, we will have the right to determine when distributions will be made to the holders of NFI LLC Units and the amount of any such distributions. Following this offering, if we authorize a distribution, such distribution will be made to the holders of NFI LLC Units generally on a pro rata basis in accordance with their respective percentage ownership of NFI LLC Units.</w:t>
      </w:r>
    </w:p>
    <w:p>
      <w:pPr>
        <w:spacing w:after="0" w:line="63"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NFI will allocate its net income or net loss for each year to the holders of NFI LLC Units pursuant to the terms of the NFI LLC Agreement, and the holders of NFI LLC Units, including NFE, will generally incur U.S. federal, state and local income taxes on their share of any taxable income of NFI. Net income and losses of NFI generally will be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intend to cause NFI to make (i) generally pro rata distributions to its unitholders, including NFE, in an amount sufficient to allow NFE to pay its taxes, (ii) at the election of certain holders of NFI LLC Units, additional distributions in an amount generally intended to allow such holders to satisfy their respective income tax liabilities with respect to their allocable share of the income of NFI (based on certain assumptions and conventions), which additional distributions may be made on a pro rata basis to all holders of NFI LLC Units or a non-pro rata basis in redemption of NFI LLC Units from the relevant holders, and (iii) non-pro rata distributions to NFE in an amount at least sufficient to reimburse it for its corporate and other overhead expenses.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Issuance of Equity</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The NFI LLC Agreement will provide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property for our Miami Facility from an affiliate of Fortress.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letter of credit.</w:t>
      </w:r>
    </w:p>
    <w:p>
      <w:pPr>
        <w:spacing w:after="0" w:line="46"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Mr. Edens owns or leases an aircraft that we charter from a third-party aircraft operator for business purposes in the ordinary course of operations. We incurred $2.9 million and $1.6 million for the years ended December 31, 2017 and 2016, respectively, and such amounts are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are party to an administrative services agreement with FIG LLC, an affiliate of Fortress, pursuant to which FIG LLC provides us with certain back-office services and charges us for selling, general and administrative expenses incurred to provide these services. For the years ended December 31, 2017 and 2016, we paid FIG LLC $3.9 million and $2.2 million, respectively, for services provided under the administrative services agreement.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We expect that our Board will adopt a written policy that outlines procedures for approving transactions with related persons, and that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 such as: the terms of the transaction; the terms available to unrelated third parties; the benefits to the Company; and the availability of other sources for comparable assets, products or services.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Class A shares are entitled to one vote per share held of record on all matters to be voted upon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our Class A shares are entitled to ratably receive dividends when and if declared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out of funds legally available for that purpose, subject to any statutory or contractual restrictions on the payment of dividends and to any prior rights and preferences that may be applicable to any outstanding preferred shares.</w:t>
      </w:r>
    </w:p>
    <w:p>
      <w:pPr>
        <w:spacing w:after="0" w:line="5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distribution of assets or other winding up, the holders of Class A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the assets available for distribution to the shareholders after payment of liabilities and the liquidation preference of any of our outstanding preferred shares.</w:t>
      </w:r>
    </w:p>
    <w:p>
      <w:pPr>
        <w:spacing w:after="0" w:line="73"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 or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by us. There are no redemption or sinking fund provisions applicable to the Class A shares. All outstanding Class A shares, including the Class A shares offered in this offering, are fully paid and non-assessable.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connection with the reorganization and this offering, the NFI unitholders will receive one Class B share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NFI LLC Unit that they hold. Accordingly, the NFI unitholders will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 be voted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 It is not possible to state the actual effect of the issuance of 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preferred shares on the rights of holders of our Class A shares until our board of directors determines the specific rights attached to such preference share. The effect of issuing preferred shares may include, among other things, one or more of the following:</w:t>
      </w:r>
    </w:p>
    <w:p>
      <w:pPr>
        <w:spacing w:after="0" w:line="16" w:lineRule="exact"/>
        <w:rPr>
          <w:sz w:val="20"/>
          <w:szCs w:val="20"/>
          <w:color w:val="auto"/>
        </w:rPr>
      </w:pPr>
    </w:p>
    <w:p>
      <w:pPr>
        <w:ind w:left="700" w:hanging="35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restricting any dividends in respect of our Class A shares;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diluting the voting power of our Class A shares or providing that holders of preferred shares have the right to vote on matters as a class;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impairing the liquidation rights of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delaying or preventing a change of control of us; or</w:t>
      </w:r>
    </w:p>
    <w:p>
      <w:pPr>
        <w:spacing w:after="0" w:line="117" w:lineRule="exact"/>
        <w:rPr>
          <w:rFonts w:ascii="Arial" w:cs="Arial" w:eastAsia="Arial" w:hAnsi="Arial"/>
          <w:sz w:val="18"/>
          <w:szCs w:val="18"/>
          <w:color w:val="auto"/>
        </w:rPr>
      </w:pPr>
    </w:p>
    <w:p>
      <w:pPr>
        <w:ind w:left="700" w:right="60" w:hanging="356"/>
        <w:spacing w:after="0" w:line="26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NFE issues preferred shares, NFI will concurrently issue to NFE an equal number of preferred units, corresponding to the preferred shares issued by NFE. Such preferred units will have substantially the same rights to distributions and other economic rights as those of the preferred shares of NFE.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Duties</w:t>
      </w:r>
    </w:p>
    <w:p>
      <w:pPr>
        <w:spacing w:after="0" w:line="11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American Stock Transfer &amp; Trust Company, LLC will serve as the registrar and transfer agent for the Class A shares. We will pay all fees charged by the transfer agent for transfers of Class A shares except the following, which must be paid by our Class A shareholders:</w:t>
      </w:r>
    </w:p>
    <w:p>
      <w:pPr>
        <w:spacing w:after="0" w:line="73" w:lineRule="exact"/>
        <w:rPr>
          <w:sz w:val="20"/>
          <w:szCs w:val="20"/>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There will be no charge to our Class A shareholders for disbursements of any dividends.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73" w:lineRule="exact"/>
        <w:rPr>
          <w:sz w:val="20"/>
          <w:szCs w:val="20"/>
          <w:color w:val="auto"/>
        </w:rPr>
      </w:pPr>
    </w:p>
    <w:p>
      <w:pPr>
        <w:ind w:left="700" w:hanging="3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represents that the transferee has the capacity, power and authority to enter into our operating agreement; and</w:t>
      </w:r>
    </w:p>
    <w:p>
      <w:pPr>
        <w:spacing w:after="0" w:line="128" w:lineRule="exact"/>
        <w:rPr>
          <w:rFonts w:ascii="Arial" w:cs="Arial" w:eastAsia="Arial" w:hAnsi="Arial"/>
          <w:sz w:val="17"/>
          <w:szCs w:val="17"/>
          <w:color w:val="auto"/>
        </w:rPr>
      </w:pPr>
    </w:p>
    <w:p>
      <w:pPr>
        <w:ind w:left="700" w:right="300" w:hanging="356"/>
        <w:spacing w:after="0" w:line="342"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makes the consents, acknowledgements and waivers contained in our operating agreement, such as the approval of all transactions and agreements that we are entering into in connection with our formation and this offering.</w:t>
      </w:r>
    </w:p>
    <w:p>
      <w:pPr>
        <w:spacing w:after="0" w:line="1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62"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shares and Class B shares are securities and any transfers are subject to the laws governing the transfer of securities.</w:t>
      </w:r>
    </w:p>
    <w:p>
      <w:pPr>
        <w:spacing w:after="0" w:line="14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700" w:right="200" w:hanging="356"/>
        <w:spacing w:after="0" w:line="277"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6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shareholder or assignee to reflect:</w:t>
      </w:r>
    </w:p>
    <w:p>
      <w:pPr>
        <w:spacing w:after="0" w:line="62" w:lineRule="exact"/>
        <w:rPr>
          <w:sz w:val="20"/>
          <w:szCs w:val="20"/>
          <w:color w:val="auto"/>
        </w:rPr>
      </w:pPr>
    </w:p>
    <w:p>
      <w:pPr>
        <w:ind w:left="700" w:hanging="35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change in our name, the location of our principal place of our business, our registered agent or our registered office;</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shareholders in accordance with our operating agreement;</w:t>
      </w:r>
    </w:p>
    <w:p>
      <w:pPr>
        <w:spacing w:after="0" w:line="128" w:lineRule="exact"/>
        <w:rPr>
          <w:rFonts w:ascii="Arial" w:cs="Arial" w:eastAsia="Arial" w:hAnsi="Arial"/>
          <w:sz w:val="17"/>
          <w:szCs w:val="17"/>
          <w:color w:val="auto"/>
        </w:rPr>
      </w:pPr>
    </w:p>
    <w:p>
      <w:pPr>
        <w:jc w:val="both"/>
        <w:ind w:left="700" w:right="80" w:hanging="356"/>
        <w:spacing w:after="0" w:line="264"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3" w:lineRule="exact"/>
        <w:rPr>
          <w:rFonts w:ascii="Arial" w:cs="Arial" w:eastAsia="Arial" w:hAnsi="Arial"/>
          <w:sz w:val="18"/>
          <w:szCs w:val="18"/>
          <w:color w:val="auto"/>
        </w:rPr>
      </w:pPr>
    </w:p>
    <w:p>
      <w:pPr>
        <w:ind w:left="700" w:right="860" w:hanging="356"/>
        <w:spacing w:after="0" w:line="342" w:lineRule="auto"/>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700" w:right="40" w:hanging="356"/>
        <w:spacing w:after="0" w:line="25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80"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amendment expressly permitted in our operating agreement to be made by our board of directors acting alone;</w:t>
      </w:r>
    </w:p>
    <w:p>
      <w:pPr>
        <w:spacing w:after="0" w:line="128" w:lineRule="exact"/>
        <w:rPr>
          <w:rFonts w:ascii="Arial" w:cs="Arial" w:eastAsia="Arial" w:hAnsi="Arial"/>
          <w:sz w:val="17"/>
          <w:szCs w:val="17"/>
          <w:color w:val="auto"/>
        </w:rPr>
      </w:pPr>
    </w:p>
    <w:p>
      <w:pPr>
        <w:ind w:left="700" w:right="200" w:hanging="356"/>
        <w:spacing w:after="0" w:line="277"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700" w:right="280" w:hanging="356"/>
        <w:spacing w:after="0" w:line="342"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5"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3"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Limited Liability Company Act (the “Delaware LLC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required to keep appropriate books of our business at our principal offices. The books will be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provided, however, that we will only be required to provide access to our books and records to shareholders who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have held over 1% of our total outstanding shares for a period of at least one year from the date of such request. We will use reasonable efforts to furnish to you an annual report containing audited consolidated financial statements and a report on those consolidated financial statements by our independent public accountants. We will be deemed to have made any such report available if we file such report with the SEC on EDGAR or make the report available on a publicly available website that we maintain.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Our board of directors will consist of directors and will be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5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3"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at least 80% of the total combined voting power of all of our outstanding Class A shares and Class B shares then entitled to vote at an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Officers and Directors</w:t>
      </w:r>
    </w:p>
    <w:p>
      <w:pPr>
        <w:spacing w:after="0" w:line="12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Our operating agreement provides that our business and affairs shall be managed under the direction of our board of directors, which shall have the power to appoint our officers. Our operating agreement further provides that the authority and function of our board of directors and officers shall be identical to the authority and functions of a board of directors and officers of a corporation organized under the Delaware General Corporation Law, or DGCL, except as expressly modified by the terms of the operating agreement. Finally, our operating agreement provides that except as specifically provided therein, the fiduciary duties and obligations owed to our limited liability company and to our members shall be the same as the respective duties and obligations owed by officers and directors of a corporation organized under the DGCL to their corporation and stockholders, respectively.</w:t>
      </w:r>
    </w:p>
    <w:p>
      <w:pPr>
        <w:spacing w:after="0" w:line="59"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However, there are certain provisions in our operating agreement that modify duties and obligations owed by our directors and officers from those required under the DGCL and provide for exculpation and indemnification of our officers and directors that differ from the DGCL. First, 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stock or declaration of a dividend, or (iv) a transaction from which the director derived an improper personal benefit.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Second, our operating agreement provides that we indemnify our directors and officers for acts or omissions to the fullest extent permitted by law. Under the DGCL, a corporation can only indemnify directors and officers for acts or omissions if the director or officer acted in good faith, in a manner the person reasonably believed to be in or not opposed to the best interests of the corporation, and, in a criminal action, if the officer or director had no reasonable cause to believe the person's conduct was unlawful.</w:t>
      </w:r>
    </w:p>
    <w:p>
      <w:pPr>
        <w:spacing w:after="0" w:line="46"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Third, our operating agreement provides that in the event a potential conflict of interest exists or arises between any of our principals, our directors or their respective affiliates, on the one hand, and us, any of our subsidiaries or any of our shareholders, on the other hand, a resolution or course of action by our board of directors shall be deemed approved by all of our shareholders, and shall not constitute a breach of the fiduciary duties of members of the board to us or our shareholders, if such resolution or course of action is (i) approved by our nominating, corporate governance and conflicts committee, which is composed of independent directors, (ii) approved by shareholders holding a majority of our shares that are disinterested parties, (iii) on terms no less favorable than those generally provided to or available from unrelated third parties, or (iv) fair and reasonable to us. Under the DGCL, a corporation is not permitted to automatically exempt board members from claims of breach of fiduciary duty under such circumstances.</w:t>
      </w:r>
    </w:p>
    <w:p>
      <w:pPr>
        <w:spacing w:after="0" w:line="8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our operating agreement provides that all conflicts of interest described in this prospectus are deemed to have been specifically approved by all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Members of Our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Beginning with our first annual meeting of shareholders following this offering, certain members of our board of directors will</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 elected by our shareholders on a staggered basis. Our board of directors will initially consist of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Any vacancy on the board of directors may be filled by a majority of the directors then in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operating agreement will provide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Chancery of the State of Delaware will, to the fullest extent permitted by applicable law, be the sole and exclusive forum for:</w:t>
      </w:r>
    </w:p>
    <w:p>
      <w:pPr>
        <w:spacing w:after="0" w:line="114" w:lineRule="exact"/>
        <w:rPr>
          <w:sz w:val="20"/>
          <w:szCs w:val="20"/>
          <w:color w:val="auto"/>
        </w:rPr>
      </w:pPr>
    </w:p>
    <w:p>
      <w:pPr>
        <w:ind w:left="700" w:hanging="3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68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operating agreement will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LLC Act.</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80"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ind w:left="700" w:right="140" w:hanging="356"/>
        <w:spacing w:after="0" w:line="286"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700" w:right="520" w:hanging="356"/>
        <w:spacing w:after="0" w:line="264"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Immediately prior to this offering, there was no public market for our Class A shares. Future sales of substantial amounts of Class A shares in the market (including Class A shares issuable upon exercise of the Redemption Right), or the perception that such sales may occur, could adversely affect the market price of our Class A shares.</w:t>
      </w:r>
    </w:p>
    <w:p>
      <w:pPr>
        <w:spacing w:after="0" w:line="73" w:lineRule="exact"/>
        <w:rPr>
          <w:sz w:val="20"/>
          <w:szCs w:val="20"/>
          <w:color w:val="auto"/>
        </w:rPr>
      </w:pPr>
    </w:p>
    <w:p>
      <w:pPr>
        <w:jc w:val="right"/>
        <w:ind w:right="60"/>
        <w:spacing w:after="0" w:line="288" w:lineRule="auto"/>
        <w:rPr>
          <w:sz w:val="20"/>
          <w:szCs w:val="20"/>
          <w:color w:val="auto"/>
        </w:rPr>
      </w:pPr>
      <w:r>
        <w:rPr>
          <w:rFonts w:ascii="Arial" w:cs="Arial" w:eastAsia="Arial" w:hAnsi="Arial"/>
          <w:sz w:val="16"/>
          <w:szCs w:val="16"/>
          <w:color w:val="auto"/>
        </w:rPr>
        <w:t>Upon the closing of this offering, we will have outstanding an aggregate of       Class A shares, assuming the issuance of Class A shares offering by us in this offering. Our Class A shares sold in this offering will generally be freely transferable without restriction or further registration under the Securities Act, except that any Class A shares held by an “affiliate” of ours may</w:t>
      </w:r>
    </w:p>
    <w:p>
      <w:pPr>
        <w:ind w:right="40"/>
        <w:spacing w:after="0" w:line="255" w:lineRule="auto"/>
        <w:rPr>
          <w:sz w:val="20"/>
          <w:szCs w:val="20"/>
          <w:color w:val="auto"/>
        </w:rPr>
      </w:pPr>
      <w:r>
        <w:rPr>
          <w:rFonts w:ascii="Arial" w:cs="Arial" w:eastAsia="Arial" w:hAnsi="Arial"/>
          <w:sz w:val="18"/>
          <w:szCs w:val="18"/>
          <w:color w:val="auto"/>
        </w:rPr>
        <w:t>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82" w:lineRule="exact"/>
        <w:rPr>
          <w:sz w:val="20"/>
          <w:szCs w:val="20"/>
          <w:color w:val="auto"/>
        </w:rPr>
      </w:pPr>
    </w:p>
    <w:p>
      <w:pPr>
        <w:ind w:left="700" w:hanging="35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total number of the securities outstanding;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shares for the four weeks prior to the sale.</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our Class A shares for at least six months (provided we are in compliance with the current public information requirement), or one year (regardless of whether we are in compliance with the current public information requirement), would be entitled to sell those Class A shares under Rule 144, subject only to the current public information requirement. After beneficially owning Rule 144 restricted shares for at least one year, a person who is not deemed to have been an affiliate of ours at any time during the 90 days preceding a sale would be entitled to freely sell those Class A shares without regard to the public information requirements, volume limitations, manner of sale provisions and notice requirements of Rule 144.</w:t>
      </w:r>
    </w:p>
    <w:p>
      <w:pPr>
        <w:spacing w:after="0" w:line="7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Our operating agreement provides that we may issue an unlimited number of limited liability company interests of any type at any time without a vote of the shareholders, subject to the requirements of NASDAQ. Any issuance of additional Class A shares or other limited liability company interests would result in a corresponding decrease in the proportionate ownership interest in us represented by, and could adversely affect the market price of, Class A shares then outstanding. Please read “Our Operating Agreement—Anti-Takeover Effects of Delaware Law and Our Operating Agreement—Issuance of Additional Interests.”</w:t>
      </w:r>
    </w:p>
    <w:p>
      <w:pPr>
        <w:spacing w:after="0" w:line="50"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Under the Shareholders’ Agreement that we expect to enter into, New Fortress Energy Holdings and its affiliates will have the right to cause us to register under the Securities Act and applicable state securities laws the offer and sale of any shares that they hold. Subject to the terms and conditions of the Shareholders’ Agreement, these registration rights allow New Fortress Energy Holdings and its affiliates or their assignees holding any shares to require registration of any of these shares and to include any of these shares in a registration by us of other shares, including shares offered by us or by any shareholder. In connection with any registration of this kind, we will indemnify each shareholder participating in the registration and its officers, directors, and controlling persons from and against any liabilities under the Securities Act or any applicable state securities laws arising from the registration statement or prospectus. We will bear all costs and expenses incidental to any registration, excluding any underwriting discount. Except as described below, New Fortress Energy Holdings and its affiliates may sell their shares in private transactions at any time, subject to compliance with applicable laws.</w:t>
      </w:r>
    </w:p>
    <w:p>
      <w:pPr>
        <w:spacing w:after="0" w:line="7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executive officers and directors and New Fortress Energy Holdings have agreed not to sell any Class A shares they beneficially own for a period of 180 days from the date of this prospectus. Please read “Underwriting (Conflicts of Interest)” for a description of these lock-up provisions.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71"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46" w:lineRule="exact"/>
        <w:rPr>
          <w:sz w:val="20"/>
          <w:szCs w:val="20"/>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ind w:left="700" w:hanging="356"/>
        <w:spacing w:after="0" w:line="342"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 or any other person that is subject to special rules or exemptions under the Foreign Investment in Real Property Tax Act;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58" w:lineRule="exact"/>
        <w:rPr>
          <w:sz w:val="20"/>
          <w:szCs w:val="20"/>
          <w:color w:val="auto"/>
        </w:rPr>
      </w:pPr>
    </w:p>
    <w:p>
      <w:pPr>
        <w:ind w:firstLine="360"/>
        <w:spacing w:after="0" w:line="277" w:lineRule="auto"/>
        <w:rPr>
          <w:sz w:val="20"/>
          <w:szCs w:val="20"/>
          <w:color w:val="auto"/>
        </w:rPr>
      </w:pPr>
      <w:r>
        <w:rPr>
          <w:rFonts w:ascii="Arial" w:cs="Arial" w:eastAsia="Arial" w:hAnsi="Arial"/>
          <w:sz w:val="17"/>
          <w:szCs w:val="17"/>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shares that is not for U.S. federal income tax purposes a partnership or any of the following:</w:t>
      </w:r>
    </w:p>
    <w:p>
      <w:pPr>
        <w:spacing w:after="0" w:line="62" w:lineRule="exact"/>
        <w:rPr>
          <w:sz w:val="20"/>
          <w:szCs w:val="20"/>
          <w:color w:val="auto"/>
        </w:rPr>
      </w:pPr>
    </w:p>
    <w:p>
      <w:pPr>
        <w:ind w:left="700" w:hanging="35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shares to consult their tax advisors regarding the U.S. federal income tax considerations of the purchase, ownership and disposition of our Class A shares by such partnership.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U.S. Federal Income Taxation</w:t>
      </w:r>
    </w:p>
    <w:p>
      <w:pPr>
        <w:spacing w:after="0" w:line="121"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Although NFE was formed as a limited liability company, we have elected to be taxed as a corporation for U.S. federal income tax purposes. Thus, NFE is generally obligated to pay U.S. federal income tax on our worldwide net taxable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As described in the section entitled “Dividend Policy,” we do not plan to make any distributions on our Class A shares for the foreseeable future. However, in the event we do make distributions of cash or other property on our Class A shares,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shares (and will reduce such tax basis) and thereafter as capital gain from the sale or exchange of such Class A shares. See “—Gain on Disposition of Class A Shares.”</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5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“—Additional Withholding Requirements under FATCA,” a non-U.S. holder generally will not be subject to U.S. federal income tax or withholding on any gain realized upon the sale or other disposition of our Class A shares unless:</w:t>
      </w:r>
    </w:p>
    <w:p>
      <w:pPr>
        <w:spacing w:after="0" w:line="73" w:lineRule="exact"/>
        <w:rPr>
          <w:sz w:val="20"/>
          <w:szCs w:val="20"/>
          <w:color w:val="auto"/>
        </w:rPr>
      </w:pPr>
    </w:p>
    <w:p>
      <w:pPr>
        <w:ind w:left="700" w:right="300" w:hanging="356"/>
        <w:spacing w:after="0" w:line="342"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5" w:lineRule="exact"/>
        <w:rPr>
          <w:rFonts w:ascii="Arial" w:cs="Arial" w:eastAsia="Arial" w:hAnsi="Arial"/>
          <w:sz w:val="16"/>
          <w:szCs w:val="16"/>
          <w:color w:val="auto"/>
        </w:rPr>
      </w:pPr>
    </w:p>
    <w:p>
      <w:pPr>
        <w:ind w:left="700" w:right="280" w:hanging="356"/>
        <w:spacing w:after="0" w:line="264"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3" w:lineRule="exact"/>
        <w:rPr>
          <w:rFonts w:ascii="Arial" w:cs="Arial" w:eastAsia="Arial" w:hAnsi="Arial"/>
          <w:sz w:val="18"/>
          <w:szCs w:val="18"/>
          <w:color w:val="auto"/>
        </w:rPr>
      </w:pPr>
    </w:p>
    <w:p>
      <w:pPr>
        <w:ind w:left="700" w:right="100" w:hanging="356"/>
        <w:spacing w:after="0" w:line="286"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Class A shares constitute a United States real property interest in the event that we are or become a United States real property holding corporation (“USRPHC”) for U.S. federal income tax purposes and as a result such gain is treated as effectively connected with a trade or business conducted by the non-U.S. holder in the United States.</w:t>
      </w:r>
    </w:p>
    <w:p>
      <w:pPr>
        <w:spacing w:after="0" w:line="5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3"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57"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shares are treated as “regularly traded on an established securities market” (within the meaning of the U.S. Treasury Regulations) at the time of the disposition,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U.S. real property interest and will be taxable on gain realized on the disposition of our Class A shares as a result of our status as a USRPHC. If we are or become a USRPHC and our Class A shares were not considered to be regularly traded on an established securities market, such holder (regardless of the percentage of stock owned) would be treated as disposing of a U.S. real property interest and would be subject to U.S. federal income tax on a taxable disposition of our Class A shares (as described in the preceding paragraph), and a 15% withholding tax would apply to the gross proceeds from such disposition. In addition, if we are or become a USRPHC, we may be required to withhold 15% of any distribution to a non-U.S. holder to the extent such distribution is not treated as paid from our current or accumulated earnings and profits if either our Class A shares are not then treated as regularly traded on an established securities market or the non-U.S. holder owns in excess of 5% of our Class A shares.</w:t>
      </w:r>
    </w:p>
    <w:p>
      <w:pPr>
        <w:spacing w:after="0" w:line="81" w:lineRule="exact"/>
        <w:rPr>
          <w:sz w:val="20"/>
          <w:szCs w:val="20"/>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73"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59"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69" w:lineRule="exact"/>
        <w:rPr>
          <w:sz w:val="20"/>
          <w:szCs w:val="20"/>
          <w:color w:val="auto"/>
        </w:rPr>
      </w:pPr>
    </w:p>
    <w:p>
      <w:pPr>
        <w:jc w:val="both"/>
        <w:ind w:right="80" w:firstLine="360"/>
        <w:spacing w:after="0" w:line="261"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following is a summary of certain considerations associated with the acquisition and holding of our Class A shares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5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50"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In considering an investment in our Class A shares with a portion of the assets of any Plan, a fiduciary should consider the Plan’s particular circumstances and all of the facts and circumstances of the investment and determine whether the acquisition and holding of such Class A shares is in accordance with the documents and instruments governing the Plan and the applicable provisions of ERISA, the Code, or any Similar Law relating to the fiduciary’s duties to the Plan, including, without limitation:</w:t>
      </w:r>
    </w:p>
    <w:p>
      <w:pPr>
        <w:spacing w:after="0" w:line="46" w:lineRule="exact"/>
        <w:rPr>
          <w:sz w:val="20"/>
          <w:szCs w:val="20"/>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Class A shares;</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the acquisition or holding of such Class A shares will constitute a “prohibited transaction” under Section 406 of ERISA or Section 4975 of the Code (please see discussion under “—Prohibited Transaction Issues” below); and</w:t>
      </w:r>
    </w:p>
    <w:p>
      <w:pPr>
        <w:spacing w:after="0" w:line="15" w:lineRule="exact"/>
        <w:rPr>
          <w:rFonts w:ascii="Arial" w:cs="Arial" w:eastAsia="Arial" w:hAnsi="Arial"/>
          <w:sz w:val="16"/>
          <w:szCs w:val="16"/>
          <w:color w:val="auto"/>
        </w:rPr>
      </w:pPr>
    </w:p>
    <w:p>
      <w:pPr>
        <w:ind w:left="700" w:right="80" w:hanging="356"/>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Class A shares or (ii) an undivided interest in our underlying assets (please see the discussion under “—Plan Asset Issues”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liabilities under ERISA and the Code. The acquisition and/or holding of our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46"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Additionally, a fiduciary of a Plan should consider whether the Plan will, by investing in our Class A shares,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73" w:lineRule="exact"/>
        <w:rPr>
          <w:sz w:val="20"/>
          <w:szCs w:val="20"/>
          <w:color w:val="auto"/>
        </w:rPr>
      </w:pPr>
    </w:p>
    <w:p>
      <w:pPr>
        <w:ind w:left="700" w:right="200" w:hanging="356"/>
        <w:spacing w:after="0" w:line="302"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46"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3" w:lineRule="exact"/>
        <w:rPr>
          <w:rFonts w:ascii="Arial" w:cs="Arial" w:eastAsia="Arial" w:hAnsi="Arial"/>
          <w:sz w:val="18"/>
          <w:szCs w:val="18"/>
          <w:color w:val="auto"/>
        </w:rPr>
      </w:pPr>
    </w:p>
    <w:p>
      <w:pPr>
        <w:ind w:left="700" w:right="20" w:hanging="356"/>
        <w:spacing w:after="0" w:line="255"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81"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such Class A shares. Purchasers of our Class A shares have the exclusive responsibility for ensuring that their acquisition and holding of such Class A shares complies with the fiduciary responsibility rules of ERISA and does not violate the prohibited transaction rules of ERISA, the Code or applicable Similar Laws. The sale of our Class A shares to a Plan is in no respect a representation by us or any of our respective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6" w:name="page117"/>
    <w:bookmarkEnd w:id="11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jc w:val="center"/>
        <w:ind w:right="-206"/>
        <w:spacing w:after="0"/>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w:t>
      </w:r>
    </w:p>
    <w:p>
      <w:pPr>
        <w:spacing w:after="0" w:line="46" w:lineRule="exact"/>
        <w:rPr>
          <w:sz w:val="20"/>
          <w:szCs w:val="20"/>
          <w:color w:val="auto"/>
        </w:rPr>
      </w:pPr>
    </w:p>
    <w:p>
      <w:pPr>
        <w:ind w:left="7" w:right="20"/>
        <w:spacing w:after="0" w:line="261" w:lineRule="auto"/>
        <w:rPr>
          <w:sz w:val="20"/>
          <w:szCs w:val="20"/>
          <w:color w:val="auto"/>
        </w:rPr>
      </w:pPr>
      <w:r>
        <w:rPr>
          <w:rFonts w:ascii="Arial" w:cs="Arial" w:eastAsia="Arial" w:hAnsi="Arial"/>
          <w:sz w:val="18"/>
          <w:szCs w:val="18"/>
          <w:color w:val="auto"/>
        </w:rPr>
        <w:t>named below, for whom are acting as representatives, have severally agreed to purchase, and we have agreed to sell to them, the number of Class A shares indicated below:</w:t>
      </w:r>
    </w:p>
    <w:p>
      <w:pPr>
        <w:spacing w:after="0" w:line="4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6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7"/>
              </w:rPr>
              <w:t>Number of</w:t>
            </w:r>
          </w:p>
        </w:tc>
      </w:tr>
      <w:tr>
        <w:trPr>
          <w:trHeight w:val="178"/>
        </w:trPr>
        <w:tc>
          <w:tcPr>
            <w:tcW w:w="6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87"/>
              </w:rPr>
              <w:t>Class A shares</w:t>
            </w:r>
          </w:p>
        </w:tc>
      </w:tr>
      <w:tr>
        <w:trPr>
          <w:trHeight w:val="243"/>
        </w:trPr>
        <w:tc>
          <w:tcPr>
            <w:tcW w:w="6960" w:type="dxa"/>
            <w:vAlign w:val="bottom"/>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9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7"/>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6350</wp:posOffset>
            </wp:positionV>
            <wp:extent cx="1595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31750</wp:posOffset>
            </wp:positionV>
            <wp:extent cx="15951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51"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Class A shares subject to their acceptance of the Class A shares from us and subject to prior sale. The underwriting agreement provides that the obligations of the several underwriters to pay for and accept delivery of the Class A shares offered by this prospectus are subject to the approval of certain legal matters by their counsel and to certain other conditions. The underwriters are obligated to take and pay for all of the Class A shares offered by this prospectus if any such Class A shares are taken. However, the underwriters are not required to take or pay for the Class A shares covered by the underwriters’ over-allotment option described below.</w:t>
      </w:r>
    </w:p>
    <w:p>
      <w:pPr>
        <w:spacing w:after="0" w:line="70" w:lineRule="exact"/>
        <w:rPr>
          <w:sz w:val="20"/>
          <w:szCs w:val="20"/>
          <w:color w:val="auto"/>
        </w:rPr>
      </w:pPr>
    </w:p>
    <w:p>
      <w:pPr>
        <w:ind w:left="7" w:right="180" w:firstLine="360"/>
        <w:spacing w:after="0" w:line="259" w:lineRule="auto"/>
        <w:rPr>
          <w:sz w:val="20"/>
          <w:szCs w:val="20"/>
          <w:color w:val="auto"/>
        </w:rPr>
      </w:pPr>
      <w:r>
        <w:rPr>
          <w:rFonts w:ascii="Arial" w:cs="Arial" w:eastAsia="Arial" w:hAnsi="Arial"/>
          <w:sz w:val="18"/>
          <w:szCs w:val="18"/>
          <w:color w:val="auto"/>
        </w:rPr>
        <w:t>The underwriters initially propose to offer part of the Class A shares directly to the public at the offering price listed on the cover page of this prospectus and part to certain dealers at a price that represents a concession not in excess of $ per Class A share under the public offering price. After the initial offering of the Class A shares, the offering price and other selling terms may from time to time be varied by the representatives.</w:t>
      </w:r>
    </w:p>
    <w:p>
      <w:pPr>
        <w:spacing w:after="0" w:line="79"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Class A shares at the public offering price listed on the cover page of this prospectus, less underwriting discounts and commissions. The underwriters may exercise this option solely for the purpose of covering over-allotments, if any, made in connection with the offering of the Class A shares offered by this prospectus. To the extent the option is exercised, each underwriter will become obligated, subject to certain conditions, to purchase about the same percentage of the additional Class A shares as the number listed next to the underwriter’s name in the preceding table bears to the total number of Class A shares listed next to the names of all underwriters in the preceding table.</w:t>
      </w:r>
    </w:p>
    <w:p>
      <w:pPr>
        <w:spacing w:after="0" w:line="70" w:lineRule="exact"/>
        <w:rPr>
          <w:sz w:val="20"/>
          <w:szCs w:val="20"/>
          <w:color w:val="auto"/>
        </w:rPr>
      </w:pPr>
    </w:p>
    <w:p>
      <w:pPr>
        <w:ind w:left="7" w:right="40" w:firstLine="360"/>
        <w:spacing w:after="0" w:line="291" w:lineRule="auto"/>
        <w:rPr>
          <w:sz w:val="20"/>
          <w:szCs w:val="20"/>
          <w:color w:val="auto"/>
        </w:rPr>
      </w:pPr>
      <w:r>
        <w:rPr>
          <w:rFonts w:ascii="Arial" w:cs="Arial" w:eastAsia="Arial" w:hAnsi="Arial"/>
          <w:sz w:val="16"/>
          <w:szCs w:val="16"/>
          <w:color w:val="auto"/>
        </w:rPr>
        <w:t>The following table shows the per Class A share and total public offering price, underwriting discounts and commissions, and proceeds before expenses to us. These amounts are shown assuming both no exercise and full exercise of the underwriters’ option to</w:t>
      </w:r>
    </w:p>
    <w:tbl>
      <w:tblPr>
        <w:tblLayout w:type="fixed"/>
        <w:tblInd w:w="7"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purchase up to an additional</w:t>
            </w:r>
          </w:p>
        </w:tc>
        <w:tc>
          <w:tcPr>
            <w:tcW w:w="3760" w:type="dxa"/>
            <w:vAlign w:val="bottom"/>
          </w:tcPr>
          <w:p>
            <w:pPr>
              <w:ind w:left="100"/>
              <w:spacing w:after="0"/>
              <w:rPr>
                <w:sz w:val="20"/>
                <w:szCs w:val="20"/>
                <w:color w:val="auto"/>
              </w:rPr>
            </w:pPr>
            <w:r>
              <w:rPr>
                <w:rFonts w:ascii="Arial" w:cs="Arial" w:eastAsia="Arial" w:hAnsi="Arial"/>
                <w:sz w:val="18"/>
                <w:szCs w:val="18"/>
                <w:color w:val="auto"/>
              </w:rPr>
              <w:t>Class A shares.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 Exercise</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us</w:t>
            </w:r>
          </w:p>
        </w:tc>
        <w:tc>
          <w:tcPr>
            <w:tcW w:w="37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w:t>
      </w:r>
    </w:p>
    <w:p>
      <w:pPr>
        <w:spacing w:after="0" w:line="46" w:lineRule="exact"/>
        <w:rPr>
          <w:sz w:val="20"/>
          <w:szCs w:val="20"/>
          <w:color w:val="auto"/>
        </w:rPr>
      </w:pPr>
    </w:p>
    <w:p>
      <w:pPr>
        <w:ind w:left="487" w:hanging="487"/>
        <w:spacing w:after="0"/>
        <w:tabs>
          <w:tab w:leader="none" w:pos="4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We have agreed to reimburse the underwriters for expense relating to clearance of this offering with the Financial Industry</w:t>
      </w:r>
    </w:p>
    <w:p>
      <w:pPr>
        <w:spacing w:after="0" w:line="32" w:lineRule="exact"/>
        <w:rPr>
          <w:sz w:val="20"/>
          <w:szCs w:val="20"/>
          <w:color w:val="auto"/>
        </w:rPr>
      </w:pPr>
    </w:p>
    <w:p>
      <w:pPr>
        <w:ind w:left="7"/>
        <w:spacing w:after="0"/>
        <w:tabs>
          <w:tab w:leader="none" w:pos="2466" w:val="left"/>
        </w:tabs>
        <w:rPr>
          <w:sz w:val="20"/>
          <w:szCs w:val="20"/>
          <w:color w:val="auto"/>
        </w:rPr>
      </w:pPr>
      <w:r>
        <w:rPr>
          <w:rFonts w:ascii="Arial" w:cs="Arial" w:eastAsia="Arial" w:hAnsi="Arial"/>
          <w:sz w:val="18"/>
          <w:szCs w:val="18"/>
          <w:color w:val="auto"/>
        </w:rPr>
        <w:t>Regulatory Authority up to $</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Class A shares offered by them.</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We intend to apply to list our Class A shares on the NYSE under the trading symbol “NFE.”</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all of our directors and officers and the holders of all of our outstanding stock and stock options and New Fortress Energy</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Holdings have agreed that, subject to certain exceptions, without the prior written consent of on behalf of the underwriters, we and they will not, during the period ending 180 days after the date of this prospectus (the “restricted period”):</w:t>
      </w:r>
    </w:p>
    <w:p>
      <w:pPr>
        <w:spacing w:after="0" w:line="53" w:lineRule="exact"/>
        <w:rPr>
          <w:sz w:val="20"/>
          <w:szCs w:val="20"/>
          <w:color w:val="auto"/>
        </w:rPr>
      </w:pPr>
    </w:p>
    <w:p>
      <w:pPr>
        <w:ind w:left="700" w:right="20" w:hanging="356"/>
        <w:spacing w:after="0" w:line="286"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Class A shares or any securities convertible into or exercisable or exchangeable for Class A shares;</w:t>
      </w:r>
    </w:p>
    <w:p>
      <w:pPr>
        <w:spacing w:after="0" w:line="57" w:lineRule="exact"/>
        <w:rPr>
          <w:rFonts w:ascii="Arial" w:cs="Arial" w:eastAsia="Arial" w:hAnsi="Arial"/>
          <w:sz w:val="17"/>
          <w:szCs w:val="17"/>
          <w:color w:val="auto"/>
        </w:rPr>
      </w:pPr>
    </w:p>
    <w:p>
      <w:pPr>
        <w:ind w:left="700" w:right="40" w:hanging="356"/>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Class A shares or any securities convertible into or exercisable or exchangeable for Class A shares; or</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shares.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Class A shares or such other securities, in cash or</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otherwise. In addition, we and each such person agrees that, without the prior written consent of on behalf of the underwriters, we or such other person will not, during the restricted period, make any demand for, or exercise any right with respect to, the registration of any Class A shares or any security convertible into or exercisable or exchangeable for Class A shares.</w:t>
      </w:r>
    </w:p>
    <w:p>
      <w:pPr>
        <w:spacing w:after="0" w:line="65" w:lineRule="exact"/>
        <w:rPr>
          <w:sz w:val="20"/>
          <w:szCs w:val="20"/>
          <w:color w:val="auto"/>
        </w:rPr>
      </w:pPr>
    </w:p>
    <w:p>
      <w:pPr>
        <w:ind w:right="20" w:firstLine="893"/>
        <w:spacing w:after="0" w:line="277" w:lineRule="auto"/>
        <w:tabs>
          <w:tab w:leader="none" w:pos="9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their sole discretion, may release the Class A shares and other securities subject to the lock-up agreements described above in whole or in part at any time.</w:t>
      </w:r>
    </w:p>
    <w:p>
      <w:pPr>
        <w:spacing w:after="0" w:line="62"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In order to facilitate the offering of the Class A shares, the underwriters may engage in transactions that stabilize, maintain or otherwise affect the price of the Class A shares. Specifically, the underwriters may sell more Class A shares than they are obligated to purchase under the underwriting agreement, creating a short position. A short sale is covered if the short position is no greater than the number of Class A shares available for purchase by the underwriters under the over-allotment option. The underwriters can close out a covered short sale by exercising the over-allotment option or purchasing Class A shares in the open market. In determining the source of Class A shares to close out a covered short sale, the underwriters will consider, among other things, the open market price of Class A shares compared to the price available under the over-allotment option. The underwriters may also sell Class A shares in excess of the over-allotment option, creating a naked short position. The underwriters must close out any naked short position by purchasing Class A shares in the open market. A naked short position is more likely to be created if the underwriters are concerned that there may be downward pressure on the price of the Class A shares in the open market after pricing that could adversely affect investors who purchase in this offering. As an additional means of facilitating this offering, the underwriters may bid for, and purchase, Class A shares in the open market to stabilize the price of the Class A shares. These activities may raise or maintain the market price of the Class A shares above independent market levels or prevent or retard a decline in the market price of the Class A shares. The underwriters are not required to engage in these activities and may end any of these activities at any time.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underwriters have agreed to indemnify each other against certain liabilities, including liabilities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Class A shares to underwriters for sale to their online brokerage account holders. Internet distributions will be allocated by the representatives to underwriters that may make Internet distributions on the same basis as other allocations.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Affiliates of certain of the underwriters will each receive 5% or more of the net proceeds of this offering in connection with the repayment of our indebtedness.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this registration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statement.</w:t>
            </w:r>
          </w:p>
        </w:tc>
        <w:tc>
          <w:tcPr>
            <w:tcW w:w="8520" w:type="dxa"/>
            <w:vAlign w:val="bottom"/>
          </w:tcPr>
          <w:p>
            <w:pPr>
              <w:jc w:val="right"/>
              <w:ind w:right="6030"/>
              <w:spacing w:after="0"/>
              <w:rPr>
                <w:sz w:val="20"/>
                <w:szCs w:val="20"/>
                <w:color w:val="auto"/>
              </w:rPr>
            </w:pPr>
            <w:r>
              <w:rPr>
                <w:rFonts w:ascii="Arial" w:cs="Arial" w:eastAsia="Arial" w:hAnsi="Arial"/>
                <w:sz w:val="18"/>
                <w:szCs w:val="18"/>
                <w:color w:val="auto"/>
              </w:rPr>
              <w:t>has agreed to act as qualified</w:t>
            </w:r>
          </w:p>
        </w:tc>
      </w:tr>
      <w:tr>
        <w:trPr>
          <w:trHeight w:val="418"/>
        </w:trPr>
        <w:tc>
          <w:tcPr>
            <w:tcW w:w="1040" w:type="dxa"/>
            <w:vAlign w:val="bottom"/>
          </w:tcPr>
          <w:p>
            <w:pPr>
              <w:spacing w:after="0"/>
              <w:rPr>
                <w:sz w:val="24"/>
                <w:szCs w:val="24"/>
                <w:color w:val="auto"/>
              </w:rPr>
            </w:pPr>
          </w:p>
        </w:tc>
        <w:tc>
          <w:tcPr>
            <w:tcW w:w="8520" w:type="dxa"/>
            <w:vAlign w:val="bottom"/>
          </w:tcPr>
          <w:p>
            <w:pPr>
              <w:jc w:val="right"/>
              <w:ind w:right="4570"/>
              <w:spacing w:after="0"/>
              <w:rPr>
                <w:sz w:val="20"/>
                <w:szCs w:val="20"/>
                <w:color w:val="auto"/>
              </w:rPr>
            </w:pPr>
            <w:r>
              <w:rPr>
                <w:rFonts w:ascii="Arial" w:cs="Arial" w:eastAsia="Arial" w:hAnsi="Arial"/>
                <w:sz w:val="18"/>
                <w:szCs w:val="18"/>
                <w:color w:val="auto"/>
              </w:rPr>
              <w:t>113</w:t>
            </w:r>
          </w:p>
        </w:tc>
      </w:tr>
      <w:tr>
        <w:trPr>
          <w:trHeight w:val="459"/>
        </w:trPr>
        <w:tc>
          <w:tcPr>
            <w:tcW w:w="1040" w:type="dxa"/>
            <w:vAlign w:val="bottom"/>
          </w:tcPr>
          <w:p>
            <w:pPr>
              <w:spacing w:after="0"/>
              <w:rPr>
                <w:sz w:val="24"/>
                <w:szCs w:val="24"/>
                <w:color w:val="auto"/>
              </w:rPr>
            </w:pPr>
          </w:p>
        </w:tc>
        <w:tc>
          <w:tcPr>
            <w:tcW w:w="8520" w:type="dxa"/>
            <w:vAlign w:val="bottom"/>
          </w:tcPr>
          <w:p>
            <w:pPr>
              <w:spacing w:after="0"/>
              <w:rPr>
                <w:sz w:val="24"/>
                <w:szCs w:val="24"/>
                <w:color w:val="auto"/>
              </w:rPr>
            </w:pPr>
          </w:p>
        </w:tc>
      </w:tr>
      <w:tr>
        <w:trPr>
          <w:trHeight w:val="68"/>
        </w:trPr>
        <w:tc>
          <w:tcPr>
            <w:tcW w:w="1040" w:type="dxa"/>
            <w:vAlign w:val="bottom"/>
            <w:shd w:val="clear" w:color="auto" w:fill="000000"/>
          </w:tcPr>
          <w:p>
            <w:pPr>
              <w:spacing w:after="0"/>
              <w:rPr>
                <w:sz w:val="5"/>
                <w:szCs w:val="5"/>
                <w:color w:val="auto"/>
              </w:rPr>
            </w:pPr>
          </w:p>
        </w:tc>
        <w:tc>
          <w:tcPr>
            <w:tcW w:w="85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independent underwriter for this offering and to undertake the legal responsibilities and liabilities of an underwriter under the</w:t>
      </w:r>
    </w:p>
    <w:p>
      <w:pPr>
        <w:spacing w:after="0" w:line="3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Securities Act. will not receive any additional fees for serving as qualified independent underwriter in connection with this offering. We have agreed to indemnify against liabilities incurred in connection with acting as qualified independent</w:t>
      </w:r>
    </w:p>
    <w:p>
      <w:pPr>
        <w:jc w:val="both"/>
        <w:ind w:right="60"/>
        <w:spacing w:after="0" w:line="255" w:lineRule="auto"/>
        <w:rPr>
          <w:sz w:val="20"/>
          <w:szCs w:val="20"/>
          <w:color w:val="auto"/>
        </w:rPr>
      </w:pPr>
      <w:r>
        <w:rPr>
          <w:rFonts w:ascii="Arial" w:cs="Arial" w:eastAsia="Arial" w:hAnsi="Arial"/>
          <w:sz w:val="18"/>
          <w:szCs w:val="18"/>
          <w:color w:val="auto"/>
        </w:rPr>
        <w:t>underwriter, including liabilities under the Securities Act. Pursuant to FINRA Rule 5121, any underwriter with a conflict of interest will not confirm sales of the Class A shares to any account over which it exercises discretionary authority without the prior written approval of the customer.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Affiliates of certain of the underwriters are also lenders under our Term Loan Facility.</w:t>
      </w:r>
    </w:p>
    <w:p>
      <w:pPr>
        <w:spacing w:after="0" w:line="85"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Prior to this offering, there has been no public market for our Class A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Class A shares may not be made in that Relevant Member State, except that an offer to the public in that Relevant Member State of our Class A shares may be made at any time under the following exemptions under the Prospectus Directive, if they have been implemented in that Relevant Member State:</w:t>
      </w:r>
    </w:p>
    <w:p>
      <w:pPr>
        <w:spacing w:after="0" w:line="63" w:lineRule="exact"/>
        <w:rPr>
          <w:sz w:val="20"/>
          <w:szCs w:val="20"/>
          <w:color w:val="auto"/>
        </w:rPr>
      </w:pPr>
    </w:p>
    <w:p>
      <w:pPr>
        <w:ind w:left="700" w:hanging="35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hanging="356"/>
        <w:spacing w:after="0" w:line="312"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38" w:lineRule="exact"/>
        <w:rPr>
          <w:rFonts w:ascii="Arial" w:cs="Arial" w:eastAsia="Arial" w:hAnsi="Arial"/>
          <w:sz w:val="16"/>
          <w:szCs w:val="16"/>
          <w:color w:val="auto"/>
        </w:rPr>
      </w:pPr>
    </w:p>
    <w:p>
      <w:pPr>
        <w:jc w:val="both"/>
        <w:ind w:left="700" w:right="40" w:hanging="356"/>
        <w:spacing w:after="0" w:line="264"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Class A shares shall result in a requirement for the publication by us or any underwriter of a prospectus pursuant to Article 3 of the Prospectus Directive.</w:t>
      </w:r>
    </w:p>
    <w:p>
      <w:pPr>
        <w:spacing w:after="0" w:line="7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shares in any Relevant Member State means the communication in any form and by any means of sufficient information on the terms of the offer and our Class A shares to be offered so as to enable an investor to decide to purchase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Class A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700" w:right="100" w:hanging="356"/>
        <w:spacing w:after="0" w:line="259"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Class A shares in circumstances in which Section 21(1) of the FSMA does not apply to us; and</w:t>
      </w:r>
    </w:p>
    <w:p>
      <w:pPr>
        <w:spacing w:after="0" w:line="78"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Class A shares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 xml:space="preserve">Neither this prospectus nor any other offering material relating to the Class A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Class A shares have not been offered or sold and will not be offered or sold, directly or indirectly, to the public in France. Neither this prospectus nor any other offering material relating to the Class A shares has been or will be (i) released, issued, distributed or caused to be released, issued or distributed to the public in France; or (ii) used in connection with any offer for subscription or sale of the Class A shares to the public in France.</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7" w:lineRule="exact"/>
        <w:rPr>
          <w:sz w:val="20"/>
          <w:szCs w:val="20"/>
          <w:color w:val="auto"/>
        </w:rPr>
      </w:pPr>
    </w:p>
    <w:p>
      <w:pPr>
        <w:ind w:left="700" w:right="140" w:hanging="356"/>
        <w:spacing w:after="0" w:line="286" w:lineRule="auto"/>
        <w:tabs>
          <w:tab w:leader="none" w:pos="7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qualified investors (</w:t>
      </w:r>
      <w:r>
        <w:rPr>
          <w:rFonts w:ascii="Arial" w:cs="Arial" w:eastAsia="Arial" w:hAnsi="Arial"/>
          <w:sz w:val="17"/>
          <w:szCs w:val="17"/>
          <w:i w:val="1"/>
          <w:iCs w:val="1"/>
          <w:color w:val="auto"/>
        </w:rPr>
        <w:t>investisseurs qualifiés</w:t>
      </w:r>
      <w:r>
        <w:rPr>
          <w:rFonts w:ascii="Arial" w:cs="Arial" w:eastAsia="Arial" w:hAnsi="Arial"/>
          <w:sz w:val="17"/>
          <w:szCs w:val="17"/>
          <w:color w:val="auto"/>
        </w:rPr>
        <w:t>) and/or to a restricted circle of investors (</w:t>
      </w:r>
      <w:r>
        <w:rPr>
          <w:rFonts w:ascii="Arial" w:cs="Arial" w:eastAsia="Arial" w:hAnsi="Arial"/>
          <w:sz w:val="17"/>
          <w:szCs w:val="17"/>
          <w:i w:val="1"/>
          <w:iCs w:val="1"/>
          <w:color w:val="auto"/>
        </w:rPr>
        <w:t>cercle restreint d'investisseurs</w:t>
      </w:r>
      <w:r>
        <w:rPr>
          <w:rFonts w:ascii="Arial" w:cs="Arial" w:eastAsia="Arial" w:hAnsi="Arial"/>
          <w:sz w:val="17"/>
          <w:szCs w:val="17"/>
          <w:color w:val="auto"/>
        </w:rPr>
        <w:t xml:space="preserve">), in each case investing for their own account, all as defined in, and in accordance with, articles L.411-2, D.411-1, D.411-2, D.734-1,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00" w:hanging="35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7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 xml:space="preserve">The Class A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Class A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Class A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the Class A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shares to which this prospectus relates may be illiquid and/or subject to restrictions on their resale. Prospective purchasers of the Class A shares offered should conduct their own due diligence on the Class A shares. If you do not understand the contents of this prospectus you should consult an authorized financial advisor.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The Class A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Any resale of the Class A shares must be made in accordance with an exemption from, or in a transaction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prospectus requirements of applicable securities laws.</w:t>
      </w:r>
    </w:p>
    <w:p>
      <w:pPr>
        <w:spacing w:after="0" w:line="8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Class A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Class A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Class A shares which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Class A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7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Any offer in Australia of the Class A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Class A shares without disclosure to investors under Chapter 6D of the Corporations Act.</w:t>
      </w:r>
    </w:p>
    <w:p>
      <w:pPr>
        <w:spacing w:after="0" w:line="4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Class A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shares must observe such Australian on-sale restrictions.</w:t>
      </w:r>
    </w:p>
    <w:p>
      <w:pPr>
        <w:spacing w:after="0" w:line="80"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Where the Class A shares are subscribed or purchased under Section 275 of the SFA by a relevant person which is:</w:t>
      </w:r>
    </w:p>
    <w:p>
      <w:pPr>
        <w:spacing w:after="0" w:line="129" w:lineRule="exact"/>
        <w:rPr>
          <w:sz w:val="20"/>
          <w:szCs w:val="20"/>
          <w:color w:val="auto"/>
        </w:rPr>
      </w:pPr>
    </w:p>
    <w:p>
      <w:pPr>
        <w:ind w:left="700" w:right="40" w:hanging="356"/>
        <w:spacing w:after="0" w:line="264"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0" w:right="760" w:hanging="35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Class A shares pursuant to an offer made under Section 275 of the SFA except:</w:t>
      </w:r>
    </w:p>
    <w:p>
      <w:pPr>
        <w:spacing w:after="0" w:line="73" w:lineRule="exact"/>
        <w:rPr>
          <w:sz w:val="20"/>
          <w:szCs w:val="20"/>
          <w:color w:val="auto"/>
        </w:rPr>
      </w:pPr>
    </w:p>
    <w:p>
      <w:pPr>
        <w:ind w:left="700" w:right="220" w:hanging="356"/>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right="460" w:firstLine="360"/>
        <w:spacing w:after="0" w:line="264" w:lineRule="auto"/>
        <w:rPr>
          <w:sz w:val="20"/>
          <w:szCs w:val="20"/>
          <w:color w:val="auto"/>
        </w:rPr>
      </w:pPr>
      <w:r>
        <w:rPr>
          <w:rFonts w:ascii="Arial" w:cs="Arial" w:eastAsia="Arial" w:hAnsi="Arial"/>
          <w:sz w:val="18"/>
          <w:szCs w:val="18"/>
          <w:color w:val="auto"/>
        </w:rPr>
        <w:t>This prospectus does not constitute a public offer of the Class A shares, whether by sale or subscription, in the People's Republic of China (the “PRC”). The Class A shares are not being offered or sold directly or indirectly in the PRC to or for the benefit of, legal or natural persons of the PRC.</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Further, no legal or natural persons of the PRC may directly or indirectly purchase any of the Class A shares without obtaining all prior PRC's governmental approvals that are required, whether statutorily or otherwise. Persons who come into possession of this prospectus are required by the issuer and its representatives to observe these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Class A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Certain legal matters in connection with our Class A shares offered hereby will be passed upon for the underwriters by Skadden, Arps, Slate, Meagher &amp; Flom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right="100" w:firstLine="360"/>
        <w:spacing w:after="0" w:line="302" w:lineRule="auto"/>
        <w:rPr>
          <w:sz w:val="20"/>
          <w:szCs w:val="20"/>
          <w:color w:val="auto"/>
        </w:rPr>
      </w:pPr>
      <w:r>
        <w:rPr>
          <w:rFonts w:ascii="Arial" w:cs="Arial" w:eastAsia="Arial" w:hAnsi="Arial"/>
          <w:sz w:val="16"/>
          <w:szCs w:val="16"/>
          <w:color w:val="auto"/>
        </w:rPr>
        <w:t>The consolidated financial statements of New Fortress Energy Holdings LLC at December 31, 2017 and 2016,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We have filed with the SEC a registration statement on Form S-1 regarding our Class A shares. This prospectus does not contain all of the information found in the registration statement. For further information regarding us and the Class A shares offered by this prospectus, you may desire to review the full registration statement, including its exhibits and schedules, filed under the Securities Act. The registration statement of which this prospectus forms a part, including its exhibits and schedules can be downloaded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Upon completion of this offering, we will file with or furnish to the SEC periodic reports and other information. These reports and other information may be inspected and copied at the public reference facilities maintained by the SEC or obtained from the SEC’s website as provided above. Our website on the Internet is located at </w:t>
      </w:r>
      <w:r>
        <w:rPr>
          <w:rFonts w:ascii="Arial" w:cs="Arial" w:eastAsia="Arial" w:hAnsi="Arial"/>
          <w:sz w:val="16"/>
          <w:szCs w:val="16"/>
          <w:i w:val="1"/>
          <w:iCs w:val="1"/>
          <w:color w:val="auto"/>
        </w:rPr>
        <w:t>www.newfortresenergy.com</w:t>
      </w:r>
      <w:r>
        <w:rPr>
          <w:rFonts w:ascii="Arial" w:cs="Arial" w:eastAsia="Arial" w:hAnsi="Arial"/>
          <w:sz w:val="16"/>
          <w:szCs w:val="16"/>
          <w:color w:val="auto"/>
        </w:rPr>
        <w:t xml:space="preserve"> and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5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We intend to furnish or make available to our shareholders annual reports containing our audited financial statements and furnish or make available to our shareholders quarterly reports containing our unaudited interim financial information, including the information required by Form 10-Q, for the first three fiscal quarters of each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This prospectus includes forward-looking statements regarding, among other things, our plans, strategies, prospects and projections, both business and financial. 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74" w:lineRule="exact"/>
        <w:rPr>
          <w:sz w:val="20"/>
          <w:szCs w:val="20"/>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40" w:lineRule="exact"/>
        <w:rPr>
          <w:rFonts w:ascii="Arial" w:cs="Arial" w:eastAsia="Arial" w:hAnsi="Arial"/>
          <w:sz w:val="16"/>
          <w:szCs w:val="16"/>
          <w:color w:val="auto"/>
        </w:rPr>
      </w:pPr>
    </w:p>
    <w:p>
      <w:pPr>
        <w:ind w:left="700" w:right="100" w:hanging="356"/>
        <w:spacing w:after="0" w:line="277"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failure to produce or purchase sufficient amounts of LNG or natural gas at favorable prices to meet customer demand;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w:t>
      </w:r>
    </w:p>
    <w:p>
      <w:pPr>
        <w:spacing w:after="0" w:line="140"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When considering forward-looking statements, you should keep in mind the risks set forth under the heading “Risk Factors” and other cautionary statements included in this prospectus.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8160" w:type="dxa"/>
            <w:vAlign w:val="bottom"/>
            <w:gridSpan w:val="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8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NEW FORTRESS ENERGY HOLDINGS LLC</w:t>
            </w: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27">
              <w:r>
                <w:rPr>
                  <w:rFonts w:ascii="Arial" w:cs="Arial" w:eastAsia="Arial" w:hAnsi="Arial"/>
                  <w:sz w:val="18"/>
                  <w:szCs w:val="18"/>
                  <w:color w:val="0000EE"/>
                </w:rPr>
                <w:t>Report of Independent Registered Public Accounting Firm</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27">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28">
              <w:r>
                <w:rPr>
                  <w:rFonts w:ascii="Arial" w:cs="Arial" w:eastAsia="Arial" w:hAnsi="Arial"/>
                  <w:sz w:val="18"/>
                  <w:szCs w:val="18"/>
                  <w:color w:val="0000EE"/>
                </w:rPr>
                <w:t>Consolidated Balance Sheets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28">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Operations and Comprehensive Loss</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29">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Consolidated Statements of Changes in Members’ Equity</w:t>
              </w:r>
            </w:hyperlink>
          </w:p>
        </w:tc>
        <w:tc>
          <w:tcPr>
            <w:tcW w:w="4020" w:type="dxa"/>
            <w:vAlign w:val="bottom"/>
            <w:gridSpan w:val="3"/>
            <w:shd w:val="clear" w:color="auto" w:fill="CCEEFF"/>
          </w:tcPr>
          <w:p>
            <w:pPr>
              <w:spacing w:after="0"/>
              <w:rPr>
                <w:sz w:val="16"/>
                <w:szCs w:val="16"/>
                <w:color w:val="auto"/>
              </w:rPr>
            </w:pPr>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tcPr>
          <w:p>
            <w:pPr>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Cash Flows</w:t>
              </w:r>
            </w:hyperlink>
          </w:p>
        </w:tc>
        <w:tc>
          <w:tcPr>
            <w:tcW w:w="4020" w:type="dxa"/>
            <w:vAlign w:val="bottom"/>
            <w:gridSpan w:val="3"/>
          </w:tcPr>
          <w:p>
            <w:pPr>
              <w:spacing w:after="0"/>
              <w:rPr>
                <w:sz w:val="16"/>
                <w:szCs w:val="16"/>
                <w:color w:val="auto"/>
              </w:rPr>
            </w:pPr>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Notes to Consolidated Financial Statements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32">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32"/>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gridSpan w:val="2"/>
          </w:tcPr>
          <w:p>
            <w:pPr>
              <w:jc w:val="center"/>
              <w:ind w:right="2840"/>
              <w:spacing w:after="0"/>
              <w:rPr>
                <w:sz w:val="20"/>
                <w:szCs w:val="20"/>
                <w:color w:val="auto"/>
              </w:rPr>
            </w:pPr>
            <w:r>
              <w:rPr>
                <w:rFonts w:ascii="Arial" w:cs="Arial" w:eastAsia="Arial" w:hAnsi="Arial"/>
                <w:sz w:val="18"/>
                <w:szCs w:val="18"/>
                <w:color w:val="auto"/>
                <w:w w:val="96"/>
              </w:rPr>
              <w:t>F-1</w:t>
            </w: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right="2540" w:firstLine="2528"/>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Members of New Fortress Energy Holdings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New Fortress Energy Holdings LLC (the “Company”) as of December 31, 2017 and 2016, the related consolidated statements of operations and comprehensive loss,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auto"/>
        <w:rPr>
          <w:sz w:val="20"/>
          <w:szCs w:val="20"/>
          <w:color w:val="auto"/>
        </w:rPr>
      </w:pPr>
      <w:r>
        <w:rPr>
          <w:rFonts w:ascii="Arial" w:cs="Arial" w:eastAsia="Arial" w:hAnsi="Arial"/>
          <w:sz w:val="18"/>
          <w:szCs w:val="18"/>
          <w:b w:val="1"/>
          <w:bCs w:val="1"/>
          <w:color w:val="auto"/>
        </w:rPr>
        <w:t>As of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Finance leases,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1"/>
              </w:rPr>
              <w:t>Members’ capital, no par value, 500,000,000 shares authorized, 65,665,037 shares issued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7"/>
              </w:rPr>
              <w:t>outstanding as of December 31, 2017; 65,000,000 shares issued and outstanding as of</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406,591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00" w:type="dxa"/>
            <w:vAlign w:val="bottom"/>
            <w:gridSpan w:val="5"/>
          </w:tcPr>
          <w:p>
            <w:pPr>
              <w:jc w:val="center"/>
              <w:ind w:left="11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40" w:type="dxa"/>
            <w:vAlign w:val="bottom"/>
          </w:tcPr>
          <w:p>
            <w:pPr>
              <w:jc w:val="center"/>
              <w:ind w:left="2470"/>
              <w:spacing w:after="0"/>
              <w:rPr>
                <w:sz w:val="20"/>
                <w:szCs w:val="20"/>
                <w:color w:val="auto"/>
              </w:rPr>
            </w:pPr>
            <w:r>
              <w:rPr>
                <w:rFonts w:ascii="Arial" w:cs="Arial" w:eastAsia="Arial" w:hAnsi="Arial"/>
                <w:sz w:val="18"/>
                <w:szCs w:val="18"/>
                <w:color w:val="auto"/>
                <w:w w:val="96"/>
              </w:rPr>
              <w:t>F-3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968"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6" w:lineRule="exact"/>
        <w:rPr>
          <w:sz w:val="20"/>
          <w:szCs w:val="20"/>
          <w:color w:val="auto"/>
        </w:rPr>
      </w:pPr>
    </w:p>
    <w:p>
      <w:pPr>
        <w:ind w:right="4580"/>
        <w:spacing w:after="0" w:line="248"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58,753,425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Pro forma income tax (expense) benefit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93"/>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Members’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subscription</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receivable</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(32,926)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300,776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300,776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gridSpan w:val="3"/>
          </w:tcPr>
          <w:p>
            <w:pPr>
              <w:spacing w:after="0"/>
              <w:rPr>
                <w:sz w:val="20"/>
                <w:szCs w:val="20"/>
                <w:color w:val="auto"/>
              </w:rPr>
            </w:pPr>
            <w:r>
              <w:rPr>
                <w:rFonts w:ascii="Arial" w:cs="Arial" w:eastAsia="Arial" w:hAnsi="Arial"/>
                <w:sz w:val="18"/>
                <w:szCs w:val="18"/>
                <w:color w:val="auto"/>
              </w:rPr>
              <w:t>Costs of issuing capital</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65,000,000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336,683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(48,676)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289,370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(31,671)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2,317,252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issuing capital</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440" w:type="dxa"/>
            <w:vAlign w:val="bottom"/>
            <w:gridSpan w:val="3"/>
          </w:tcPr>
          <w:p>
            <w:pPr>
              <w:spacing w:after="0"/>
              <w:rPr>
                <w:sz w:val="20"/>
                <w:szCs w:val="20"/>
                <w:color w:val="auto"/>
              </w:rPr>
            </w:pPr>
            <w:r>
              <w:rPr>
                <w:rFonts w:ascii="Arial" w:cs="Arial" w:eastAsia="Arial" w:hAnsi="Arial"/>
                <w:sz w:val="18"/>
                <w:szCs w:val="18"/>
                <w:color w:val="auto"/>
              </w:rPr>
              <w:t>Stock subscription receivable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(1,652,215)</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65,665,037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406,591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278,910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20" w:type="dxa"/>
            <w:vAlign w:val="bottom"/>
            <w:gridSpan w:val="16"/>
          </w:tcPr>
          <w:p>
            <w:pPr>
              <w:jc w:val="right"/>
              <w:ind w:right="53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F-5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Accretion on asset retirement obligations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Abandoned project cost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(21,738)</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payable/accrued liabilities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(Decrease) increase in property taxes payable</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amounts due to/from affiliates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(Decrease) increase in other liabilities</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borrowings of debt</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 of deferred financing costs</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and (repayment of) Member’s note</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Capital contributed from Members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 of stock issuance costs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(95,942)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Changes in accrued costs for assets subject to finance lease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Amortized debt issuance cost capitalized</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4"/>
          </w:tcPr>
          <w:p>
            <w:pPr>
              <w:jc w:val="right"/>
              <w:ind w:righ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40" w:type="dxa"/>
            <w:vAlign w:val="bottom"/>
          </w:tcPr>
          <w:p>
            <w:pPr>
              <w:ind w:left="4620"/>
              <w:spacing w:after="0"/>
              <w:rPr>
                <w:sz w:val="20"/>
                <w:szCs w:val="20"/>
                <w:color w:val="auto"/>
              </w:rPr>
            </w:pPr>
            <w:r>
              <w:rPr>
                <w:rFonts w:ascii="Arial" w:cs="Arial" w:eastAsia="Arial" w:hAnsi="Arial"/>
                <w:sz w:val="18"/>
                <w:szCs w:val="18"/>
                <w:color w:val="auto"/>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31" w:name="page132"/>
    <w:bookmarkEnd w:id="13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New Fortress Energy Holdings LLC</w:t>
      </w:r>
    </w:p>
    <w:p>
      <w:pPr>
        <w:ind w:left="7"/>
        <w:spacing w:after="0" w:line="221" w:lineRule="auto"/>
        <w:rPr>
          <w:sz w:val="20"/>
          <w:szCs w:val="20"/>
          <w:color w:val="auto"/>
        </w:rPr>
      </w:pPr>
      <w:r>
        <w:rPr>
          <w:rFonts w:ascii="Arial" w:cs="Arial" w:eastAsia="Arial" w:hAnsi="Arial"/>
          <w:sz w:val="18"/>
          <w:szCs w:val="18"/>
          <w:b w:val="1"/>
          <w:bCs w:val="1"/>
          <w:color w:val="auto"/>
        </w:rPr>
        <w:t>Notes to Consolidated Financial Statements</w:t>
      </w:r>
    </w:p>
    <w:p>
      <w:pPr>
        <w:ind w:left="7"/>
        <w:spacing w:after="0" w:line="219" w:lineRule="auto"/>
        <w:rPr>
          <w:sz w:val="20"/>
          <w:szCs w:val="20"/>
          <w:color w:val="auto"/>
        </w:rPr>
      </w:pPr>
      <w:r>
        <w:rPr>
          <w:rFonts w:ascii="Arial" w:cs="Arial" w:eastAsia="Arial" w:hAnsi="Arial"/>
          <w:sz w:val="18"/>
          <w:szCs w:val="18"/>
          <w:b w:val="1"/>
          <w:bCs w:val="1"/>
          <w:color w:val="auto"/>
        </w:rPr>
        <w:t>December 31, 2017</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6071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0" w:lineRule="exact"/>
        <w:rPr>
          <w:sz w:val="20"/>
          <w:szCs w:val="20"/>
          <w:color w:val="auto"/>
        </w:rPr>
      </w:pPr>
    </w:p>
    <w:p>
      <w:pPr>
        <w:ind w:left="347" w:hanging="347"/>
        <w:spacing w:after="0"/>
        <w:tabs>
          <w:tab w:leader="none" w:pos="34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367"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integrated gas-to-power company that seeks to use “stranded” natural gas to satisfy the world’s large and growing power needs. The Company's mission is to provide modern infrastructure solutions to create cleaner, reliable energy while generating a positive economic impact worldwide. The Company's business model is simple, yet unique for the liquefied natural gas (“LNG”) industry. The Company aims to deliver targeted energy solutions to customers around the world, thereby reducing their energy costs and diversifying their energy resources, while also reducing pollution.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69" w:lineRule="exact"/>
        <w:rPr>
          <w:rFonts w:ascii="Arial" w:cs="Arial" w:eastAsia="Arial" w:hAnsi="Arial"/>
          <w:sz w:val="18"/>
          <w:szCs w:val="18"/>
          <w:b w:val="1"/>
          <w:bCs w:val="1"/>
          <w:color w:val="auto"/>
        </w:rPr>
      </w:pPr>
    </w:p>
    <w:p>
      <w:pPr>
        <w:ind w:left="367"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 on the delivery of an integrated solution to our customers.</w:t>
      </w:r>
    </w:p>
    <w:p>
      <w:pPr>
        <w:spacing w:after="0" w:line="53" w:lineRule="exact"/>
        <w:rPr>
          <w:rFonts w:ascii="Arial" w:cs="Arial" w:eastAsia="Arial" w:hAnsi="Arial"/>
          <w:sz w:val="18"/>
          <w:szCs w:val="18"/>
          <w:b w:val="1"/>
          <w:bCs w:val="1"/>
          <w:color w:val="auto"/>
        </w:rPr>
      </w:pPr>
    </w:p>
    <w:p>
      <w:pPr>
        <w:ind w:left="347" w:hanging="347"/>
        <w:spacing w:after="0"/>
        <w:tabs>
          <w:tab w:leader="none" w:pos="34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principal accounting policies adopted are set out below.</w:t>
      </w:r>
    </w:p>
    <w:p>
      <w:pPr>
        <w:spacing w:after="0" w:line="113" w:lineRule="exact"/>
        <w:rPr>
          <w:rFonts w:ascii="Arial" w:cs="Arial" w:eastAsia="Arial" w:hAnsi="Arial"/>
          <w:sz w:val="18"/>
          <w:szCs w:val="18"/>
          <w:b w:val="1"/>
          <w:bCs w:val="1"/>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727" w:right="120"/>
        <w:spacing w:after="0" w:line="259" w:lineRule="auto"/>
        <w:rPr>
          <w:rFonts w:ascii="Arial" w:cs="Arial" w:eastAsia="Arial" w:hAnsi="Arial"/>
          <w:sz w:val="18"/>
          <w:szCs w:val="18"/>
          <w:color w:val="auto"/>
        </w:rPr>
      </w:pPr>
      <w:r>
        <w:rPr>
          <w:rFonts w:ascii="Arial" w:cs="Arial" w:eastAsia="Arial" w:hAnsi="Arial"/>
          <w:sz w:val="18"/>
          <w:szCs w:val="18"/>
          <w:color w:val="auto"/>
        </w:rPr>
        <w:t>The consolidated financial statements were prepared in accordance with US generally accepted accounting principles (“GAAP”). The consolidated financial statements include the accounts of the Company and its consolidated subsidiaries. All consolidated subsidiary entities are wholly-owned. All significant intercompany transactions and balances have been eliminated on consolidation.</w:t>
      </w:r>
    </w:p>
    <w:p>
      <w:pPr>
        <w:spacing w:after="0" w:line="74" w:lineRule="exact"/>
        <w:rPr>
          <w:rFonts w:ascii="Arial" w:cs="Arial" w:eastAsia="Arial" w:hAnsi="Arial"/>
          <w:sz w:val="18"/>
          <w:szCs w:val="18"/>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727" w:right="140"/>
        <w:spacing w:after="0" w:line="297" w:lineRule="auto"/>
        <w:rPr>
          <w:rFonts w:ascii="Arial" w:cs="Arial" w:eastAsia="Arial" w:hAnsi="Arial"/>
          <w:sz w:val="18"/>
          <w:szCs w:val="18"/>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46" w:lineRule="exact"/>
        <w:rPr>
          <w:rFonts w:ascii="Arial" w:cs="Arial" w:eastAsia="Arial" w:hAnsi="Arial"/>
          <w:sz w:val="18"/>
          <w:szCs w:val="18"/>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21" w:lineRule="exact"/>
        <w:rPr>
          <w:rFonts w:ascii="Arial" w:cs="Arial" w:eastAsia="Arial" w:hAnsi="Arial"/>
          <w:sz w:val="18"/>
          <w:szCs w:val="18"/>
          <w:color w:val="auto"/>
        </w:rPr>
      </w:pPr>
    </w:p>
    <w:p>
      <w:pPr>
        <w:ind w:left="727"/>
        <w:spacing w:after="0" w:line="257"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76" w:lineRule="exact"/>
        <w:rPr>
          <w:rFonts w:ascii="Arial" w:cs="Arial" w:eastAsia="Arial" w:hAnsi="Arial"/>
          <w:sz w:val="18"/>
          <w:szCs w:val="18"/>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727" w:right="460"/>
        <w:spacing w:after="0" w:line="277"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8" w:lineRule="exact"/>
        <w:rPr>
          <w:rFonts w:ascii="Arial" w:cs="Arial" w:eastAsia="Arial" w:hAnsi="Arial"/>
          <w:sz w:val="18"/>
          <w:szCs w:val="18"/>
          <w:color w:val="auto"/>
        </w:rPr>
      </w:pPr>
    </w:p>
    <w:p>
      <w:pPr>
        <w:ind w:left="707" w:hanging="356"/>
        <w:spacing w:after="0"/>
        <w:tabs>
          <w:tab w:leader="none" w:pos="707"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727" w:right="500"/>
        <w:spacing w:after="0" w:line="277"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35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21"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 determined based on the debtor’s ability to pay and the estimated value of any collateral, and such losses are recorded as Selling, general and administrative within the consolidated statements of operations and comprehensive loss. For the years ended December 31, 2017 and 2016, no bad debt expense was recognized with respect to receivables, and there is no recorded allowance for doubtful accounts.</w:t>
      </w:r>
    </w:p>
    <w:p>
      <w:pPr>
        <w:spacing w:after="0" w:line="81" w:lineRule="exact"/>
        <w:rPr>
          <w:rFonts w:ascii="Arial" w:cs="Arial" w:eastAsia="Arial" w:hAnsi="Arial"/>
          <w:sz w:val="18"/>
          <w:szCs w:val="18"/>
          <w:color w:val="auto"/>
        </w:rPr>
      </w:pPr>
    </w:p>
    <w:p>
      <w:pPr>
        <w:ind w:left="700" w:hanging="35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720" w:right="40"/>
        <w:spacing w:after="0" w:line="264"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3"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Inventory is subject to the lower of cost or net realizable value each month. Changes in the value of inventory are recorded within Cost of sales in the consolidated statements of operations and comprehensive loss.</w:t>
      </w:r>
    </w:p>
    <w:p>
      <w:pPr>
        <w:spacing w:after="0" w:line="62" w:lineRule="exact"/>
        <w:rPr>
          <w:rFonts w:ascii="Arial" w:cs="Arial" w:eastAsia="Arial" w:hAnsi="Arial"/>
          <w:sz w:val="18"/>
          <w:szCs w:val="18"/>
          <w:color w:val="auto"/>
        </w:rPr>
      </w:pPr>
    </w:p>
    <w:p>
      <w:pPr>
        <w:ind w:left="720" w:right="260"/>
        <w:spacing w:after="0" w:line="259"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color w:val="auto"/>
        </w:rPr>
      </w:pPr>
    </w:p>
    <w:p>
      <w:pPr>
        <w:jc w:val="both"/>
        <w:ind w:left="720" w:right="120"/>
        <w:spacing w:after="0" w:line="312"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face of the consolidated balance sheets. Depreciation is not recognized during the construction period.</w:t>
      </w:r>
    </w:p>
    <w:p>
      <w:pPr>
        <w:spacing w:after="0" w:line="38" w:lineRule="exact"/>
        <w:rPr>
          <w:rFonts w:ascii="Arial" w:cs="Arial" w:eastAsia="Arial" w:hAnsi="Arial"/>
          <w:sz w:val="18"/>
          <w:szCs w:val="18"/>
          <w:color w:val="auto"/>
        </w:rPr>
      </w:pPr>
    </w:p>
    <w:p>
      <w:pPr>
        <w:ind w:left="720" w:right="40"/>
        <w:spacing w:after="0" w:line="259"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$0 and $3,517 was capitalized during the years ended December 31, 2017 and 2016, respectively, in addition to amortized debt issuance costs disclosed in Note 2(m).</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color w:val="auto"/>
        </w:rPr>
      </w:pPr>
    </w:p>
    <w:p>
      <w:pPr>
        <w:ind w:left="720" w:right="100"/>
        <w:spacing w:after="0" w:line="257"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useful life of the asset.</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3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1"/>
              </w:rPr>
              <w:t>20-30</w:t>
            </w:r>
          </w:p>
        </w:tc>
        <w:tc>
          <w:tcPr>
            <w:tcW w:w="8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ind w:left="34"/>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20"/>
                <w:szCs w:val="20"/>
                <w:color w:val="auto"/>
              </w:rPr>
            </w:pPr>
          </w:p>
        </w:tc>
      </w:tr>
      <w:tr>
        <w:trPr>
          <w:trHeight w:val="24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1"/>
                <w:szCs w:val="2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left="720" w:right="20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2" w:lineRule="exact"/>
        <w:rPr>
          <w:sz w:val="20"/>
          <w:szCs w:val="20"/>
          <w:color w:val="auto"/>
        </w:rPr>
      </w:pPr>
    </w:p>
    <w:p>
      <w:pPr>
        <w:ind w:left="720" w:right="120"/>
        <w:spacing w:after="0" w:line="264"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21" w:lineRule="exact"/>
        <w:rPr>
          <w:rFonts w:ascii="Arial" w:cs="Arial" w:eastAsia="Arial" w:hAnsi="Arial"/>
          <w:sz w:val="18"/>
          <w:szCs w:val="18"/>
          <w:color w:val="auto"/>
        </w:rPr>
      </w:pPr>
    </w:p>
    <w:p>
      <w:pPr>
        <w:ind w:left="720" w:right="100"/>
        <w:spacing w:after="0" w:line="273"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100"/>
        <w:spacing w:after="0" w:line="264"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w:t>
      </w:r>
    </w:p>
    <w:p>
      <w:pPr>
        <w:spacing w:after="0" w:line="69"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12"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38" w:lineRule="exact"/>
        <w:rPr>
          <w:rFonts w:ascii="Arial" w:cs="Arial" w:eastAsia="Arial" w:hAnsi="Arial"/>
          <w:sz w:val="18"/>
          <w:szCs w:val="18"/>
          <w:color w:val="auto"/>
        </w:rPr>
      </w:pPr>
    </w:p>
    <w:p>
      <w:pPr>
        <w:ind w:left="720" w:right="40"/>
        <w:spacing w:after="0" w:line="312"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2017 and 2016.</w:t>
      </w:r>
    </w:p>
    <w:p>
      <w:pPr>
        <w:spacing w:after="0" w:line="34"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color w:val="auto"/>
        </w:rPr>
      </w:pPr>
    </w:p>
    <w:p>
      <w:pPr>
        <w:ind w:left="720" w:right="20"/>
        <w:spacing w:after="0" w:line="273" w:lineRule="auto"/>
        <w:rPr>
          <w:rFonts w:ascii="Arial" w:cs="Arial" w:eastAsia="Arial" w:hAnsi="Arial"/>
          <w:sz w:val="18"/>
          <w:szCs w:val="18"/>
          <w:color w:val="auto"/>
        </w:rPr>
      </w:pPr>
      <w:r>
        <w:rPr>
          <w:rFonts w:ascii="Arial" w:cs="Arial" w:eastAsia="Arial" w:hAnsi="Arial"/>
          <w:sz w:val="17"/>
          <w:szCs w:val="17"/>
          <w:color w:val="auto"/>
        </w:rPr>
        <w:t>The Company considers listed equity securities as available-for-sale securities recorded at fair value with unrealized gains or losses recorded in Other comprehensive (loss) and realized gains or losses recorded in earnings in Other (income), net in the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to determine if an other-than-temporary impairment has occurred (see Note 9).</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21" w:lineRule="exact"/>
        <w:rPr>
          <w:rFonts w:ascii="Arial" w:cs="Arial" w:eastAsia="Arial" w:hAnsi="Arial"/>
          <w:sz w:val="18"/>
          <w:szCs w:val="18"/>
          <w:color w:val="auto"/>
        </w:rPr>
      </w:pPr>
    </w:p>
    <w:p>
      <w:pPr>
        <w:ind w:left="720" w:right="100"/>
        <w:spacing w:after="0" w:line="297"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in the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$696 and $1,464 for the years ended December 31, 2017 and 2016, respectively, of which $0 and $689 were capitalized.</w:t>
      </w:r>
    </w:p>
    <w:p>
      <w:pPr>
        <w:spacing w:after="0" w:line="46" w:lineRule="exact"/>
        <w:rPr>
          <w:rFonts w:ascii="Arial" w:cs="Arial" w:eastAsia="Arial" w:hAnsi="Arial"/>
          <w:sz w:val="18"/>
          <w:szCs w:val="18"/>
          <w:color w:val="auto"/>
        </w:rPr>
      </w:pPr>
    </w:p>
    <w:p>
      <w:pPr>
        <w:ind w:left="700" w:hanging="3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Legal and other contingencies</w:t>
      </w:r>
    </w:p>
    <w:p>
      <w:pPr>
        <w:spacing w:after="0" w:line="121" w:lineRule="exact"/>
        <w:rPr>
          <w:rFonts w:ascii="Arial" w:cs="Arial" w:eastAsia="Arial" w:hAnsi="Arial"/>
          <w:sz w:val="18"/>
          <w:szCs w:val="18"/>
          <w:color w:val="auto"/>
        </w:rPr>
      </w:pPr>
    </w:p>
    <w:p>
      <w:pPr>
        <w:ind w:left="720" w:right="60"/>
        <w:spacing w:after="0" w:line="273" w:lineRule="auto"/>
        <w:rPr>
          <w:rFonts w:ascii="Arial" w:cs="Arial" w:eastAsia="Arial" w:hAnsi="Arial"/>
          <w:sz w:val="18"/>
          <w:szCs w:val="18"/>
          <w:color w:val="auto"/>
        </w:rPr>
      </w:pPr>
      <w:r>
        <w:rPr>
          <w:rFonts w:ascii="Arial" w:cs="Arial" w:eastAsia="Arial" w:hAnsi="Arial"/>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35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720" w:right="40"/>
        <w:spacing w:after="0" w:line="257"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80" w:lineRule="exact"/>
        <w:rPr>
          <w:rFonts w:ascii="Arial" w:cs="Arial" w:eastAsia="Arial" w:hAnsi="Arial"/>
          <w:sz w:val="18"/>
          <w:szCs w:val="18"/>
          <w:color w:val="auto"/>
        </w:rPr>
      </w:pPr>
    </w:p>
    <w:p>
      <w:pPr>
        <w:ind w:left="720" w:right="520"/>
        <w:spacing w:after="0" w:line="286" w:lineRule="auto"/>
        <w:rPr>
          <w:rFonts w:ascii="Arial" w:cs="Arial" w:eastAsia="Arial" w:hAnsi="Arial"/>
          <w:sz w:val="18"/>
          <w:szCs w:val="18"/>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57" w:lineRule="exact"/>
        <w:rPr>
          <w:rFonts w:ascii="Arial" w:cs="Arial" w:eastAsia="Arial" w:hAnsi="Arial"/>
          <w:sz w:val="18"/>
          <w:szCs w:val="18"/>
          <w:color w:val="auto"/>
        </w:rPr>
      </w:pPr>
    </w:p>
    <w:p>
      <w:pPr>
        <w:ind w:left="720" w:right="40"/>
        <w:spacing w:after="0" w:line="273" w:lineRule="auto"/>
        <w:rPr>
          <w:rFonts w:ascii="Arial" w:cs="Arial" w:eastAsia="Arial" w:hAnsi="Arial"/>
          <w:sz w:val="18"/>
          <w:szCs w:val="18"/>
          <w:color w:val="auto"/>
        </w:rPr>
      </w:pPr>
      <w:r>
        <w:rPr>
          <w:rFonts w:ascii="Arial" w:cs="Arial" w:eastAsia="Arial" w:hAnsi="Arial"/>
          <w:sz w:val="17"/>
          <w:szCs w:val="17"/>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consolidated statements of operations and comprehensive loss is primarily comprised of such interest revenue. The principal components of the lease payment are reflected as a reduction to the net investment in the finance lease.</w:t>
      </w:r>
    </w:p>
    <w:p>
      <w:pPr>
        <w:spacing w:after="0" w:line="70" w:lineRule="exact"/>
        <w:rPr>
          <w:rFonts w:ascii="Arial" w:cs="Arial" w:eastAsia="Arial" w:hAnsi="Arial"/>
          <w:sz w:val="18"/>
          <w:szCs w:val="18"/>
          <w:color w:val="auto"/>
        </w:rPr>
      </w:pPr>
    </w:p>
    <w:p>
      <w:pPr>
        <w:ind w:left="720" w:right="200"/>
        <w:spacing w:after="0" w:line="264" w:lineRule="auto"/>
        <w:rPr>
          <w:rFonts w:ascii="Arial" w:cs="Arial" w:eastAsia="Arial" w:hAnsi="Arial"/>
          <w:sz w:val="18"/>
          <w:szCs w:val="18"/>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69" w:lineRule="exact"/>
        <w:rPr>
          <w:rFonts w:ascii="Arial" w:cs="Arial" w:eastAsia="Arial" w:hAnsi="Arial"/>
          <w:sz w:val="18"/>
          <w:szCs w:val="18"/>
          <w:color w:val="auto"/>
        </w:rPr>
      </w:pPr>
    </w:p>
    <w:p>
      <w:pPr>
        <w:ind w:left="700" w:hanging="35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color w:val="auto"/>
        </w:rPr>
      </w:pPr>
    </w:p>
    <w:p>
      <w:pPr>
        <w:ind w:left="720" w:right="60"/>
        <w:spacing w:after="0" w:line="312" w:lineRule="auto"/>
        <w:rPr>
          <w:rFonts w:ascii="Arial" w:cs="Arial" w:eastAsia="Arial" w:hAnsi="Arial"/>
          <w:sz w:val="18"/>
          <w:szCs w:val="18"/>
          <w:color w:val="auto"/>
        </w:rPr>
      </w:pPr>
      <w:r>
        <w:rPr>
          <w:rFonts w:ascii="Arial" w:cs="Arial" w:eastAsia="Arial" w:hAnsi="Arial"/>
          <w:sz w:val="16"/>
          <w:szCs w:val="16"/>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 All other leases are classified as operating leases.</w:t>
      </w:r>
    </w:p>
    <w:p>
      <w:pPr>
        <w:spacing w:after="0" w:line="38" w:lineRule="exact"/>
        <w:rPr>
          <w:rFonts w:ascii="Arial" w:cs="Arial" w:eastAsia="Arial" w:hAnsi="Arial"/>
          <w:sz w:val="18"/>
          <w:szCs w:val="18"/>
          <w:color w:val="auto"/>
        </w:rPr>
      </w:pPr>
    </w:p>
    <w:p>
      <w:pPr>
        <w:ind w:left="720" w:right="100"/>
        <w:spacing w:after="0" w:line="277"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7" w:lineRule="exact"/>
        <w:rPr>
          <w:rFonts w:ascii="Arial" w:cs="Arial" w:eastAsia="Arial" w:hAnsi="Arial"/>
          <w:sz w:val="18"/>
          <w:szCs w:val="18"/>
          <w:color w:val="auto"/>
        </w:rPr>
      </w:pPr>
    </w:p>
    <w:p>
      <w:pPr>
        <w:jc w:val="both"/>
        <w:ind w:left="720" w:right="180"/>
        <w:spacing w:after="0" w:line="288" w:lineRule="auto"/>
        <w:rPr>
          <w:rFonts w:ascii="Arial" w:cs="Arial" w:eastAsia="Arial" w:hAnsi="Arial"/>
          <w:sz w:val="18"/>
          <w:szCs w:val="18"/>
          <w:color w:val="auto"/>
        </w:rPr>
      </w:pPr>
      <w:r>
        <w:rPr>
          <w:rFonts w:ascii="Arial" w:cs="Arial" w:eastAsia="Arial" w:hAnsi="Arial"/>
          <w:sz w:val="16"/>
          <w:szCs w:val="16"/>
          <w:color w:val="auto"/>
        </w:rPr>
        <w:t>New Fortress Energy Holdings LLC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w:t>
      </w:r>
    </w:p>
    <w:p>
      <w:pPr>
        <w:ind w:left="720" w:right="20"/>
        <w:spacing w:after="0" w:line="269" w:lineRule="auto"/>
        <w:rPr>
          <w:rFonts w:ascii="Arial" w:cs="Arial" w:eastAsia="Arial" w:hAnsi="Arial"/>
          <w:sz w:val="18"/>
          <w:szCs w:val="18"/>
          <w:color w:val="auto"/>
        </w:rPr>
      </w:pPr>
      <w:r>
        <w:rPr>
          <w:rFonts w:ascii="Arial" w:cs="Arial" w:eastAsia="Arial" w:hAnsi="Arial"/>
          <w:sz w:val="17"/>
          <w:szCs w:val="17"/>
          <w:color w:val="auto"/>
        </w:rPr>
        <w:t>The tax returns filed by the Company since inception are subject to examination by the U.S. federal and state tax authorities. Upon consummation of the anticipated public offering (“Proposed Offering”), the Company will contribute all of its interests in its subsidiaries and its limited assets to a subsidiary of NFE Financial Holdings LLC (the “Registrant”). The Registrant has elected to be taxed as a corporation and will become subject to corporate U.S. federal and state income taxes. Accordingly, a pro forma income tax provision has been disclosed as if the Company was a taxable corporation for the year ended December 31, 2017. Pro forma tax (expense) benefit was computed using an estimated effective rate of %, inclusive of all applicable U.S. federal, state and foreign taxes.</w:t>
      </w:r>
    </w:p>
    <w:p>
      <w:pPr>
        <w:spacing w:after="0" w:line="72"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5" w:name="page136"/>
    <w:bookmarkEnd w:id="13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27"/>
        <w:spacing w:after="0"/>
        <w:rPr>
          <w:sz w:val="20"/>
          <w:szCs w:val="20"/>
          <w:color w:val="auto"/>
        </w:rPr>
      </w:pPr>
      <w:r>
        <w:rPr>
          <w:rFonts w:ascii="Arial" w:cs="Arial" w:eastAsia="Arial" w:hAnsi="Arial"/>
          <w:sz w:val="18"/>
          <w:szCs w:val="18"/>
          <w:i w:val="1"/>
          <w:iCs w:val="1"/>
          <w:color w:val="auto"/>
        </w:rPr>
        <w:t>Foreign taxes</w:t>
      </w:r>
    </w:p>
    <w:p>
      <w:pPr>
        <w:spacing w:after="0" w:line="117" w:lineRule="exact"/>
        <w:rPr>
          <w:sz w:val="20"/>
          <w:szCs w:val="20"/>
          <w:color w:val="auto"/>
        </w:rPr>
      </w:pPr>
    </w:p>
    <w:p>
      <w:pPr>
        <w:ind w:left="727" w:right="400"/>
        <w:spacing w:after="0" w:line="277" w:lineRule="auto"/>
        <w:rPr>
          <w:sz w:val="20"/>
          <w:szCs w:val="20"/>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computed at the local jurisdictional tax rate.</w:t>
      </w:r>
    </w:p>
    <w:p>
      <w:pPr>
        <w:spacing w:after="0" w:line="170" w:lineRule="exact"/>
        <w:rPr>
          <w:sz w:val="20"/>
          <w:szCs w:val="20"/>
          <w:color w:val="auto"/>
        </w:rPr>
      </w:pPr>
    </w:p>
    <w:p>
      <w:pPr>
        <w:ind w:left="727"/>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727" w:right="180"/>
        <w:spacing w:after="0" w:line="302" w:lineRule="auto"/>
        <w:rPr>
          <w:sz w:val="20"/>
          <w:szCs w:val="20"/>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42" w:lineRule="exact"/>
        <w:rPr>
          <w:sz w:val="20"/>
          <w:szCs w:val="20"/>
          <w:color w:val="auto"/>
        </w:rPr>
      </w:pPr>
    </w:p>
    <w:p>
      <w:pPr>
        <w:ind w:left="707" w:hanging="356"/>
        <w:spacing w:after="0"/>
        <w:tabs>
          <w:tab w:leader="none" w:pos="707"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color w:val="auto"/>
        </w:rPr>
      </w:pPr>
    </w:p>
    <w:p>
      <w:pPr>
        <w:ind w:left="727"/>
        <w:spacing w:after="0" w:line="273"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year ended ended December 31, 2017 and 2016 there were no potentially dilutive shares outstanding.</w:t>
      </w:r>
    </w:p>
    <w:p>
      <w:pPr>
        <w:spacing w:after="0" w:line="178" w:lineRule="exact"/>
        <w:rPr>
          <w:rFonts w:ascii="Arial" w:cs="Arial" w:eastAsia="Arial" w:hAnsi="Arial"/>
          <w:sz w:val="18"/>
          <w:szCs w:val="18"/>
          <w:color w:val="auto"/>
        </w:rPr>
      </w:pPr>
    </w:p>
    <w:p>
      <w:pPr>
        <w:ind w:left="727"/>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rFonts w:ascii="Arial" w:cs="Arial" w:eastAsia="Arial" w:hAnsi="Arial"/>
          <w:sz w:val="18"/>
          <w:szCs w:val="18"/>
          <w:color w:val="auto"/>
        </w:rPr>
      </w:pPr>
    </w:p>
    <w:p>
      <w:pPr>
        <w:ind w:left="727" w:right="80"/>
        <w:spacing w:after="0" w:line="264"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year ended December 31, 2017.</w:t>
      </w:r>
    </w:p>
    <w:p>
      <w:pPr>
        <w:spacing w:after="0" w:line="69" w:lineRule="exact"/>
        <w:rPr>
          <w:rFonts w:ascii="Arial" w:cs="Arial" w:eastAsia="Arial" w:hAnsi="Arial"/>
          <w:sz w:val="18"/>
          <w:szCs w:val="18"/>
          <w:color w:val="auto"/>
        </w:rPr>
      </w:pPr>
    </w:p>
    <w:p>
      <w:pPr>
        <w:ind w:left="347" w:hanging="347"/>
        <w:spacing w:after="0"/>
        <w:tabs>
          <w:tab w:leader="none" w:pos="347"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21" w:lineRule="exact"/>
        <w:rPr>
          <w:rFonts w:ascii="Arial" w:cs="Arial" w:eastAsia="Arial" w:hAnsi="Arial"/>
          <w:sz w:val="18"/>
          <w:szCs w:val="18"/>
          <w:b w:val="1"/>
          <w:bCs w:val="1"/>
          <w:color w:val="auto"/>
        </w:rPr>
      </w:pPr>
    </w:p>
    <w:p>
      <w:pPr>
        <w:ind w:left="367"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9" w:lineRule="exact"/>
        <w:rPr>
          <w:sz w:val="20"/>
          <w:szCs w:val="20"/>
          <w:color w:val="auto"/>
        </w:rPr>
      </w:pPr>
    </w:p>
    <w:p>
      <w:pPr>
        <w:ind w:left="727" w:right="140"/>
        <w:spacing w:after="0" w:line="255" w:lineRule="auto"/>
        <w:rPr>
          <w:sz w:val="20"/>
          <w:szCs w:val="20"/>
          <w:color w:val="auto"/>
        </w:rPr>
      </w:pPr>
      <w:r>
        <w:rPr>
          <w:rFonts w:ascii="Arial" w:cs="Arial" w:eastAsia="Arial" w:hAnsi="Arial"/>
          <w:sz w:val="18"/>
          <w:szCs w:val="18"/>
          <w:color w:val="auto"/>
        </w:rPr>
        <w:t xml:space="preserve">In July 2015, the Financial Accounting Standrards Board (“FASB”) issued Accounting Standard Update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the lower of cost and net realizable value. ASU 2015-11 is effective for the Company for annual periods in fiscal years beginning after December 15, 2016, and the Company adopted the new standard beginning January 1, 2017. Adoption of this guidance did not have a material effect on the Company’s consolidated financial statements.</w:t>
      </w:r>
    </w:p>
    <w:p>
      <w:pPr>
        <w:spacing w:after="0" w:line="85" w:lineRule="exact"/>
        <w:rPr>
          <w:sz w:val="20"/>
          <w:szCs w:val="20"/>
          <w:color w:val="auto"/>
        </w:rPr>
      </w:pPr>
    </w:p>
    <w:p>
      <w:pPr>
        <w:ind w:left="727" w:right="18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Adoption of this guidance did not have a material impact on the Company’s consolidated financial statements.</w:t>
      </w:r>
    </w:p>
    <w:p>
      <w:pPr>
        <w:spacing w:after="0" w:line="46" w:lineRule="exact"/>
        <w:rPr>
          <w:sz w:val="20"/>
          <w:szCs w:val="20"/>
          <w:color w:val="auto"/>
        </w:rPr>
      </w:pPr>
    </w:p>
    <w:p>
      <w:pPr>
        <w:ind w:left="707" w:right="180" w:hanging="356"/>
        <w:spacing w:after="0" w:line="282" w:lineRule="auto"/>
        <w:tabs>
          <w:tab w:leader="none" w:pos="707"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2017 and not early adopted:</w:t>
      </w:r>
    </w:p>
    <w:p>
      <w:pPr>
        <w:spacing w:after="0" w:line="57" w:lineRule="exact"/>
        <w:rPr>
          <w:rFonts w:ascii="Arial" w:cs="Arial" w:eastAsia="Arial" w:hAnsi="Arial"/>
          <w:sz w:val="18"/>
          <w:szCs w:val="18"/>
          <w:color w:val="auto"/>
        </w:rPr>
      </w:pPr>
    </w:p>
    <w:p>
      <w:pPr>
        <w:ind w:left="727"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guidance on eight specific cash flow issues with an intention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Company will adopt ASU 2016-15 during the year beginning January 1, 2019 and does not expect a material effect on its consolidated financial statements.</w:t>
      </w:r>
    </w:p>
    <w:p>
      <w:pPr>
        <w:spacing w:after="0" w:line="79" w:lineRule="exact"/>
        <w:rPr>
          <w:sz w:val="20"/>
          <w:szCs w:val="20"/>
          <w:color w:val="auto"/>
        </w:rPr>
      </w:pPr>
    </w:p>
    <w:p>
      <w:pPr>
        <w:ind w:left="72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66" w:lineRule="exact"/>
        <w:rPr>
          <w:sz w:val="20"/>
          <w:szCs w:val="20"/>
          <w:color w:val="auto"/>
        </w:rPr>
      </w:pPr>
    </w:p>
    <w:p>
      <w:pPr>
        <w:ind w:left="700" w:hanging="356"/>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21" w:lineRule="exact"/>
        <w:rPr>
          <w:rFonts w:ascii="Arial" w:cs="Arial" w:eastAsia="Arial" w:hAnsi="Arial"/>
          <w:sz w:val="18"/>
          <w:szCs w:val="18"/>
          <w:color w:val="auto"/>
        </w:rPr>
      </w:pPr>
    </w:p>
    <w:p>
      <w:pPr>
        <w:ind w:left="720" w:right="12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which makes targeted improvements to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69"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2015, the FASB issued accounting guidance that is designed to improve the way deferred taxes are classified on organizations’ balance sheets.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is part of the FASB’s simplification initiative designed to reduce complexity in financial reporting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will not have a material impact on the consolidated financial statements.</w:t>
      </w:r>
    </w:p>
    <w:p>
      <w:pPr>
        <w:spacing w:after="0" w:line="81" w:lineRule="exact"/>
        <w:rPr>
          <w:rFonts w:ascii="Arial" w:cs="Arial" w:eastAsia="Arial" w:hAnsi="Arial"/>
          <w:sz w:val="18"/>
          <w:szCs w:val="18"/>
          <w:color w:val="auto"/>
        </w:rPr>
      </w:pPr>
    </w:p>
    <w:p>
      <w:pPr>
        <w:ind w:left="7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7" w:name="page138"/>
    <w:bookmarkEnd w:id="13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21" w:lineRule="exact"/>
        <w:rPr>
          <w:rFonts w:ascii="Arial" w:cs="Arial" w:eastAsia="Arial" w:hAnsi="Arial"/>
          <w:sz w:val="18"/>
          <w:szCs w:val="18"/>
          <w:b w:val="1"/>
          <w:bCs w:val="1"/>
          <w:color w:val="auto"/>
        </w:rPr>
      </w:pPr>
    </w:p>
    <w:p>
      <w:pPr>
        <w:ind w:left="367"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normal course of business, the Company encounters several significant types of economic risks including credit, market and capital market risks. Credit risk arises from cash and cash equivalents and restricted cash held with banks and financial institutions, as well as credit exposures to customers, including outstanding receivables and committed transactions.</w:t>
      </w:r>
    </w:p>
    <w:p>
      <w:pPr>
        <w:spacing w:after="0" w:line="38" w:lineRule="exact"/>
        <w:rPr>
          <w:rFonts w:ascii="Arial" w:cs="Arial" w:eastAsia="Arial" w:hAnsi="Arial"/>
          <w:sz w:val="18"/>
          <w:szCs w:val="18"/>
          <w:b w:val="1"/>
          <w:bCs w:val="1"/>
          <w:color w:val="auto"/>
        </w:rPr>
      </w:pPr>
    </w:p>
    <w:p>
      <w:pPr>
        <w:ind w:left="3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of the Company’s cash and cash equivalents and restricted cash is held with banks and financial institutions with high credit ratings assigned by international credit-rating agencies. For customers and other counterparties, the credit quality is assessed by taking into account its external ratings published by international credit-rating agencies, if any, or its financial position, past experience and other factors. Transactions are entered into with customers and counterparties that are deemed to be of adequate credit quality by management.</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a concentration of credit with a key customer, a company incorporated in Jamaica, West Indies. See Note 21 for additional details about the Company’s customer concentrations.</w:t>
      </w:r>
    </w:p>
    <w:p>
      <w:pPr>
        <w:spacing w:after="0" w:line="62" w:lineRule="exact"/>
        <w:rPr>
          <w:rFonts w:ascii="Arial" w:cs="Arial" w:eastAsia="Arial" w:hAnsi="Arial"/>
          <w:sz w:val="18"/>
          <w:szCs w:val="18"/>
          <w:b w:val="1"/>
          <w:bCs w:val="1"/>
          <w:color w:val="auto"/>
        </w:rPr>
      </w:pPr>
    </w:p>
    <w:p>
      <w:pPr>
        <w:ind w:left="367"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is also exposed to foreign currency risk attributable to cash flows received or paid in currencies other than the US dollar.</w:t>
      </w:r>
    </w:p>
    <w:p>
      <w:pPr>
        <w:spacing w:after="0" w:line="64" w:lineRule="exact"/>
        <w:rPr>
          <w:rFonts w:ascii="Arial" w:cs="Arial" w:eastAsia="Arial" w:hAnsi="Arial"/>
          <w:sz w:val="18"/>
          <w:szCs w:val="18"/>
          <w:b w:val="1"/>
          <w:bCs w:val="1"/>
          <w:color w:val="auto"/>
        </w:rPr>
      </w:pPr>
    </w:p>
    <w:p>
      <w:pPr>
        <w:ind w:left="367"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is also exposed to interest rate risk on its variable rate borrowings, primarily the Miami Loan (defined in Note 14). Increases in the market rate of interest could impact the Company’s results of operations and that impact could be material.</w:t>
      </w:r>
    </w:p>
    <w:p>
      <w:pPr>
        <w:spacing w:after="0" w:line="11" w:lineRule="exact"/>
        <w:rPr>
          <w:rFonts w:ascii="Arial" w:cs="Arial" w:eastAsia="Arial" w:hAnsi="Arial"/>
          <w:sz w:val="18"/>
          <w:szCs w:val="18"/>
          <w:b w:val="1"/>
          <w:bCs w:val="1"/>
          <w:color w:val="auto"/>
        </w:rPr>
      </w:pPr>
    </w:p>
    <w:p>
      <w:pPr>
        <w:ind w:left="347" w:hanging="347"/>
        <w:spacing w:after="0"/>
        <w:tabs>
          <w:tab w:leader="none" w:pos="347"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67"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8" w:lineRule="exact"/>
        <w:rPr>
          <w:rFonts w:ascii="Arial" w:cs="Arial" w:eastAsia="Arial" w:hAnsi="Arial"/>
          <w:sz w:val="18"/>
          <w:szCs w:val="18"/>
          <w:b w:val="1"/>
          <w:bCs w:val="1"/>
          <w:color w:val="auto"/>
        </w:rPr>
      </w:pPr>
    </w:p>
    <w:p>
      <w:pPr>
        <w:ind w:left="1067" w:hanging="351"/>
        <w:spacing w:after="0"/>
        <w:tabs>
          <w:tab w:leader="none" w:pos="1067"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67" w:hanging="351"/>
        <w:spacing w:after="0" w:line="277" w:lineRule="auto"/>
        <w:tabs>
          <w:tab w:leader="none" w:pos="1067"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either directly or indirectly,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quoted prices for similar assets or liabilities or market corroborated inputs.</w:t>
      </w:r>
    </w:p>
    <w:p>
      <w:pPr>
        <w:spacing w:after="0" w:line="62" w:lineRule="exact"/>
        <w:rPr>
          <w:rFonts w:ascii="Arial" w:cs="Arial" w:eastAsia="Arial" w:hAnsi="Arial"/>
          <w:sz w:val="18"/>
          <w:szCs w:val="18"/>
          <w:color w:val="auto"/>
        </w:rPr>
      </w:pPr>
    </w:p>
    <w:p>
      <w:pPr>
        <w:ind w:left="1067" w:right="20" w:hanging="351"/>
        <w:spacing w:after="0" w:line="277" w:lineRule="auto"/>
        <w:tabs>
          <w:tab w:leader="none" w:pos="1067"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which there is little or no market data and which require the Company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 about how market participants price the asset or liability.</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067" w:right="40" w:hanging="351"/>
        <w:spacing w:after="0" w:line="277" w:lineRule="auto"/>
        <w:tabs>
          <w:tab w:leader="none" w:pos="1067"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or liabilities.</w:t>
      </w:r>
    </w:p>
    <w:p>
      <w:pPr>
        <w:spacing w:after="0" w:line="62" w:lineRule="exact"/>
        <w:rPr>
          <w:rFonts w:ascii="Arial" w:cs="Arial" w:eastAsia="Arial" w:hAnsi="Arial"/>
          <w:sz w:val="18"/>
          <w:szCs w:val="18"/>
          <w:color w:val="auto"/>
        </w:rPr>
      </w:pPr>
    </w:p>
    <w:p>
      <w:pPr>
        <w:ind w:left="1067" w:right="160" w:hanging="351"/>
        <w:spacing w:after="0" w:line="277" w:lineRule="auto"/>
        <w:tabs>
          <w:tab w:leader="none" w:pos="1067"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expectations about those future amounts.</w:t>
      </w:r>
    </w:p>
    <w:p>
      <w:pPr>
        <w:spacing w:after="0" w:line="62" w:lineRule="exact"/>
        <w:rPr>
          <w:rFonts w:ascii="Arial" w:cs="Arial" w:eastAsia="Arial" w:hAnsi="Arial"/>
          <w:sz w:val="18"/>
          <w:szCs w:val="18"/>
          <w:color w:val="auto"/>
        </w:rPr>
      </w:pPr>
    </w:p>
    <w:p>
      <w:pPr>
        <w:ind w:left="1067" w:right="400" w:hanging="351"/>
        <w:spacing w:after="0" w:line="277" w:lineRule="auto"/>
        <w:tabs>
          <w:tab w:leader="none" w:pos="1067"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8" w:name="page139"/>
    <w:bookmarkEnd w:id="13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2017:</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r>
      <w:tr>
        <w:trPr>
          <w:trHeight w:val="23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84,708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33,623</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7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124,664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2016:</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r>
      <w:tr>
        <w:trPr>
          <w:trHeight w:val="23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180,650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180,650</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8,471</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7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192,484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192,484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7" w:right="100"/>
        <w:spacing w:after="0" w:line="276" w:lineRule="auto"/>
        <w:rPr>
          <w:sz w:val="20"/>
          <w:szCs w:val="20"/>
          <w:color w:val="auto"/>
        </w:rPr>
      </w:pPr>
      <w:r>
        <w:rPr>
          <w:rFonts w:ascii="Arial" w:cs="Arial" w:eastAsia="Arial" w:hAnsi="Arial"/>
          <w:sz w:val="17"/>
          <w:szCs w:val="17"/>
          <w:color w:val="auto"/>
        </w:rPr>
        <w:t>At December 31, 2017 and 2016,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outstanding Miami Loan (defined in Note 14) and the outstanding MoBay Loan (defined in Note 14) approximates fair value. The fair value estimate is classified as Level 3 in the fair value hierarchy.</w:t>
      </w:r>
    </w:p>
    <w:p>
      <w:pPr>
        <w:spacing w:after="0" w:line="60" w:lineRule="exact"/>
        <w:rPr>
          <w:sz w:val="20"/>
          <w:szCs w:val="20"/>
          <w:color w:val="auto"/>
        </w:rPr>
      </w:pPr>
    </w:p>
    <w:p>
      <w:pPr>
        <w:ind w:left="347" w:hanging="347"/>
        <w:spacing w:after="0"/>
        <w:tabs>
          <w:tab w:leader="none" w:pos="34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restricted cash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Collateral for LNG purchases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service reserve accounts (Note 14)</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Customs and performance bonds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 restricted cash</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bl>
    <w:p>
      <w:pPr>
        <w:spacing w:after="0" w:line="102" w:lineRule="exact"/>
        <w:rPr>
          <w:sz w:val="20"/>
          <w:szCs w:val="20"/>
          <w:color w:val="auto"/>
        </w:rPr>
      </w:pPr>
    </w:p>
    <w:p>
      <w:pPr>
        <w:ind w:left="347" w:hanging="347"/>
        <w:spacing w:after="0"/>
        <w:tabs>
          <w:tab w:leader="none" w:pos="34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inventory consisted of the following:</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600" w:type="dxa"/>
            <w:vAlign w:val="bottom"/>
            <w:gridSpan w:val="2"/>
          </w:tcPr>
          <w:p>
            <w:pPr>
              <w:ind w:left="380"/>
              <w:spacing w:after="0"/>
              <w:rPr>
                <w:sz w:val="20"/>
                <w:szCs w:val="20"/>
                <w:color w:val="auto"/>
              </w:rPr>
            </w:pPr>
            <w:r>
              <w:rPr>
                <w:rFonts w:ascii="Arial" w:cs="Arial" w:eastAsia="Arial" w:hAnsi="Arial"/>
                <w:sz w:val="18"/>
                <w:szCs w:val="18"/>
                <w:color w:val="auto"/>
              </w:rPr>
              <w:t>Materials, supplies and other</w:t>
            </w:r>
          </w:p>
        </w:tc>
        <w:tc>
          <w:tcPr>
            <w:tcW w:w="36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1"/>
        </w:trPr>
        <w:tc>
          <w:tcPr>
            <w:tcW w:w="38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432"/>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40" w:type="dxa"/>
            <w:vAlign w:val="bottom"/>
            <w:gridSpan w:val="3"/>
          </w:tcPr>
          <w:p>
            <w:pPr>
              <w:jc w:val="right"/>
              <w:ind w:right="2500"/>
              <w:spacing w:after="0"/>
              <w:rPr>
                <w:sz w:val="20"/>
                <w:szCs w:val="20"/>
                <w:color w:val="auto"/>
              </w:rPr>
            </w:pPr>
            <w:r>
              <w:rPr>
                <w:rFonts w:ascii="Arial" w:cs="Arial" w:eastAsia="Arial" w:hAnsi="Arial"/>
                <w:sz w:val="18"/>
                <w:szCs w:val="18"/>
                <w:color w:val="auto"/>
              </w:rPr>
              <w:t>F-14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3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39" w:name="page140"/>
    <w:bookmarkEnd w:id="13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prepaid expenses and other current assets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Prepaid charter costs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r>
      <w:tr>
        <w:trPr>
          <w:trHeight w:val="25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r>
      <w:tr>
        <w:trPr>
          <w:trHeight w:val="24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24,875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right="20"/>
        <w:spacing w:after="0" w:line="277"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2" w:lineRule="exact"/>
        <w:rPr>
          <w:sz w:val="20"/>
          <w:szCs w:val="20"/>
          <w:color w:val="auto"/>
        </w:rPr>
      </w:pPr>
    </w:p>
    <w:p>
      <w:pPr>
        <w:ind w:left="367" w:right="40"/>
        <w:spacing w:after="0" w:line="312" w:lineRule="auto"/>
        <w:rPr>
          <w:sz w:val="20"/>
          <w:szCs w:val="20"/>
          <w:color w:val="auto"/>
        </w:rPr>
      </w:pPr>
      <w:r>
        <w:rPr>
          <w:rFonts w:ascii="Arial" w:cs="Arial" w:eastAsia="Arial" w:hAnsi="Arial"/>
          <w:sz w:val="16"/>
          <w:szCs w:val="16"/>
          <w:color w:val="auto"/>
        </w:rPr>
        <w:t>The Company has entered into ship time charter commitments in order to transport LNG from suppliers to the Company’s terminal facility at the Port of Montego Bay, Jamaica. In order to secure the vessel charters, charter hire costs are required to be paid in advance and are recorded within ‘Prepaid expenses and other current assets’ on the consolidated balance sheets.</w:t>
      </w:r>
    </w:p>
    <w:p>
      <w:pPr>
        <w:spacing w:after="0" w:line="39" w:lineRule="exact"/>
        <w:rPr>
          <w:sz w:val="20"/>
          <w:szCs w:val="20"/>
          <w:color w:val="auto"/>
        </w:rPr>
      </w:pPr>
    </w:p>
    <w:p>
      <w:pPr>
        <w:ind w:left="367" w:right="360"/>
        <w:spacing w:after="0" w:line="277" w:lineRule="auto"/>
        <w:rPr>
          <w:sz w:val="20"/>
          <w:szCs w:val="20"/>
          <w:color w:val="auto"/>
        </w:rPr>
      </w:pPr>
      <w:r>
        <w:rPr>
          <w:rFonts w:ascii="Arial" w:cs="Arial" w:eastAsia="Arial" w:hAnsi="Arial"/>
          <w:sz w:val="18"/>
          <w:szCs w:val="18"/>
          <w:color w:val="auto"/>
        </w:rPr>
        <w:t>The balances of deposits as of December 31, 2017 and 2016 primarily consists of $900 attributed to gas supply reservation deposit and $135 attributed to a land lease deposit with a related party (See Note 20).</w:t>
      </w:r>
    </w:p>
    <w:p>
      <w:pPr>
        <w:spacing w:after="0" w:line="58" w:lineRule="exact"/>
        <w:rPr>
          <w:sz w:val="20"/>
          <w:szCs w:val="20"/>
          <w:color w:val="auto"/>
        </w:rPr>
      </w:pPr>
    </w:p>
    <w:p>
      <w:pPr>
        <w:ind w:left="347" w:hanging="347"/>
        <w:spacing w:after="0"/>
        <w:tabs>
          <w:tab w:leader="none" w:pos="347"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b w:val="1"/>
          <w:bCs w:val="1"/>
          <w:color w:val="auto"/>
        </w:rPr>
      </w:pPr>
    </w:p>
    <w:p>
      <w:pPr>
        <w:ind w:left="367"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2016 and 2017, the Company invested in equity securities of an international oil and gas drilling contractor. The following tables present the number of shares, cost and fair value of the investment:</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2017</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1,476,280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2016</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74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3"/>
                <w:szCs w:val="13"/>
                <w:color w:val="auto"/>
              </w:rPr>
            </w:pPr>
          </w:p>
        </w:tc>
        <w:tc>
          <w:tcPr>
            <w:tcW w:w="9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5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movement of available-for-sale financial assets is summarized below:</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r>
      <w:tr>
        <w:trPr>
          <w:trHeight w:val="24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At December 31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2017 and 2016, is detailed below: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finance leases, net (Note 12)</w:t>
            </w:r>
          </w:p>
        </w:tc>
        <w:tc>
          <w:tcPr>
            <w:tcW w:w="2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2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(92,828)</w:t>
            </w:r>
          </w:p>
        </w:tc>
        <w:tc>
          <w:tcPr>
            <w:tcW w:w="200" w:type="dxa"/>
            <w:vAlign w:val="bottom"/>
          </w:tcPr>
          <w:p>
            <w:pPr>
              <w:spacing w:after="0"/>
              <w:rPr>
                <w:sz w:val="22"/>
                <w:szCs w:val="22"/>
                <w:color w:val="auto"/>
              </w:rPr>
            </w:pPr>
          </w:p>
        </w:tc>
      </w:tr>
      <w:tr>
        <w:trPr>
          <w:trHeight w:val="237"/>
        </w:trPr>
        <w:tc>
          <w:tcPr>
            <w:tcW w:w="38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Transferred to property, plant and equipment, net (Note 11)</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(62,121)</w:t>
            </w:r>
          </w:p>
        </w:tc>
        <w:tc>
          <w:tcPr>
            <w:tcW w:w="20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Abandoned project</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As of December 31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
        </w:trPr>
        <w:tc>
          <w:tcPr>
            <w:tcW w:w="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6840" w:type="dxa"/>
            <w:vAlign w:val="bottom"/>
          </w:tcPr>
          <w:p>
            <w:pPr>
              <w:ind w:left="4220"/>
              <w:spacing w:after="0"/>
              <w:rPr>
                <w:sz w:val="20"/>
                <w:szCs w:val="20"/>
                <w:color w:val="auto"/>
              </w:rPr>
            </w:pPr>
            <w:r>
              <w:rPr>
                <w:rFonts w:ascii="Arial" w:cs="Arial" w:eastAsia="Arial" w:hAnsi="Arial"/>
                <w:sz w:val="18"/>
                <w:szCs w:val="18"/>
                <w:color w:val="auto"/>
              </w:rPr>
              <w:t>F-15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68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40" w:name="page141"/>
    <w:bookmarkEnd w:id="14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Management determined it appropriate to expense $1,289 in 2017 as the decision was made to abandon the related project.</w:t>
      </w:r>
    </w:p>
    <w:p>
      <w:pPr>
        <w:spacing w:after="0" w:line="125" w:lineRule="exact"/>
        <w:rPr>
          <w:sz w:val="20"/>
          <w:szCs w:val="20"/>
          <w:color w:val="auto"/>
        </w:rPr>
      </w:pPr>
    </w:p>
    <w:p>
      <w:pPr>
        <w:ind w:left="347" w:hanging="347"/>
        <w:spacing w:after="0"/>
        <w:tabs>
          <w:tab w:leader="none" w:pos="34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At December 31, the Company’s property, plant and equipment, net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100" w:type="dxa"/>
            <w:vAlign w:val="bottom"/>
            <w:shd w:val="clear" w:color="auto" w:fill="CCEEFF"/>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ISO containers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0"/>
                <w:szCs w:val="20"/>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(5,592)</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69,350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right="80"/>
        <w:spacing w:after="0" w:line="342" w:lineRule="auto"/>
        <w:rPr>
          <w:sz w:val="20"/>
          <w:szCs w:val="20"/>
          <w:color w:val="auto"/>
        </w:rPr>
      </w:pPr>
      <w:r>
        <w:rPr>
          <w:rFonts w:ascii="Arial" w:cs="Arial" w:eastAsia="Arial" w:hAnsi="Arial"/>
          <w:sz w:val="16"/>
          <w:szCs w:val="16"/>
          <w:color w:val="auto"/>
        </w:rPr>
        <w:t>Depreciation for the years ended December 31, 2017 and 2016 totaled $3,214 and $2,389, respectively, of which $453 and $48 is respectively included within Cost of sales in the consolidated statements of operations and comprehensive loss.</w:t>
      </w:r>
    </w:p>
    <w:p>
      <w:pPr>
        <w:spacing w:after="0" w:line="12" w:lineRule="exact"/>
        <w:rPr>
          <w:sz w:val="20"/>
          <w:szCs w:val="20"/>
          <w:color w:val="auto"/>
        </w:rPr>
      </w:pPr>
    </w:p>
    <w:p>
      <w:pPr>
        <w:ind w:left="347" w:hanging="347"/>
        <w:spacing w:after="0"/>
        <w:tabs>
          <w:tab w:leader="none" w:pos="34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367"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during the year which are accounted for as direct finance leases. The components of the direct finance leases at December 31, 2017 and 2016 are as follows:</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335,558</w:t>
            </w:r>
          </w:p>
        </w:tc>
        <w:tc>
          <w:tcPr>
            <w:tcW w:w="100" w:type="dxa"/>
            <w:vAlign w:val="bottom"/>
            <w:shd w:val="clear" w:color="auto" w:fill="CCEEFF"/>
          </w:tcPr>
          <w:p>
            <w:pPr>
              <w:spacing w:after="0"/>
              <w:rPr>
                <w:sz w:val="20"/>
                <w:szCs w:val="20"/>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(228,026)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(242,730)</w:t>
            </w:r>
          </w:p>
        </w:tc>
      </w:tr>
      <w:tr>
        <w:trPr>
          <w:trHeight w:val="271"/>
        </w:trPr>
        <w:tc>
          <w:tcPr>
            <w:tcW w:w="2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7" w:right="240"/>
        <w:spacing w:after="0" w:line="264"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3" w:lineRule="exact"/>
        <w:rPr>
          <w:sz w:val="20"/>
          <w:szCs w:val="20"/>
          <w:color w:val="auto"/>
        </w:rPr>
      </w:pPr>
    </w:p>
    <w:p>
      <w:pPr>
        <w:ind w:left="367" w:right="400"/>
        <w:spacing w:after="0" w:line="277" w:lineRule="auto"/>
        <w:rPr>
          <w:sz w:val="20"/>
          <w:szCs w:val="20"/>
          <w:color w:val="auto"/>
        </w:rPr>
      </w:pPr>
      <w:r>
        <w:rPr>
          <w:rFonts w:ascii="Arial" w:cs="Arial" w:eastAsia="Arial" w:hAnsi="Arial"/>
          <w:sz w:val="18"/>
          <w:szCs w:val="18"/>
          <w:color w:val="auto"/>
        </w:rPr>
        <w:t>At December 31, 2017, future minimum lease payments to be received under direct finance leases for the remainder of the respective lease terms is as follows:</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38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3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2018</w:t>
            </w:r>
          </w:p>
        </w:tc>
        <w:tc>
          <w:tcPr>
            <w:tcW w:w="4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3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2020</w:t>
            </w: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37"/>
        </w:trPr>
        <w:tc>
          <w:tcPr>
            <w:tcW w:w="3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2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46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
        </w:trPr>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80" w:type="dxa"/>
            <w:vAlign w:val="bottom"/>
            <w:gridSpan w:val="2"/>
          </w:tcPr>
          <w:p>
            <w:pPr>
              <w:jc w:val="right"/>
              <w:ind w:right="3410"/>
              <w:spacing w:after="0"/>
              <w:rPr>
                <w:sz w:val="20"/>
                <w:szCs w:val="20"/>
                <w:color w:val="auto"/>
              </w:rPr>
            </w:pPr>
            <w:r>
              <w:rPr>
                <w:rFonts w:ascii="Arial" w:cs="Arial" w:eastAsia="Arial" w:hAnsi="Arial"/>
                <w:sz w:val="18"/>
                <w:szCs w:val="18"/>
                <w:color w:val="auto"/>
              </w:rPr>
              <w:t>F-16</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46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41" w:name="page142"/>
    <w:bookmarkEnd w:id="14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accrued liabilities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20"/>
                <w:szCs w:val="20"/>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Accrued bonuses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r>
      <w:tr>
        <w:trPr>
          <w:trHeight w:val="27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long-term debt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shd w:val="clear" w:color="auto" w:fill="CCEEFF"/>
          </w:tcPr>
          <w:p>
            <w:pPr>
              <w:spacing w:after="0"/>
              <w:rPr>
                <w:sz w:val="20"/>
                <w:szCs w:val="20"/>
                <w:color w:val="auto"/>
              </w:rPr>
            </w:pPr>
          </w:p>
        </w:tc>
      </w:tr>
      <w:tr>
        <w:trPr>
          <w:trHeight w:val="243"/>
        </w:trPr>
        <w:tc>
          <w:tcPr>
            <w:tcW w:w="6300" w:type="dxa"/>
            <w:vAlign w:val="bottom"/>
            <w:gridSpan w:val="2"/>
          </w:tcPr>
          <w:p>
            <w:pPr>
              <w:spacing w:after="0"/>
              <w:rPr>
                <w:sz w:val="20"/>
                <w:szCs w:val="20"/>
                <w:color w:val="auto"/>
              </w:rPr>
            </w:pPr>
            <w:r>
              <w:rPr>
                <w:rFonts w:ascii="Arial" w:cs="Arial" w:eastAsia="Arial" w:hAnsi="Arial"/>
                <w:sz w:val="18"/>
                <w:szCs w:val="18"/>
                <w:color w:val="auto"/>
              </w:rPr>
              <w:t>Montego Bay Loan, due June 2023</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left="367" w:right="160"/>
        <w:spacing w:after="0" w:line="277" w:lineRule="auto"/>
        <w:rPr>
          <w:sz w:val="20"/>
          <w:szCs w:val="20"/>
          <w:color w:val="auto"/>
        </w:rPr>
      </w:pPr>
      <w:r>
        <w:rPr>
          <w:rFonts w:ascii="Arial" w:cs="Arial" w:eastAsia="Arial" w:hAnsi="Arial"/>
          <w:sz w:val="18"/>
          <w:szCs w:val="18"/>
          <w:color w:val="auto"/>
        </w:rPr>
        <w:t>Below is a schedule of future principal payments that the Company is obligated to make on the outstanding long-term debt as of December 31, 2017:</w:t>
      </w:r>
    </w:p>
    <w:p>
      <w:pPr>
        <w:spacing w:after="0" w:line="23" w:lineRule="exact"/>
        <w:rPr>
          <w:sz w:val="20"/>
          <w:szCs w:val="20"/>
          <w:color w:val="auto"/>
        </w:rPr>
      </w:pPr>
    </w:p>
    <w:tbl>
      <w:tblPr>
        <w:tblLayout w:type="fixed"/>
        <w:tblInd w:w="387"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future principal payments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77,027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w:t>
            </w: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Miami Loan</w:t>
      </w:r>
    </w:p>
    <w:p>
      <w:pPr>
        <w:spacing w:after="0" w:line="117" w:lineRule="exact"/>
        <w:rPr>
          <w:sz w:val="20"/>
          <w:szCs w:val="20"/>
          <w:color w:val="auto"/>
        </w:rPr>
      </w:pPr>
    </w:p>
    <w:p>
      <w:pPr>
        <w:ind w:left="367" w:right="60"/>
        <w:spacing w:after="0" w:line="287"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 In connection with the Miami Loan, the Company paid origination and other fees of $1,363, of which $158 and $619 are unamortized as of December 31, 2017 and 2016, respectively. These costs are capitalized as deferred financing costs and recorded as a reduction in Long-term debt on the consolidated balance sheets.</w:t>
      </w:r>
    </w:p>
    <w:p>
      <w:pPr>
        <w:spacing w:after="0" w:line="61" w:lineRule="exact"/>
        <w:rPr>
          <w:sz w:val="20"/>
          <w:szCs w:val="20"/>
          <w:color w:val="auto"/>
        </w:rPr>
      </w:pPr>
    </w:p>
    <w:p>
      <w:pPr>
        <w:ind w:left="367"/>
        <w:spacing w:after="0" w:line="264"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depending upon the interest rate option selected by LHFL. In addition, with respect to LIBOR based borrowings, LHFL, at its option, may elect to defer up to ten interest periods outstanding at any point in</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97" w:lineRule="auto"/>
        <w:rPr>
          <w:sz w:val="20"/>
          <w:szCs w:val="20"/>
          <w:color w:val="auto"/>
        </w:rPr>
      </w:pPr>
      <w:r>
        <w:rPr>
          <w:rFonts w:ascii="Arial" w:cs="Arial" w:eastAsia="Arial" w:hAnsi="Arial"/>
          <w:sz w:val="16"/>
          <w:szCs w:val="16"/>
          <w:color w:val="auto"/>
        </w:rPr>
        <w:t>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three-month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50"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Under the terms of the Miami Loan, LHFL is required to maintain a Debt Service Reserve Account (the “DSR Account”) in the amount of $912. Such amount is included as a component of Restricted cash on the Company’s consolidated balance sheets (see Note 6).</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The Company intends to use the net proceeds of the Term Loan Facility entered into in August 2018 to repay the Miami Loan (defined and discussed in more detail in Note 22).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7" w:lineRule="exact"/>
        <w:rPr>
          <w:sz w:val="20"/>
          <w:szCs w:val="20"/>
          <w:color w:val="auto"/>
        </w:rPr>
      </w:pPr>
    </w:p>
    <w:p>
      <w:pPr>
        <w:ind w:left="360" w:right="140"/>
        <w:spacing w:after="0" w:line="255"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 of $44,000, maturing on June 5, 2023, in connection with the construction of the LNG Terminal in Montego Bay, Jamaica. The MoBay Loan is to be repaid in 77 monthly payments of $452 commencing from December 6, 2016, and a final balloon payment of $9,172 due on the maturity date. Borrowings under the loan bear interest at 8.1%. The MoBay loan is secured by the LNG Terminal in Montego Bay, Jamaica.</w:t>
      </w:r>
    </w:p>
    <w:p>
      <w:pPr>
        <w:spacing w:after="0" w:line="85"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Under the terms of the MoBay Loan, NNHL is required to maintain a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sheets (see Note 6).</w:t>
      </w:r>
    </w:p>
    <w:p>
      <w:pPr>
        <w:spacing w:after="0" w:line="79"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In connection with the MoBay Loan, the Company paid origination and other fees of $2,031. These costs are capitalized as deferred financing costs and recorded as a reduction in Long-term debt on the consolidated balance sheets, of which $1,616 and $1,851 are unamortized as of December 31, 2017 and 2016, respectively.</w:t>
      </w:r>
    </w:p>
    <w:p>
      <w:pPr>
        <w:spacing w:after="0" w:line="73" w:lineRule="exact"/>
        <w:rPr>
          <w:sz w:val="20"/>
          <w:szCs w:val="20"/>
          <w:color w:val="auto"/>
        </w:rPr>
      </w:pPr>
    </w:p>
    <w:p>
      <w:pPr>
        <w:ind w:left="360" w:right="20"/>
        <w:spacing w:after="0" w:line="257"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as such costs were directly attributed to the construction. The capitalized interest is amortized as part of the capitalized cost of the asset that is subject to a direct finance lease upon its completion. Interest expense, inclusive of amortized debt fees for the years ended December 31, 2017 and 2016, totaled $3,611 and $1,990 respectively, of which $0 and $1,347 was capitalized and accounted for as a finance lease (See Note 12).</w:t>
      </w:r>
    </w:p>
    <w:p>
      <w:pPr>
        <w:spacing w:after="0" w:line="80" w:lineRule="exact"/>
        <w:rPr>
          <w:sz w:val="20"/>
          <w:szCs w:val="20"/>
          <w:color w:val="auto"/>
        </w:rPr>
      </w:pPr>
    </w:p>
    <w:p>
      <w:pPr>
        <w:ind w:left="360" w:right="360"/>
        <w:spacing w:after="0" w:line="277" w:lineRule="auto"/>
        <w:rPr>
          <w:sz w:val="20"/>
          <w:szCs w:val="20"/>
          <w:color w:val="auto"/>
        </w:rPr>
      </w:pPr>
      <w:r>
        <w:rPr>
          <w:rFonts w:ascii="Arial" w:cs="Arial" w:eastAsia="Arial" w:hAnsi="Arial"/>
          <w:sz w:val="18"/>
          <w:szCs w:val="18"/>
          <w:color w:val="auto"/>
        </w:rPr>
        <w:t>Financial covenants stipulated by the Syndicated Loan Agreement did not come into effect until December 31, 2017. As of December 31, 2017, NNHL was in compliance with all covenants under this agreement.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Corporate Loan</w:t>
      </w:r>
    </w:p>
    <w:p>
      <w:pPr>
        <w:spacing w:after="0" w:line="117" w:lineRule="exact"/>
        <w:rPr>
          <w:sz w:val="20"/>
          <w:szCs w:val="20"/>
          <w:color w:val="auto"/>
        </w:rPr>
      </w:pPr>
    </w:p>
    <w:p>
      <w:pPr>
        <w:ind w:left="360" w:right="40"/>
        <w:spacing w:after="0" w:line="312" w:lineRule="auto"/>
        <w:rPr>
          <w:sz w:val="20"/>
          <w:szCs w:val="20"/>
          <w:color w:val="auto"/>
        </w:rPr>
      </w:pPr>
      <w:r>
        <w:rPr>
          <w:rFonts w:ascii="Arial" w:cs="Arial" w:eastAsia="Arial" w:hAnsi="Arial"/>
          <w:sz w:val="16"/>
          <w:szCs w:val="16"/>
          <w:color w:val="auto"/>
        </w:rPr>
        <w:t>On December 21, 2015, NFE Atlantic Holdings LLC (“NAHL”), a subsidiary, entered into a Credit Agreement (the “Corporate Loan”) with a bank for an initial aggregate amount of $65,000, which matured on December 20, 2016. The Corporate Loan was for general corporate purposes, including present and future construction projects under development in various locations.</w:t>
      </w:r>
    </w:p>
    <w:p>
      <w:pPr>
        <w:spacing w:after="0" w:line="39" w:lineRule="exact"/>
        <w:rPr>
          <w:sz w:val="20"/>
          <w:szCs w:val="20"/>
          <w:color w:val="auto"/>
        </w:rPr>
      </w:pPr>
    </w:p>
    <w:p>
      <w:pPr>
        <w:ind w:left="360" w:right="660"/>
        <w:spacing w:after="0" w:line="308" w:lineRule="auto"/>
        <w:rPr>
          <w:sz w:val="20"/>
          <w:szCs w:val="20"/>
          <w:color w:val="auto"/>
        </w:rPr>
      </w:pPr>
      <w:r>
        <w:rPr>
          <w:rFonts w:ascii="Arial" w:cs="Arial" w:eastAsia="Arial" w:hAnsi="Arial"/>
          <w:sz w:val="17"/>
          <w:szCs w:val="17"/>
          <w:color w:val="auto"/>
        </w:rPr>
        <w:t>The Corporate Loan provided for an exit fee of 2% of the aggregate principal amounts repaid, whether by prepayment, scheduled repayment or repayment at maturity. An exit fee of $1,297 was accrued ratably over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3" w:name="page144"/>
    <w:bookmarkEnd w:id="14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line="276" w:lineRule="auto"/>
        <w:rPr>
          <w:sz w:val="20"/>
          <w:szCs w:val="20"/>
          <w:color w:val="auto"/>
        </w:rPr>
      </w:pPr>
      <w:r>
        <w:rPr>
          <w:rFonts w:ascii="Arial" w:cs="Arial" w:eastAsia="Arial" w:hAnsi="Arial"/>
          <w:sz w:val="17"/>
          <w:szCs w:val="17"/>
          <w:color w:val="auto"/>
        </w:rPr>
        <w:t>the term of the Corporate Loan and recorded as a component of Accrued liabilities and Interest expense in the Company’s consolidated balance sheets and consolidated statements of operations and comprehensive loss, respectively. In connection with the Corporate Loan, NAHL paid origination fees of $2,118 which had been recorded as a reduction to debt principal and were amortized over the term of the loan. Total interest expense of $0 and $3,892 was incurred during the years ended December 31, 2017 and 2016, of which $0 and $1,233, respectively, was capitalized.</w:t>
      </w:r>
    </w:p>
    <w:p>
      <w:pPr>
        <w:spacing w:after="0" w:line="6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Under the terms of the Corporate Loan, NAHL was required to maintain a DSR Account in the amount of $3,576.</w:t>
      </w:r>
    </w:p>
    <w:p>
      <w:pPr>
        <w:spacing w:after="0" w:line="117" w:lineRule="exact"/>
        <w:rPr>
          <w:sz w:val="20"/>
          <w:szCs w:val="20"/>
          <w:color w:val="auto"/>
        </w:rPr>
      </w:pPr>
    </w:p>
    <w:p>
      <w:pPr>
        <w:jc w:val="both"/>
        <w:ind w:left="367" w:right="140"/>
        <w:spacing w:after="0" w:line="264" w:lineRule="auto"/>
        <w:rPr>
          <w:sz w:val="20"/>
          <w:szCs w:val="20"/>
          <w:color w:val="auto"/>
        </w:rPr>
      </w:pPr>
      <w:r>
        <w:rPr>
          <w:rFonts w:ascii="Arial" w:cs="Arial" w:eastAsia="Arial" w:hAnsi="Arial"/>
          <w:sz w:val="18"/>
          <w:szCs w:val="18"/>
          <w:color w:val="auto"/>
        </w:rPr>
        <w:t>The Corporate Loan was fully repaid together with the applicable accrued interest of $119 and exit fee of $1,297 for a total of $1,416 on June 3, 2016. Loss on extinguishment of debt of $1,177 was recognized during the year ended December 31, 2016 within the consolidated statements of operations and comprehensive loss.</w:t>
      </w:r>
    </w:p>
    <w:p>
      <w:pPr>
        <w:spacing w:after="0" w:line="69" w:lineRule="exact"/>
        <w:rPr>
          <w:sz w:val="20"/>
          <w:szCs w:val="20"/>
          <w:color w:val="auto"/>
        </w:rPr>
      </w:pPr>
    </w:p>
    <w:p>
      <w:pPr>
        <w:ind w:left="347" w:hanging="347"/>
        <w:spacing w:after="0"/>
        <w:tabs>
          <w:tab w:leader="none" w:pos="34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7"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the Caribbean. As a pass-through entity for U.S. federal tax purposes, no income tax provision or benefit for U.S. income taxes has been recorded for the periods presented.</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7" w:lineRule="exact"/>
        <w:rPr>
          <w:rFonts w:ascii="Arial" w:cs="Arial" w:eastAsia="Arial" w:hAnsi="Arial"/>
          <w:sz w:val="18"/>
          <w:szCs w:val="18"/>
          <w:b w:val="1"/>
          <w:bCs w:val="1"/>
          <w:color w:val="auto"/>
        </w:rPr>
      </w:pPr>
    </w:p>
    <w:p>
      <w:pPr>
        <w:ind w:left="367"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2"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Deferred income tax</w:t>
            </w: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6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526</w:t>
            </w: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20"/>
        <w:spacing w:after="0" w:line="264" w:lineRule="auto"/>
        <w:rPr>
          <w:sz w:val="20"/>
          <w:szCs w:val="20"/>
          <w:color w:val="auto"/>
        </w:rPr>
      </w:pPr>
      <w:r>
        <w:rPr>
          <w:rFonts w:ascii="Arial" w:cs="Arial" w:eastAsia="Arial" w:hAnsi="Arial"/>
          <w:sz w:val="18"/>
          <w:szCs w:val="18"/>
          <w:color w:val="auto"/>
        </w:rPr>
        <w:t>The effective tax rate for the year-ended December 31, 2017 and 2016 was 1.7% and (1.1%), respectively. As a pass through entity, the Company’s statutory rate is 0% and the entire difference between the statutory and effective rate is attributable to foreign taxes.</w:t>
      </w:r>
    </w:p>
    <w:p>
      <w:pPr>
        <w:spacing w:after="0" w:line="73" w:lineRule="exact"/>
        <w:rPr>
          <w:sz w:val="20"/>
          <w:szCs w:val="20"/>
          <w:color w:val="auto"/>
        </w:rPr>
      </w:pPr>
    </w:p>
    <w:p>
      <w:pPr>
        <w:ind w:left="367" w:right="200"/>
        <w:spacing w:after="0" w:line="297" w:lineRule="auto"/>
        <w:rPr>
          <w:sz w:val="20"/>
          <w:szCs w:val="20"/>
          <w:color w:val="auto"/>
        </w:rPr>
      </w:pPr>
      <w:r>
        <w:rPr>
          <w:rFonts w:ascii="Arial" w:cs="Arial" w:eastAsia="Arial" w:hAnsi="Arial"/>
          <w:sz w:val="16"/>
          <w:szCs w:val="16"/>
          <w:color w:val="auto"/>
        </w:rPr>
        <w:t>Deferred income tax assets are recognized for tax loss carry-forwards in certain of the Company’s foreign subsidiaries to the extent that it is more likely than not that the Company will realize the related tax benefit through future taxable profits. Management, through tax-planning assessment and consideration of the relevant subsidiaries fixed revenue streams, believes that it is more likely than not that tax loss carry-forwards will be fully utilized by the subsidiary in future reporting periods. These tax loss carry-forwards do not expire, but will become subject to certain limitations in 2020.</w:t>
      </w:r>
    </w:p>
    <w:p>
      <w:pPr>
        <w:spacing w:after="0" w:line="5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deferred taxes were as follows for the period ended December 31, 2017 and 2016:</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Accelerated tax depreciation taken on property, plant and equipment underlying the finance</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receivables, and other temporary differences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Taxable losses available for offsetting against future taxable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asset, net at December 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1"/>
                <w:szCs w:val="21"/>
                <w:color w:val="auto"/>
              </w:rPr>
            </w:pP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00"/>
        <w:spacing w:after="0" w:line="342" w:lineRule="auto"/>
        <w:rPr>
          <w:sz w:val="20"/>
          <w:szCs w:val="20"/>
          <w:color w:val="auto"/>
        </w:rPr>
      </w:pPr>
      <w:r>
        <w:rPr>
          <w:rFonts w:ascii="Arial" w:cs="Arial" w:eastAsia="Arial" w:hAnsi="Arial"/>
          <w:sz w:val="16"/>
          <w:szCs w:val="16"/>
          <w:color w:val="auto"/>
        </w:rPr>
        <w:t>The Company has not recorded a liability for uncertain tax positions as of December 31, 2017 or 2016. We remain subject to periodic audits and reviews by the taxing authority; our returns since our formation remain open for examination.</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left="367"/>
        <w:spacing w:after="0" w:line="277" w:lineRule="auto"/>
        <w:rPr>
          <w:sz w:val="20"/>
          <w:szCs w:val="20"/>
          <w:color w:val="auto"/>
        </w:rPr>
      </w:pPr>
      <w:r>
        <w:rPr>
          <w:rFonts w:ascii="Arial" w:cs="Arial" w:eastAsia="Arial" w:hAnsi="Arial"/>
          <w:sz w:val="18"/>
          <w:szCs w:val="18"/>
          <w:color w:val="auto"/>
        </w:rPr>
        <w:t>The Company has subsidiaries incorporated in Bermuda. Under current Bermuda law, the Company is not required to pay taxes in Bermuda on either income or capital gains. The Company has received an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4" w:name="page145"/>
    <w:bookmarkEnd w:id="14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720"/>
        <w:spacing w:after="0" w:line="277" w:lineRule="auto"/>
        <w:rPr>
          <w:sz w:val="20"/>
          <w:szCs w:val="20"/>
          <w:color w:val="auto"/>
        </w:rPr>
      </w:pPr>
      <w:r>
        <w:rPr>
          <w:rFonts w:ascii="Arial" w:cs="Arial" w:eastAsia="Arial" w:hAnsi="Arial"/>
          <w:sz w:val="18"/>
          <w:szCs w:val="18"/>
          <w:color w:val="auto"/>
        </w:rPr>
        <w:t>undertaking from the Bermuda government that, in the event of income or capital gain taxes being imposed, it will be exempted from such taxes until the period 2035.</w:t>
      </w:r>
    </w:p>
    <w:p>
      <w:pPr>
        <w:spacing w:after="0" w:line="58" w:lineRule="exact"/>
        <w:rPr>
          <w:sz w:val="20"/>
          <w:szCs w:val="20"/>
          <w:color w:val="auto"/>
        </w:rPr>
      </w:pPr>
    </w:p>
    <w:p>
      <w:pPr>
        <w:ind w:left="347" w:hanging="347"/>
        <w:spacing w:after="0"/>
        <w:tabs>
          <w:tab w:leader="none" w:pos="347"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367"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the balance sheet date, the estimated future cash payments related to outstanding contractual commitments, at market prices as of December 31, 2017, is summarized as follows:</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purchase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LNG inventory purchases</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50,461</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367" w:right="40"/>
        <w:spacing w:after="0" w:line="259"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2017. The 2018 commitment for LNG inventory purchases was partially prepaid as of December 31, 2017 in the amount of $16,665. During the years ended December 31, 2017 and 2016, the Company made purchases of $57,613 and $25,800 under unconditional purchase agreements.</w:t>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7" w:lineRule="exact"/>
        <w:rPr>
          <w:sz w:val="20"/>
          <w:szCs w:val="20"/>
          <w:color w:val="auto"/>
        </w:rPr>
      </w:pPr>
    </w:p>
    <w:p>
      <w:pPr>
        <w:ind w:left="367"/>
        <w:spacing w:after="0" w:line="302" w:lineRule="auto"/>
        <w:rPr>
          <w:sz w:val="20"/>
          <w:szCs w:val="20"/>
          <w:color w:val="auto"/>
        </w:rPr>
      </w:pPr>
      <w:r>
        <w:rPr>
          <w:rFonts w:ascii="Arial" w:cs="Arial" w:eastAsia="Arial" w:hAnsi="Arial"/>
          <w:sz w:val="16"/>
          <w:szCs w:val="16"/>
          <w:color w:val="auto"/>
        </w:rPr>
        <w:t>The Company is a party to contractual purchase commitments with terms of 38 months and 60 months. These commitments are designed to assure sources of supply and are not expected to be in excess of normal requirements. For agreements for supply where there is an active markets, such agreements qualify for and the Company elected the normal purchase exception under the derivatives guidance; therefore, the purchases under these contracts are included in Inventory and Cost of sales as incurred.</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LNG inventory purchases and other</w:t>
      </w:r>
    </w:p>
    <w:p>
      <w:pPr>
        <w:spacing w:after="0" w:line="117" w:lineRule="exact"/>
        <w:rPr>
          <w:sz w:val="20"/>
          <w:szCs w:val="20"/>
          <w:color w:val="auto"/>
        </w:rPr>
      </w:pPr>
    </w:p>
    <w:p>
      <w:pPr>
        <w:ind w:left="367" w:right="920"/>
        <w:spacing w:after="0" w:line="277" w:lineRule="auto"/>
        <w:rPr>
          <w:sz w:val="20"/>
          <w:szCs w:val="20"/>
          <w:color w:val="auto"/>
        </w:rPr>
      </w:pPr>
      <w:r>
        <w:rPr>
          <w:rFonts w:ascii="Arial" w:cs="Arial" w:eastAsia="Arial" w:hAnsi="Arial"/>
          <w:sz w:val="18"/>
          <w:szCs w:val="18"/>
          <w:color w:val="auto"/>
        </w:rPr>
        <w:t>On December 20, 2016, the Company committed to the purchase of 756,000 cubic meters of LNG, with half of the commitment delivered in 2017 and half in 2018.</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Company’s lease obligations are discussed in Note 19, Leases, as lessee.</w:t>
      </w:r>
    </w:p>
    <w:p>
      <w:pPr>
        <w:spacing w:after="0" w:line="117" w:lineRule="exact"/>
        <w:rPr>
          <w:sz w:val="20"/>
          <w:szCs w:val="20"/>
          <w:color w:val="auto"/>
        </w:rPr>
      </w:pPr>
    </w:p>
    <w:p>
      <w:pPr>
        <w:ind w:left="367" w:right="10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left="367" w:right="20"/>
        <w:spacing w:after="0" w:line="276" w:lineRule="auto"/>
        <w:rPr>
          <w:sz w:val="20"/>
          <w:szCs w:val="20"/>
          <w:color w:val="auto"/>
        </w:rPr>
      </w:pPr>
      <w:r>
        <w:rPr>
          <w:rFonts w:ascii="Arial" w:cs="Arial" w:eastAsia="Arial" w:hAnsi="Arial"/>
          <w:sz w:val="17"/>
          <w:szCs w:val="17"/>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64" w:lineRule="exact"/>
        <w:rPr>
          <w:sz w:val="20"/>
          <w:szCs w:val="20"/>
          <w:color w:val="auto"/>
        </w:rPr>
      </w:pPr>
    </w:p>
    <w:p>
      <w:pPr>
        <w:jc w:val="both"/>
        <w:ind w:left="367" w:right="120"/>
        <w:spacing w:after="0" w:line="264" w:lineRule="auto"/>
        <w:rPr>
          <w:sz w:val="20"/>
          <w:szCs w:val="20"/>
          <w:color w:val="auto"/>
        </w:rPr>
      </w:pPr>
      <w:r>
        <w:rPr>
          <w:rFonts w:ascii="Arial" w:cs="Arial" w:eastAsia="Arial" w:hAnsi="Arial"/>
          <w:sz w:val="18"/>
          <w:szCs w:val="18"/>
          <w:color w:val="auto"/>
        </w:rPr>
        <w:t>As at the date at which these consolidated financial statements were available to be issued, the appeal has not been concluded. Should the State of Florida lose the appeal the Company expects a full refund which will be recognized as a gain contingency recognized in earnings when the cash is received.</w:t>
      </w:r>
    </w:p>
    <w:p>
      <w:pPr>
        <w:spacing w:after="0" w:line="69" w:lineRule="exact"/>
        <w:rPr>
          <w:sz w:val="20"/>
          <w:szCs w:val="20"/>
          <w:color w:val="auto"/>
        </w:rPr>
      </w:pPr>
    </w:p>
    <w:p>
      <w:pPr>
        <w:ind w:left="347" w:hanging="347"/>
        <w:spacing w:after="0"/>
        <w:tabs>
          <w:tab w:leader="none" w:pos="347"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May 2016, the Company received capital contributions of $271 from Fortress Equity Partners (A) LP (“FEP”).</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5" w:name="page146"/>
    <w:bookmarkEnd w:id="14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line="257" w:lineRule="auto"/>
        <w:rPr>
          <w:sz w:val="20"/>
          <w:szCs w:val="20"/>
          <w:color w:val="auto"/>
        </w:rPr>
      </w:pPr>
      <w:r>
        <w:rPr>
          <w:rFonts w:ascii="Arial" w:cs="Arial" w:eastAsia="Arial" w:hAnsi="Arial"/>
          <w:sz w:val="18"/>
          <w:szCs w:val="18"/>
          <w:color w:val="auto"/>
        </w:rPr>
        <w:t>On June 2, 2016, the Company entered into a Limited Liability Company Agreement with its shareholders. Under the agreement, the Company is authorized to issue up to 500,000,000 common shares. On June 2, 2016, the Company issued 65,000,000 common shares (no par value) to Members in proportion to their respective ownership interests, receiving $300,505 of capital contributions. The Company incurred costs of $1,076 in raising capital which was recorded as a reduction of equity on the consolidated balance sheets.</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In February 2017, an existing Member purchased 2,500 additional shares for $50.</w:t>
      </w:r>
    </w:p>
    <w:p>
      <w:pPr>
        <w:spacing w:after="0" w:line="117" w:lineRule="exact"/>
        <w:rPr>
          <w:sz w:val="20"/>
          <w:szCs w:val="20"/>
          <w:color w:val="auto"/>
        </w:rPr>
      </w:pPr>
    </w:p>
    <w:p>
      <w:pPr>
        <w:ind w:left="367" w:right="140"/>
        <w:spacing w:after="0" w:line="276" w:lineRule="auto"/>
        <w:rPr>
          <w:sz w:val="20"/>
          <w:szCs w:val="20"/>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consolidated balance sheets. Of the total amount subscribed, $20,050 was received during the period and $50,000 was received after December 31, 2017 which was recorded as Stock subscriptions receivable offsetting Members’ capital on the consolidated balance sheets. The Company incurred costs in raising capital of $192 which was recorded as a reduction of equity on the consolidated balance sheets.</w:t>
      </w:r>
    </w:p>
    <w:p>
      <w:pPr>
        <w:spacing w:after="0" w:line="60" w:lineRule="exact"/>
        <w:rPr>
          <w:sz w:val="20"/>
          <w:szCs w:val="20"/>
          <w:color w:val="auto"/>
        </w:rPr>
      </w:pPr>
    </w:p>
    <w:p>
      <w:pPr>
        <w:ind w:left="347" w:hanging="347"/>
        <w:spacing w:after="0"/>
        <w:tabs>
          <w:tab w:leader="none" w:pos="347"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367"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operates a defined contribution plan through a Jamaican service provider for Jamaican employees. For the year ended December 31, 2017 and 2016, expense for the defined contribution plan totaled $46 and $27, respectively, and is included within Cost of sales in the consolidated statements of operations and comprehensive loss.</w:t>
      </w:r>
    </w:p>
    <w:p>
      <w:pPr>
        <w:spacing w:after="0" w:line="53" w:lineRule="exact"/>
        <w:rPr>
          <w:rFonts w:ascii="Arial" w:cs="Arial" w:eastAsia="Arial" w:hAnsi="Arial"/>
          <w:sz w:val="18"/>
          <w:szCs w:val="18"/>
          <w:b w:val="1"/>
          <w:bCs w:val="1"/>
          <w:color w:val="auto"/>
        </w:rPr>
      </w:pPr>
    </w:p>
    <w:p>
      <w:pPr>
        <w:ind w:left="347" w:hanging="347"/>
        <w:spacing w:after="0"/>
        <w:tabs>
          <w:tab w:leader="none" w:pos="347"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2017 and 2016, the Company recognized rental expense for all operating leases of</w:t>
      </w:r>
    </w:p>
    <w:p>
      <w:pPr>
        <w:spacing w:after="0" w:line="34" w:lineRule="exact"/>
        <w:rPr>
          <w:rFonts w:ascii="Arial" w:cs="Arial" w:eastAsia="Arial" w:hAnsi="Arial"/>
          <w:sz w:val="18"/>
          <w:szCs w:val="18"/>
          <w:b w:val="1"/>
          <w:bCs w:val="1"/>
          <w:color w:val="auto"/>
        </w:rPr>
      </w:pPr>
    </w:p>
    <w:p>
      <w:pPr>
        <w:ind w:left="367" w:right="8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$17,369 and $3,539, respectively, related primarily to LNG vessel time charters, office space, a land site lease, and a marine port berth lease. The land site lease is held with an affiliate (see Note 20) of the Company and has an initial term up to 5 years, and the marine port berth lease had an initial term up to 10 years. Both leases contain renewal options.</w:t>
      </w:r>
    </w:p>
    <w:p>
      <w:pPr>
        <w:spacing w:after="0" w:line="65"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7" w:right="7160" w:hanging="367"/>
        <w:spacing w:after="0" w:line="425" w:lineRule="auto"/>
        <w:tabs>
          <w:tab w:leader="none" w:pos="358"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7" w:right="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$3,866 and $2,214 for the years ended December 31, 2017 and 2016, respectively, and are included within Selling, general and administrative in the consolidated statements of operations and comprehensive loss. As of December 31, 2017 and 2016, $2,054 and $621 were due to Fortress, respectively.</w:t>
      </w:r>
    </w:p>
    <w:p>
      <w:pPr>
        <w:spacing w:after="0" w:line="80" w:lineRule="exact"/>
        <w:rPr>
          <w:rFonts w:ascii="Arial" w:cs="Arial" w:eastAsia="Arial" w:hAnsi="Arial"/>
          <w:sz w:val="16"/>
          <w:szCs w:val="16"/>
          <w:b w:val="1"/>
          <w:bCs w:val="1"/>
          <w:color w:val="auto"/>
        </w:rPr>
      </w:pPr>
    </w:p>
    <w:p>
      <w:pPr>
        <w:ind w:left="367" w:right="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$2,917 and $1,592 for the years ended December 31,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7" w:lineRule="exact"/>
        <w:rPr>
          <w:rFonts w:ascii="Arial" w:cs="Arial" w:eastAsia="Arial" w:hAnsi="Arial"/>
          <w:sz w:val="16"/>
          <w:szCs w:val="16"/>
          <w:b w:val="1"/>
          <w:bCs w:val="1"/>
          <w:color w:val="auto"/>
        </w:rPr>
      </w:pPr>
    </w:p>
    <w:p>
      <w:pPr>
        <w:ind w:left="367" w:right="4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disclosed in Note 19, the Company has a land and office lease with Florida East Coast Industries, LLC (“FECI”). The expense for the year ended December 31, 2017 and 2016 totaled $285 and $302,</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6" w:name="page147"/>
    <w:bookmarkEnd w:id="14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000"/>
        <w:spacing w:after="0" w:line="342" w:lineRule="auto"/>
        <w:rPr>
          <w:sz w:val="20"/>
          <w:szCs w:val="20"/>
          <w:color w:val="auto"/>
        </w:rPr>
      </w:pPr>
      <w:r>
        <w:rPr>
          <w:rFonts w:ascii="Arial" w:cs="Arial" w:eastAsia="Arial" w:hAnsi="Arial"/>
          <w:sz w:val="16"/>
          <w:szCs w:val="16"/>
          <w:color w:val="auto"/>
        </w:rPr>
        <w:t>respectively, and is included within Operations and maintenance in the consolidated statements of operations and comprehensive loss. As of December 31, 2017 and 2016, $37 and $554 were due to FECI, respectively.</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Florida East Coast Railway (“FECR”)</w:t>
      </w:r>
    </w:p>
    <w:p>
      <w:pPr>
        <w:spacing w:after="0" w:line="117" w:lineRule="exact"/>
        <w:rPr>
          <w:sz w:val="20"/>
          <w:szCs w:val="20"/>
          <w:color w:val="auto"/>
        </w:rPr>
      </w:pPr>
    </w:p>
    <w:p>
      <w:pPr>
        <w:ind w:left="367" w:right="80"/>
        <w:spacing w:after="0" w:line="264" w:lineRule="auto"/>
        <w:rPr>
          <w:sz w:val="20"/>
          <w:szCs w:val="20"/>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w:t>
      </w:r>
    </w:p>
    <w:p>
      <w:pPr>
        <w:spacing w:after="0" w:line="73" w:lineRule="exact"/>
        <w:rPr>
          <w:sz w:val="20"/>
          <w:szCs w:val="20"/>
          <w:color w:val="auto"/>
        </w:rPr>
      </w:pPr>
    </w:p>
    <w:p>
      <w:pPr>
        <w:ind w:left="367" w:right="240"/>
        <w:spacing w:after="0" w:line="342" w:lineRule="auto"/>
        <w:rPr>
          <w:sz w:val="20"/>
          <w:szCs w:val="20"/>
          <w:color w:val="auto"/>
        </w:rPr>
      </w:pPr>
      <w:r>
        <w:rPr>
          <w:rFonts w:ascii="Arial" w:cs="Arial" w:eastAsia="Arial" w:hAnsi="Arial"/>
          <w:sz w:val="16"/>
          <w:szCs w:val="16"/>
          <w:color w:val="auto"/>
        </w:rPr>
        <w:t>During the years ended December 31, 2017 and 2016, the Company made sales of LNG to FECR totaling $1,618 and $329, respectively, for the periods FECR was affiliated with the Company. As of December 31, 2016, $22 were due to FECR.</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Due to/from Affiliates</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tables below summarizes the balances outstanding with affiliates at December 31, 2017 and 2016:</w:t>
      </w:r>
    </w:p>
    <w:p>
      <w:pPr>
        <w:spacing w:after="0" w:line="82" w:lineRule="exact"/>
        <w:rPr>
          <w:sz w:val="20"/>
          <w:szCs w:val="20"/>
          <w:color w:val="auto"/>
        </w:rPr>
      </w:pPr>
    </w:p>
    <w:p>
      <w:pPr>
        <w:ind w:left="7547"/>
        <w:spacing w:after="0"/>
        <w:tabs>
          <w:tab w:leader="none" w:pos="8706"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15240</wp:posOffset>
            </wp:positionV>
            <wp:extent cx="1294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 w:lineRule="exact"/>
        <w:rPr>
          <w:sz w:val="20"/>
          <w:szCs w:val="20"/>
          <w:color w:val="auto"/>
        </w:rPr>
      </w:pPr>
    </w:p>
    <w:p>
      <w:pPr>
        <w:ind w:left="387"/>
        <w:spacing w:after="0"/>
        <w:tabs>
          <w:tab w:leader="none" w:pos="7206" w:val="left"/>
          <w:tab w:leader="none" w:pos="7726" w:val="left"/>
          <w:tab w:leader="none" w:pos="8306" w:val="left"/>
          <w:tab w:leader="none" w:pos="8846" w:val="left"/>
        </w:tabs>
        <w:rPr>
          <w:sz w:val="20"/>
          <w:szCs w:val="20"/>
          <w:color w:val="auto"/>
        </w:rPr>
      </w:pPr>
      <w:r>
        <w:rPr>
          <w:rFonts w:ascii="Arial" w:cs="Arial" w:eastAsia="Arial" w:hAnsi="Arial"/>
          <w:sz w:val="18"/>
          <w:szCs w:val="18"/>
          <w:color w:val="auto"/>
        </w:rPr>
        <w:t>Amounts due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2,091</w:t>
        <w:tab/>
        <w:t>$</w:t>
      </w:r>
      <w:r>
        <w:rPr>
          <w:sz w:val="20"/>
          <w:szCs w:val="20"/>
          <w:color w:val="auto"/>
        </w:rPr>
        <w:tab/>
      </w:r>
      <w:r>
        <w:rPr>
          <w:rFonts w:ascii="Arial" w:cs="Arial" w:eastAsia="Arial" w:hAnsi="Arial"/>
          <w:sz w:val="15"/>
          <w:szCs w:val="15"/>
          <w:color w:val="auto"/>
        </w:rPr>
        <w:t>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-130175</wp:posOffset>
            </wp:positionV>
            <wp:extent cx="570293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2935" cy="154305"/>
                    </a:xfrm>
                    <a:prstGeom prst="rect">
                      <a:avLst/>
                    </a:prstGeom>
                    <a:noFill/>
                  </pic:spPr>
                </pic:pic>
              </a:graphicData>
            </a:graphic>
          </wp:anchor>
        </w:drawing>
      </w:r>
    </w:p>
    <w:p>
      <w:pPr>
        <w:spacing w:after="0" w:line="11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During the year ended December 31, 2016, the Company received a promissory note from FEP for a principal amount of $120.</w:t>
      </w:r>
    </w:p>
    <w:p>
      <w:pPr>
        <w:spacing w:after="0" w:line="4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note did not require interest and was repaid in full in February 2017.</w:t>
      </w:r>
    </w:p>
    <w:p>
      <w:pPr>
        <w:spacing w:after="0" w:line="99" w:lineRule="exact"/>
        <w:rPr>
          <w:sz w:val="20"/>
          <w:szCs w:val="20"/>
          <w:color w:val="auto"/>
        </w:rPr>
      </w:pPr>
    </w:p>
    <w:p>
      <w:pPr>
        <w:ind w:left="347" w:hanging="347"/>
        <w:spacing w:after="0"/>
        <w:tabs>
          <w:tab w:leader="none" w:pos="347"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21" w:lineRule="exact"/>
        <w:rPr>
          <w:rFonts w:ascii="Arial" w:cs="Arial" w:eastAsia="Arial" w:hAnsi="Arial"/>
          <w:sz w:val="18"/>
          <w:szCs w:val="18"/>
          <w:b w:val="1"/>
          <w:bCs w:val="1"/>
          <w:color w:val="auto"/>
        </w:rPr>
      </w:pPr>
    </w:p>
    <w:p>
      <w:pPr>
        <w:ind w:left="367"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years ended and as of December 31, 2017 and 2016, revenue from a significant customer constituted 92% and 61% of total revenues, respectively, and 92% and 96% of total receivables, respectively. In addition to trade receivables, the Company has primarily leased facilities under direct financing leases to this customer. As of December 31, 2017 and 2016, 97% and 100% of the Finance leases, net balance was attributed to this customer.</w:t>
      </w:r>
    </w:p>
    <w:p>
      <w:pPr>
        <w:spacing w:after="0" w:line="78" w:lineRule="exact"/>
        <w:rPr>
          <w:rFonts w:ascii="Arial" w:cs="Arial" w:eastAsia="Arial" w:hAnsi="Arial"/>
          <w:sz w:val="18"/>
          <w:szCs w:val="18"/>
          <w:b w:val="1"/>
          <w:bCs w:val="1"/>
          <w:color w:val="auto"/>
        </w:rPr>
      </w:pPr>
    </w:p>
    <w:p>
      <w:pPr>
        <w:ind w:left="367"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2017 and 2016, revenues from external customers that were derived from customers located in the United States was $4,935 and $319, respectively and from customers outside of the United States was $92,327 and $21,076, respectively, all of which was derived from customers in the Caribbean. The Company attributes revenues from external customers to the country in which the party to the applicable agreement has its principal place of business.</w:t>
      </w:r>
    </w:p>
    <w:p>
      <w:pPr>
        <w:spacing w:after="0" w:line="46" w:lineRule="exact"/>
        <w:rPr>
          <w:rFonts w:ascii="Arial" w:cs="Arial" w:eastAsia="Arial" w:hAnsi="Arial"/>
          <w:sz w:val="18"/>
          <w:szCs w:val="18"/>
          <w:b w:val="1"/>
          <w:bCs w:val="1"/>
          <w:color w:val="auto"/>
        </w:rPr>
      </w:pPr>
    </w:p>
    <w:p>
      <w:pPr>
        <w:ind w:left="367"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2016, long lived assets, which are all non-current assets excluding deferred tax assets and available-for-sale securities, located in the United States were $88,604 and $76,591, respectively and long lived assets located outside of the United States was $131,300 and $96,859, respectively, all of which were located in the Caribbean.</w:t>
      </w:r>
    </w:p>
    <w:p>
      <w:pPr>
        <w:spacing w:after="0" w:line="34" w:lineRule="exact"/>
        <w:rPr>
          <w:rFonts w:ascii="Arial" w:cs="Arial" w:eastAsia="Arial" w:hAnsi="Arial"/>
          <w:sz w:val="18"/>
          <w:szCs w:val="18"/>
          <w:b w:val="1"/>
          <w:bCs w:val="1"/>
          <w:color w:val="auto"/>
        </w:rPr>
      </w:pPr>
    </w:p>
    <w:p>
      <w:pPr>
        <w:ind w:left="347" w:hanging="347"/>
        <w:spacing w:after="0"/>
        <w:tabs>
          <w:tab w:leader="none" w:pos="347"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and other commitments</w:t>
      </w:r>
    </w:p>
    <w:p>
      <w:pPr>
        <w:spacing w:after="0" w:line="117" w:lineRule="exact"/>
        <w:rPr>
          <w:rFonts w:ascii="Arial" w:cs="Arial" w:eastAsia="Arial" w:hAnsi="Arial"/>
          <w:sz w:val="18"/>
          <w:szCs w:val="18"/>
          <w:b w:val="1"/>
          <w:bCs w:val="1"/>
          <w:color w:val="auto"/>
        </w:rPr>
      </w:pPr>
    </w:p>
    <w:p>
      <w:pPr>
        <w:ind w:left="367"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18, 2018, the Company signed a timecharter party agreement for a 125,000 cubic meter floating storage and regasification unit commencing from the point at which the vessel is delivered, for an initial term of 15 years, with the option to extend for one additional period of 5 years. Charter costs are charged at a capital rate of $50 per day, and operating expense rate of $22 per day with annual escalation clauses.</w:t>
      </w:r>
    </w:p>
    <w:p>
      <w:pPr>
        <w:spacing w:after="0" w:line="78" w:lineRule="exact"/>
        <w:rPr>
          <w:rFonts w:ascii="Arial" w:cs="Arial" w:eastAsia="Arial" w:hAnsi="Arial"/>
          <w:sz w:val="18"/>
          <w:szCs w:val="18"/>
          <w:b w:val="1"/>
          <w:bCs w:val="1"/>
          <w:color w:val="auto"/>
        </w:rPr>
      </w:pPr>
    </w:p>
    <w:p>
      <w:pPr>
        <w:ind w:left="367"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21, 2018, the Company committed to purchase an LNG terminal support vessel for $498. The vessel was delivered on April 17, 2018.</w:t>
      </w:r>
    </w:p>
    <w:p>
      <w:pPr>
        <w:spacing w:after="0" w:line="62" w:lineRule="exact"/>
        <w:rPr>
          <w:rFonts w:ascii="Arial" w:cs="Arial" w:eastAsia="Arial" w:hAnsi="Arial"/>
          <w:sz w:val="18"/>
          <w:szCs w:val="18"/>
          <w:b w:val="1"/>
          <w:bCs w:val="1"/>
          <w:color w:val="auto"/>
        </w:rPr>
      </w:pPr>
    </w:p>
    <w:p>
      <w:pPr>
        <w:jc w:val="both"/>
        <w:ind w:left="367"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entered into a gas purchase agreement with a major Marcellus Shale producer to supply approximately 160 mcf/d or equivalent of approximately 2,000,000 LNG gallons per day to the Company effective upon fulfillment of certain conditions precedent.</w:t>
      </w:r>
    </w:p>
    <w:p>
      <w:pPr>
        <w:spacing w:after="0" w:line="73" w:lineRule="exact"/>
        <w:rPr>
          <w:rFonts w:ascii="Arial" w:cs="Arial" w:eastAsia="Arial" w:hAnsi="Arial"/>
          <w:sz w:val="18"/>
          <w:szCs w:val="18"/>
          <w:b w:val="1"/>
          <w:bCs w:val="1"/>
          <w:color w:val="auto"/>
        </w:rPr>
      </w:pPr>
    </w:p>
    <w:p>
      <w:pPr>
        <w:ind w:left="367"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14, 2018, the Company extended an existing time charter party agreement expiring May 2018 for continued charter of a 140,500 cubic meter LNG carrier to January 2019. All other conditions to the time charter party agreement remain the same.</w:t>
      </w:r>
    </w:p>
    <w:p>
      <w:pPr>
        <w:spacing w:after="0" w:line="181"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The Company had previously committed to a call option agreement to charter a 15,600 cubic meter LNG carrier for a minimum period of 24 months, and to a maximum period of 27 months. The option is priced at $100 per month and was exercised on March 16, 2018.</w:t>
      </w:r>
    </w:p>
    <w:p>
      <w:pPr>
        <w:spacing w:after="0" w:line="73"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Subsequent to December 31, 2017, the Company has entered into multiple agreements to acquire land. Total purchases since December 31, 2017 were $9,956.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Leases, as lessee</w:t>
      </w:r>
    </w:p>
    <w:p>
      <w:pPr>
        <w:spacing w:after="0" w:line="117" w:lineRule="exact"/>
        <w:rPr>
          <w:sz w:val="20"/>
          <w:szCs w:val="20"/>
          <w:color w:val="auto"/>
        </w:rPr>
      </w:pPr>
    </w:p>
    <w:p>
      <w:pPr>
        <w:ind w:left="360" w:right="40"/>
        <w:spacing w:after="0" w:line="255" w:lineRule="auto"/>
        <w:rPr>
          <w:sz w:val="20"/>
          <w:szCs w:val="20"/>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Members’ Equity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26, 2018, 665,843 common shares (no par value) were issued for consideration of $20,150.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360" w:right="20"/>
        <w:spacing w:after="0" w:line="274" w:lineRule="auto"/>
        <w:rPr>
          <w:sz w:val="20"/>
          <w:szCs w:val="20"/>
          <w:color w:val="auto"/>
        </w:rPr>
      </w:pPr>
      <w:r>
        <w:rPr>
          <w:rFonts w:ascii="Arial" w:cs="Arial" w:eastAsia="Arial" w:hAnsi="Arial"/>
          <w:sz w:val="16"/>
          <w:szCs w:val="16"/>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71" w:lineRule="exact"/>
        <w:rPr>
          <w:sz w:val="20"/>
          <w:szCs w:val="20"/>
          <w:color w:val="auto"/>
        </w:rPr>
      </w:pPr>
    </w:p>
    <w:p>
      <w:pPr>
        <w:ind w:left="360" w:right="4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left="360" w:right="32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3" w:lineRule="exact"/>
        <w:rPr>
          <w:sz w:val="20"/>
          <w:szCs w:val="20"/>
          <w:color w:val="auto"/>
        </w:rPr>
      </w:pPr>
    </w:p>
    <w:p>
      <w:pPr>
        <w:jc w:val="both"/>
        <w:ind w:left="360" w:right="40"/>
        <w:spacing w:after="0" w:line="264"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73" w:lineRule="exact"/>
        <w:rPr>
          <w:sz w:val="20"/>
          <w:szCs w:val="20"/>
          <w:color w:val="auto"/>
        </w:rPr>
      </w:pPr>
    </w:p>
    <w:p>
      <w:pPr>
        <w:ind w:left="360" w:right="520"/>
        <w:spacing w:after="0" w:line="277" w:lineRule="auto"/>
        <w:rPr>
          <w:sz w:val="20"/>
          <w:szCs w:val="20"/>
          <w:color w:val="auto"/>
        </w:rPr>
      </w:pPr>
      <w:r>
        <w:rPr>
          <w:rFonts w:ascii="Arial" w:cs="Arial" w:eastAsia="Arial" w:hAnsi="Arial"/>
          <w:sz w:val="18"/>
          <w:szCs w:val="18"/>
          <w:color w:val="auto"/>
        </w:rPr>
        <w:t>Management performed an evaluation of subsequent events through August 16, 2018, the date the consolidated financial statements were available to be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984250</wp:posOffset>
            </wp:positionV>
            <wp:extent cx="2169795" cy="643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697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auto"/>
        </w:rPr>
        <w:t>NFE Financial Holdings LLC</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Class A shares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503555</wp:posOffset>
            </wp:positionV>
            <wp:extent cx="10375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Prospectus</w:t>
      </w:r>
    </w:p>
    <w:p>
      <w:pPr>
        <w:spacing w:after="0" w:line="117" w:lineRule="exact"/>
        <w:rPr>
          <w:sz w:val="20"/>
          <w:szCs w:val="20"/>
          <w:color w:val="auto"/>
        </w:rPr>
      </w:pPr>
    </w:p>
    <w:p>
      <w:pPr>
        <w:jc w:val="right"/>
        <w:ind w:right="426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118110</wp:posOffset>
            </wp:positionV>
            <wp:extent cx="1037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2073275</wp:posOffset>
            </wp:positionV>
            <wp:extent cx="10375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60"/>
        <w:spacing w:after="0" w:line="229" w:lineRule="auto"/>
        <w:rPr>
          <w:sz w:val="20"/>
          <w:szCs w:val="20"/>
          <w:color w:val="auto"/>
        </w:rPr>
      </w:pPr>
      <w:r>
        <w:rPr>
          <w:rFonts w:ascii="Arial" w:cs="Arial" w:eastAsia="Arial" w:hAnsi="Arial"/>
          <w:sz w:val="18"/>
          <w:szCs w:val="18"/>
          <w:b w:val="1"/>
          <w:bCs w:val="1"/>
          <w:color w:val="auto"/>
        </w:rPr>
        <w:t>Through and including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federal securities laws may require all dealers that effect transactions in these securities, whether or not participating in this offering, to deliver a prospectus. This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071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0718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9" w:name="page150"/>
    <w:bookmarkEnd w:id="14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987"/>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Set forth below are the expenses (other than underwriting discounts) expected to be incurred in connection with the issuance and distribution of the securities registered hereby. With the exception of the Securities and Exchange Commission registration fee, the FINRA filing fee and NASDAQ listing fee the amounts set forth below are estimates.</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Fees and expenses of legal counsel</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666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OFFICERS AND MEMBERS OF OUR BOARD OF DIRECTORS.</w:t>
      </w:r>
    </w:p>
    <w:p>
      <w:pPr>
        <w:spacing w:after="0" w:line="121" w:lineRule="exact"/>
        <w:rPr>
          <w:sz w:val="20"/>
          <w:szCs w:val="20"/>
          <w:color w:val="auto"/>
        </w:rPr>
      </w:pPr>
    </w:p>
    <w:p>
      <w:pPr>
        <w:ind w:left="7" w:firstLine="360"/>
        <w:spacing w:after="0" w:line="270" w:lineRule="auto"/>
        <w:rPr>
          <w:sz w:val="20"/>
          <w:szCs w:val="20"/>
          <w:color w:val="auto"/>
        </w:rPr>
      </w:pPr>
      <w:r>
        <w:rPr>
          <w:rFonts w:ascii="Arial" w:cs="Arial" w:eastAsia="Arial" w:hAnsi="Arial"/>
          <w:sz w:val="17"/>
          <w:szCs w:val="17"/>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74"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Our operating agreement provides that we may indemnify any person who is or was a director, officer, employee or agent 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70"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We will purchase insurance covering our officers and directors against liabilities asserted and expenses incurred in connection with their activities as our officers and directors or any of our direct or indirect subsidiaries.</w:t>
      </w:r>
    </w:p>
    <w:p>
      <w:pPr>
        <w:spacing w:after="0" w:line="62"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The underwriting agreement to be entered into in connection with the sale of the securities offered pursuant to this registration statement, the form of which will be filed as an exhibit to this registration statement, provides for indemnification of New Fortress Energy Holdings, their officers and directors, and any person who controls New Fortress Energy Holdings, including indemnification for liabilities under the Securities Act.</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0" w:name="page151"/>
    <w:bookmarkEnd w:id="15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7" w:right="140" w:firstLine="360"/>
        <w:spacing w:after="0" w:line="286" w:lineRule="auto"/>
        <w:rPr>
          <w:sz w:val="20"/>
          <w:szCs w:val="20"/>
          <w:color w:val="auto"/>
        </w:rPr>
      </w:pPr>
      <w:r>
        <w:rPr>
          <w:rFonts w:ascii="Arial" w:cs="Arial" w:eastAsia="Arial" w:hAnsi="Arial"/>
          <w:sz w:val="17"/>
          <w:szCs w:val="17"/>
          <w:color w:val="auto"/>
        </w:rPr>
        <w:t>On August 6, 2018, in connection with the formation of NFE Financial Holdings LLC, we issued the 100.0% limited liability company interest in us to New Fortress Energy Holdings LLC. The issuance was exempt from registration under Section 4(a)(2) of the Securities Act. There have been no other sales of unregistered securities within the past three years.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80" w:type="dxa"/>
            <w:vAlign w:val="bottom"/>
            <w:gridSpan w:val="6"/>
          </w:tcPr>
          <w:p>
            <w:pPr>
              <w:ind w:left="120"/>
              <w:spacing w:after="0"/>
              <w:rPr>
                <w:sz w:val="20"/>
                <w:szCs w:val="20"/>
                <w:color w:val="auto"/>
              </w:rPr>
            </w:pPr>
            <w:r>
              <w:rPr>
                <w:rFonts w:ascii="Arial" w:cs="Arial" w:eastAsia="Arial" w:hAnsi="Arial"/>
                <w:sz w:val="18"/>
                <w:szCs w:val="18"/>
                <w:color w:val="auto"/>
                <w:w w:val="96"/>
              </w:rPr>
              <w:t>In connection with the formation transactions described herein, we will issue</w:t>
            </w: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w w:val="92"/>
              </w:rPr>
              <w:t>Class B shares, representing an aggregate</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20" w:type="dxa"/>
            <w:vAlign w:val="bottom"/>
            <w:gridSpan w:val="8"/>
          </w:tcPr>
          <w:p>
            <w:pPr>
              <w:ind w:left="20"/>
              <w:spacing w:after="0"/>
              <w:rPr>
                <w:sz w:val="20"/>
                <w:szCs w:val="20"/>
                <w:color w:val="auto"/>
              </w:rPr>
            </w:pPr>
            <w:r>
              <w:rPr>
                <w:rFonts w:ascii="Arial" w:cs="Arial" w:eastAsia="Arial" w:hAnsi="Arial"/>
                <w:sz w:val="18"/>
                <w:szCs w:val="18"/>
                <w:color w:val="auto"/>
              </w:rPr>
              <w:t>% non-economic limited liability company interest in us, to New Fortress Energy Holdings.</w:t>
            </w:r>
          </w:p>
        </w:tc>
      </w:tr>
      <w:tr>
        <w:trPr>
          <w:trHeight w:val="324"/>
        </w:trPr>
        <w:tc>
          <w:tcPr>
            <w:tcW w:w="86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8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80" w:type="dxa"/>
            <w:vAlign w:val="bottom"/>
            <w:gridSpan w:val="4"/>
            <w:shd w:val="clear" w:color="auto" w:fill="CCEEFF"/>
          </w:tcPr>
          <w:p>
            <w:pPr>
              <w:jc w:val="center"/>
              <w:ind w:left="7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Underwriting Agreement</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80" w:type="dxa"/>
            <w:vAlign w:val="bottom"/>
            <w:gridSpan w:val="4"/>
          </w:tcPr>
          <w:p>
            <w:pPr>
              <w:jc w:val="center"/>
              <w:ind w:left="71"/>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Certificate of Formation of NFE Financial Holdings LLC</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80" w:type="dxa"/>
            <w:vAlign w:val="bottom"/>
            <w:gridSpan w:val="4"/>
            <w:shd w:val="clear" w:color="auto" w:fill="CCEEFF"/>
          </w:tcPr>
          <w:p>
            <w:pPr>
              <w:jc w:val="center"/>
              <w:ind w:left="71"/>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 Form of Operating Agreement of NFE Financial Holdings LLC</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680" w:type="dxa"/>
            <w:vAlign w:val="bottom"/>
            <w:gridSpan w:val="4"/>
          </w:tcPr>
          <w:p>
            <w:pPr>
              <w:jc w:val="center"/>
              <w:ind w:left="71"/>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7"/>
              </w:rPr>
              <w:t>— Form of Amended and Restated Limited Liability Company Agreement of New Fortress Intermediate LLC</w:t>
            </w: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Contribution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Form of NFE Financial Holdings LLC 2018 Omnibus Incentive Plan</w:t>
            </w: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Restricted Share Unit Award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Offer Letter, dated March 14, 2017, by and between NFE Management, LLC and Christopher Guinta</w:t>
            </w: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7"/>
              </w:rPr>
              <w:t>— Offer Letter, dated as of August 30, 2018, by and between NFE Management, LLC and Michael J. Utsler</w:t>
            </w:r>
          </w:p>
        </w:tc>
      </w:tr>
      <w:tr>
        <w:trPr>
          <w:trHeight w:val="228"/>
        </w:trPr>
        <w:tc>
          <w:tcPr>
            <w:tcW w:w="20" w:type="dxa"/>
            <w:vAlign w:val="bottom"/>
          </w:tcPr>
          <w:p>
            <w:pPr>
              <w:spacing w:after="0"/>
              <w:rPr>
                <w:sz w:val="19"/>
                <w:szCs w:val="19"/>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Separation Letter Agreement, dated February 26, 2017, by and between NFE Management, LLC and</w:t>
            </w:r>
          </w:p>
        </w:tc>
      </w:tr>
      <w:tr>
        <w:trPr>
          <w:trHeight w:val="244"/>
        </w:trPr>
        <w:tc>
          <w:tcPr>
            <w:tcW w:w="2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Christopher Carey</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Form of Shareholders’ Agreement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80" w:type="dxa"/>
            <w:vAlign w:val="bottom"/>
            <w:gridSpan w:val="4"/>
            <w:shd w:val="clear" w:color="auto" w:fill="CCEEFF"/>
          </w:tcPr>
          <w:p>
            <w:pPr>
              <w:jc w:val="center"/>
              <w:ind w:left="71"/>
              <w:spacing w:after="0" w:line="201"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52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 Credit Agreement, dated November 21, 2014, by and among LNG Holdings (Florida) LLC, Morgan Stanley</w:t>
            </w:r>
          </w:p>
        </w:tc>
      </w:tr>
      <w:tr>
        <w:trPr>
          <w:trHeight w:val="250"/>
        </w:trPr>
        <w:tc>
          <w:tcPr>
            <w:tcW w:w="20" w:type="dxa"/>
            <w:vAlign w:val="bottom"/>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8120" w:type="dxa"/>
            <w:vAlign w:val="bottom"/>
            <w:tcBorders>
              <w:top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Senior Funding, Inc., as administrative agent and the lenders party thereto.</w:t>
            </w:r>
          </w:p>
        </w:tc>
      </w:tr>
      <w:tr>
        <w:trPr>
          <w:trHeight w:val="189"/>
        </w:trPr>
        <w:tc>
          <w:tcPr>
            <w:tcW w:w="20" w:type="dxa"/>
            <w:vAlign w:val="bottom"/>
          </w:tcPr>
          <w:p>
            <w:pPr>
              <w:spacing w:after="0"/>
              <w:rPr>
                <w:sz w:val="16"/>
                <w:szCs w:val="16"/>
                <w:color w:val="auto"/>
              </w:rPr>
            </w:pPr>
          </w:p>
        </w:tc>
        <w:tc>
          <w:tcPr>
            <w:tcW w:w="840" w:type="dxa"/>
            <w:vAlign w:val="bottom"/>
            <w:gridSpan w:val="5"/>
          </w:tcPr>
          <w:p>
            <w:pPr>
              <w:jc w:val="center"/>
              <w:spacing w:after="0" w:line="189"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10*</w:t>
            </w:r>
          </w:p>
        </w:tc>
        <w:tc>
          <w:tcPr>
            <w:tcW w:w="180" w:type="dxa"/>
            <w:vAlign w:val="bottom"/>
          </w:tcPr>
          <w:p>
            <w:pPr>
              <w:spacing w:after="0"/>
              <w:rPr>
                <w:sz w:val="16"/>
                <w:szCs w:val="16"/>
                <w:color w:val="auto"/>
              </w:rPr>
            </w:pPr>
          </w:p>
        </w:tc>
        <w:tc>
          <w:tcPr>
            <w:tcW w:w="8520" w:type="dxa"/>
            <w:vAlign w:val="bottom"/>
            <w:gridSpan w:val="4"/>
          </w:tcPr>
          <w:p>
            <w:pPr>
              <w:ind w:left="160"/>
              <w:spacing w:after="0" w:line="189" w:lineRule="exact"/>
              <w:rPr>
                <w:sz w:val="20"/>
                <w:szCs w:val="20"/>
                <w:color w:val="auto"/>
              </w:rPr>
            </w:pPr>
            <w:r>
              <w:rPr>
                <w:rFonts w:ascii="Arial" w:cs="Arial" w:eastAsia="Arial" w:hAnsi="Arial"/>
                <w:sz w:val="18"/>
                <w:szCs w:val="18"/>
                <w:color w:val="auto"/>
                <w:w w:val="98"/>
              </w:rPr>
              <w:t>— Syndicated Loan Agreement, dated June 3, 2016, by and among NFE North Holdings Limited, National</w:t>
            </w: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120" w:type="dxa"/>
            <w:vAlign w:val="bottom"/>
            <w:gridSpan w:val="3"/>
          </w:tcPr>
          <w:p>
            <w:pPr>
              <w:ind w:left="60"/>
              <w:spacing w:after="0"/>
              <w:rPr>
                <w:sz w:val="20"/>
                <w:szCs w:val="20"/>
                <w:color w:val="auto"/>
              </w:rPr>
            </w:pPr>
            <w:r>
              <w:rPr>
                <w:rFonts w:ascii="Arial" w:cs="Arial" w:eastAsia="Arial" w:hAnsi="Arial"/>
                <w:sz w:val="18"/>
                <w:szCs w:val="18"/>
                <w:color w:val="auto"/>
                <w:w w:val="90"/>
              </w:rPr>
              <w:t>Commercial Bank Jamaica Limited, as arranger, JCSD Trustee Services Limited, as agent and the lenders party</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thereto.</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10.11**</w:t>
            </w: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3"/>
              </w:rPr>
              <w:t>— Credit Agreement, dated August 15, 2018, by and between New Fortress Energy Holdings LLC, NFE Atlantic</w:t>
            </w: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1"/>
              </w:rPr>
              <w:t>Holdings LLC, Morgan Stanley Senior Funding, Inc., as administrative agent and the subsidiary guarantors and</w:t>
            </w:r>
          </w:p>
        </w:tc>
      </w:tr>
      <w:tr>
        <w:trPr>
          <w:trHeight w:val="244"/>
        </w:trPr>
        <w:tc>
          <w:tcPr>
            <w:tcW w:w="2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lenders parties thereto.</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8"/>
              </w:rPr>
              <w:t>‡10.12**</w:t>
            </w: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3"/>
              </w:rPr>
              <w:t>— Gas Sales Agreement, dated August 5, 2015, by and between New Fortress Energy LLC and Jamaica Public</w:t>
            </w: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Service Company Limited</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‡10.13**</w:t>
            </w: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3"/>
              </w:rPr>
              <w:t>— First Amendment to Gas Sales Agreement, dated May 23, 2016, by and between NFE North Holdings Limited</w:t>
            </w:r>
          </w:p>
        </w:tc>
      </w:tr>
      <w:tr>
        <w:trPr>
          <w:trHeight w:val="244"/>
        </w:trPr>
        <w:tc>
          <w:tcPr>
            <w:tcW w:w="2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Jamaica Public Service Company Limited</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8"/>
              </w:rPr>
              <w:t>10.14**</w:t>
            </w: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3"/>
              </w:rPr>
              <w:t>— Management Services Agreement, dated May 31, 2016, by and between New Fortress Energy Holdings LLC</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80" w:type="dxa"/>
            <w:vAlign w:val="bottom"/>
          </w:tcPr>
          <w:p>
            <w:pPr>
              <w:ind w:left="60"/>
              <w:spacing w:after="0"/>
              <w:rPr>
                <w:sz w:val="20"/>
                <w:szCs w:val="20"/>
                <w:color w:val="auto"/>
              </w:rPr>
            </w:pPr>
            <w:r>
              <w:rPr>
                <w:rFonts w:ascii="Arial" w:cs="Arial" w:eastAsia="Arial" w:hAnsi="Arial"/>
                <w:sz w:val="18"/>
                <w:szCs w:val="18"/>
                <w:color w:val="auto"/>
              </w:rPr>
              <w:t>and FIG LLC</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List of Subsidiaries of NFE Financial Holdings LLC</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Consent of Ernst &amp; Young L.L.P.</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 Consent of Vinson &amp; Elkins L.L.P. (contained in Exhibits 5.1)</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Powers of Attorney (contained on signature page)</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C. William Griffin, as Director Nominee</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Consent of John J. Mack, as Director Nominee</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Matthew Wilkinson, as Director Nominee</w:t>
            </w: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7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Provided herewith.</w:t>
      </w:r>
    </w:p>
    <w:p>
      <w:pPr>
        <w:spacing w:after="0" w:line="109" w:lineRule="exact"/>
        <w:rPr>
          <w:sz w:val="20"/>
          <w:szCs w:val="20"/>
          <w:color w:val="auto"/>
        </w:rPr>
      </w:pPr>
    </w:p>
    <w:p>
      <w:pPr>
        <w:ind w:left="347" w:hanging="347"/>
        <w:spacing w:after="0"/>
        <w:tabs>
          <w:tab w:leader="none" w:pos="34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09" w:lineRule="exact"/>
        <w:rPr>
          <w:sz w:val="20"/>
          <w:szCs w:val="20"/>
          <w:color w:val="auto"/>
        </w:rPr>
      </w:pPr>
    </w:p>
    <w:p>
      <w:pPr>
        <w:ind w:left="347" w:hanging="347"/>
        <w:spacing w:after="0"/>
        <w:tabs>
          <w:tab w:leader="none" w:pos="34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Confidential treatment to be requested with respect to certain portions of this exhibit. Omitted portions will be filed separately with the SEC.</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700" w:right="260" w:hanging="356"/>
        <w:spacing w:after="0" w:line="259" w:lineRule="auto"/>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700" w:right="120" w:hanging="356"/>
        <w:spacing w:after="0" w:line="286" w:lineRule="auto"/>
        <w:tabs>
          <w:tab w:leader="none" w:pos="7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New York, State of New York, on</w:t>
      </w:r>
    </w:p>
    <w:p>
      <w:pPr>
        <w:ind w:left="400"/>
        <w:spacing w:after="0"/>
        <w:rPr>
          <w:sz w:val="20"/>
          <w:szCs w:val="20"/>
          <w:color w:val="auto"/>
        </w:rPr>
      </w:pPr>
      <w:r>
        <w:rPr>
          <w:rFonts w:ascii="Arial" w:cs="Arial" w:eastAsia="Arial" w:hAnsi="Arial"/>
          <w:sz w:val="18"/>
          <w:szCs w:val="18"/>
          <w:color w:val="auto"/>
        </w:rPr>
        <w:t>, 2018.</w:t>
      </w:r>
    </w:p>
    <w:p>
      <w:pPr>
        <w:spacing w:after="0" w:line="5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NFE Financial Holdings LLC</w:t>
            </w:r>
          </w:p>
        </w:tc>
      </w:tr>
      <w:tr>
        <w:trPr>
          <w:trHeight w:val="48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980" w:type="dxa"/>
            <w:vAlign w:val="bottom"/>
          </w:tcPr>
          <w:p>
            <w:pPr>
              <w:ind w:left="40"/>
              <w:spacing w:after="0"/>
              <w:rPr>
                <w:sz w:val="20"/>
                <w:szCs w:val="20"/>
                <w:color w:val="auto"/>
              </w:rPr>
            </w:pPr>
            <w:r>
              <w:rPr>
                <w:rFonts w:ascii="Arial" w:cs="Arial" w:eastAsia="Arial" w:hAnsi="Arial"/>
                <w:sz w:val="18"/>
                <w:szCs w:val="18"/>
                <w:color w:val="auto"/>
              </w:rPr>
              <w:t>Christopher S. Guinta</w:t>
            </w:r>
          </w:p>
        </w:tc>
      </w:tr>
      <w:tr>
        <w:trPr>
          <w:trHeight w:val="243"/>
        </w:trPr>
        <w:tc>
          <w:tcPr>
            <w:tcW w:w="4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9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46"/>
        </w:trPr>
        <w:tc>
          <w:tcPr>
            <w:tcW w:w="9140" w:type="dxa"/>
            <w:vAlign w:val="bottom"/>
            <w:gridSpan w:val="4"/>
          </w:tcPr>
          <w:p>
            <w:pPr>
              <w:ind w:left="3400"/>
              <w:spacing w:after="0"/>
              <w:rPr>
                <w:sz w:val="20"/>
                <w:szCs w:val="20"/>
                <w:color w:val="auto"/>
              </w:rPr>
            </w:pPr>
            <w:r>
              <w:rPr>
                <w:rFonts w:ascii="Arial" w:cs="Arial" w:eastAsia="Arial" w:hAnsi="Arial"/>
                <w:sz w:val="18"/>
                <w:szCs w:val="18"/>
                <w:b w:val="1"/>
                <w:bCs w:val="1"/>
                <w:color w:val="auto"/>
              </w:rPr>
              <w:t>POWER OF ATTORNEY</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w w:val="92"/>
              </w:rPr>
              <w:t>Each person whose signature appears below appoints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rPr>
              <w:t>and</w:t>
            </w: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 and each of them, any of whom may act without</w:t>
            </w:r>
          </w:p>
        </w:tc>
      </w:tr>
    </w:tbl>
    <w:p>
      <w:pPr>
        <w:spacing w:after="0" w:line="268" w:lineRule="auto"/>
        <w:rPr>
          <w:sz w:val="20"/>
          <w:szCs w:val="20"/>
          <w:color w:val="auto"/>
        </w:rPr>
      </w:pPr>
      <w:r>
        <w:rPr>
          <w:rFonts w:ascii="Arial" w:cs="Arial" w:eastAsia="Arial" w:hAnsi="Arial"/>
          <w:sz w:val="17"/>
          <w:szCs w:val="17"/>
          <w:color w:val="auto"/>
        </w:rPr>
        <w:t>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of their or his or her substitute and substitutes, may lawfully do or cause to be done by virtue hereof.</w:t>
      </w:r>
    </w:p>
    <w:p>
      <w:pPr>
        <w:spacing w:after="0" w:line="7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4"/>
                <w:szCs w:val="14"/>
                <w:color w:val="auto"/>
              </w:rPr>
            </w:pPr>
          </w:p>
        </w:tc>
        <w:tc>
          <w:tcPr>
            <w:tcW w:w="22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Date</w:t>
            </w:r>
          </w:p>
        </w:tc>
      </w:tr>
      <w:tr>
        <w:trPr>
          <w:trHeight w:val="480"/>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Wesley R. Edens, Chief Executive Officer and</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Christopher S. Guinta, Chief Financial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 Principal</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10.9</w:t>
      </w:r>
    </w:p>
    <w:p>
      <w:pPr>
        <w:spacing w:after="0" w:line="200" w:lineRule="exact"/>
        <w:rPr>
          <w:sz w:val="20"/>
          <w:szCs w:val="20"/>
          <w:color w:val="auto"/>
        </w:rPr>
      </w:pPr>
    </w:p>
    <w:p>
      <w:pPr>
        <w:spacing w:after="0" w:line="28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SENIOR SECURED DELAYED DRAW TERM LOAN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LNG HOLDINGS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Holdings 1,</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FEP GP LNG HOLDINGS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Holdings 2,</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LNG HOLDINGS (FLORIDA)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 Time to Time Party Hereto</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November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314960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306070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331470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460375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20" w:type="dxa"/>
            <w:vAlign w:val="bottom"/>
          </w:tcPr>
          <w:p>
            <w:pPr>
              <w:ind w:left="3740"/>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1.</w:t>
            </w:r>
          </w:p>
        </w:tc>
        <w:tc>
          <w:tcPr>
            <w:tcW w:w="10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DEFINITIONS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1.1</w:t>
            </w:r>
          </w:p>
        </w:tc>
        <w:tc>
          <w:tcPr>
            <w:tcW w:w="1002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1.2</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Definitional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1.3</w:t>
            </w:r>
          </w:p>
        </w:tc>
        <w:tc>
          <w:tcPr>
            <w:tcW w:w="10020" w:type="dxa"/>
            <w:vAlign w:val="bottom"/>
          </w:tcPr>
          <w:p>
            <w:pPr>
              <w:ind w:left="100"/>
              <w:spacing w:after="0"/>
              <w:rPr>
                <w:sz w:val="20"/>
                <w:szCs w:val="20"/>
                <w:color w:val="auto"/>
              </w:rPr>
            </w:pPr>
            <w:r>
              <w:rPr>
                <w:rFonts w:ascii="Arial" w:cs="Arial" w:eastAsia="Arial" w:hAnsi="Arial"/>
                <w:sz w:val="18"/>
                <w:szCs w:val="18"/>
                <w:color w:val="auto"/>
              </w:rPr>
              <w:t>Timing of Payment or Performance</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1.4</w:t>
            </w:r>
          </w:p>
        </w:tc>
        <w:tc>
          <w:tcPr>
            <w:tcW w:w="10020" w:type="dxa"/>
            <w:vAlign w:val="bottom"/>
          </w:tcPr>
          <w:p>
            <w:pPr>
              <w:ind w:left="100"/>
              <w:spacing w:after="0"/>
              <w:rPr>
                <w:sz w:val="20"/>
                <w:szCs w:val="20"/>
                <w:color w:val="auto"/>
              </w:rPr>
            </w:pPr>
            <w:r>
              <w:rPr>
                <w:rFonts w:ascii="Arial" w:cs="Arial" w:eastAsia="Arial" w:hAnsi="Arial"/>
                <w:sz w:val="18"/>
                <w:szCs w:val="18"/>
                <w:color w:val="auto"/>
              </w:rPr>
              <w:t>Currency Equivalents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1.5</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Defined Terms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tcPr>
          <w:p>
            <w:pPr>
              <w:spacing w:after="0" w:line="202" w:lineRule="exact"/>
              <w:rPr>
                <w:sz w:val="20"/>
                <w:szCs w:val="20"/>
                <w:color w:val="auto"/>
              </w:rPr>
            </w:pPr>
            <w:r>
              <w:rPr>
                <w:rFonts w:ascii="Arial" w:cs="Arial" w:eastAsia="Arial" w:hAnsi="Arial"/>
                <w:sz w:val="18"/>
                <w:szCs w:val="18"/>
                <w:color w:val="auto"/>
              </w:rPr>
              <w:t>SECTION 2.</w:t>
            </w:r>
          </w:p>
        </w:tc>
        <w:tc>
          <w:tcPr>
            <w:tcW w:w="10020" w:type="dxa"/>
            <w:vAlign w:val="bottom"/>
          </w:tcPr>
          <w:p>
            <w:pPr>
              <w:ind w:left="100"/>
              <w:spacing w:after="0" w:line="202" w:lineRule="exact"/>
              <w:rPr>
                <w:sz w:val="20"/>
                <w:szCs w:val="20"/>
                <w:color w:val="auto"/>
              </w:rPr>
            </w:pPr>
            <w:r>
              <w:rPr>
                <w:rFonts w:ascii="Arial" w:cs="Arial" w:eastAsia="Arial" w:hAnsi="Arial"/>
                <w:sz w:val="18"/>
                <w:szCs w:val="18"/>
                <w:color w:val="auto"/>
              </w:rPr>
              <w:t>LOANS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 Loans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 Rata Shares; Availability of Funds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2.7</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of Proceeds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Evidence of Debt; Register; Lenders’ Books and Records; Notes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2.9</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Term Loans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2.10</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Conversion/Continuation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Default Interest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Scheduled Payments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Voluntary Prepayments/Commitment Reductions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Mandatory Prepayments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of Prepayments/Reductions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2.17</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Provisions Regarding Payments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2.18</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Ratable Sharing</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2.19</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Making or Maintaining Eurodollar Rate Loans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2.20</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Increased Costs; Capital Adequacy</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2.21</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2.22</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Obligation to Mitigate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2.23</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Defaulting Lenders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2.24</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Removal or Replacement of a Lender</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2.25</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Maturity Extension Option</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3.</w:t>
            </w:r>
          </w:p>
        </w:tc>
        <w:tc>
          <w:tcPr>
            <w:tcW w:w="7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REPRESENTATIONS AND WARRANTIES</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3.1</w:t>
            </w:r>
          </w:p>
        </w:tc>
        <w:tc>
          <w:tcPr>
            <w:tcW w:w="7220" w:type="dxa"/>
            <w:vAlign w:val="bottom"/>
          </w:tcPr>
          <w:p>
            <w:pPr>
              <w:ind w:left="100"/>
              <w:spacing w:after="0"/>
              <w:rPr>
                <w:sz w:val="20"/>
                <w:szCs w:val="20"/>
                <w:color w:val="auto"/>
              </w:rPr>
            </w:pPr>
            <w:r>
              <w:rPr>
                <w:rFonts w:ascii="Arial" w:cs="Arial" w:eastAsia="Arial" w:hAnsi="Arial"/>
                <w:sz w:val="18"/>
                <w:szCs w:val="18"/>
                <w:color w:val="auto"/>
              </w:rPr>
              <w:t>Financial Condition</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3.2</w:t>
            </w:r>
          </w:p>
        </w:tc>
        <w:tc>
          <w:tcPr>
            <w:tcW w:w="7220" w:type="dxa"/>
            <w:vAlign w:val="bottom"/>
          </w:tcPr>
          <w:p>
            <w:pPr>
              <w:ind w:left="100"/>
              <w:spacing w:after="0"/>
              <w:rPr>
                <w:sz w:val="20"/>
                <w:szCs w:val="20"/>
                <w:color w:val="auto"/>
              </w:rPr>
            </w:pPr>
            <w:r>
              <w:rPr>
                <w:rFonts w:ascii="Arial" w:cs="Arial" w:eastAsia="Arial" w:hAnsi="Arial"/>
                <w:sz w:val="18"/>
                <w:szCs w:val="18"/>
                <w:color w:val="auto"/>
              </w:rPr>
              <w:t>No Change</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3.3</w:t>
            </w:r>
          </w:p>
        </w:tc>
        <w:tc>
          <w:tcPr>
            <w:tcW w:w="7220" w:type="dxa"/>
            <w:vAlign w:val="bottom"/>
          </w:tcPr>
          <w:p>
            <w:pPr>
              <w:ind w:left="100"/>
              <w:spacing w:after="0"/>
              <w:rPr>
                <w:sz w:val="20"/>
                <w:szCs w:val="20"/>
                <w:color w:val="auto"/>
              </w:rPr>
            </w:pPr>
            <w:r>
              <w:rPr>
                <w:rFonts w:ascii="Arial" w:cs="Arial" w:eastAsia="Arial" w:hAnsi="Arial"/>
                <w:sz w:val="18"/>
                <w:szCs w:val="18"/>
                <w:color w:val="auto"/>
              </w:rPr>
              <w:t>Corporate Existence; Compliance with Law</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3.4</w:t>
            </w:r>
          </w:p>
        </w:tc>
        <w:tc>
          <w:tcPr>
            <w:tcW w:w="7220" w:type="dxa"/>
            <w:vAlign w:val="bottom"/>
          </w:tcPr>
          <w:p>
            <w:pPr>
              <w:ind w:left="100"/>
              <w:spacing w:after="0"/>
              <w:rPr>
                <w:sz w:val="20"/>
                <w:szCs w:val="20"/>
                <w:color w:val="auto"/>
              </w:rPr>
            </w:pPr>
            <w:r>
              <w:rPr>
                <w:rFonts w:ascii="Arial" w:cs="Arial" w:eastAsia="Arial" w:hAnsi="Arial"/>
                <w:sz w:val="18"/>
                <w:szCs w:val="18"/>
                <w:color w:val="auto"/>
              </w:rPr>
              <w:t>Corporate Power; Authorization; Enforceable Obligations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3.5</w:t>
            </w:r>
          </w:p>
        </w:tc>
        <w:tc>
          <w:tcPr>
            <w:tcW w:w="7220" w:type="dxa"/>
            <w:vAlign w:val="bottom"/>
          </w:tcPr>
          <w:p>
            <w:pPr>
              <w:ind w:left="100"/>
              <w:spacing w:after="0"/>
              <w:rPr>
                <w:sz w:val="20"/>
                <w:szCs w:val="20"/>
                <w:color w:val="auto"/>
              </w:rPr>
            </w:pPr>
            <w:r>
              <w:rPr>
                <w:rFonts w:ascii="Arial" w:cs="Arial" w:eastAsia="Arial" w:hAnsi="Arial"/>
                <w:sz w:val="18"/>
                <w:szCs w:val="18"/>
                <w:color w:val="auto"/>
              </w:rPr>
              <w:t>No Legal Bar</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3.6</w:t>
            </w:r>
          </w:p>
        </w:tc>
        <w:tc>
          <w:tcPr>
            <w:tcW w:w="7220" w:type="dxa"/>
            <w:vAlign w:val="bottom"/>
          </w:tcPr>
          <w:p>
            <w:pPr>
              <w:ind w:left="100"/>
              <w:spacing w:after="0"/>
              <w:rPr>
                <w:sz w:val="20"/>
                <w:szCs w:val="20"/>
                <w:color w:val="auto"/>
              </w:rPr>
            </w:pPr>
            <w:r>
              <w:rPr>
                <w:rFonts w:ascii="Arial" w:cs="Arial" w:eastAsia="Arial" w:hAnsi="Arial"/>
                <w:sz w:val="18"/>
                <w:szCs w:val="18"/>
                <w:color w:val="auto"/>
              </w:rPr>
              <w:t>No Material Litigation</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3.7</w:t>
            </w:r>
          </w:p>
        </w:tc>
        <w:tc>
          <w:tcPr>
            <w:tcW w:w="7220" w:type="dxa"/>
            <w:vAlign w:val="bottom"/>
          </w:tcPr>
          <w:p>
            <w:pPr>
              <w:ind w:left="100"/>
              <w:spacing w:after="0"/>
              <w:rPr>
                <w:sz w:val="20"/>
                <w:szCs w:val="20"/>
                <w:color w:val="auto"/>
              </w:rPr>
            </w:pPr>
            <w:r>
              <w:rPr>
                <w:rFonts w:ascii="Arial" w:cs="Arial" w:eastAsia="Arial" w:hAnsi="Arial"/>
                <w:sz w:val="18"/>
                <w:szCs w:val="18"/>
                <w:color w:val="auto"/>
              </w:rPr>
              <w:t>No Default</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3.8</w:t>
            </w:r>
          </w:p>
        </w:tc>
        <w:tc>
          <w:tcPr>
            <w:tcW w:w="7220" w:type="dxa"/>
            <w:vAlign w:val="bottom"/>
          </w:tcPr>
          <w:p>
            <w:pPr>
              <w:ind w:left="100"/>
              <w:spacing w:after="0"/>
              <w:rPr>
                <w:sz w:val="20"/>
                <w:szCs w:val="20"/>
                <w:color w:val="auto"/>
              </w:rPr>
            </w:pPr>
            <w:r>
              <w:rPr>
                <w:rFonts w:ascii="Arial" w:cs="Arial" w:eastAsia="Arial" w:hAnsi="Arial"/>
                <w:sz w:val="18"/>
                <w:szCs w:val="18"/>
                <w:color w:val="auto"/>
              </w:rPr>
              <w:t>Ownership of Property; Liens</w:t>
            </w:r>
          </w:p>
        </w:tc>
        <w:tc>
          <w:tcPr>
            <w:tcW w:w="31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3.9</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Intellectual Property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3.10</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Regulations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Labor Matters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ERISA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Company Act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Subsidiaries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 of Proceeds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3.17</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Matters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Accuracy of Information, Etc.</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3.19</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Security Documents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3.20</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Solvency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Flood Insurance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PATRIOT Act; FCPA; OFAC</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Material Construction-Related Contracts and Permits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4.</w:t>
            </w:r>
          </w:p>
        </w:tc>
        <w:tc>
          <w:tcPr>
            <w:tcW w:w="10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CONDITIONS PRECEDENT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4.1</w:t>
            </w:r>
          </w:p>
        </w:tc>
        <w:tc>
          <w:tcPr>
            <w:tcW w:w="10020" w:type="dxa"/>
            <w:vAlign w:val="bottom"/>
          </w:tcPr>
          <w:p>
            <w:pPr>
              <w:ind w:left="100"/>
              <w:spacing w:after="0"/>
              <w:rPr>
                <w:sz w:val="20"/>
                <w:szCs w:val="20"/>
                <w:color w:val="auto"/>
              </w:rPr>
            </w:pPr>
            <w:r>
              <w:rPr>
                <w:rFonts w:ascii="Arial" w:cs="Arial" w:eastAsia="Arial" w:hAnsi="Arial"/>
                <w:sz w:val="18"/>
                <w:szCs w:val="18"/>
                <w:color w:val="auto"/>
              </w:rPr>
              <w:t>Conditions to Effectiveness</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4.2</w:t>
            </w:r>
          </w:p>
        </w:tc>
        <w:tc>
          <w:tcPr>
            <w:tcW w:w="10020" w:type="dxa"/>
            <w:vAlign w:val="bottom"/>
          </w:tcPr>
          <w:p>
            <w:pPr>
              <w:ind w:left="100"/>
              <w:spacing w:after="0"/>
              <w:rPr>
                <w:sz w:val="20"/>
                <w:szCs w:val="20"/>
                <w:color w:val="auto"/>
              </w:rPr>
            </w:pPr>
            <w:r>
              <w:rPr>
                <w:rFonts w:ascii="Arial" w:cs="Arial" w:eastAsia="Arial" w:hAnsi="Arial"/>
                <w:sz w:val="18"/>
                <w:szCs w:val="18"/>
                <w:color w:val="auto"/>
              </w:rPr>
              <w:t>Conditions to the Making of any Term Loan After the Closing Date</w:t>
            </w: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tcPr>
          <w:p>
            <w:pPr>
              <w:spacing w:after="0" w:line="202" w:lineRule="exact"/>
              <w:rPr>
                <w:sz w:val="20"/>
                <w:szCs w:val="20"/>
                <w:color w:val="auto"/>
              </w:rPr>
            </w:pPr>
            <w:r>
              <w:rPr>
                <w:rFonts w:ascii="Arial" w:cs="Arial" w:eastAsia="Arial" w:hAnsi="Arial"/>
                <w:sz w:val="18"/>
                <w:szCs w:val="18"/>
                <w:color w:val="auto"/>
              </w:rPr>
              <w:t>SECTION 5.</w:t>
            </w:r>
          </w:p>
        </w:tc>
        <w:tc>
          <w:tcPr>
            <w:tcW w:w="10020" w:type="dxa"/>
            <w:vAlign w:val="bottom"/>
          </w:tcPr>
          <w:p>
            <w:pPr>
              <w:ind w:left="100"/>
              <w:spacing w:after="0" w:line="202" w:lineRule="exact"/>
              <w:rPr>
                <w:sz w:val="20"/>
                <w:szCs w:val="20"/>
                <w:color w:val="auto"/>
              </w:rPr>
            </w:pPr>
            <w:r>
              <w:rPr>
                <w:rFonts w:ascii="Arial" w:cs="Arial" w:eastAsia="Arial" w:hAnsi="Arial"/>
                <w:sz w:val="18"/>
                <w:szCs w:val="18"/>
                <w:color w:val="auto"/>
              </w:rPr>
              <w:t>AFFIRMATIVE COVENANTS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Other Information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Conduct of Business and Maintenance of Existence; Compliance with Law</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5.5</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Maintenance of Property; Insurance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5.6</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Inspection of Property; Books and Records; Discussions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5.7</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5.8</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Laws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5.9</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Compliance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5.10</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Collateral, etc</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5.11</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5.12</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Post-Closing Covenants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5.13</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Plant Completion Date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5.14</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Compliance with Material Construction-Related Contracts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5.15</w:t>
            </w: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Unrestricted Subsidiaries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6.</w:t>
            </w:r>
          </w:p>
        </w:tc>
        <w:tc>
          <w:tcPr>
            <w:tcW w:w="7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NEGATIVE COVENANTS</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6.1</w:t>
            </w:r>
          </w:p>
        </w:tc>
        <w:tc>
          <w:tcPr>
            <w:tcW w:w="72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1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6.2</w:t>
            </w:r>
          </w:p>
        </w:tc>
        <w:tc>
          <w:tcPr>
            <w:tcW w:w="7240" w:type="dxa"/>
            <w:vAlign w:val="bottom"/>
          </w:tcPr>
          <w:p>
            <w:pPr>
              <w:ind w:left="100"/>
              <w:spacing w:after="0"/>
              <w:rPr>
                <w:sz w:val="20"/>
                <w:szCs w:val="20"/>
                <w:color w:val="auto"/>
              </w:rPr>
            </w:pPr>
            <w:r>
              <w:rPr>
                <w:rFonts w:ascii="Arial" w:cs="Arial" w:eastAsia="Arial" w:hAnsi="Arial"/>
                <w:sz w:val="18"/>
                <w:szCs w:val="18"/>
                <w:color w:val="auto"/>
              </w:rPr>
              <w:t>Limitation on Indebtedness</w:t>
            </w:r>
          </w:p>
        </w:tc>
        <w:tc>
          <w:tcPr>
            <w:tcW w:w="31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6.3</w:t>
            </w:r>
          </w:p>
        </w:tc>
        <w:tc>
          <w:tcPr>
            <w:tcW w:w="7240" w:type="dxa"/>
            <w:vAlign w:val="bottom"/>
          </w:tcPr>
          <w:p>
            <w:pPr>
              <w:ind w:left="100"/>
              <w:spacing w:after="0"/>
              <w:rPr>
                <w:sz w:val="20"/>
                <w:szCs w:val="20"/>
                <w:color w:val="auto"/>
              </w:rPr>
            </w:pPr>
            <w:r>
              <w:rPr>
                <w:rFonts w:ascii="Arial" w:cs="Arial" w:eastAsia="Arial" w:hAnsi="Arial"/>
                <w:sz w:val="18"/>
                <w:szCs w:val="18"/>
                <w:color w:val="auto"/>
              </w:rPr>
              <w:t>Limitation on Liens</w:t>
            </w:r>
          </w:p>
        </w:tc>
        <w:tc>
          <w:tcPr>
            <w:tcW w:w="31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6.4</w:t>
            </w:r>
          </w:p>
        </w:tc>
        <w:tc>
          <w:tcPr>
            <w:tcW w:w="7240" w:type="dxa"/>
            <w:vAlign w:val="bottom"/>
          </w:tcPr>
          <w:p>
            <w:pPr>
              <w:ind w:left="100"/>
              <w:spacing w:after="0"/>
              <w:rPr>
                <w:sz w:val="20"/>
                <w:szCs w:val="20"/>
                <w:color w:val="auto"/>
              </w:rPr>
            </w:pPr>
            <w:r>
              <w:rPr>
                <w:rFonts w:ascii="Arial" w:cs="Arial" w:eastAsia="Arial" w:hAnsi="Arial"/>
                <w:sz w:val="18"/>
                <w:szCs w:val="18"/>
                <w:color w:val="auto"/>
              </w:rPr>
              <w:t>Limitation on Fundamental Changes</w:t>
            </w:r>
          </w:p>
        </w:tc>
        <w:tc>
          <w:tcPr>
            <w:tcW w:w="31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6.5</w:t>
            </w:r>
          </w:p>
        </w:tc>
        <w:tc>
          <w:tcPr>
            <w:tcW w:w="7240" w:type="dxa"/>
            <w:vAlign w:val="bottom"/>
          </w:tcPr>
          <w:p>
            <w:pPr>
              <w:ind w:left="100"/>
              <w:spacing w:after="0"/>
              <w:rPr>
                <w:sz w:val="20"/>
                <w:szCs w:val="20"/>
                <w:color w:val="auto"/>
              </w:rPr>
            </w:pPr>
            <w:r>
              <w:rPr>
                <w:rFonts w:ascii="Arial" w:cs="Arial" w:eastAsia="Arial" w:hAnsi="Arial"/>
                <w:sz w:val="18"/>
                <w:szCs w:val="18"/>
                <w:color w:val="auto"/>
              </w:rPr>
              <w:t>Limitation on Disposition of Property</w:t>
            </w:r>
          </w:p>
        </w:tc>
        <w:tc>
          <w:tcPr>
            <w:tcW w:w="31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40" w:type="dxa"/>
            <w:vAlign w:val="bottom"/>
          </w:tcPr>
          <w:p>
            <w:pPr>
              <w:spacing w:after="0"/>
              <w:rPr>
                <w:sz w:val="19"/>
                <w:szCs w:val="19"/>
                <w:color w:val="auto"/>
              </w:rPr>
            </w:pPr>
          </w:p>
        </w:tc>
        <w:tc>
          <w:tcPr>
            <w:tcW w:w="10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Restricted Payments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6.7</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Nature of Business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Investments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4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6.9</w:t>
            </w:r>
          </w:p>
        </w:tc>
        <w:tc>
          <w:tcPr>
            <w:tcW w:w="100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4"/>
              </w:rPr>
              <w:t>Limitation on Optional Payments and Modifications of Subordinated Debt Instruments and Certain Other Indebtedness; Limitation on</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Modifications of Organizational Documents or Material Construction-Related Contracts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6.10</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Transactions with Affiliates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Sales and Leasebacks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Changes in Fiscal Periods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Negative Pledge Clauses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Restrictions on Subsidiary Distributions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Subsidiaries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Activities of Holdings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6.17</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In-Balance Test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7.</w:t>
            </w:r>
          </w:p>
        </w:tc>
        <w:tc>
          <w:tcPr>
            <w:tcW w:w="10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EVENTS OF DEFAULT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7.1</w:t>
            </w:r>
          </w:p>
        </w:tc>
        <w:tc>
          <w:tcPr>
            <w:tcW w:w="1002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7.2</w:t>
            </w:r>
          </w:p>
        </w:tc>
        <w:tc>
          <w:tcPr>
            <w:tcW w:w="10020" w:type="dxa"/>
            <w:vAlign w:val="bottom"/>
          </w:tcPr>
          <w:p>
            <w:pPr>
              <w:ind w:left="100"/>
              <w:spacing w:after="0"/>
              <w:rPr>
                <w:sz w:val="20"/>
                <w:szCs w:val="20"/>
                <w:color w:val="auto"/>
              </w:rPr>
            </w:pPr>
            <w:r>
              <w:rPr>
                <w:rFonts w:ascii="Arial" w:cs="Arial" w:eastAsia="Arial" w:hAnsi="Arial"/>
                <w:sz w:val="18"/>
                <w:szCs w:val="18"/>
                <w:color w:val="auto"/>
              </w:rPr>
              <w:t>Application of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7.3</w:t>
            </w:r>
          </w:p>
        </w:tc>
        <w:tc>
          <w:tcPr>
            <w:tcW w:w="10020" w:type="dxa"/>
            <w:vAlign w:val="bottom"/>
          </w:tcPr>
          <w:p>
            <w:pPr>
              <w:ind w:left="100"/>
              <w:spacing w:after="0"/>
              <w:rPr>
                <w:sz w:val="20"/>
                <w:szCs w:val="20"/>
                <w:color w:val="auto"/>
              </w:rPr>
            </w:pPr>
            <w:r>
              <w:rPr>
                <w:rFonts w:ascii="Arial" w:cs="Arial" w:eastAsia="Arial" w:hAnsi="Arial"/>
                <w:sz w:val="18"/>
                <w:szCs w:val="18"/>
                <w:color w:val="auto"/>
              </w:rPr>
              <w:t>Cure Right</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tcPr>
          <w:p>
            <w:pPr>
              <w:spacing w:after="0" w:line="202" w:lineRule="exact"/>
              <w:rPr>
                <w:sz w:val="20"/>
                <w:szCs w:val="20"/>
                <w:color w:val="auto"/>
              </w:rPr>
            </w:pPr>
            <w:r>
              <w:rPr>
                <w:rFonts w:ascii="Arial" w:cs="Arial" w:eastAsia="Arial" w:hAnsi="Arial"/>
                <w:sz w:val="18"/>
                <w:szCs w:val="18"/>
                <w:color w:val="auto"/>
              </w:rPr>
              <w:t>SECTION 8.</w:t>
            </w:r>
          </w:p>
        </w:tc>
        <w:tc>
          <w:tcPr>
            <w:tcW w:w="10020" w:type="dxa"/>
            <w:vAlign w:val="bottom"/>
          </w:tcPr>
          <w:p>
            <w:pPr>
              <w:ind w:left="100"/>
              <w:spacing w:after="0" w:line="202" w:lineRule="exact"/>
              <w:rPr>
                <w:sz w:val="20"/>
                <w:szCs w:val="20"/>
                <w:color w:val="auto"/>
              </w:rPr>
            </w:pPr>
            <w:r>
              <w:rPr>
                <w:rFonts w:ascii="Arial" w:cs="Arial" w:eastAsia="Arial" w:hAnsi="Arial"/>
                <w:sz w:val="18"/>
                <w:szCs w:val="18"/>
                <w:color w:val="auto"/>
              </w:rPr>
              <w:t>THE ADMINISTRATIVE AGENT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Appointment and Authority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Rights as a Lender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Exculpatory Provisions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Reliance by Administrative Agent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8.5</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Delegation of Duties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Resignation of Administrative Agent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8.7</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Non-Reliance on Administrative Agent and Other Lenders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8.8</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Other Duties, Etc.</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8.9</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Administrative Agent May File Proofs of Claim</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8.10</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Collateral and Guaranty Matters; Rights Under Hedge Agreements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8.11</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Withholding Taxes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SECTION 9.</w:t>
            </w:r>
          </w:p>
        </w:tc>
        <w:tc>
          <w:tcPr>
            <w:tcW w:w="7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MISCELLANEOUS</w:t>
            </w:r>
          </w:p>
        </w:tc>
        <w:tc>
          <w:tcPr>
            <w:tcW w:w="2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9.1</w:t>
            </w:r>
          </w:p>
        </w:tc>
        <w:tc>
          <w:tcPr>
            <w:tcW w:w="750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9.2</w:t>
            </w:r>
          </w:p>
        </w:tc>
        <w:tc>
          <w:tcPr>
            <w:tcW w:w="75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8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9.3</w:t>
            </w:r>
          </w:p>
        </w:tc>
        <w:tc>
          <w:tcPr>
            <w:tcW w:w="750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28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9.4</w:t>
            </w:r>
          </w:p>
        </w:tc>
        <w:tc>
          <w:tcPr>
            <w:tcW w:w="750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8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9.5</w:t>
            </w:r>
          </w:p>
        </w:tc>
        <w:tc>
          <w:tcPr>
            <w:tcW w:w="7500" w:type="dxa"/>
            <w:vAlign w:val="bottom"/>
          </w:tcPr>
          <w:p>
            <w:pPr>
              <w:ind w:left="100"/>
              <w:spacing w:after="0"/>
              <w:rPr>
                <w:sz w:val="20"/>
                <w:szCs w:val="20"/>
                <w:color w:val="auto"/>
              </w:rPr>
            </w:pPr>
            <w:r>
              <w:rPr>
                <w:rFonts w:ascii="Arial" w:cs="Arial" w:eastAsia="Arial" w:hAnsi="Arial"/>
                <w:sz w:val="18"/>
                <w:szCs w:val="18"/>
                <w:color w:val="auto"/>
              </w:rPr>
              <w:t>Payment of Expenses; Indemnification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9.6</w:t>
            </w:r>
          </w:p>
        </w:tc>
        <w:tc>
          <w:tcPr>
            <w:tcW w:w="7500" w:type="dxa"/>
            <w:vAlign w:val="bottom"/>
          </w:tcPr>
          <w:p>
            <w:pPr>
              <w:ind w:left="100"/>
              <w:spacing w:after="0"/>
              <w:rPr>
                <w:sz w:val="20"/>
                <w:szCs w:val="20"/>
                <w:color w:val="auto"/>
              </w:rPr>
            </w:pPr>
            <w:r>
              <w:rPr>
                <w:rFonts w:ascii="Arial" w:cs="Arial" w:eastAsia="Arial" w:hAnsi="Arial"/>
                <w:sz w:val="18"/>
                <w:szCs w:val="18"/>
                <w:color w:val="auto"/>
              </w:rPr>
              <w:t>Successors and Assigns; Participations and Assignments</w:t>
            </w:r>
          </w:p>
        </w:tc>
        <w:tc>
          <w:tcPr>
            <w:tcW w:w="28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9.7</w:t>
            </w:r>
          </w:p>
        </w:tc>
        <w:tc>
          <w:tcPr>
            <w:tcW w:w="7500" w:type="dxa"/>
            <w:vAlign w:val="bottom"/>
          </w:tcPr>
          <w:p>
            <w:pPr>
              <w:ind w:left="100"/>
              <w:spacing w:after="0"/>
              <w:rPr>
                <w:sz w:val="20"/>
                <w:szCs w:val="20"/>
                <w:color w:val="auto"/>
              </w:rPr>
            </w:pPr>
            <w:r>
              <w:rPr>
                <w:rFonts w:ascii="Arial" w:cs="Arial" w:eastAsia="Arial" w:hAnsi="Arial"/>
                <w:sz w:val="18"/>
                <w:szCs w:val="18"/>
                <w:color w:val="auto"/>
              </w:rPr>
              <w:t>Adjustments; Set-off</w:t>
            </w:r>
          </w:p>
        </w:tc>
        <w:tc>
          <w:tcPr>
            <w:tcW w:w="28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9.8</w:t>
            </w:r>
          </w:p>
        </w:tc>
        <w:tc>
          <w:tcPr>
            <w:tcW w:w="75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8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9.9</w:t>
            </w:r>
          </w:p>
        </w:tc>
        <w:tc>
          <w:tcPr>
            <w:tcW w:w="75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9.10</w:t>
            </w:r>
          </w:p>
        </w:tc>
        <w:tc>
          <w:tcPr>
            <w:tcW w:w="750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9.11</w:t>
            </w:r>
          </w:p>
        </w:tc>
        <w:tc>
          <w:tcPr>
            <w:tcW w:w="75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8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3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3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9.12</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Submission To Jurisdiction; Waivers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9.13</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Acknowledgments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9.14</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Confidentiality</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9.15</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Accounting Changes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9.16</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WAIVERS OF JURY TRIAL</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9.17</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Conversion of Currencies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9.18</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[Reserved]</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9.19</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FLORIDA STAMP TAX PAYMENT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9.20</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USA PATRIOT Act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9.21</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Payments Set Aside</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9.22</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Releases of Collateral and Guarantees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9.23</w:t>
            </w:r>
          </w:p>
        </w:tc>
        <w:tc>
          <w:tcPr>
            <w:tcW w:w="103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Time</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SCHEDULES:</w:t>
            </w:r>
          </w:p>
        </w:tc>
        <w:tc>
          <w:tcPr>
            <w:tcW w:w="10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10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1.1A</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Commitments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1.1C</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Mortgaged Properties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1.1H</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Disqualified Assignees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3.15</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3.19(a)</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Uniform Commercial Code Filing Jurisdictions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3.19(b)</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Mortgage Filing Jurisdictions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3.24</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Material Construction-Related Contracts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4.1(f)</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Closing Date Lien Searches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5.12</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Post-Closing Matters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6.2(d)</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Existing Indebtedness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6.3(o)</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6.8(i)</w:t>
            </w:r>
          </w:p>
        </w:tc>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6.10</w:t>
            </w:r>
          </w:p>
        </w:tc>
        <w:tc>
          <w:tcPr>
            <w:tcW w:w="103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Transactions with Affiliates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92" w:lineRule="exact"/>
        <w:rPr>
          <w:sz w:val="20"/>
          <w:szCs w:val="20"/>
          <w:color w:val="auto"/>
        </w:rPr>
      </w:pPr>
    </w:p>
    <w:p>
      <w:pPr>
        <w:ind w:left="1160" w:hanging="1152"/>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160" w:hanging="1152"/>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Form of Closing Certificate</w:t>
      </w:r>
    </w:p>
    <w:tbl>
      <w:tblPr>
        <w:tblLayout w:type="fixed"/>
        <w:tblInd w:w="0" w:type="dxa"/>
        <w:tblCellMar>
          <w:top w:w="0" w:type="dxa"/>
          <w:left w:w="0" w:type="dxa"/>
          <w:bottom w:w="0" w:type="dxa"/>
          <w:right w:w="0" w:type="dxa"/>
        </w:tblCellMar>
      </w:tblP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C-1</w:t>
            </w:r>
          </w:p>
        </w:tc>
        <w:tc>
          <w:tcPr>
            <w:tcW w:w="10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Form of Assignment and Acceptance</w:t>
            </w:r>
          </w:p>
        </w:tc>
      </w:tr>
      <w:tr>
        <w:trPr>
          <w:trHeight w:val="204"/>
        </w:trPr>
        <w:tc>
          <w:tcPr>
            <w:tcW w:w="720" w:type="dxa"/>
            <w:vAlign w:val="bottom"/>
          </w:tcPr>
          <w:p>
            <w:pPr>
              <w:spacing w:after="0" w:line="204" w:lineRule="exact"/>
              <w:rPr>
                <w:sz w:val="20"/>
                <w:szCs w:val="20"/>
                <w:color w:val="auto"/>
              </w:rPr>
            </w:pPr>
            <w:r>
              <w:rPr>
                <w:rFonts w:ascii="Arial" w:cs="Arial" w:eastAsia="Arial" w:hAnsi="Arial"/>
                <w:sz w:val="18"/>
                <w:szCs w:val="18"/>
                <w:color w:val="auto"/>
              </w:rPr>
              <w:t>C-2</w:t>
            </w:r>
          </w:p>
        </w:tc>
        <w:tc>
          <w:tcPr>
            <w:tcW w:w="10700" w:type="dxa"/>
            <w:vAlign w:val="bottom"/>
          </w:tcPr>
          <w:p>
            <w:pPr>
              <w:ind w:left="440"/>
              <w:spacing w:after="0" w:line="204" w:lineRule="exact"/>
              <w:rPr>
                <w:sz w:val="20"/>
                <w:szCs w:val="20"/>
                <w:color w:val="auto"/>
              </w:rPr>
            </w:pPr>
            <w:r>
              <w:rPr>
                <w:rFonts w:ascii="Arial" w:cs="Arial" w:eastAsia="Arial" w:hAnsi="Arial"/>
                <w:sz w:val="18"/>
                <w:szCs w:val="18"/>
                <w:color w:val="auto"/>
              </w:rPr>
              <w:t>Form of Affiliated Lender Assignment and Acceptance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160" w:hanging="1152"/>
        <w:spacing w:after="0" w:line="234" w:lineRule="auto"/>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Form of Term Loan Note</w:t>
      </w:r>
    </w:p>
    <w:tbl>
      <w:tblPr>
        <w:tblLayout w:type="fixed"/>
        <w:tblInd w:w="0" w:type="dxa"/>
        <w:tblCellMar>
          <w:top w:w="0" w:type="dxa"/>
          <w:left w:w="0" w:type="dxa"/>
          <w:bottom w:w="0" w:type="dxa"/>
          <w:right w:w="0" w:type="dxa"/>
        </w:tblCellMar>
      </w:tblPr>
      <w:tr>
        <w:trPr>
          <w:trHeight w:val="202"/>
        </w:trPr>
        <w:tc>
          <w:tcPr>
            <w:tcW w:w="720" w:type="dxa"/>
            <w:vAlign w:val="bottom"/>
          </w:tcPr>
          <w:p>
            <w:pPr>
              <w:spacing w:after="0" w:line="201" w:lineRule="exact"/>
              <w:rPr>
                <w:sz w:val="20"/>
                <w:szCs w:val="20"/>
                <w:color w:val="auto"/>
              </w:rPr>
            </w:pPr>
            <w:r>
              <w:rPr>
                <w:rFonts w:ascii="Arial" w:cs="Arial" w:eastAsia="Arial" w:hAnsi="Arial"/>
                <w:sz w:val="18"/>
                <w:szCs w:val="18"/>
                <w:color w:val="auto"/>
              </w:rPr>
              <w:t>E-1</w:t>
            </w:r>
          </w:p>
        </w:tc>
        <w:tc>
          <w:tcPr>
            <w:tcW w:w="10700" w:type="dxa"/>
            <w:vAlign w:val="bottom"/>
          </w:tcPr>
          <w:p>
            <w:pPr>
              <w:ind w:left="440"/>
              <w:spacing w:after="0" w:line="201" w:lineRule="exact"/>
              <w:rPr>
                <w:sz w:val="20"/>
                <w:szCs w:val="20"/>
                <w:color w:val="auto"/>
              </w:rPr>
            </w:pPr>
            <w:r>
              <w:rPr>
                <w:rFonts w:ascii="Arial" w:cs="Arial" w:eastAsia="Arial" w:hAnsi="Arial"/>
                <w:sz w:val="18"/>
                <w:szCs w:val="18"/>
                <w:color w:val="auto"/>
                <w:w w:val="91"/>
              </w:rPr>
              <w:t>Form of United States Tax Compliance Certificate (For Non-U.S. Lenders That Are Not Partnerships For U.S. Federal Income Tax Purposes)</w:t>
            </w:r>
          </w:p>
        </w:tc>
      </w:t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E-2</w:t>
            </w:r>
          </w:p>
        </w:tc>
        <w:tc>
          <w:tcPr>
            <w:tcW w:w="10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4"/>
              </w:rPr>
              <w:t>Form of United States Tax Compliance Certificate (For Non-U.S. Lenders That Are Partnerships For U.S. Federal Income Tax Purposes)</w:t>
            </w:r>
          </w:p>
        </w:tc>
      </w:tr>
      <w:tr>
        <w:trPr>
          <w:trHeight w:val="188"/>
        </w:trPr>
        <w:tc>
          <w:tcPr>
            <w:tcW w:w="720" w:type="dxa"/>
            <w:vAlign w:val="bottom"/>
          </w:tcPr>
          <w:p>
            <w:pPr>
              <w:spacing w:after="0" w:line="189" w:lineRule="exact"/>
              <w:rPr>
                <w:sz w:val="20"/>
                <w:szCs w:val="20"/>
                <w:color w:val="auto"/>
              </w:rPr>
            </w:pPr>
            <w:r>
              <w:rPr>
                <w:rFonts w:ascii="Arial" w:cs="Arial" w:eastAsia="Arial" w:hAnsi="Arial"/>
                <w:sz w:val="18"/>
                <w:szCs w:val="18"/>
                <w:color w:val="auto"/>
              </w:rPr>
              <w:t>E-3</w:t>
            </w:r>
          </w:p>
        </w:tc>
        <w:tc>
          <w:tcPr>
            <w:tcW w:w="10700" w:type="dxa"/>
            <w:vAlign w:val="bottom"/>
          </w:tcPr>
          <w:p>
            <w:pPr>
              <w:ind w:left="440"/>
              <w:spacing w:after="0" w:line="189" w:lineRule="exact"/>
              <w:rPr>
                <w:sz w:val="20"/>
                <w:szCs w:val="20"/>
                <w:color w:val="auto"/>
              </w:rPr>
            </w:pPr>
            <w:r>
              <w:rPr>
                <w:rFonts w:ascii="Arial" w:cs="Arial" w:eastAsia="Arial" w:hAnsi="Arial"/>
                <w:sz w:val="18"/>
                <w:szCs w:val="18"/>
                <w:color w:val="auto"/>
                <w:w w:val="96"/>
              </w:rPr>
              <w:t>Form of United States Tax Compliance Certificate (For Non-U.S. Participants That Are Not Partnerships For U.S. Federal Income Tax</w:t>
            </w:r>
          </w:p>
        </w:tc>
      </w:tr>
      <w:tr>
        <w:trPr>
          <w:trHeight w:val="217"/>
        </w:trPr>
        <w:tc>
          <w:tcPr>
            <w:tcW w:w="720" w:type="dxa"/>
            <w:vAlign w:val="bottom"/>
          </w:tcPr>
          <w:p>
            <w:pPr>
              <w:spacing w:after="0"/>
              <w:rPr>
                <w:sz w:val="18"/>
                <w:szCs w:val="18"/>
                <w:color w:val="auto"/>
              </w:rPr>
            </w:pPr>
          </w:p>
        </w:tc>
        <w:tc>
          <w:tcPr>
            <w:tcW w:w="10700" w:type="dxa"/>
            <w:vAlign w:val="bottom"/>
          </w:tcPr>
          <w:p>
            <w:pPr>
              <w:ind w:left="440"/>
              <w:spacing w:after="0"/>
              <w:rPr>
                <w:sz w:val="20"/>
                <w:szCs w:val="20"/>
                <w:color w:val="auto"/>
              </w:rPr>
            </w:pPr>
            <w:r>
              <w:rPr>
                <w:rFonts w:ascii="Arial" w:cs="Arial" w:eastAsia="Arial" w:hAnsi="Arial"/>
                <w:sz w:val="18"/>
                <w:szCs w:val="18"/>
                <w:color w:val="auto"/>
              </w:rPr>
              <w:t>Purposes)</w:t>
            </w:r>
          </w:p>
        </w:tc>
      </w:tr>
      <w:tr>
        <w:trPr>
          <w:trHeight w:val="203"/>
        </w:trPr>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E-4</w:t>
            </w:r>
          </w:p>
        </w:tc>
        <w:tc>
          <w:tcPr>
            <w:tcW w:w="10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1"/>
              </w:rPr>
              <w:t>Form of United States Tax Compliance Certificate (For Non-U.S. Participants That Are Partnerships For U.S. Federal Income Tax Purposes)</w:t>
            </w:r>
          </w:p>
        </w:tc>
      </w:tr>
    </w:tbl>
    <w:p>
      <w:pPr>
        <w:ind w:left="1160" w:hanging="1152"/>
        <w:spacing w:after="0" w:line="234" w:lineRule="auto"/>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Form of Solvency Certificate</w:t>
      </w:r>
    </w:p>
    <w:tbl>
      <w:tblPr>
        <w:tblLayout w:type="fixed"/>
        <w:tblInd w:w="0" w:type="dxa"/>
        <w:tblCellMar>
          <w:top w:w="0" w:type="dxa"/>
          <w:left w:w="0" w:type="dxa"/>
          <w:bottom w:w="0" w:type="dxa"/>
          <w:right w:w="0" w:type="dxa"/>
        </w:tblCellMar>
      </w:tblPr>
      <w:tr>
        <w:trPr>
          <w:trHeight w:val="203"/>
        </w:trPr>
        <w:tc>
          <w:tcPr>
            <w:tcW w:w="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G-1</w:t>
            </w:r>
          </w:p>
        </w:tc>
        <w:tc>
          <w:tcPr>
            <w:tcW w:w="1070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Form of Funding Notice</w:t>
            </w:r>
          </w:p>
        </w:tc>
      </w:tr>
      <w:tr>
        <w:trPr>
          <w:trHeight w:val="204"/>
        </w:trPr>
        <w:tc>
          <w:tcPr>
            <w:tcW w:w="720" w:type="dxa"/>
            <w:vAlign w:val="bottom"/>
          </w:tcPr>
          <w:p>
            <w:pPr>
              <w:spacing w:after="0" w:line="204" w:lineRule="exact"/>
              <w:rPr>
                <w:sz w:val="20"/>
                <w:szCs w:val="20"/>
                <w:color w:val="auto"/>
              </w:rPr>
            </w:pPr>
            <w:r>
              <w:rPr>
                <w:rFonts w:ascii="Arial" w:cs="Arial" w:eastAsia="Arial" w:hAnsi="Arial"/>
                <w:sz w:val="18"/>
                <w:szCs w:val="18"/>
                <w:color w:val="auto"/>
              </w:rPr>
              <w:t>G-2</w:t>
            </w:r>
          </w:p>
        </w:tc>
        <w:tc>
          <w:tcPr>
            <w:tcW w:w="10700" w:type="dxa"/>
            <w:vAlign w:val="bottom"/>
          </w:tcPr>
          <w:p>
            <w:pPr>
              <w:ind w:left="440"/>
              <w:spacing w:after="0" w:line="204" w:lineRule="exact"/>
              <w:rPr>
                <w:sz w:val="20"/>
                <w:szCs w:val="20"/>
                <w:color w:val="auto"/>
              </w:rPr>
            </w:pPr>
            <w:r>
              <w:rPr>
                <w:rFonts w:ascii="Arial" w:cs="Arial" w:eastAsia="Arial" w:hAnsi="Arial"/>
                <w:sz w:val="18"/>
                <w:szCs w:val="18"/>
                <w:color w:val="auto"/>
              </w:rPr>
              <w:t>Form of Conversion/Continuation Notice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160" w:hanging="1152"/>
        <w:spacing w:after="0" w:line="234" w:lineRule="auto"/>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Form of Security Deposit Agreement</w:t>
      </w:r>
    </w:p>
    <w:p>
      <w:pPr>
        <w:ind w:left="1160" w:hanging="1152"/>
        <w:spacing w:after="0" w:line="235" w:lineRule="auto"/>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Form of Intercompany Debt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160" w:hanging="1152"/>
        <w:spacing w:after="0" w:line="235" w:lineRule="auto"/>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Form of Notice of Collateral Assignment</w:t>
      </w:r>
    </w:p>
    <w:p>
      <w:pPr>
        <w:ind w:left="1160" w:hanging="1152"/>
        <w:spacing w:after="0" w:line="235" w:lineRule="auto"/>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Form of Florida Construction Loan Update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right="7440" w:firstLine="8"/>
        <w:spacing w:after="0" w:line="487" w:lineRule="auto"/>
        <w:tabs>
          <w:tab w:leader="none" w:pos="1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Form of General Contractor Certificate Appendix A </w:t>
      </w:r>
      <w:r>
        <w:rPr>
          <w:rFonts w:ascii="Arial" w:cs="Arial" w:eastAsia="Arial" w:hAnsi="Arial"/>
          <w:sz w:val="19"/>
          <w:szCs w:val="19"/>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ind w:right="140" w:firstLine="1297"/>
        <w:spacing w:after="0" w:line="255" w:lineRule="auto"/>
        <w:rPr>
          <w:sz w:val="20"/>
          <w:szCs w:val="20"/>
          <w:color w:val="auto"/>
        </w:rPr>
      </w:pPr>
      <w:r>
        <w:rPr>
          <w:rFonts w:ascii="Arial" w:cs="Arial" w:eastAsia="Arial" w:hAnsi="Arial"/>
          <w:sz w:val="18"/>
          <w:szCs w:val="18"/>
          <w:color w:val="auto"/>
        </w:rPr>
        <w:t>SENIOR SECURED DELAYED DRAW TERM LOAN CREDIT AGREEMENT, dated as of November 24, 2014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party to this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and MORGAN STANLEY SENIOR FUNDING, INC. (“</w:t>
      </w:r>
      <w:r>
        <w:rPr>
          <w:rFonts w:ascii="Arial" w:cs="Arial" w:eastAsia="Arial" w:hAnsi="Arial"/>
          <w:sz w:val="18"/>
          <w:szCs w:val="18"/>
          <w:u w:val="single" w:color="auto"/>
          <w:color w:val="auto"/>
        </w:rPr>
        <w:t>MSSF</w:t>
      </w:r>
      <w:r>
        <w:rPr>
          <w:rFonts w:ascii="Arial" w:cs="Arial" w:eastAsia="Arial" w:hAnsi="Arial"/>
          <w:sz w:val="18"/>
          <w:szCs w:val="18"/>
          <w:color w:val="auto"/>
        </w:rPr>
        <w:t>”), as administrative agent (in such capacity, together with any successor appointed in accordance with Section 8.6,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E T H</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capitalized terms used in these recitals shall have the respective meanings set forth for such terms in Section 1.1;</w:t>
      </w:r>
    </w:p>
    <w:p>
      <w:pPr>
        <w:spacing w:after="0" w:line="252"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WHEREAS, the Lenders have agreed, subject to the terms and conditions hereof, to extend term loans (the “</w:t>
      </w:r>
      <w:r>
        <w:rPr>
          <w:rFonts w:ascii="Arial" w:cs="Arial" w:eastAsia="Arial" w:hAnsi="Arial"/>
          <w:sz w:val="18"/>
          <w:szCs w:val="18"/>
          <w:u w:val="single" w:color="auto"/>
          <w:color w:val="auto"/>
        </w:rPr>
        <w:t>Term Loans</w:t>
      </w:r>
      <w:r>
        <w:rPr>
          <w:rFonts w:ascii="Arial" w:cs="Arial" w:eastAsia="Arial" w:hAnsi="Arial"/>
          <w:sz w:val="18"/>
          <w:szCs w:val="18"/>
          <w:color w:val="auto"/>
        </w:rPr>
        <w:t>”) to the Borrower from time to time in an aggregate principal amount of $40,000,000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and</w:t>
      </w:r>
    </w:p>
    <w:p>
      <w:pPr>
        <w:spacing w:after="0" w:line="197"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WHEREAS, the proceeds of the Term Loans will be used, together with the Initial Equity Contribution (as defined below) on the Closing Date and other cash equity contributions after the Closing Date, to (a) pay fees and expenses incurred in connection with the Term Loan Facility, (b) directly fund the Debt Service Reserve Account to the extent required under the Depositary Agreement, and (c) fund construction costs consistent with the Budget, other costs related to the Plant and working capital with respect to and/or related to the Plant (clauses (a) through (c) above, together with the Initial Equity Contribution and all related transactions,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NOW, THEREFORE, in consideration of the premises and mutual agreements contained herein, the parties hereto agree as follows:</w:t>
      </w:r>
    </w:p>
    <w:p>
      <w:pPr>
        <w:spacing w:after="0" w:line="29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p>
    <w:p>
      <w:pPr>
        <w:spacing w:after="0" w:line="279" w:lineRule="exact"/>
        <w:rPr>
          <w:sz w:val="20"/>
          <w:szCs w:val="20"/>
          <w:color w:val="auto"/>
        </w:rPr>
      </w:pPr>
    </w:p>
    <w:p>
      <w:pPr>
        <w:jc w:val="right"/>
        <w:spacing w:after="0"/>
        <w:tabs>
          <w:tab w:leader="none" w:pos="9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38"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as to any Person, the acquisition by such Person of (a) Capital Stock of any other Person if, after giving effect to the acquisition of such Capital Stock, such other Person would be a Subsidiary (including an Unrestricted Subsidiary), and (b) any other Property of any other Person.</w:t>
      </w:r>
    </w:p>
    <w:p>
      <w:pPr>
        <w:spacing w:after="0" w:line="208"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the aggregate consideration paid by any LNG Group Member in exchange for, as part of or in connection with any Permitted Acquisition, whether paid in cash or by exchange of Capital Stock or of properties or otherwise, in each case, other than consideration in the form of Capital Stock (other than Disqualified Capital Stock) of Holdings or any other direct or indirect parent of Holdings, or the proceeds that are received from any issuance of such Capital Stock (other than Disqualified Capital Stock) and contributed to Holdings, to the extent Not Otherwise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3" w:name="page164"/>
    <w:bookmarkEnd w:id="163"/>
    <w:p>
      <w:pPr>
        <w:ind w:right="2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Eurodollar Rate</w:t>
      </w:r>
      <w:r>
        <w:rPr>
          <w:rFonts w:ascii="Arial" w:cs="Arial" w:eastAsia="Arial" w:hAnsi="Arial"/>
          <w:sz w:val="17"/>
          <w:szCs w:val="17"/>
          <w:color w:val="auto"/>
        </w:rPr>
        <w:t xml:space="preserve">”: for any Interest Rate Determination Date with respect to an Interest Period for a Eurodollar Rate Loan, the rate per annum obtained by dividing (i) (a) the rate per annum equal to the rate determined by the Administrative Agent to be the London interbank offered rate administered by the Intercontinental Exchange Benchmark Administration Ltd. (or any other person which takes over the administration of that rate) for deposits (for delivery on the first day of such period) with a term equivalent to such period in Dollars displayed on page LIBOR01 of the Reuters Screen (or any replacement Reuters page which displays that rate) or on the appropriate page of such other information service which publishes that rate from time to time in place of Reuters, determined as of approximately 11:00 a.m. (London, England time) on such Interest Rate Determination Date, or (b) in the event the rate referenced in the preceding clause (a) is not available, the rate per annum equal to the offered quotation rate to first class banks in the London interbank market by JPMorgan Chase Bank, N.A. for deposits (for delivery on the first day of the relevant period) in Dollars of amounts in same day funds comparable to the principal amount of the applicable Term Loan for which the Adjusted Eurodollar Rate is then being determined with maturities comparable to such period as of approximately 11:00 a.m. (London, England time) on such Interest Rate Determination Date, by (ii) an amount equal to (a) one minus (b) the Applicable Reserve Requirement;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Adjusted Eurodollar Rate shall at no time be less than 1.00% per annum.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defined in the preamble hereto.</w:t>
      </w:r>
    </w:p>
    <w:p>
      <w:pPr>
        <w:spacing w:after="0" w:line="25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by contract or otherwise.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Acceptance</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25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Loan Fund</w:t>
      </w:r>
      <w:r>
        <w:rPr>
          <w:rFonts w:ascii="Arial" w:cs="Arial" w:eastAsia="Arial" w:hAnsi="Arial"/>
          <w:sz w:val="18"/>
          <w:szCs w:val="18"/>
          <w:color w:val="auto"/>
        </w:rPr>
        <w:t>”: any Affiliated Lender that is a bona fide debt fund or an investment vehicle that is primarily engaged in, or advises funds or other investment vehicles that are engaged in, making, purchasing, holding or otherwise investing in commercial loans, bonds and similar extensions of credit or securities in the ordinary course of business (i) whose managers have fiduciary duties to the investors of such fund independent of their fiduciary duties to the investors in Fortress and (ii) which neither Fortress nor any other private equity, real estate or alternative investment funds or vehicles that are Affiliates of Fortress (and that are not engaged in making, purchasing, holding or investing in commercial loans, bonds and similar extensions of credit or securities in the ordinary course of business), directly or indirectly, possesses the power to direct or cause the direction of the investment policies of such entity.</w:t>
      </w:r>
    </w:p>
    <w:p>
      <w:pPr>
        <w:spacing w:after="0" w:line="216"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the Administrative Agent and any other Person appointed under the Loan Documents to serve in an agent or similar capacity, including any Auction Manager.</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Equity Contribution</w:t>
      </w:r>
      <w:r>
        <w:rPr>
          <w:rFonts w:ascii="Arial" w:cs="Arial" w:eastAsia="Arial" w:hAnsi="Arial"/>
          <w:sz w:val="18"/>
          <w:szCs w:val="18"/>
          <w:color w:val="auto"/>
        </w:rPr>
        <w:t>”: at any date, the direct or indirect contribution to Holdings by Parent on or prior to such date of cash in the form of common equity of Holdings (with such cash contributed by Holdings to the Borrower in the form of common equity).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4" w:name="page165"/>
    <w:bookmarkEnd w:id="16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American Land Title Association.</w:t>
      </w:r>
    </w:p>
    <w:p>
      <w:pPr>
        <w:spacing w:after="0" w:line="252"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(i) on or prior to the Original Maturity Date, a rate per annum equal to (A) with respect to Base Rate Loans, 4.00%, and (B) with respect to Eurodollar Rate Loans, 5.00%, and (ii) after the Original Maturity Date, if the Maturity Extension Option is exercised, a rate per annum equal to (A) with respect to Base Rate Loans, 4.50%, and (B) with respect to Eurodollar Rate Loans, 5.50%.</w:t>
      </w:r>
    </w:p>
    <w:p>
      <w:pPr>
        <w:spacing w:after="0" w:line="20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Reserve Requirement</w:t>
      </w:r>
      <w:r>
        <w:rPr>
          <w:rFonts w:ascii="Arial" w:cs="Arial" w:eastAsia="Arial" w:hAnsi="Arial"/>
          <w:sz w:val="17"/>
          <w:szCs w:val="17"/>
          <w:color w:val="auto"/>
        </w:rPr>
        <w:t>”: at any time, for any Eurodollar Rate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 (i) any category of liabilities which includes deposits by reference to which the applicable Adjusted Eurodollar Rate or any other interest rate of a Term Loan is to be determined, or (ii) any category of extensions of credit or other assets which include Eurodollar Rate Loans.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MSSFI, in its capacity as arranger and bookrunner.</w:t>
      </w:r>
    </w:p>
    <w:p>
      <w:pPr>
        <w:spacing w:after="0" w:line="252"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any Disposition of Property or series of substantially related Dispositions of Property (excluding any such Disposition permitted by clause (a), (b) (except in reference to Section 6.4(c), unless such Disposition is to the Borrower or any Subsidiary), (c), (d), (e), (g), (o), (p), (q), (r), (s) or (t) of Section 6.5) which yields gross proceeds to any LNG Group Member (valued at the initial principal amount thereof in the case of non-cash proceeds consisting of notes or other debt securities and valued at fair market value in the case of other non-cash proceeds) in excess of $100,000.</w:t>
      </w:r>
    </w:p>
    <w:p>
      <w:pPr>
        <w:spacing w:after="0" w:line="181"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in the case of an assignment to an Affiliated Lender, an Affiliated Lender Assignment and Acceptance.</w:t>
      </w:r>
    </w:p>
    <w:p>
      <w:pPr>
        <w:spacing w:after="0" w:line="197"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Manager</w:t>
      </w:r>
      <w:r>
        <w:rPr>
          <w:rFonts w:ascii="Arial" w:cs="Arial" w:eastAsia="Arial" w:hAnsi="Arial"/>
          <w:sz w:val="18"/>
          <w:szCs w:val="18"/>
          <w:color w:val="auto"/>
        </w:rPr>
        <w:t>”: the Administrative Agent or one or more other financial institutions or advisors employed by the Borrower to act as arrangers for any Auction.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on any date, an amount equal to:</w:t>
      </w:r>
    </w:p>
    <w:p>
      <w:pPr>
        <w:spacing w:after="0" w:line="279" w:lineRule="exact"/>
        <w:rPr>
          <w:sz w:val="20"/>
          <w:szCs w:val="20"/>
          <w:color w:val="auto"/>
        </w:rPr>
      </w:pPr>
    </w:p>
    <w:p>
      <w:pPr>
        <w:ind w:left="660" w:right="20" w:firstLine="645"/>
        <w:spacing w:after="0" w:line="280" w:lineRule="auto"/>
        <w:tabs>
          <w:tab w:leader="none" w:pos="204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sum of: (i) the Available ECF Amount on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cumulative proceeds from (A) any capital contribution (other than in the form of Disqualified Capital Stock) to Holdings made on or prior to such date (but after the satisfaction of </w:t>
      </w:r>
      <w:r>
        <w:rPr>
          <w:rFonts w:ascii="Arial" w:cs="Arial" w:eastAsia="Arial" w:hAnsi="Arial"/>
          <w:sz w:val="19"/>
          <w:szCs w:val="19"/>
          <w:color w:val="auto"/>
        </w:rPr>
        <w:t>the Equity Fulfillment</w:t>
      </w:r>
    </w:p>
    <w:p>
      <w:pPr>
        <w:spacing w:after="0" w:line="1" w:lineRule="exact"/>
        <w:rPr>
          <w:sz w:val="20"/>
          <w:szCs w:val="20"/>
          <w:color w:val="auto"/>
        </w:rPr>
      </w:pPr>
    </w:p>
    <w:p>
      <w:pPr>
        <w:ind w:left="660" w:right="20"/>
        <w:spacing w:after="0" w:line="248" w:lineRule="auto"/>
        <w:rPr>
          <w:sz w:val="20"/>
          <w:szCs w:val="20"/>
          <w:color w:val="auto"/>
        </w:rPr>
      </w:pPr>
      <w:r>
        <w:rPr>
          <w:rFonts w:ascii="Arial" w:cs="Arial" w:eastAsia="Arial" w:hAnsi="Arial"/>
          <w:sz w:val="21"/>
          <w:szCs w:val="21"/>
          <w:color w:val="auto"/>
        </w:rPr>
        <w:t xml:space="preserve">Condition) and further contributed to the Borrower in the form of common stock or (B) any issuance of Capital Stock (other than Disqualified Capital Stock) of Holdings for cash made on or prior to such date (but after the satisfaction of the Equity Fulfillment Condition), the proceeds of which have been further contributed to the Borrower in the form of common stock, </w:t>
      </w:r>
      <w:r>
        <w:rPr>
          <w:rFonts w:ascii="Arial" w:cs="Arial" w:eastAsia="Arial" w:hAnsi="Arial"/>
          <w:sz w:val="17"/>
          <w:szCs w:val="17"/>
          <w:i w:val="1"/>
          <w:iCs w:val="1"/>
          <w:color w:val="auto"/>
        </w:rPr>
        <w:t xml:space="preserve">plus </w:t>
      </w:r>
      <w:r>
        <w:rPr>
          <w:rFonts w:ascii="Arial" w:cs="Arial" w:eastAsia="Arial" w:hAnsi="Arial"/>
          <w:sz w:val="20"/>
          <w:szCs w:val="20"/>
          <w:color w:val="auto"/>
        </w:rPr>
        <w:t>(iii) the cumulative Net Cash Proceeds received on or prior to such date (but after the Closing Date) in connection with</w:t>
      </w:r>
      <w:r>
        <w:rPr>
          <w:rFonts w:ascii="Arial" w:cs="Arial" w:eastAsia="Arial" w:hAnsi="Arial"/>
          <w:sz w:val="17"/>
          <w:szCs w:val="17"/>
          <w:i w:val="1"/>
          <w:iCs w:val="1"/>
          <w:color w:val="auto"/>
        </w:rPr>
        <w:t xml:space="preserve"> </w:t>
      </w:r>
      <w:r>
        <w:rPr>
          <w:rFonts w:ascii="Arial" w:cs="Arial" w:eastAsia="Arial" w:hAnsi="Arial"/>
          <w:sz w:val="20"/>
          <w:szCs w:val="20"/>
          <w:color w:val="auto"/>
        </w:rPr>
        <w:t xml:space="preserve">a Disposition of the Capital Stock of any Unrestricted Subsidiary of the Borrower; </w:t>
      </w:r>
      <w:r>
        <w:rPr>
          <w:rFonts w:ascii="Arial" w:cs="Arial" w:eastAsia="Arial" w:hAnsi="Arial"/>
          <w:sz w:val="17"/>
          <w:szCs w:val="17"/>
          <w:i w:val="1"/>
          <w:iCs w:val="1"/>
          <w:color w:val="auto"/>
        </w:rPr>
        <w:t>minus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5" w:name="page166"/>
    <w:bookmarkEnd w:id="165"/>
    <w:p>
      <w:pPr>
        <w:ind w:left="2060" w:hanging="755"/>
        <w:spacing w:after="0"/>
        <w:tabs>
          <w:tab w:leader="none" w:pos="20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aggregate amount of (i) Restricted Payments made prior to such date (but after the Closing Date) pursuant to Section 6.6(i),</w:t>
      </w:r>
    </w:p>
    <w:p>
      <w:pPr>
        <w:spacing w:after="0" w:line="46" w:lineRule="exact"/>
        <w:rPr>
          <w:rFonts w:ascii="Arial" w:cs="Arial" w:eastAsia="Arial" w:hAnsi="Arial"/>
          <w:sz w:val="16"/>
          <w:szCs w:val="16"/>
          <w:color w:val="auto"/>
        </w:rPr>
      </w:pPr>
    </w:p>
    <w:p>
      <w:pPr>
        <w:jc w:val="both"/>
        <w:ind w:left="660" w:hanging="4"/>
        <w:spacing w:after="0" w:line="255" w:lineRule="auto"/>
        <w:tabs>
          <w:tab w:leader="none" w:pos="9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voluntary prepayments of Indebtedness made prior to such date (but after the Closing Date) pursuant to Section 6.9(a)(i), (iii) Investments made prior to such date (but after the Closing Date) pursuant to Section 6.8(p) and (iv) outstanding cash collateral set aside prior to such date (but after the Closing Date) encumbered by a Lien permitted pursuant to Section 6.3(y)(i).</w:t>
      </w:r>
    </w:p>
    <w:p>
      <w:pPr>
        <w:spacing w:after="0" w:line="21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ECF Amount</w:t>
      </w:r>
      <w:r>
        <w:rPr>
          <w:rFonts w:ascii="Arial" w:cs="Arial" w:eastAsia="Arial" w:hAnsi="Arial"/>
          <w:sz w:val="18"/>
          <w:szCs w:val="18"/>
          <w:color w:val="auto"/>
        </w:rPr>
        <w:t>”: on any date an amount equal to the cumulative amount of the ECF Annual Builder Basket Amount determined for each Excess Cash Flow Determination Date concluded on or prior to such date.</w:t>
      </w:r>
    </w:p>
    <w:p>
      <w:pPr>
        <w:spacing w:after="0" w:line="197" w:lineRule="exact"/>
        <w:rPr>
          <w:sz w:val="20"/>
          <w:szCs w:val="20"/>
          <w:color w:val="auto"/>
        </w:rPr>
      </w:pPr>
    </w:p>
    <w:p>
      <w:pPr>
        <w:ind w:firstLine="1297"/>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for any day, a rate per annum equal to the greatest of (i) the Prime Rate in effect on such day, (ii) the Federal Funds Effective Rate in effect on such day plus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of 1% and (iii) the sum of (a) the Adjusted Eurodollar Rate (after giving effect to any Adjusted Eurodollar Rate “floor”) that would be payable on such day for a Eurodollar Rate Loan with a one-month interest period plus (b) the difference between the Applicable Margin for Eurodollar Rate Loans and the Applicable Margin for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Base Rate with respect to Term Loans shall at no time be less than 2.00% per annum. Any change in the Base Rate due to a change in the Prime Rate, the Federal Funds Effective Rate or the Adjusted Eurodollar Rate shall be effective on the effective day of such change in the Prime Rate, the Federal Funds Effective Rate or the Adjusted Eurodollar Rate, respectively.</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Loans</w:t>
      </w:r>
      <w:r>
        <w:rPr>
          <w:rFonts w:ascii="Arial" w:cs="Arial" w:eastAsia="Arial" w:hAnsi="Arial"/>
          <w:sz w:val="18"/>
          <w:szCs w:val="18"/>
          <w:color w:val="auto"/>
        </w:rPr>
        <w:t>”: Term Loans for which the applicable rate of interest is based on the Base Rate.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of the United States (or any successor).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Obligations</w:t>
      </w:r>
      <w:r>
        <w:rPr>
          <w:rFonts w:ascii="Arial" w:cs="Arial" w:eastAsia="Arial" w:hAnsi="Arial"/>
          <w:sz w:val="17"/>
          <w:szCs w:val="17"/>
          <w:color w:val="auto"/>
        </w:rPr>
        <w:t>”: the collective reference to the unpaid principal of and interest on the Term Loans, and all other obligations and liabilities of the Borrower (including, without limitation, interest accruing at the then applicable rate provided herein after the maturity of the Term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any Lender or any Lender Counterparty, whether direct or indirect, absolute or contingent, due or to become due, or now existing or hereafter incurred, which arise under, out of, or in connection with, this Agreement, the Security Agreement, the Guarantee Agreement or the other Loan Documents, any Secured Hedge Agreement or any other document made, delivered or given in connection therewith, in each case whether on account of principal, interest, reimbursement obligations, fees, indemnities, costs, expenses or otherwise, excluding, in each case, Excluded Swap Obligations.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52" w:right="299" w:bottom="1440" w:gutter="0" w:footer="0" w:header="0"/>
        </w:sectPr>
      </w:pPr>
    </w:p>
    <w:bookmarkStart w:id="166" w:name="page167"/>
    <w:bookmarkEnd w:id="166"/>
    <w:p>
      <w:pPr>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Budget</w:t>
      </w:r>
      <w:r>
        <w:rPr>
          <w:rFonts w:ascii="Arial" w:cs="Arial" w:eastAsia="Arial" w:hAnsi="Arial"/>
          <w:sz w:val="18"/>
          <w:szCs w:val="18"/>
          <w:color w:val="auto"/>
        </w:rPr>
        <w:t>”: the construction budget in respect of the Plant delivered by the Borrower to each Lender on October 26, 2014, as revised and updated from time to time by the Borrower with the written consent of the Required Consent Parties (such consent not to be unreasonably withheld or delayed).</w:t>
      </w:r>
    </w:p>
    <w:p>
      <w:pPr>
        <w:spacing w:after="0" w:line="208"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(i) any day excluding Saturday, Sunday and any day which is a legal holiday under the laws of the State of New York or is a day on which banking institutions located in such state are authorized or required by law or other governmental action to close and (ii) with respect to all notices, determinations, fundings and payments in connection with the Adjusted Eurodollar Rate or any Eurodollar Rate Loans, the term “Business Day” means any day which is a Business Day described in clause (i) and which is also a day for trading by and between banks in Dollar deposits in the London interbank market.</w:t>
      </w:r>
    </w:p>
    <w:p>
      <w:pPr>
        <w:spacing w:after="0" w:line="21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for any period, with respect to any Person, the aggregate of all expenditures by such Person during such period that, in accordance with GAAP, are or should be included in the calculation of “additions to property, plant or equipment” or similar items in the statement of cash flows of such Person.</w:t>
      </w:r>
    </w:p>
    <w:p>
      <w:pPr>
        <w:spacing w:after="0" w:line="20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any lease of (or other arrangement conveying the right to use) real or personal property, or a combination thereof, which obligations are required to be classified and accounted for as capital leases on a balance sheet under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an operating lease (or a lease or other arrangement to use property that would be an operating lease under GAAP as in effect on the Closing Date) is required to be recharacterized as a capital lease as a result of a change in GAAP after the Closing Date (including as a result of the implementation of proposed Accounting Standards Update (ASU) Leases (Topic 842) issued May 15, 2013, any oral, public deliberations by FASB regarding such proposal, any successor proposal, or any FASB deliberations regarding any such successor proposal), then for all purposes hereof such lease shall continue to be treated as an operating lease and not a Capital Lease.</w:t>
      </w:r>
    </w:p>
    <w:p>
      <w:pPr>
        <w:spacing w:after="0" w:line="216"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with respect to any Person, the obligations of such Person to pay rent or other amounts under any Capital Lease and, for the purposes of this Agreement, the amount of such obligations at any time shall be the capitalized amount thereof at such time determined in accordance with GAAP.</w:t>
      </w:r>
    </w:p>
    <w:p>
      <w:pPr>
        <w:spacing w:after="0" w:line="20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debt convertible or exchangeable into such capital stock or equivalent ownership interests.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of America or any state thereof having combined capital and surplus of not less than $500,000,000 as of the date of acquisition thereof; (c) commercial paper of an issuer rated in the United States at least A-2 by S&amp;P or P-2 by Moody’s as of the date of acquisition thereof or an equivalent thereof by any other nationally recognized rating agency as of the date of acquisition thereof, if both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province,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as of the date of acquisition thereof; (f) securities with maturities of six months or less from the date of acquisition backed by standby letters of credit issued by any Lender or any commercial bank satisfying the requirements of clause (b) of this definition; and (g) shares of money market mutual or similar funds which invest in assets substantially all of which satisfy the requirements of clauses (a) through (f) of this definition.</w:t>
      </w:r>
    </w:p>
    <w:p>
      <w:pPr>
        <w:spacing w:after="0" w:line="196"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any involuntary loss of title, damage to or destruction of, or any condemnation or other taking (including by any Governmental Authority) of, any Property of Holdings, the Borrower or any of its Subsidiaries. “Casualty Event” shall include, but not be limited to, events of eminent domain.</w:t>
      </w:r>
    </w:p>
    <w:p>
      <w:pPr>
        <w:spacing w:after="0" w:line="208"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the occurrence of any of the following events: (i) the Permitted Investors shall at any time fail to own, in the aggregate, directly or indirectly, beneficially and of record, more than 50% of the Capital Stock of Holdings having the power, directly or indirectly, to vote or direct the voting of securities having the voting power for the election of directors of Holdings (determined on a fully diluted basis); or (ii) Holdings shall cease to own and control, of record and beneficially, directly, 100% of each class of outstanding Capital Stock of the Borrower, free and clear of all Liens (except Liens created by the Security Documents, other Liens permitted by Section 6.3(q) and Liens created by mandatory law).</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 Energy Purchase Order</w:t>
      </w:r>
      <w:r>
        <w:rPr>
          <w:rFonts w:ascii="Arial" w:cs="Arial" w:eastAsia="Arial" w:hAnsi="Arial"/>
          <w:sz w:val="18"/>
          <w:szCs w:val="18"/>
          <w:color w:val="auto"/>
        </w:rPr>
        <w:t>”: as defined in the definition of “Material Construction-Related Contract.”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the date on which the initial Term Loans are made.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Property of the Loan Parties or any other Grantor, now owned or hereafter acquired, upon which a Lien is purported to be created by any Security Document.</w:t>
      </w:r>
    </w:p>
    <w:p>
      <w:pPr>
        <w:spacing w:after="0" w:line="19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the commitment of a Lender to make or otherwise fund a Term Loan, and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means such commitments of all Lenders in the aggregate. The amount of each Lender’s Commitment is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The aggregate amount of the Commitments as of the Closing Date is $40,000,000.</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the Commodity Exchange Act (7 U.S.C. § 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5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a certificate duly executed by a Responsible Officer of the Borrower,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64"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at any date, the total assets of a Person and its Subsidiaries on a consolidated basis that may properly be classified as current assets in conformity with GAAP, excluding cash and Cash Equivalents.</w:t>
      </w:r>
    </w:p>
    <w:p>
      <w:pPr>
        <w:spacing w:after="0" w:line="19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at any date, the total liabilities of a Person and its Subsidiaries on a consolidated basis that may properly be classified as current liabilities in conformity with GAAP, excluding the current portion of long term debt.</w:t>
      </w:r>
    </w:p>
    <w:p>
      <w:pPr>
        <w:spacing w:after="0" w:line="197"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of any Person for any period, Consolidated Net Income of such Person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without duplication and to the extent reflected as a charge in Consolidated Net Income for such period, the sum of (a) provision for taxes based on income, profits or capital gains, including, without limitation, federal, state, franchise and similar taxes and foreign withholding taxes (including any future taxes or other levies which replace or are intended to be in lieu of such taxes and any penalties and interest related to such taxes or arising from tax examinations), (b) interest expense, amortization or write-off of debt discount and debt issuance costs and commissions, discounts and other fees and charges associated with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cash dividends or other distributions paid (excluding items eliminated in consolidation) on any series of preferred stock or Disqualified Capital Stock, (c) depreciation and amortization expense, (d) any extraordinary, unusual or non-recurring losses or non-cash expenses (including, for the avoidance of doubt, losses on sales of assets or investments outside of the ordinary course of business), and non-cash impairments of goodwill, intangibles, fixed assets, land and land held for development, (e) any other non-cash charges (including, for the avoidance of doubt, equity incentive plans to the extent not paid in cash and unrealized foreign exchange losses attributable to currency translation), (f) any fees, expenses or charges incurred with respect to the Transactions or any Indebtedness permitted to be incurred hereunder, (g) any fees, expenses or charges related to any equity offering by Holdings, Investment, Acquisition (including Permitted Acquisitions) or Disposition, in each case whether or not successful or consummated, (h) any net loss from disposed, abandoned or discontinued operations or operations that management is winding down and (i) the amount of any directors’ fees or reimbursements (including fees and reimbursements of directors of Parent), </w:t>
      </w:r>
      <w:r>
        <w:rPr>
          <w:rFonts w:ascii="Arial" w:cs="Arial" w:eastAsia="Arial" w:hAnsi="Arial"/>
          <w:sz w:val="16"/>
          <w:szCs w:val="16"/>
          <w:u w:val="single" w:color="auto"/>
          <w:color w:val="auto"/>
        </w:rPr>
        <w:t>minus</w:t>
      </w:r>
      <w:r>
        <w:rPr>
          <w:rFonts w:ascii="Arial" w:cs="Arial" w:eastAsia="Arial" w:hAnsi="Arial"/>
          <w:sz w:val="16"/>
          <w:szCs w:val="16"/>
          <w:color w:val="auto"/>
        </w:rPr>
        <w:t>, (ii) to the extent included in Consolidated Net Income for such period, the sum of (a) any extraordinary, unusual or non-recurring income or gains (including, for the avoidance of doubt, any cash or non-cash income or gains from the sales of assets or investments outside of the ordinary course of business), (b) any other non-cash income or gains (including, for the avoidance of doubt, unrealized foreign exchange gains attributable to currency translation), (c) any cash payments made during such period in respect of items described in clause (i)(d) above subsequent to the fiscal quarter in which the relevant non-cash expenses or losses were reflected as a charge in the statement of Consolidated Net Income and</w:t>
      </w:r>
    </w:p>
    <w:p>
      <w:pPr>
        <w:spacing w:after="0" w:line="13" w:lineRule="exact"/>
        <w:rPr>
          <w:sz w:val="20"/>
          <w:szCs w:val="20"/>
          <w:color w:val="auto"/>
        </w:rPr>
      </w:pPr>
    </w:p>
    <w:p>
      <w:pPr>
        <w:ind w:left="5660" w:right="3080" w:hanging="5652"/>
        <w:spacing w:after="0" w:line="715" w:lineRule="auto"/>
        <w:tabs>
          <w:tab w:leader="none" w:pos="2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net income from disposed, abandoned or discontinued operations, all as determined on a consolidated basis.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9" w:name="page170"/>
    <w:bookmarkEnd w:id="169"/>
    <w:p>
      <w:pPr>
        <w:ind w:right="100" w:firstLine="1297"/>
        <w:spacing w:after="0" w:line="259" w:lineRule="auto"/>
        <w:rPr>
          <w:sz w:val="20"/>
          <w:szCs w:val="20"/>
          <w:color w:val="auto"/>
        </w:rPr>
      </w:pPr>
      <w:r>
        <w:rPr>
          <w:rFonts w:ascii="Arial" w:cs="Arial" w:eastAsia="Arial" w:hAnsi="Arial"/>
          <w:sz w:val="18"/>
          <w:szCs w:val="18"/>
          <w:color w:val="auto"/>
        </w:rPr>
        <w:t>Consolidated EBITDA for any period shall include, without duplication, the Consolidated EBITDA for such period of each Person that is not the Borrower or any of its Subsidiaries accounted for by the equity method of accounting, but only in an amount equal to the Borrower’s pro rata share thereof based on its direct or indirect percentage ownership interest in such Person. To the extent an ownership change occurs during such period, effect shall be given to such ownership change on a pro forma basis during such period.</w:t>
      </w:r>
    </w:p>
    <w:p>
      <w:pPr>
        <w:spacing w:after="0" w:line="214"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Notwithstanding the foregoing, (i) Consolidated EBITDA for the first Test Period ending after the Plant Completion Date shall be calculated by multiplying the Consolidated EBITDA for the fiscal quarter ending on the last day of such Test Period by four; (ii) Consolidated EBITDA for the second Test Period ending after the Plant Completion Date shall be calculated by multiplying the Consolidated EBITDA for the two-fiscal-quarter period ending on the last day of such Test Period by two; and (iii) Consolidated EBITDA for the third Test Period ending after the Plant Completion Date shall be calculated by multiplying the Consolidated EBITDA for the three-fiscal-quarter period ending on the last day of such Test Period by four-thirds.</w:t>
      </w:r>
    </w:p>
    <w:p>
      <w:pPr>
        <w:spacing w:after="0" w:line="18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Notwithstanding the foregoing, in no event shall Consolidated EBITDA for any Test Period, whether or not measured on a Pro Forma Basis, attributable to contracted revenue from agreements that have a term (calculated, for each agreement, as of the date of initial execution of such agreement to its expiration after giving effect to any extension thereto) of less than 180 days constitute more than 25% of Consolidated EBITDA for such Test Period.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with respect to the Borrower and its Subsidiaries, for any fiscal year, an amount (if positive) equal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without duplication:</w:t>
      </w:r>
    </w:p>
    <w:p>
      <w:pPr>
        <w:spacing w:after="0" w:line="265" w:lineRule="exact"/>
        <w:rPr>
          <w:sz w:val="20"/>
          <w:szCs w:val="20"/>
          <w:color w:val="auto"/>
        </w:rPr>
      </w:pPr>
    </w:p>
    <w:p>
      <w:pPr>
        <w:jc w:val="both"/>
        <w:ind w:left="660" w:right="100" w:firstLine="645"/>
        <w:spacing w:after="0" w:line="259" w:lineRule="auto"/>
        <w:tabs>
          <w:tab w:leader="none" w:pos="20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non-cash charges, losses and expenses, including non-cash interest expense, depreciation, amortization, impairment charges and other write-offs for such fiscal year to the extent deducted from Consolidated Net Income for such period (excluding any such non-cash charge, loss or expense to the extent that it represents an accrual or reserve for an expected cash payment obligation within the four fiscal quarter period following such fiscal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ind w:right="360" w:firstLine="645"/>
        <w:spacing w:after="0" w:line="277" w:lineRule="auto"/>
        <w:tabs>
          <w:tab w:leader="none" w:pos="134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cash proceeds received in such fiscal year that would have been included in the exclusion in clause (a) above for the four fiscal quarter period immediately preceding such fiscal year, and</w:t>
      </w:r>
    </w:p>
    <w:p>
      <w:pPr>
        <w:spacing w:after="0" w:line="224" w:lineRule="exact"/>
        <w:rPr>
          <w:rFonts w:ascii="Arial" w:cs="Arial" w:eastAsia="Arial" w:hAnsi="Arial"/>
          <w:sz w:val="18"/>
          <w:szCs w:val="18"/>
          <w:color w:val="auto"/>
        </w:rPr>
      </w:pPr>
    </w:p>
    <w:p>
      <w:pPr>
        <w:ind w:right="180" w:firstLine="645"/>
        <w:spacing w:after="0" w:line="280" w:lineRule="auto"/>
        <w:tabs>
          <w:tab w:leader="none" w:pos="138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Consolidated Working Capital Adjustment for such fiscal year (other than any such amount arising from Acquisitions or Dispositions by the Borrower or any of its Subsidiaries completed during such period or the application of purchase accounting), </w:t>
      </w:r>
      <w:r>
        <w:rPr>
          <w:rFonts w:ascii="Arial" w:cs="Arial" w:eastAsia="Arial" w:hAnsi="Arial"/>
          <w:sz w:val="16"/>
          <w:szCs w:val="16"/>
          <w:u w:val="single" w:color="auto"/>
          <w:color w:val="auto"/>
        </w:rPr>
        <w:t>minus</w:t>
      </w:r>
      <w:r>
        <w:rPr>
          <w:rFonts w:ascii="Arial" w:cs="Arial" w:eastAsia="Arial" w:hAnsi="Arial"/>
          <w:sz w:val="19"/>
          <w:szCs w:val="19"/>
          <w:color w:val="auto"/>
        </w:rPr>
        <w:t>, without</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duplication and to the extent not deducted in the calculation of Consolidated Net Income for such fiscal year, the amounts for such fiscal year of:</w:t>
      </w:r>
    </w:p>
    <w:p>
      <w:pPr>
        <w:spacing w:after="0" w:line="246" w:lineRule="exact"/>
        <w:rPr>
          <w:sz w:val="20"/>
          <w:szCs w:val="20"/>
          <w:color w:val="auto"/>
        </w:rPr>
      </w:pPr>
    </w:p>
    <w:p>
      <w:pPr>
        <w:ind w:firstLine="645"/>
        <w:spacing w:after="0" w:line="273" w:lineRule="auto"/>
        <w:tabs>
          <w:tab w:leader="none" w:pos="134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prepayments or repayments of Indebtedness for borrowed money, together with any interest, premium or penalties required to be paid (and actually paid) in connection therewith (excluding (i) repayments of revolving loans except to the extent the revolving commitments associated therewith are permanently reduced in connection with such repayments, (ii) voluntary prepayments of Term Loans and (iii) any prepayments or repayments funded with Net Cash Proceeds of any borrowing or issuance of Indebtedness for borrowed money, capital contributions to the Borrower or any of its Subsidiaries by any Person that is not an LNG Group Member, or net cash proceeds from sales of Capital Stock of any LNG Group Member to any Person that is not an LNG Group Member (collectively, “</w:t>
      </w:r>
      <w:r>
        <w:rPr>
          <w:rFonts w:ascii="Arial" w:cs="Arial" w:eastAsia="Arial" w:hAnsi="Arial"/>
          <w:sz w:val="17"/>
          <w:szCs w:val="17"/>
          <w:u w:val="single" w:color="auto"/>
          <w:color w:val="auto"/>
        </w:rPr>
        <w:t>Financing Proceeds</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ind w:right="60" w:firstLine="645"/>
        <w:spacing w:after="0" w:line="286" w:lineRule="auto"/>
        <w:tabs>
          <w:tab w:leader="none" w:pos="138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cash payments under Capital Leases (excluding any interest expense portion thereof) or other long-term obligations (including pension obligations), together with the aggregate amount of any premiums, make-whole payments or penalties paid in cash and required to be made in connection with any such prepayment or repayment (excluding prepayments funded with Financing Proceeds);</w:t>
      </w:r>
    </w:p>
    <w:p>
      <w:pPr>
        <w:spacing w:after="0" w:line="219" w:lineRule="exact"/>
        <w:rPr>
          <w:rFonts w:ascii="Arial" w:cs="Arial" w:eastAsia="Arial" w:hAnsi="Arial"/>
          <w:sz w:val="17"/>
          <w:szCs w:val="17"/>
          <w:color w:val="auto"/>
        </w:rPr>
      </w:pPr>
    </w:p>
    <w:p>
      <w:pPr>
        <w:ind w:left="1420" w:hanging="775"/>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cash payments in respect of Capital Expenditures, excluding payments funded with Financing Proceeds,</w:t>
      </w:r>
    </w:p>
    <w:p>
      <w:pPr>
        <w:spacing w:after="0" w:line="279" w:lineRule="exact"/>
        <w:rPr>
          <w:rFonts w:ascii="Arial" w:cs="Arial" w:eastAsia="Arial" w:hAnsi="Arial"/>
          <w:sz w:val="18"/>
          <w:szCs w:val="18"/>
          <w:color w:val="auto"/>
        </w:rPr>
      </w:pPr>
    </w:p>
    <w:p>
      <w:pPr>
        <w:ind w:left="1400" w:hanging="755"/>
        <w:spacing w:after="0"/>
        <w:tabs>
          <w:tab w:leader="none" w:pos="14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cash income tax expense, together with the aggregate amount of Restricted Payments made pursuant to Section 6.6(g)(iii),</w:t>
      </w:r>
    </w:p>
    <w:p>
      <w:pPr>
        <w:spacing w:after="0" w:line="290" w:lineRule="exact"/>
        <w:rPr>
          <w:rFonts w:ascii="Arial" w:cs="Arial" w:eastAsia="Arial" w:hAnsi="Arial"/>
          <w:sz w:val="17"/>
          <w:szCs w:val="17"/>
          <w:color w:val="auto"/>
        </w:rPr>
      </w:pPr>
    </w:p>
    <w:p>
      <w:pPr>
        <w:ind w:right="80" w:firstLine="645"/>
        <w:spacing w:after="0" w:line="277" w:lineRule="auto"/>
        <w:tabs>
          <w:tab w:leader="none" w:pos="139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cash payments in respect of Investments made pursuant to Sections 6.8(k), or 6.8(o) (less, in each case, any amounts received in respect thereof as a return of capital), excluding payments funded with Financing Proceeds,</w:t>
      </w:r>
    </w:p>
    <w:p>
      <w:pPr>
        <w:spacing w:after="0" w:line="224" w:lineRule="exact"/>
        <w:rPr>
          <w:rFonts w:ascii="Arial" w:cs="Arial" w:eastAsia="Arial" w:hAnsi="Arial"/>
          <w:sz w:val="18"/>
          <w:szCs w:val="18"/>
          <w:color w:val="auto"/>
        </w:rPr>
      </w:pPr>
    </w:p>
    <w:p>
      <w:pPr>
        <w:ind w:left="1400" w:hanging="755"/>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non-cash income or gains increasing Consolidated Net Income for the Test Period,</w:t>
      </w:r>
    </w:p>
    <w:p>
      <w:pPr>
        <w:spacing w:after="0" w:line="279" w:lineRule="exact"/>
        <w:rPr>
          <w:rFonts w:ascii="Arial" w:cs="Arial" w:eastAsia="Arial" w:hAnsi="Arial"/>
          <w:sz w:val="18"/>
          <w:szCs w:val="18"/>
          <w:color w:val="auto"/>
        </w:rPr>
      </w:pPr>
    </w:p>
    <w:p>
      <w:pPr>
        <w:ind w:right="600" w:firstLine="645"/>
        <w:spacing w:after="0" w:line="277" w:lineRule="auto"/>
        <w:tabs>
          <w:tab w:leader="none" w:pos="141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after-tax gains attributable to Asset Sales to the extent the proceeds of any such Asset Sale are included in the Asset Sale Threshold Amount; and</w:t>
      </w:r>
    </w:p>
    <w:p>
      <w:pPr>
        <w:spacing w:after="0" w:line="224" w:lineRule="exact"/>
        <w:rPr>
          <w:rFonts w:ascii="Arial" w:cs="Arial" w:eastAsia="Arial" w:hAnsi="Arial"/>
          <w:sz w:val="18"/>
          <w:szCs w:val="18"/>
          <w:color w:val="auto"/>
        </w:rPr>
      </w:pPr>
    </w:p>
    <w:p>
      <w:pPr>
        <w:ind w:left="1400" w:hanging="755"/>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cash actually paid in respect of any non-cash losses or charges recorded in a prior period.</w:t>
      </w:r>
    </w:p>
    <w:p>
      <w:pPr>
        <w:spacing w:after="0" w:line="200" w:lineRule="exact"/>
        <w:rPr>
          <w:sz w:val="20"/>
          <w:szCs w:val="20"/>
          <w:color w:val="auto"/>
        </w:rPr>
      </w:pPr>
    </w:p>
    <w:p>
      <w:pPr>
        <w:spacing w:after="0" w:line="22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900" w:top="152" w:right="299" w:bottom="1440" w:gutter="0" w:footer="0" w:header="0"/>
        </w:sectPr>
      </w:pPr>
    </w:p>
    <w:bookmarkStart w:id="171" w:name="page172"/>
    <w:bookmarkEnd w:id="171"/>
    <w:p>
      <w:pPr>
        <w:ind w:right="20"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of the Borrower and its Subsidiaries for any period, the consolidated net income (or loss) of the Borrower and its Subsidiaries for such period,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calculating Consolidated Net Income of the Borrower and its Subsidiaries for any period, there shall be excluded (a) the income (or deficit) of any Person that was not a Subsidiary of the Borrower that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any of its Subsidiaries in the form of dividends or similar distributions and (c) the undistributed earnings of any non-Wholly Owned Subsidiary of the Borrower or any of its Subsidiaries (other than a Loan Party) to the extent that the declaration or payment of dividends or similar distributions by such non-Wholly Owned Subsidiary is not at the time permitted by the terms of any Contractual Obligation (other than under any Term Loan Document) or Requirement of Law applicable to such non-Wholly Owned Subsidiary.</w:t>
      </w:r>
    </w:p>
    <w:p>
      <w:pPr>
        <w:spacing w:after="0" w:line="194"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at any date, the excess of Consolidated Current Assets of the Borrower and its Subsidiaries over Consolidated Current Liabilities of the Borrower and its Subsidiaries.</w:t>
      </w:r>
    </w:p>
    <w:p>
      <w:pPr>
        <w:spacing w:after="0" w:line="197"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 Adjustment</w:t>
      </w:r>
      <w:r>
        <w:rPr>
          <w:rFonts w:ascii="Arial" w:cs="Arial" w:eastAsia="Arial" w:hAnsi="Arial"/>
          <w:sz w:val="16"/>
          <w:szCs w:val="16"/>
          <w:color w:val="auto"/>
        </w:rPr>
        <w:t xml:space="preserve">”: for any period on a consolidated basis, the amount (which may be a negative number) by which Consolidated Working Capital as of the beginning of such period exceeds (or is less than) Consolidated Working Capital as of the end of such period. In calculating the Consolidated Working Capital Adjustment there shall be excluded the effect of reclassification during such period of current assets to long term assets and current liabilities to long term liabilities and the effect of any Permitted Acquisition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included with respect to any Permitted Acquisition during such period an amount (which may be a negative number) by which the Consolidated Working Capital acquired in such Permitted Acquisition as at the time of such acquisition exceeds (or is less than) Consolidated Working Capital at the end of such period.</w:t>
      </w:r>
    </w:p>
    <w:p>
      <w:pPr>
        <w:spacing w:after="0" w:line="192"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 (but not including such agreements, instruments or other undertakings relating to Indebtedness of such Person).</w:t>
      </w:r>
    </w:p>
    <w:p>
      <w:pPr>
        <w:spacing w:after="0" w:line="20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Investment Affiliate</w:t>
      </w:r>
      <w:r>
        <w:rPr>
          <w:rFonts w:ascii="Arial" w:cs="Arial" w:eastAsia="Arial" w:hAnsi="Arial"/>
          <w:sz w:val="18"/>
          <w:szCs w:val="18"/>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214"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Date</w:t>
      </w:r>
      <w:r>
        <w:rPr>
          <w:rFonts w:ascii="Arial" w:cs="Arial" w:eastAsia="Arial" w:hAnsi="Arial"/>
          <w:sz w:val="18"/>
          <w:szCs w:val="18"/>
          <w:color w:val="auto"/>
        </w:rPr>
        <w:t>”: the effective date of a continuation or conversion, as the case may be, as set forth in the applicable Conversion/Continuation Notice.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2" w:name="page173"/>
    <w:bookmarkEnd w:id="17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Notice</w:t>
      </w:r>
      <w:r>
        <w:rPr>
          <w:rFonts w:ascii="Arial" w:cs="Arial" w:eastAsia="Arial" w:hAnsi="Arial"/>
          <w:sz w:val="18"/>
          <w:szCs w:val="18"/>
          <w:color w:val="auto"/>
        </w:rPr>
        <w:t xml:space="preserve">”: a Conversion/Continuation Notice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Date</w:t>
      </w:r>
      <w:r>
        <w:rPr>
          <w:rFonts w:ascii="Arial" w:cs="Arial" w:eastAsia="Arial" w:hAnsi="Arial"/>
          <w:sz w:val="18"/>
          <w:szCs w:val="18"/>
          <w:color w:val="auto"/>
        </w:rPr>
        <w:t>”: the date of the making of a Term Loan.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Suisse</w:t>
      </w:r>
      <w:r>
        <w:rPr>
          <w:rFonts w:ascii="Arial" w:cs="Arial" w:eastAsia="Arial" w:hAnsi="Arial"/>
          <w:sz w:val="18"/>
          <w:szCs w:val="18"/>
          <w:color w:val="auto"/>
        </w:rPr>
        <w:t>”: Credit Suisse Loan Funding LLC.</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Reserve Account</w:t>
      </w:r>
      <w:r>
        <w:rPr>
          <w:rFonts w:ascii="Arial" w:cs="Arial" w:eastAsia="Arial" w:hAnsi="Arial"/>
          <w:sz w:val="18"/>
          <w:szCs w:val="18"/>
          <w:color w:val="auto"/>
        </w:rPr>
        <w:t>”: as defined in the Depositary Agreement.</w:t>
      </w:r>
    </w:p>
    <w:p>
      <w:pPr>
        <w:spacing w:after="0" w:line="252"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any of the events specified in Section 7.1, whether or not any requirement for the giving of notice, the lapse of time, or both, has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been satisfied.</w:t>
      </w:r>
    </w:p>
    <w:p>
      <w:pPr>
        <w:spacing w:after="0" w:line="238"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subject to Section 2.23(b),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(c) has failed, within three Business Days after written request by the Administrative Agent or the Borrower, to confirm in writing to the Administrative Agent or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or the Borrower), or (d)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2.23(b)) upon delivery of written notice of such determination to the Borrower and each Lender.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3" w:name="page174"/>
    <w:bookmarkEnd w:id="173"/>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MSSF, in its capacity as depositary bank, together with any successor depositary bank appointed pursuant to the Depositary Agreement or any permitted assign under the Depositary Agreement.</w:t>
      </w:r>
    </w:p>
    <w:p>
      <w:pPr>
        <w:spacing w:after="0" w:line="19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 Agreement</w:t>
      </w:r>
      <w:r>
        <w:rPr>
          <w:rFonts w:ascii="Arial" w:cs="Arial" w:eastAsia="Arial" w:hAnsi="Arial"/>
          <w:sz w:val="18"/>
          <w:szCs w:val="18"/>
          <w:color w:val="auto"/>
        </w:rPr>
        <w:t xml:space="preserve">”: the Security Deposit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dated as of the Closing Date, among the Borrower, the Administrative Agent and the Depositary.</w:t>
      </w:r>
    </w:p>
    <w:p>
      <w:pPr>
        <w:spacing w:after="0" w:line="197"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the fair market value (as determined in good faith by a Responsible Officer) of non-cash consideration received by an LNG Group Member in connection with a Disposition that is so designated as “Designated Non-Cash Consideration” pursuant to a certificate of a Responsible Officer, setting forth the basis of such valuation, less the amount of cash or Cash Equivalents received in connection with a subsequent sale of such Designated Non-Cash Consideration.</w:t>
      </w:r>
    </w:p>
    <w:p>
      <w:pPr>
        <w:spacing w:after="0" w:line="214"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with respect to any Property, any sale, lease, sale and leaseback, assignment, conveyance, transfer, exchange or other disposition thereof; and the terms “</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Disposed of</w:t>
      </w:r>
      <w:r>
        <w:rPr>
          <w:rFonts w:ascii="Arial" w:cs="Arial" w:eastAsia="Arial" w:hAnsi="Arial"/>
          <w:sz w:val="18"/>
          <w:szCs w:val="18"/>
          <w:color w:val="auto"/>
        </w:rPr>
        <w:t>” shall have correlative meanings.</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Assignee</w:t>
      </w:r>
      <w:r>
        <w:rPr>
          <w:rFonts w:ascii="Arial" w:cs="Arial" w:eastAsia="Arial" w:hAnsi="Arial"/>
          <w:sz w:val="18"/>
          <w:szCs w:val="18"/>
          <w:color w:val="auto"/>
        </w:rPr>
        <w:t xml:space="preserve">”: any Person listed on </w:t>
      </w:r>
      <w:r>
        <w:rPr>
          <w:rFonts w:ascii="Arial" w:cs="Arial" w:eastAsia="Arial" w:hAnsi="Arial"/>
          <w:sz w:val="18"/>
          <w:szCs w:val="18"/>
          <w:u w:val="single" w:color="auto"/>
          <w:color w:val="auto"/>
        </w:rPr>
        <w:t>Schedule 1.1H</w:t>
      </w:r>
      <w:r>
        <w:rPr>
          <w:rFonts w:ascii="Arial" w:cs="Arial" w:eastAsia="Arial" w:hAnsi="Arial"/>
          <w:sz w:val="18"/>
          <w:szCs w:val="18"/>
          <w:color w:val="auto"/>
        </w:rPr>
        <w:t xml:space="preserve"> or any of such Person’s Affiliates that share a common name, which Schedule may be updated in writing from time to time by the Borrower to add or remove competitors.</w:t>
      </w:r>
    </w:p>
    <w:p>
      <w:pPr>
        <w:spacing w:after="0" w:line="197"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with respect to any Person, any Capital Stock of such Person which, by its terms (or by the terms of any security or other Capital Stock into which it is convertible or for which it is exchangeable), or upon the happening of any event or condition (i) matures or is mandatorily redeemable (other than solely for Capital Stock which is not otherwise Disqualified Capital Stock), pursuant to a sinking fund obligation or otherwise (except as a result of a change of control, merger, consolidation, amalgamation, liquidation or asset sale (collectively, a “</w:t>
      </w:r>
      <w:r>
        <w:rPr>
          <w:rFonts w:ascii="Arial" w:cs="Arial" w:eastAsia="Arial" w:hAnsi="Arial"/>
          <w:sz w:val="17"/>
          <w:szCs w:val="17"/>
          <w:u w:val="single" w:color="auto"/>
          <w:color w:val="auto"/>
        </w:rPr>
        <w:t>Fundamental Change</w:t>
      </w:r>
      <w:r>
        <w:rPr>
          <w:rFonts w:ascii="Arial" w:cs="Arial" w:eastAsia="Arial" w:hAnsi="Arial"/>
          <w:sz w:val="17"/>
          <w:szCs w:val="17"/>
          <w:color w:val="auto"/>
        </w:rPr>
        <w:t>”) so long as any rights of the holders thereof upon the occurrence of such Fundamental Change shall be subject to the prior satisfaction of the Termination Conditions), (ii) is redeemable at the option of the holder thereof (other than solely for Capital Stock which is not otherwise Disqualified Capital Stock), in whole or in part (except as a result of a Fundamental Change so long as any rights of the holders thereof upon the occurrence of such Fundamental Change shall be subject to the prior satisfaction of the Termination Conditions), (iii) provides for the scheduled payment of dividends in cash, or (iv) is or becomes convertible into or exchangeable for Indebtedness or any other Capital Stock that would constitute Disqualified Capital Stock, in each case, prior to the date that is 91 days after the fifth anniversary of the Closing Date.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4" w:name="page175"/>
    <w:bookmarkEnd w:id="17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dollars in lawful currency of the United States of America.</w:t>
      </w:r>
    </w:p>
    <w:p>
      <w:pPr>
        <w:spacing w:after="0" w:line="252"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Annual Builder Basket Amount</w:t>
      </w:r>
      <w:r>
        <w:rPr>
          <w:rFonts w:ascii="Arial" w:cs="Arial" w:eastAsia="Arial" w:hAnsi="Arial"/>
          <w:sz w:val="18"/>
          <w:szCs w:val="18"/>
          <w:color w:val="auto"/>
        </w:rPr>
        <w:t xml:space="preserve">”: an amount, measured as of any Excess Cash Flow Determination Date, equal to (A)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ECF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Consolidated Excess Cash Flow for the fiscal year of the Borrower and its Subsidiaries ending on such Excess Cash Flow Determination Date.</w:t>
      </w:r>
    </w:p>
    <w:p>
      <w:pPr>
        <w:spacing w:after="0" w:line="20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a percentage equal to: (i) if the Total Secured Debt Leverage Ratio, calculated on a Pro Forma Basis as of any Excess Cash Flow Determination Date and as of the last day of each of the two fiscal quarters ending immediately after such Excess Cash Flow Determination Date, is greater than 4.50:1.00, then 100%; and (ii) otherwise, 0%.</w:t>
      </w:r>
    </w:p>
    <w:p>
      <w:pPr>
        <w:spacing w:after="0" w:line="208"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ambient air, surface water, drinking water, groundwater, land surface, subsurface strata, sediments and natural resources such as wetlands, flora and fauna.</w:t>
      </w:r>
    </w:p>
    <w:p>
      <w:pPr>
        <w:spacing w:after="0" w:line="19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any investigation,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the presence, Release of, or exposure to, any Hazardous Materials; or (iii) in connection with any actual or alleged damage, injury, threat, or harm to the Environment.</w:t>
      </w:r>
    </w:p>
    <w:p>
      <w:pPr>
        <w:spacing w:after="0" w:line="214"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any and all applicable Laws regulating, relating to or imposing liability or standards of conduct concerning protection or regulation of the Environment, human health or safety in connection with exposure to Hazardous Materials, as has been, is now, or may at any time hereafter be, in effect and including, without limitation, the common law insofar as it relates to any of the foregoing.</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any and all Permits required under, or issued pursuant to, any Environmental Law.</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a Term Loan bearing interest at a rate determined by reference to the Adjusted Eurodollar Rate.</w:t>
      </w:r>
    </w:p>
    <w:p>
      <w:pPr>
        <w:spacing w:after="0" w:line="252"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7.1;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Cash Flow Determination Date</w:t>
      </w:r>
      <w:r>
        <w:rPr>
          <w:rFonts w:ascii="Arial" w:cs="Arial" w:eastAsia="Arial" w:hAnsi="Arial"/>
          <w:sz w:val="17"/>
          <w:szCs w:val="17"/>
          <w:color w:val="auto"/>
        </w:rPr>
        <w:t>”: December 31 of each year, commencing with the first such date to occur after the Plant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Completion Date.</w:t>
      </w:r>
    </w:p>
    <w:p>
      <w:pPr>
        <w:spacing w:after="0" w:line="238" w:lineRule="exact"/>
        <w:rPr>
          <w:sz w:val="20"/>
          <w:szCs w:val="20"/>
          <w:color w:val="auto"/>
        </w:rPr>
      </w:pPr>
    </w:p>
    <w:p>
      <w:pPr>
        <w:ind w:right="5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 Prepayment Amount</w:t>
      </w:r>
      <w:r>
        <w:rPr>
          <w:rFonts w:ascii="Arial" w:cs="Arial" w:eastAsia="Arial" w:hAnsi="Arial"/>
          <w:sz w:val="16"/>
          <w:szCs w:val="16"/>
          <w:color w:val="auto"/>
        </w:rPr>
        <w:t xml:space="preserve">”: an amount, measured as of any Excess Cash Flow Determination Date, equal to the ECF Percentage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Consolidated Excess Cash Flow for the most recently ended fiscal year of the Borrower ending on December 31.</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5" w:name="page176"/>
    <w:bookmarkEnd w:id="175"/>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Restriction Period</w:t>
      </w:r>
      <w:r>
        <w:rPr>
          <w:rFonts w:ascii="Arial" w:cs="Arial" w:eastAsia="Arial" w:hAnsi="Arial"/>
          <w:sz w:val="16"/>
          <w:szCs w:val="16"/>
          <w:color w:val="auto"/>
        </w:rPr>
        <w:t>”: any of the following periods after the Plant Completion Date (which periods may, for the avoidance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doubt, overlap): (i) the period (A) beginning on the Plant Completion Date and (B) ending on the first date after the Plant Completion Date on which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Certificate delivered pursuant to Section 5.2(a) demonstrates that the Total Secured Debt Leverage Ratio, calculated on a Pro Forma Basis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most recent Excess Cash Flow Determination Date and as of the last day of each of the two fiscal quarters ending immediately after such Excess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 Determination Date, is less than or equal to 3.50:1.00 (such date, the “</w:t>
      </w:r>
      <w:r>
        <w:rPr>
          <w:rFonts w:ascii="Arial" w:cs="Arial" w:eastAsia="Arial" w:hAnsi="Arial"/>
          <w:sz w:val="16"/>
          <w:szCs w:val="16"/>
          <w:u w:val="single" w:color="auto"/>
          <w:color w:val="auto"/>
        </w:rPr>
        <w:t>Initial Excess Cash Release Date</w:t>
      </w:r>
      <w:r>
        <w:rPr>
          <w:rFonts w:ascii="Arial" w:cs="Arial" w:eastAsia="Arial" w:hAnsi="Arial"/>
          <w:sz w:val="16"/>
          <w:szCs w:val="16"/>
          <w:color w:val="auto"/>
        </w:rPr>
        <w:t>”); and (ii) each subsequent period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Excess Cash Release Date (A) beginning on the date on which the Compliance Certificate delivered pursuant to Section 5.2(a) demonstrates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Secured Debt Leverage Ratio, calculated on a Pro Forma Basis as of the most recent Excess Cash Flow Determination Date or as of the last day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two fiscal quarters ending immediately after such Excess Cash Flow Determination Date, is greater than 3.50:1.00 and (B) ending on the first date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referred to in clause (ii)(A) above on which the Compliance Certificate delivered pursuant to Section 5.2(a) demonstrates that the Total Secured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calculated on a Pro Forma Basis as of the most recent Excess Cash Flow Determination Date and as of the last day of each of the two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quarters ending immediately after such Excess Cash Flow Determination Date, is less than or equal to 3.50:1.00.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and the rules and regulations of the SEC promulgated thereunder.</w:t>
      </w:r>
    </w:p>
    <w:p>
      <w:pPr>
        <w:spacing w:after="0" w:line="25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information regarding the Term Loans or the applicable Loan Parties hereunder that is not known to a Lender participating in an assignment to an Affiliated Lender pursuant to Section 9.6(d) or in a Borrower Loan Purchase made pursuant to Section 9.6(i) that may be material to a decision by such Lender to participate in such Borrower Loan Purchase, assignment to such Affiliated Lender or such assignment by an Affiliated Lender, as applicable.</w:t>
      </w:r>
    </w:p>
    <w:p>
      <w:pPr>
        <w:spacing w:after="0" w:line="214"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each Subsidiary subject to any Contractual Obligation permitted under the Loan Documents and existing at the time such Person becomes a Subsidiary (and not entered into in contemplation of such Person becoming a Subsidiary) or Law restricting or limiting the ability of such Subsidiary from guaranteeing any portion of the Obligations.</w:t>
      </w:r>
    </w:p>
    <w:p>
      <w:pPr>
        <w:spacing w:after="0" w:line="20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Obligations</w:t>
      </w:r>
      <w:r>
        <w:rPr>
          <w:rFonts w:ascii="Arial" w:cs="Arial" w:eastAsia="Arial" w:hAnsi="Arial"/>
          <w:sz w:val="18"/>
          <w:szCs w:val="18"/>
          <w:color w:val="auto"/>
        </w:rPr>
        <w:t>”: with respect to any Guarantor, any obligation (a “</w:t>
      </w:r>
      <w:r>
        <w:rPr>
          <w:rFonts w:ascii="Arial" w:cs="Arial" w:eastAsia="Arial" w:hAnsi="Arial"/>
          <w:sz w:val="18"/>
          <w:szCs w:val="18"/>
          <w:u w:val="single" w:color="auto"/>
          <w:color w:val="auto"/>
        </w:rPr>
        <w:t>Swap Obligation</w:t>
      </w:r>
      <w:r>
        <w:rPr>
          <w:rFonts w:ascii="Arial" w:cs="Arial" w:eastAsia="Arial" w:hAnsi="Arial"/>
          <w:sz w:val="18"/>
          <w:szCs w:val="18"/>
          <w:color w:val="auto"/>
        </w:rPr>
        <w:t>”)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w:t>
      </w:r>
      <w:r>
        <w:rPr>
          <w:rFonts w:ascii="Arial" w:cs="Arial" w:eastAsia="Arial" w:hAnsi="Arial"/>
          <w:sz w:val="18"/>
          <w:szCs w:val="18"/>
          <w:color w:val="auto"/>
        </w:rPr>
        <w:t>”: the Financial Accounting Standards Board of the American Institute of Certified Public Accountants.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6" w:name="page177"/>
    <w:bookmarkEnd w:id="176"/>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Proceeds</w:t>
      </w:r>
      <w:r>
        <w:rPr>
          <w:rFonts w:ascii="Arial" w:cs="Arial" w:eastAsia="Arial" w:hAnsi="Arial"/>
          <w:sz w:val="18"/>
          <w:szCs w:val="18"/>
          <w:color w:val="auto"/>
        </w:rPr>
        <w:t>”: as defined in the definition of “Consolidated Excess Cash Flow.”</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the Financial Institutions Reform, Recovery and Enforcement Act of 1989.</w:t>
      </w:r>
    </w:p>
    <w:p>
      <w:pPr>
        <w:spacing w:after="0" w:line="252"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collectively, (i) the National Flood Insurance Act of 1968, (ii) the Flood Disaster Protection Act of 1973, (iii) the National Flood Insurance Reform Act of 1994, (iv) the Flood Insurance Reform Act of 2004 and (v) the Biggert-Waters Flood Insurance Reform Act of 2012.</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Fortress</w:t>
      </w:r>
      <w:r>
        <w:rPr>
          <w:rFonts w:ascii="Arial" w:cs="Arial" w:eastAsia="Arial" w:hAnsi="Arial"/>
          <w:sz w:val="18"/>
          <w:szCs w:val="18"/>
          <w:color w:val="auto"/>
        </w:rPr>
        <w:t>”: Fortress Equity Partners (A) LP.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Notice</w:t>
      </w:r>
      <w:r>
        <w:rPr>
          <w:rFonts w:ascii="Arial" w:cs="Arial" w:eastAsia="Arial" w:hAnsi="Arial"/>
          <w:sz w:val="18"/>
          <w:szCs w:val="18"/>
          <w:color w:val="auto"/>
        </w:rPr>
        <w:t xml:space="preserve">”: a notice substantially in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of America as in effect from time to time.</w:t>
      </w:r>
    </w:p>
    <w:p>
      <w:pPr>
        <w:spacing w:after="0" w:line="252"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federal, state, provincial, municipal, national or other government, governmental department, commission, board, bureau, court, agency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21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Grantors</w:t>
      </w:r>
      <w:r>
        <w:rPr>
          <w:rFonts w:ascii="Arial" w:cs="Arial" w:eastAsia="Arial" w:hAnsi="Arial"/>
          <w:sz w:val="18"/>
          <w:szCs w:val="18"/>
          <w:color w:val="auto"/>
        </w:rPr>
        <w:t>”: the collective reference to Holdings, the Borrower and the Subsidiary Guarantors, together with any other Person that grants a Lien on any of its Property to secure the obligations and liabilities of any Loan Party under any Loan Document.</w:t>
      </w:r>
    </w:p>
    <w:p>
      <w:pPr>
        <w:spacing w:after="0" w:line="197"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Ground Lease</w:t>
      </w:r>
      <w:r>
        <w:rPr>
          <w:rFonts w:ascii="Arial" w:cs="Arial" w:eastAsia="Arial" w:hAnsi="Arial"/>
          <w:sz w:val="16"/>
          <w:szCs w:val="16"/>
          <w:color w:val="auto"/>
        </w:rPr>
        <w:t>”: that certain ground lease agreement dated as of November 20, 2014 by and between the Borrower, as tenant, and FDG LR 7 LLC, as landlord, as the same may be amended, amended and restated or otherwise modified from time to time in accordance with Section 6.9.</w:t>
      </w:r>
    </w:p>
    <w:p>
      <w:pPr>
        <w:spacing w:after="0" w:line="151"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Agreements</w:t>
      </w:r>
      <w:r>
        <w:rPr>
          <w:rFonts w:ascii="Arial" w:cs="Arial" w:eastAsia="Arial" w:hAnsi="Arial"/>
          <w:sz w:val="17"/>
          <w:szCs w:val="17"/>
          <w:color w:val="auto"/>
        </w:rPr>
        <w:t>”: collectively, (i) the Guarantee Agreement, dated as of Closing Date, made by each of the signatories thereto, in favor of the Administrative Agent for the benefit of the Secured Parties and governed by the Laws of the State of New York, and (ii) any such other guarantee made in favor of the Administrative Agent for the benefit of the Secured Parties in form and substance reasonably satisfactory to the Required Consent Parties, in each case, as the same may be amended, restated, supplemented or otherwise modified from time to time.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7" w:name="page178"/>
    <w:bookmarkEnd w:id="177"/>
    <w:p>
      <w:pPr>
        <w:ind w:firstLine="129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w:t>
      </w:r>
      <w:r>
        <w:rPr>
          <w:rFonts w:ascii="Arial" w:cs="Arial" w:eastAsia="Arial" w:hAnsi="Arial"/>
          <w:sz w:val="17"/>
          <w:szCs w:val="17"/>
          <w:color w:val="auto"/>
        </w:rPr>
        <w:t>”: as to any Person (the “</w:t>
      </w:r>
      <w:r>
        <w:rPr>
          <w:rFonts w:ascii="Arial" w:cs="Arial" w:eastAsia="Arial" w:hAnsi="Arial"/>
          <w:sz w:val="17"/>
          <w:szCs w:val="17"/>
          <w:u w:val="single" w:color="auto"/>
          <w:color w:val="auto"/>
        </w:rPr>
        <w:t>guaranteeing person</w:t>
      </w:r>
      <w:r>
        <w:rPr>
          <w:rFonts w:ascii="Arial" w:cs="Arial" w:eastAsia="Arial" w:hAnsi="Arial"/>
          <w:sz w:val="17"/>
          <w:szCs w:val="17"/>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 shall not include endorsements of instruments for deposit or collection in the ordinary course of business, indemnification obligations incurred in the ordinary course of business or obligations in respect of indemnification, purchase price adjustments and earnouts incurred in connection with Permitted Acquisitions and Dispositions permitted under Section 6.5.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20"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Obligations</w:t>
      </w:r>
      <w:r>
        <w:rPr>
          <w:rFonts w:ascii="Arial" w:cs="Arial" w:eastAsia="Arial" w:hAnsi="Arial"/>
          <w:sz w:val="16"/>
          <w:szCs w:val="16"/>
          <w:color w:val="auto"/>
        </w:rPr>
        <w:t>”: with respect to any Guarantor, all obligations and liabilities of such Guarantor (including interest, fees and expenses after the filing of any petition in bankruptcy (or which, but for the filing of such petition, would be accruing), or the commencement of any insolvency, reorganization or like proceeding, relating to such Guarantor, whether or not a claim for postfiling or post-petition interests, fees or expenses is allowed or allowable in such proceeding) which arise under or in connection with the Guarantee Agreement, any other Loan Document to which such Guarantor is a party, or any Secured Hedge Agreement to which such Guarantor is a party, in each case whether on account of guarantee obligations, reimbursement obligations, fees, indemnities, costs, expenses or otherwise, excluding, in each case, Excluded Swap Obligations.</w:t>
      </w:r>
    </w:p>
    <w:p>
      <w:pPr>
        <w:spacing w:after="0" w:line="192"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the collective reference to Holdings and the Subsidiary Guarantors, together with any other Subsidiary of Holdings or the Borrower or any direct or indirect parent of Holdings added as a Guarantor at the election of the Borrower or pursuant to Section 5.10.</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8" w:name="page179"/>
    <w:bookmarkEnd w:id="178"/>
    <w:p>
      <w:pPr>
        <w:ind w:right="4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any material, substance, chemical, or waste (or combination thereof) that (i) is listed, defined, designated, regulated or classified as hazardous, toxic, radioactive, dangerous, a pollutant, a contaminant, or words of similar meaning or effect under any Environmental Law; or</w:t>
      </w:r>
    </w:p>
    <w:p>
      <w:pPr>
        <w:ind w:right="120" w:firstLine="8"/>
        <w:spacing w:after="0" w:line="261" w:lineRule="auto"/>
        <w:tabs>
          <w:tab w:leader="none" w:pos="2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can form the basis of any liability under any Environmental Law, including, without limitation, any Environmental Law relating to petroleum, petroleum products, asbestos, urea formaldehyde, radioactive materials, polychlorinated biphenyls and toxic mold.</w:t>
      </w:r>
    </w:p>
    <w:p>
      <w:pPr>
        <w:spacing w:after="0" w:line="211"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Agreements</w:t>
      </w:r>
      <w:r>
        <w:rPr>
          <w:rFonts w:ascii="Arial" w:cs="Arial" w:eastAsia="Arial" w:hAnsi="Arial"/>
          <w:sz w:val="17"/>
          <w:szCs w:val="17"/>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derivatives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 in each case entered into by Holdings or any of its Subsidiaries.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1</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2</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any Subsidiary of Holdings (other than the Borrower) that is not a Subsidiary Guarantor or an Excluded Subsidiary and, as of the last day of the most recent fiscal quarter for which financial statements have been delivered pursuant to Section 5.1, has consolidated assets with a book value of $100,000 or less.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9" w:name="page180"/>
    <w:bookmarkEnd w:id="179"/>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at any date, without duplication, (a) all indebtedness of such Person for borrowed money, (b) all obligations of such Person for the deferred purchase price of Property or services (other than (i) accounts payable and accrued expenses incurred in the ordinary course of such Person’s business, (ii) purchase price adjustment, earnouts, holdbacks and contingent payment obligations to which the seller of such Property or services may become entitled;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payment is fixed and determinable and not otherwise contingent, the amount is paid within 90 days after the date such payment becomes fixed and determinable and not otherwise contingent and (iii) obligations incurred under ERISA or deferred employee or director compensation and accruals for employee expenses or obligations (including workers’ compensation and retiree medical care)), (c) all obligations of such Person evidenced by notes, bonds, debentures or other similar instruments, (d) all indebtedness created or arising under any conditional sale or other title retention agreement with respect to Property acquired by such Person, (e) all Capital Lease Obligations of such Person, (f) all obligations of such Person, contingent or otherwise, as an account party or applicant under acceptance, letter of credit, surety bond or similar facilities, (g) all obligations of such Person, contingent or otherwise, to purchase, redeem, retire or otherwise acquire for value any Disqualified Capital Stock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obligations described in clauses (a) through (g) shall only constitute “Indebtedness” of a Person if and to the extent such obligations would constitute indebtedness or a liability on a balance sheet of such Person (or related footnotes) in accordance with GAAP,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 (j) for the purposes of Section 7.1(e) only, all obligations of such Person in respect of Hedge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clause (j) above, the principal amount of Indebtedness in respect of Hedge Agreements shall equal the amount that would be payable (giving effect to netting) at such time if such Hedge Agreement were terminated.</w:t>
      </w:r>
    </w:p>
    <w:p>
      <w:pPr>
        <w:spacing w:after="0" w:line="19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Equity Contribution</w:t>
      </w:r>
      <w:r>
        <w:rPr>
          <w:rFonts w:ascii="Arial" w:cs="Arial" w:eastAsia="Arial" w:hAnsi="Arial"/>
          <w:sz w:val="18"/>
          <w:szCs w:val="18"/>
          <w:color w:val="auto"/>
        </w:rPr>
        <w:t>”: the direct or indirect contribution to Holdings by Parent on or prior to the Closing Date of cash in the form of common equity of Holdings (with such cash further contributed by Holdings on or prior to the Closing Date to the Borrower in the form of common equity), with a value in the aggregate of not less than $10,800,000, as evidenced by the pro forma unaudited consolidated balance sheet of the Borrower delivered to the Administrative Agent pursuant to Section 4.1(c) and certified to in an officer’s certificate from a Responsible Officer of the Borrower to the Administrative Agent.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23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copyrights, patents, trademarks, proprietary technology, proprietary know-how and proprietary processes, and all rights to sue at law or in equity for any infringement or other violation thereof, including the right to receive all proceeds and damages therefrom.</w:t>
      </w:r>
    </w:p>
    <w:p>
      <w:pPr>
        <w:spacing w:after="0" w:line="214"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an intellectual property security agreement or such other agreement, as applicable, pursuant to which each Loan Party which owns any Intellectual Property which is the subject of a registration or application, to the extent required in the Security Agreement, grants to the Administrative Agent, for the benefit of the Secured Parties a security interest in such Intellectual Property, in form and substance reasonably satisfactory to the Administrative Agent.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Debt Subordination Agreement</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52"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with respect to (i) any Term Loan that is a Base Rate Loan, the last Business Day of March, June, September and December of each year, commencing on the first such date to occur after the Closing Date, and the Maturity Date; and (ii) any Term Loan that is a Eurodollar Rate Loan, the last day of each Interest Period applicable to such Term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in connection with a Eurodollar Rate Loan, an interest period of one, two, three or six months, as selected by the Borrower in the applicable Funding Notice or Conversion/Continuation Notice, (i) initially, commencing on the Closing Date or Conversion/Continuation Date thereof, as the case may be; and (ii) thereafter, commencing on the day on which the immediately preceding Interest Period expires;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clause (c) of this definition, end on the last Business Day of a calendar month; and (c) no Interest Period with respect to any portion of Term Loans shall extend beyond the Maturity Date.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Rate Determination Date</w:t>
      </w:r>
      <w:r>
        <w:rPr>
          <w:rFonts w:ascii="Arial" w:cs="Arial" w:eastAsia="Arial" w:hAnsi="Arial"/>
          <w:sz w:val="17"/>
          <w:szCs w:val="17"/>
          <w:color w:val="auto"/>
        </w:rPr>
        <w:t>”: with respect to any Interest Period, the date that is two Business Days prior to the first day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Period.</w:t>
      </w:r>
    </w:p>
    <w:p>
      <w:pPr>
        <w:spacing w:after="0" w:line="23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Investments</w:t>
      </w:r>
      <w:r>
        <w:rPr>
          <w:rFonts w:ascii="Arial" w:cs="Arial" w:eastAsia="Arial" w:hAnsi="Arial"/>
          <w:sz w:val="17"/>
          <w:szCs w:val="17"/>
          <w:color w:val="auto"/>
        </w:rPr>
        <w:t>”: as to any Person, (a) the purchase or other acquisition of Capital Stock or debt or other securities of another Person, (b) a loan, advance (other than advances to employees for moving, entertainment and travel expenses, drawing accounts and similar expenditures in the ordinary course of business and other than trade credit established in the ordinary course of business and advances in the ordinary course of business that would be recorded as accounts receivable of such Person in accordance with GAAP)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outstanding at any time shall be the amount actually invested, reduced by any dividend, distribution, return of capital or repayment received by such Person in respect of the Investment, but otherwise without adjustment for subsequent increases or decreases in the value of, or write-ups, write-downs or write-offs with respect to, such Investment.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any law, including, without limitation, any common law, constitution, statute, treaty, regulation, by-law, rule, ordinance, order, injunction, award, decree, determination or other official pronouncement of any Governmental Authority.</w:t>
      </w:r>
    </w:p>
    <w:p>
      <w:pPr>
        <w:spacing w:after="0" w:line="197"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Counterparty</w:t>
      </w:r>
      <w:r>
        <w:rPr>
          <w:rFonts w:ascii="Arial" w:cs="Arial" w:eastAsia="Arial" w:hAnsi="Arial"/>
          <w:sz w:val="17"/>
          <w:szCs w:val="17"/>
          <w:color w:val="auto"/>
        </w:rPr>
        <w:t xml:space="preserve">”: each Lender, the Administrative Agent and each of their respective Affiliates counterparty to a Hedge Agreement (including any Person who is the Administrative Agent or a Lender (or an Affiliate of the Administrative Agent or a Lender) as of the date of entering into such Hedge Agreement but subsequently ceases to be (or whose Affiliate ceases to be) Administrative Agent or a Lender,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entering into a Secured Hedge Agreement, no Lender Counterparty shall be a Defaulting Lender.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mortgage, pledge, hypothec, hypothecation, assignment, deposit arrangement, right of retention, encumbrance, lien (statutory or other), charge or other security interest or any preference, priority or other security agreement or preferential arrangement of any kind or nature whatsoever (including, without limitation, any conditional or installment sale or other title retention agreement and any Capital Lease having substantially the same economic effect as any of the foregoing).</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LNG Group Members</w:t>
      </w:r>
      <w:r>
        <w:rPr>
          <w:rFonts w:ascii="Arial" w:cs="Arial" w:eastAsia="Arial" w:hAnsi="Arial"/>
          <w:sz w:val="18"/>
          <w:szCs w:val="18"/>
          <w:color w:val="auto"/>
        </w:rPr>
        <w:t>”: Holdings, the Borrower and each Subsidiary of the Borrower.</w:t>
      </w:r>
    </w:p>
    <w:p>
      <w:pPr>
        <w:spacing w:after="0" w:line="252"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Security Documents, the Guarantee Agreements, each Intercompany Debt Subordination Agreement and the Term Loan Notes.</w:t>
      </w:r>
    </w:p>
    <w:p>
      <w:pPr>
        <w:spacing w:after="0" w:line="197"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xml:space="preserve">”: the collective reference to Holdings, the Borrower and each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direct or indirect parent of Holdings has been added as a Grantor at the request of the Borrower, “Loan Parties” shall include such direct or indirect parent of Holdings.</w:t>
      </w:r>
    </w:p>
    <w:p>
      <w:pPr>
        <w:spacing w:after="0" w:line="15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any circumstances or conditions affecting the business, assets, property or financial condition of the LNG Group Members, taken as a whole, that would have a material adverse effect on (a) the ability of the Borrower and the Guarantors, taken as a whole, to perform their payment obligations under this Agreement or any other Loan Document, (b) the rights or remedies of the Secured Parties under this Agreement or any other Loan Document or (c) the Plant, or any other business, assets, property or financial condition of the LNG Group Members, taken as a whole.</w:t>
      </w:r>
    </w:p>
    <w:p>
      <w:pPr>
        <w:spacing w:after="0" w:line="18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Construction-Related Contract</w:t>
      </w:r>
      <w:r>
        <w:rPr>
          <w:rFonts w:ascii="Arial" w:cs="Arial" w:eastAsia="Arial" w:hAnsi="Arial"/>
          <w:sz w:val="17"/>
          <w:szCs w:val="17"/>
          <w:color w:val="auto"/>
        </w:rPr>
        <w:t>”: (i) the Design-Build Agreement between the Borrower and OnQuest, Inc. dated as of June 9, 2014 (the “</w:t>
      </w:r>
      <w:r>
        <w:rPr>
          <w:rFonts w:ascii="Arial" w:cs="Arial" w:eastAsia="Arial" w:hAnsi="Arial"/>
          <w:sz w:val="17"/>
          <w:szCs w:val="17"/>
          <w:u w:val="single" w:color="auto"/>
          <w:color w:val="auto"/>
        </w:rPr>
        <w:t>Design-Build Agreement</w:t>
      </w:r>
      <w:r>
        <w:rPr>
          <w:rFonts w:ascii="Arial" w:cs="Arial" w:eastAsia="Arial" w:hAnsi="Arial"/>
          <w:sz w:val="17"/>
          <w:szCs w:val="17"/>
          <w:color w:val="auto"/>
        </w:rPr>
        <w:t>”), (ii) the Ground Lease, (iii) the LNG Sale and Purchase Agreement dated the date hereof between the Borrower and Florida East Coast Railway, L.L.C. (the “</w:t>
      </w:r>
      <w:r>
        <w:rPr>
          <w:rFonts w:ascii="Arial" w:cs="Arial" w:eastAsia="Arial" w:hAnsi="Arial"/>
          <w:sz w:val="17"/>
          <w:szCs w:val="17"/>
          <w:u w:val="single" w:color="auto"/>
          <w:color w:val="auto"/>
        </w:rPr>
        <w:t>LNG Sale and Purchase Agreement</w:t>
      </w:r>
      <w:r>
        <w:rPr>
          <w:rFonts w:ascii="Arial" w:cs="Arial" w:eastAsia="Arial" w:hAnsi="Arial"/>
          <w:sz w:val="17"/>
          <w:szCs w:val="17"/>
          <w:color w:val="auto"/>
        </w:rPr>
        <w:t>”), (iv) the Purchase Order dated as of May 27, 2014 between Chart Energy &amp; Chemicals Inc. and the Borrower (the “</w:t>
      </w:r>
      <w:r>
        <w:rPr>
          <w:rFonts w:ascii="Arial" w:cs="Arial" w:eastAsia="Arial" w:hAnsi="Arial"/>
          <w:sz w:val="17"/>
          <w:szCs w:val="17"/>
          <w:u w:val="single" w:color="auto"/>
          <w:color w:val="auto"/>
        </w:rPr>
        <w:t>Chart Energy Purchase Order</w:t>
      </w:r>
      <w:r>
        <w:rPr>
          <w:rFonts w:ascii="Arial" w:cs="Arial" w:eastAsia="Arial" w:hAnsi="Arial"/>
          <w:sz w:val="17"/>
          <w:szCs w:val="17"/>
          <w:color w:val="auto"/>
        </w:rPr>
        <w:t>”), (v) any material written agreement between any LNG Group Member and an engineer or architect in connection with construction of the Plant, (vi) any material permit or written approval, agreement or contract necessary for the construction, use or operation of the Plant at any date of determination for the current stage of construction of the Plant at such date and (vii) any agreement or contract, including any Permit, with annual payments required to be made by LNG Group Members in excess of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-726440</wp:posOffset>
            </wp:positionV>
            <wp:extent cx="28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2" w:name="page183"/>
    <w:bookmarkEnd w:id="182"/>
    <w:p>
      <w:pPr>
        <w:ind w:right="10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Environmental Amount</w:t>
      </w:r>
      <w:r>
        <w:rPr>
          <w:rFonts w:ascii="Arial" w:cs="Arial" w:eastAsia="Arial" w:hAnsi="Arial"/>
          <w:sz w:val="17"/>
          <w:szCs w:val="17"/>
          <w:color w:val="auto"/>
        </w:rPr>
        <w:t>”: an amount or amounts payable by the LNG Group Members, individually or in the aggregate in excess of $1,000,000, for: (a) costs to comply with any Environmental Law; (b) costs of any investigation, and any remediation, of any Hazardous Material or any condition relating to the Environment; (c) compensatory damages (including, without limitation, damages to natural resources), punitive damages, fines, and penalties pursuant to any Environmental Law; and (d) any other costs arising out of any Environmental Claim.</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the earliest of (a) if the Maturity Extension Option is not exercised pursuant to Section 2.25, the Original Maturity Date,</w:t>
      </w:r>
    </w:p>
    <w:p>
      <w:pPr>
        <w:spacing w:after="0" w:line="35" w:lineRule="exact"/>
        <w:rPr>
          <w:sz w:val="20"/>
          <w:szCs w:val="20"/>
          <w:color w:val="auto"/>
        </w:rPr>
      </w:pPr>
    </w:p>
    <w:p>
      <w:pPr>
        <w:ind w:right="20" w:firstLine="8"/>
        <w:spacing w:after="0" w:line="254"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if the Maturity Extension Option is exercised pursuant to Section 2.25, the date set forth in the Maturity Extension Notice (which date shall not be more than 18 months after the Original Maturity Date), and (c) the date on which all Term Loans shall become due and payable in full hereunder, whether by acceleration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such date is not a Business Day, then the applicable Maturity Date shall be the immediately preceding Business Day.</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252"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xml:space="preserve">”: the real properties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and, subject to Section 5.10, the real properties acquired by any Loan Party after the Closing Date, as to which the Administrative Agent for the benefit of the Secured Parties shall be granted a Lien pursuant to one or more Mortgages.</w:t>
      </w:r>
    </w:p>
    <w:p>
      <w:pPr>
        <w:spacing w:after="0" w:line="208"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each of the mortgages, leasehold mortgages, leasehold deeds of trust or deeds of trust, including, without limitation, assignments of leases and rents, whether in the same or a separate agreement, made by any Loan Party in favor of, or for the benefit of, the Administrative Agent for the benefit of the Secured Parties, in form and substance reasonably satisfactory to the Required Consent Parties taking into consideration the law of the jurisdiction in which such mortgage or deed of trust is to be recorded, registered or filed, to the extent applicable, as the same may be amended, supplemented or otherwise modified from time to time.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MSBNA</w:t>
      </w:r>
      <w:r>
        <w:rPr>
          <w:rFonts w:ascii="Arial" w:cs="Arial" w:eastAsia="Arial" w:hAnsi="Arial"/>
          <w:sz w:val="18"/>
          <w:szCs w:val="18"/>
          <w:color w:val="auto"/>
        </w:rPr>
        <w:t>”: Morgan Stanley Bank, N.A.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MSSF</w:t>
      </w:r>
      <w:r>
        <w:rPr>
          <w:rFonts w:ascii="Arial" w:cs="Arial" w:eastAsia="Arial" w:hAnsi="Arial"/>
          <w:sz w:val="18"/>
          <w:szCs w:val="18"/>
          <w:color w:val="auto"/>
        </w:rPr>
        <w:t>”: as defined in the preamble hereto.</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(a) in connection with any Asset Sale or any Recovery Event, the proceeds thereof in the form of cash and Cash Equivalents actually received by any LNG Group Member (including any such proceeds received by way of deferred payment of principal pursuant to a note or installment receivable or purchase price adjustment receivable or otherwise, but only as and when such cash or Cash Equivalents is received) of such Asset Sale or Recovery Event, net of (1) attorneys’ fees, accountants’ fees, investment banking fees and brokerage and sales commissions paid to third parties that are not LNG Group Members, (2) amounts required to be applied to the repayment of Indebtedness secured by a Lien permitted hereunder on any asset which is the subject of such Asset Sale or Recovery Event (other than any Lien pursuant to a Security Document) or otherwise subject to mandatory prepayment as a result of such Asset Sale or Recovery Event, and all accrued interest, premiums and fees incurred and payable in connection with the repayment of such Indebtedness, (3) other customary fees paid to third parties that are not LNG Group Members, (4) expenses actually incurred in connection therewith, including any and all costs incurred and payable in connection with the repair and/or restoration of any property in connection with any Recovery Event with respect to such property and (5) taxes paid or reasonably estimated to be payable as a result thereof (after taking into account any available tax credits or deductions and any tax sharing arrangements) and the amount of any reserves established to fund indemnification payments (fixed or contingent) or other contingent liabilities (including purchase price adjustments, payments made in connection with non-compete agreements, retained liabilities (such as pension and other post-employment benefit liabilities and liabilities related to environmental matters)) reasonably estimated to be payable as a result thereof; and (b) in connection with any issuance or sale of debt securities or instruments or the incurrence of Indebtedness, the cash proceeds actually received from such issuance or incurrence, net of any reasonable acquisition or construction costs, attorneys’ fees, investment banking fees, accountants’ fees, underwriting discounts and commissions and other customary fees and expenses actually incurred in connection therewith. Notwithstanding the foregoing, the amount of Net Cash Proceeds from any Asset Sale or Recovery Event, issuance or sale of debt securities or the incurrence of loans received by any LNG Group Member that is not a Wholly Owned Subsidiary shall be deemed to equal the amount received by the non-Wholly Owned Subsidiary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amount of Capital Stock of such non-Wholly Owned Sub-sidiary beneficially owned by the LNG Group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Contractual Obligation of such non-Wholly Owned Subsidiary or Requirement of Law prohibits a distribution of such Net Cash Proceeds, such Net Cash Proceeds shall be deemed to have been received by an LNG Group Member upon the earlier of (x) the date of the actual receipt of such Net Cash Proceeds by the Borrower or a Wholly Owned Subsidiary holding an ownership interest in such non-Wholly Owned Subsidiary and (y) the date such Net Cash Proceeds are first permitted to be distributed by such non-Wholly Owned Subsidiary to the Borrower or a Wholly Owned Subsidiary holding an ownership interest in such non-Wholly Owned Subsidiary.</w:t>
      </w: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any Subsidiary that is not a Subsidiary Guarantor.</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material non-public information (within the meaning of United States federal, state or other applicable securities laws) with respect to the LNG Group Members or their securities.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a Funding Notice or a Conversion/Continuation Notice.</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with reference to any Available Amount that is proposed to be applied to a particular use or transaction, that such proceeds were not previously applied in determining the permissibility of a prior transaction under the Loan Documents where such permissibility was (or may have been) contingent on the receipt or availability of such proceeds (including (i) any application of the proceeds of equity issued in connection with the exercise of a Cure Right pursuant to Section 7.3 and (ii) the Aggregate Equity Contribution made prior to the satisfaction of the Equity Fulfillment Condition).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4" w:name="page185"/>
    <w:bookmarkEnd w:id="184"/>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(i) in the case of the Borrower, the Borrower Obligations, and (ii) in the case of each Guarantor, its Guarantor Obligations.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Indebtedness</w:t>
      </w:r>
      <w:r>
        <w:rPr>
          <w:rFonts w:ascii="Arial" w:cs="Arial" w:eastAsia="Arial" w:hAnsi="Arial"/>
          <w:sz w:val="18"/>
          <w:szCs w:val="18"/>
          <w:color w:val="auto"/>
        </w:rPr>
        <w:t>”: as defined in the definition of “Refinancing Indebtedness.”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Maturity Date</w:t>
      </w:r>
      <w:r>
        <w:rPr>
          <w:rFonts w:ascii="Arial" w:cs="Arial" w:eastAsia="Arial" w:hAnsi="Arial"/>
          <w:sz w:val="18"/>
          <w:szCs w:val="18"/>
          <w:color w:val="auto"/>
        </w:rPr>
        <w:t>”: May 24, 2018.</w:t>
      </w:r>
    </w:p>
    <w:p>
      <w:pPr>
        <w:spacing w:after="0" w:line="252"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all present or future stamp, court or documentary, intangible, recording, filing or similar taxes arising from any payment made hereunder or under any other Loan Document or from the execution, delivery, performance, enforcement or registration of, or otherwise with respect to, this Agreement or any other Loan Document (and any interest, additions to tax or penalties applicable thereto) (excluding, in each case, any such amounts imposed as a result of an assignment by a Lender (other than an assignment made pursuant to Section 2.24) that are imposed as a result of a present or former connection of the assignor or assignee with the jurisdiction imposing such tax, other than any connection arising from having executed, delivered, enforced, become a party to, performed its obligations under, received payments under, received or perfected a security interest under, engaged in any other transaction pursuant to and/or enforced any Loan Documents).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Fortress Equity Partners (A) LP, a Delaware limited partnership.</w:t>
      </w:r>
    </w:p>
    <w:p>
      <w:pPr>
        <w:spacing w:after="0" w:line="25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Uniting and Strengthening America by Providing Appropriate Tools Required to Intercept and Obstruct Terrorism Act (Title III of Pub. L. 107-56 (signed into law October 26, 2001)).</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252"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a “pension plan,” as such term is defined in section 3(2) of ERISA, which is subject to Title IV of ERISA (other than a Multiemployer Plan), and to which the Borrower may have liability, including any liability by reason of the Borrower’s (i) being jointly and severally liable for liabilities of any Commonly Controlled Entity in connection with such Pension Plan, (ii) having been a substantial employer within the meaning of section 4063 of ERISA at any time during the preceding five years, or (iii) being deemed to be a contributing sponsor under section 4069 of ERISA.</w:t>
      </w:r>
    </w:p>
    <w:p>
      <w:pPr>
        <w:spacing w:after="0" w:line="19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20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any acquisition, directly or indirectly, by any LNG Group Member, whether by purchase, merger or otherwise, of no less than 50% of the assets of, the Capital Stock of, or a business line or unit or a division of,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5" w:name="page186"/>
    <w:bookmarkEnd w:id="185"/>
    <w:p>
      <w:pPr>
        <w:ind w:left="660" w:firstLine="645"/>
        <w:spacing w:after="0" w:line="293" w:lineRule="auto"/>
        <w:tabs>
          <w:tab w:leader="none" w:pos="207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 the case of the acquisition of Capital Stock, all of the Capital Stock (except for any such Capital Stock in the nature of directors’ qualifying shares or other similar shares required pursuant to applicable Law) acquired in connection with such acquisition shall be owned, directly or indirectly, by the Borrower or a Subsidiary thereof, and the Borrower shall have taken, or caused to be taken, within the time periods and subject to the limitations specified therein, each of the actions set forth in Section 5.10;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Acquisition Consideration paid in connection with all acquisitions of Persons that do not become Loan Parties or, in the case of a purchase or acquisition of assets other than Capital Stock, not owned by Loan Parties, shall not exceed 5.0% of Total Assets as determined immediately prior to such acquisition; and</w:t>
      </w:r>
    </w:p>
    <w:p>
      <w:pPr>
        <w:spacing w:after="0" w:line="218" w:lineRule="exact"/>
        <w:rPr>
          <w:rFonts w:ascii="Arial" w:cs="Arial" w:eastAsia="Arial" w:hAnsi="Arial"/>
          <w:sz w:val="16"/>
          <w:szCs w:val="16"/>
          <w:color w:val="auto"/>
        </w:rPr>
      </w:pPr>
    </w:p>
    <w:p>
      <w:pPr>
        <w:ind w:left="660" w:firstLine="645"/>
        <w:spacing w:after="0" w:line="259" w:lineRule="auto"/>
        <w:tabs>
          <w:tab w:leader="none" w:pos="206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the time of, and immediately following, the execution and delivery by the applicable LNG Group Members of the definitive documentation relating to such acquisition, no Event of Default shall exist, and after giving effect to such acquisition, the LNG Group Members shall be in Pro Forma Compliance with a Total Secured Debt Leverage Ratio of not more than 2.50:1.00 as of the last day of the Test Period most recently ended for which financial statements are required to have been delivered pursuant to Section 5.1.</w:t>
      </w:r>
    </w:p>
    <w:p>
      <w:pPr>
        <w:spacing w:after="0" w:line="214"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Investors</w:t>
      </w:r>
      <w:r>
        <w:rPr>
          <w:rFonts w:ascii="Arial" w:cs="Arial" w:eastAsia="Arial" w:hAnsi="Arial"/>
          <w:sz w:val="18"/>
          <w:szCs w:val="18"/>
          <w:color w:val="auto"/>
        </w:rPr>
        <w:t xml:space="preserve">”: the collective reference to Fortress and its Control Investment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definition of “Permitted Investors” shall not include any Control Investment Affiliate whose primary purpose is the operation of an ongoing business (excluding any business whose primary purpose is the investment of capital or assets).</w:t>
      </w:r>
    </w:p>
    <w:p>
      <w:pPr>
        <w:spacing w:after="0" w:line="208"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general partnership, limited partnership, limited liability partnership, corporation, limited liability company, unlimited liability company, business trust, joint stock company, trust, unincorporated association, joint venture, Governmental Authority or other entity of whatever nature.</w:t>
      </w:r>
    </w:p>
    <w:p>
      <w:pPr>
        <w:spacing w:after="0" w:line="20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Plant</w:t>
      </w:r>
      <w:r>
        <w:rPr>
          <w:rFonts w:ascii="Arial" w:cs="Arial" w:eastAsia="Arial" w:hAnsi="Arial"/>
          <w:sz w:val="18"/>
          <w:szCs w:val="18"/>
          <w:color w:val="auto"/>
        </w:rPr>
        <w:t>”: the liquid natural gas liquefaction plant located at 6800 NW 72nd Street in Miami, Florida, and as more fully described in the Mortgage, under construction by the Borrower as of the Closing Date.</w:t>
      </w:r>
    </w:p>
    <w:p>
      <w:pPr>
        <w:spacing w:after="0" w:line="19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Plant Completion Date</w:t>
      </w:r>
      <w:r>
        <w:rPr>
          <w:rFonts w:ascii="Arial" w:cs="Arial" w:eastAsia="Arial" w:hAnsi="Arial"/>
          <w:sz w:val="17"/>
          <w:szCs w:val="17"/>
          <w:color w:val="auto"/>
        </w:rPr>
        <w:t>”: the first date occurring on or after occurrence of the Final Completion (as defined in the Design-Build Agreement as in effect on the Closing Date), as reasonably determined by the Borrower in consultation with its independent engineers and the Required Consent Parties and certified as such by a Responsible Officer of the Borrower in an officer’s certificate delivered to the Administrative Agent.</w:t>
      </w:r>
    </w:p>
    <w:p>
      <w:pPr>
        <w:spacing w:after="0" w:line="193"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Plant Encumbrance Date</w:t>
      </w:r>
      <w:r>
        <w:rPr>
          <w:rFonts w:ascii="Arial" w:cs="Arial" w:eastAsia="Arial" w:hAnsi="Arial"/>
          <w:sz w:val="18"/>
          <w:szCs w:val="18"/>
          <w:color w:val="auto"/>
        </w:rPr>
        <w:t xml:space="preserve">”: the date on which the Administrative Agent and the Required Consent Parties receive evidence reasonably satisfactory to them that the Borrower’s lease of the real property on which the Plant is under construction as of the Closing Date is subject to a perfected first priority Mortgage for the benefit of the Administrative Agent and the Secured Parties and the other requirements set forth in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are satisfied pursuant to the terms of such </w:t>
      </w:r>
      <w:r>
        <w:rPr>
          <w:rFonts w:ascii="Arial" w:cs="Arial" w:eastAsia="Arial" w:hAnsi="Arial"/>
          <w:sz w:val="18"/>
          <w:szCs w:val="18"/>
          <w:u w:val="single" w:color="auto"/>
          <w:color w:val="auto"/>
        </w:rPr>
        <w:t>Schedule 5.12</w:t>
      </w:r>
      <w:r>
        <w:rPr>
          <w:rFonts w:ascii="Arial" w:cs="Arial" w:eastAsia="Arial" w:hAnsi="Arial"/>
          <w:sz w:val="18"/>
          <w:szCs w:val="18"/>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6" w:name="page187"/>
    <w:bookmarkEnd w:id="186"/>
    <w:p>
      <w:pPr>
        <w:ind w:right="3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Agreements</w:t>
      </w:r>
      <w:r>
        <w:rPr>
          <w:rFonts w:ascii="Arial" w:cs="Arial" w:eastAsia="Arial" w:hAnsi="Arial"/>
          <w:sz w:val="17"/>
          <w:szCs w:val="17"/>
          <w:color w:val="auto"/>
        </w:rPr>
        <w:t>”: collectively, (i) the Pledge Agreement, dated as of the Closing Date, made by certain Loan Parties in favor of the Administrative Agent for the benefit of the Secured Parties and governed by the Laws of the State of New York and (ii) any such other pledge agreement made in favor of the Administrative Agent for the benefit of the Secured Parties in form and substance reasonably satisfactory to the Required Consent Parties, in each case, as the same may be amended, restated, supplemented or otherwise modified from time to time.</w:t>
      </w:r>
    </w:p>
    <w:p>
      <w:pPr>
        <w:spacing w:after="0" w:line="19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with respect to each Grantor, the shares of Capital Stock of any other Person in which such Grantor has granted a security interest to the Administrative Agent, for the benefit of the Secured Parties, pursuant to the Pledge Agreements, together with any other shares, stock or partnership unit certificates, options or rights of any nature whatsoever in respect of such Capital Stock that may be issued or granted to, or held by, such Grantor.</w:t>
      </w:r>
    </w:p>
    <w:p>
      <w:pPr>
        <w:spacing w:after="0" w:line="214"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the rate of interest quoted in the print edition of The Wall Street Journal, Money Rates Section as the Prime Rate (currently defined as the base rate on corporate loans in Dollars posted by at least 70% of the nation’s ten (10)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9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197"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or “</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for the purposes of determining the occurrence of an Excess Cash Restriction Period or for purposes of calculating the Total Debt Leverage Ratio or the Total Secured Debt Leverage Ratio as of any date, determined on a pro forma basis by giving pro forma effect to (A)(1) the Transactions occurring on the Closing Date (to the extent then applicable), (2) all Permitted Acquisitions, (3) all Investments and Capital Expenditures, (4) any estimated net impact on Consolidated EBITDA as a result of contracted revenue as evidenced in a written agreement in effect as of the last day of the applicable Test Period (and as adjusted, if required, for estimated costs and expenses in connection with performance under such contract) of the Borrower or any of its Subsidiaries for which the Borrower shall have delivered an officer’s certificate from a Responsible Officer of the Borrower to the Administrative Agent in respect of the foregoing, together with component calculations thereof in reasonable detail, in each case, subject to the then-available physical capacity of the Plant as of the last day of the applicable Test Period (as reasonably determined by the Borrower in consultation with the Administrative Agent), and (5) all Dispositions of any material assets outside of the ordinary course of business (and in each case, the incurrence or repayment of any Indebtedness in connection therewith) that have occurred during the Test Period most recently ended (or, if such calculation is being made for the purpose of determining whether (i) any proposed acquisition will constitute (or will be permitted as) a Permitted Acquisition, (ii) any Indebtedness or Liens may be incurred or (iii) any Disposition or Restricted Payment made, (x) during the applicable Test Period or (y) subsequent to the end of the applicable Test Period and prior to or simultaneously with the event for which the calculation of any such ratio is made) or (B) actions taken, committed to be taken or expected in good faith to be taken no later than 12 months after the end of such Test Period, in each case, as if they occurred on the first day of such Test Period. Whenever pro forma effect is to be given to any such transaction or such action, the pro forma calculations shall be made in good faith by a Responsible Officer of the Borrower and may include expected cost savings, operating expense reductions and synergies projected by the Borrower in good faith to result from such transactions or actions (without duplication of actual cost savings, operating expense reductions and synergies), as though such cost savings, operating expense reductions and synergies had been realized on the first day of such Test Period and as if such cost savings, operating expense reductions and synergies were realized during the entirety of such Test Period, to the extent such cost savings, operating expense reductions and synergies would be permitted to be reflected in pro forma financial information complying with Regulation S-X under the Securities Act of 1933, as interpreted by the staff of the SEC, and as certified by a Responsible Officer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amounts shall be added back as a pro forma adjustment hereunder to the extent duplicative of any amounts that are otherwise added back in calculating Consolidated EBITDA.</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7" w:name="page188"/>
    <w:bookmarkEnd w:id="187"/>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with respect to all payments, computations and other matters relating to the Term Loan of any Lender, the percentage obtained by dividing (a) the Term Loan Exposure of that Lender by (b) the aggregate Term Loan Exposure of all Lenders.</w:t>
      </w:r>
    </w:p>
    <w:p>
      <w:pPr>
        <w:spacing w:after="0" w:line="197"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w:t>
      </w:r>
      <w:r>
        <w:rPr>
          <w:rFonts w:ascii="Arial" w:cs="Arial" w:eastAsia="Arial" w:hAnsi="Arial"/>
          <w:sz w:val="17"/>
          <w:szCs w:val="17"/>
          <w:color w:val="auto"/>
        </w:rPr>
        <w:t>”: any right or interest in or to property of any kind whatsoever, whether real or immovable, personal or moveable or mixed and whether tangible or intangible, corporeal or incorporeal, including, without limitation, Capital Stock, Ground Lease and the Plant.</w:t>
      </w:r>
    </w:p>
    <w:p>
      <w:pPr>
        <w:spacing w:after="0" w:line="17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Lenders</w:t>
      </w:r>
      <w:r>
        <w:rPr>
          <w:rFonts w:ascii="Arial" w:cs="Arial" w:eastAsia="Arial" w:hAnsi="Arial"/>
          <w:sz w:val="18"/>
          <w:szCs w:val="18"/>
          <w:color w:val="auto"/>
        </w:rPr>
        <w:t>”: Lenders that do not wish to receive Non-Public Information with respect to the LNG Group Members or their Affiliates or the securities of any of the foregoing.</w:t>
      </w:r>
    </w:p>
    <w:p>
      <w:pPr>
        <w:spacing w:after="0" w:line="197" w:lineRule="exact"/>
        <w:rPr>
          <w:sz w:val="20"/>
          <w:szCs w:val="20"/>
          <w:color w:val="auto"/>
        </w:rPr>
      </w:pPr>
    </w:p>
    <w:p>
      <w:pPr>
        <w:ind w:right="5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Recovery Event</w:t>
      </w:r>
      <w:r>
        <w:rPr>
          <w:rFonts w:ascii="Arial" w:cs="Arial" w:eastAsia="Arial" w:hAnsi="Arial"/>
          <w:sz w:val="17"/>
          <w:szCs w:val="17"/>
          <w:color w:val="auto"/>
        </w:rPr>
        <w:t>”: the actual receipt of any settlement of or payment in respect of any property or casualty insurance claim or any condemnation proceeding or eminent domain proceeding relating to any Casualty Event of any asset of any LNG Group Member.</w:t>
      </w:r>
    </w:p>
    <w:p>
      <w:pPr>
        <w:spacing w:after="0" w:line="174"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with respect to any Indebtedness (the “</w:t>
      </w:r>
      <w:r>
        <w:rPr>
          <w:rFonts w:ascii="Arial" w:cs="Arial" w:eastAsia="Arial" w:hAnsi="Arial"/>
          <w:sz w:val="18"/>
          <w:szCs w:val="18"/>
          <w:u w:val="single" w:color="auto"/>
          <w:color w:val="auto"/>
        </w:rPr>
        <w:t>Original Indebtedness</w:t>
      </w:r>
      <w:r>
        <w:rPr>
          <w:rFonts w:ascii="Arial" w:cs="Arial" w:eastAsia="Arial" w:hAnsi="Arial"/>
          <w:sz w:val="18"/>
          <w:szCs w:val="18"/>
          <w:color w:val="auto"/>
        </w:rPr>
        <w:t xml:space="preserve">”), modifications, refinancing, refundings, renewals or extensions of such Original Indebtedness, or Indebtedness issued in exchange for, or the net proceeds of which are used to extend, refinance, renew, replace, defease or refund such Original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35" w:lineRule="exact"/>
        <w:rPr>
          <w:sz w:val="20"/>
          <w:szCs w:val="20"/>
          <w:color w:val="auto"/>
        </w:rPr>
      </w:pPr>
    </w:p>
    <w:p>
      <w:pPr>
        <w:jc w:val="both"/>
        <w:ind w:left="660" w:right="100" w:firstLine="645"/>
        <w:spacing w:after="0" w:line="264" w:lineRule="auto"/>
        <w:tabs>
          <w:tab w:leader="none" w:pos="20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principal amount (or accreted value, if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unfunded commitments of such Refinancing Indebtedness does not exceed the principal amount (or accreted value, if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unfunded commitments of the Original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related fees and expenses and other amounts paid, unpaid accrued interest and premium thereon);</w:t>
      </w:r>
    </w:p>
    <w:p>
      <w:pPr>
        <w:spacing w:after="0" w:line="235" w:lineRule="exact"/>
        <w:rPr>
          <w:rFonts w:ascii="Arial" w:cs="Arial" w:eastAsia="Arial" w:hAnsi="Arial"/>
          <w:sz w:val="18"/>
          <w:szCs w:val="18"/>
          <w:color w:val="auto"/>
        </w:rPr>
      </w:pPr>
    </w:p>
    <w:p>
      <w:pPr>
        <w:ind w:left="660" w:right="320" w:firstLine="645"/>
        <w:spacing w:after="0" w:line="277" w:lineRule="auto"/>
        <w:tabs>
          <w:tab w:leader="none" w:pos="20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weighted average life to maturity of such Refinancing Indebtedness is greater than or equal to (and the maturity of such Refinancing Indebtedness is no earlier than) that of the Original Indebtedness;</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88" w:name="page189"/>
    <w:bookmarkEnd w:id="188"/>
    <w:p>
      <w:pPr>
        <w:ind w:left="660" w:right="20" w:firstLine="645"/>
        <w:spacing w:after="0" w:line="273" w:lineRule="auto"/>
        <w:tabs>
          <w:tab w:leader="none" w:pos="206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Refinancing Indebtedness shall not have different obligors than the obligors under the Term Loans (unless such obligors are obligors under the Original Indebtedness, or if the obligors under the Original Indebtedness are Non-Guarantor Subsidiaries, obligors under the Original Indebtedness and other Non-Guarantor Subsidiaries) or greater guarantees or security than the guarantees and security provided in respect of the Obligations (unless such guarantees and security are the same as provided in respect of the Original Indebtedness, or if the guarantees and security under the Original Indebtedness are provided by Non-Guarantor Subsidiaries, additional guarantees and security provided by such Non-Guarantor Subsidiaries or additional Non-Guarantor Subsidiaries);</w:t>
      </w:r>
    </w:p>
    <w:p>
      <w:pPr>
        <w:spacing w:after="0" w:line="232" w:lineRule="exact"/>
        <w:rPr>
          <w:rFonts w:ascii="Arial" w:cs="Arial" w:eastAsia="Arial" w:hAnsi="Arial"/>
          <w:sz w:val="17"/>
          <w:szCs w:val="17"/>
          <w:color w:val="auto"/>
        </w:rPr>
      </w:pPr>
    </w:p>
    <w:p>
      <w:pPr>
        <w:jc w:val="both"/>
        <w:ind w:left="660" w:right="380" w:firstLine="645"/>
        <w:spacing w:after="0" w:line="264" w:lineRule="auto"/>
        <w:tabs>
          <w:tab w:leader="none" w:pos="20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Original Indebtedness is subordinated in right of payment to the Obligations, such Refinancing Indebtedness shall be subordinated in right of payment on terms at least as favorable to the Lenders as those contained in the documentation governing the Original Indebtedness; and</w:t>
      </w:r>
    </w:p>
    <w:p>
      <w:pPr>
        <w:spacing w:after="0" w:line="235" w:lineRule="exact"/>
        <w:rPr>
          <w:rFonts w:ascii="Arial" w:cs="Arial" w:eastAsia="Arial" w:hAnsi="Arial"/>
          <w:sz w:val="18"/>
          <w:szCs w:val="18"/>
          <w:color w:val="auto"/>
        </w:rPr>
      </w:pPr>
    </w:p>
    <w:p>
      <w:pPr>
        <w:ind w:left="660" w:right="60" w:firstLine="645"/>
        <w:spacing w:after="0" w:line="264" w:lineRule="auto"/>
        <w:tabs>
          <w:tab w:leader="none" w:pos="20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extent the Liens securing such Original Indebtedness are subordinated to the Liens securing the Obligations, the Liens, if any, securing such Refinancing Indebtedness are subordinated to the Liens securing the Obligations pursuant to intercreditor arrangements reasonably acceptable to the Required Consent Parties.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Regulation D of the Board as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Regulation T of the Board as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Regulation X of the Board as in effect from time to time.</w:t>
      </w:r>
    </w:p>
    <w:p>
      <w:pPr>
        <w:spacing w:after="0" w:line="252"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with respect to any Lender, any fund that (x) invests in commercial loans and (y) is managed or advised by the same investment advisor as such Lender, by such Lender or an affiliate of such Lender.</w:t>
      </w:r>
    </w:p>
    <w:p>
      <w:pPr>
        <w:spacing w:after="0" w:line="19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with respect to any Person, such Person’s Affiliates and the partners, directors, officers, employees, agents, trustees and advisors of such Person and of such Person’s Affiliates.</w:t>
      </w:r>
    </w:p>
    <w:p>
      <w:pPr>
        <w:spacing w:after="0" w:line="19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4241 of ERISA.</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notice requirement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52" w:right="399" w:bottom="1440" w:gutter="0" w:footer="0" w:header="0"/>
        </w:sectPr>
      </w:pPr>
    </w:p>
    <w:bookmarkStart w:id="189" w:name="page190"/>
    <w:bookmarkEnd w:id="189"/>
    <w:p>
      <w:pPr>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Consent Parties</w:t>
      </w:r>
      <w:r>
        <w:rPr>
          <w:rFonts w:ascii="Arial" w:cs="Arial" w:eastAsia="Arial" w:hAnsi="Arial"/>
          <w:sz w:val="17"/>
          <w:szCs w:val="17"/>
          <w:color w:val="auto"/>
        </w:rPr>
        <w:t xml:space="preserve">”: (i) prior to the date that MSBNA, Credit Suisse and their respective Affiliates no longer hold more than 50% of the aggregate Term Loan Exposure of all Lenders (treating any Participants with respect to any Term Loans and Commitments of MSBNA, Credit Suisse and their respective Affiliates as the “Lenders” with respect to such Term Loans and Commitments), the Required Lenders, and (ii) on and after such date,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the purposes of Section 5.2, Section 5.6 and the definition of Plant Encumbrance Date, “Required Consent Parties” means (i) prior to the date that neither (x) MSBNA and its Affiliates nor (y) Credit Suisse and its Affiliates, in each case hold at least 50% of the aggregate Term Loan Exposure of all Lenders (treating any Participants with respect to any Term Loans and Commitments of MSBNA, Credit Suisse and their respective Affiliates as the “Lenders” with respect to such Term Loans and Commitments), then either (A) if MSBNA and its Affiliates hold at least 50% of the aggregate Term Loan Exposure of all Lenders (treating any Participants with respect to any Term Loans and Commitments of MSBNA and its respective Affiliates as the “Lenders” with respect to such Term Loans and Commitments), MSBNA, or (B) if Credit Suisse and its Affiliates hold at least 50% of the aggregate Term Loan Exposure of all Lenders (treating any Participants with respect to any Term Loans and Commitments of Credit Suisse and its respective Affiliates as the “Lenders” with respect to such Term Loans and Commitments), Credit Suisse, and (ii) on and after such date, the Administrative Agent.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one or more Lenders having or holding more than 50% of the aggregate Term Loan Exposure of all Lenders.</w:t>
      </w:r>
    </w:p>
    <w:p>
      <w:pPr>
        <w:spacing w:after="0" w:line="264"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Requirements of Law</w:t>
      </w:r>
      <w:r>
        <w:rPr>
          <w:rFonts w:ascii="Arial" w:cs="Arial" w:eastAsia="Arial" w:hAnsi="Arial"/>
          <w:sz w:val="16"/>
          <w:szCs w:val="16"/>
          <w:color w:val="auto"/>
        </w:rPr>
        <w:t>”: as to any Person, the certificate of incorporation and by-laws or other organizational or governing documents of such Person, and any Law applicable to or binding upon such Person or any of its Property or to which such Person or any of its Property is subject.</w:t>
      </w:r>
    </w:p>
    <w:p>
      <w:pPr>
        <w:spacing w:after="0" w:line="151" w:lineRule="exact"/>
        <w:rPr>
          <w:sz w:val="20"/>
          <w:szCs w:val="20"/>
          <w:color w:val="auto"/>
        </w:rPr>
      </w:pPr>
    </w:p>
    <w:p>
      <w:pPr>
        <w:jc w:val="both"/>
        <w:ind w:right="7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with respect to Holdings or the Borrower, the chief executive officer, president, chief financial officer, vice president, treasurer, assistant treasurer, controller, secretary, assistant secretary, board member or manager of Holdings or the Borrower, or any other authorized officer or signatory of Holdings or the Borrower reasonably acceptable to the Administrative Agent.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successors thereto or an analogous Governmental Authority).</w:t>
      </w:r>
    </w:p>
    <w:p>
      <w:pPr>
        <w:spacing w:after="0" w:line="252"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each Hedge Agreement permitted under Section 6.2 that is entered into by and between the Borrower or any Subsidiary and any Lender Counterparty.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a collective reference to the Administrative Agent, the Lenders and the Lender Counterparties.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0" w:name="page191"/>
    <w:bookmarkEnd w:id="190"/>
    <w:p>
      <w:pPr>
        <w:jc w:val="both"/>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Agreement, dated as of the Closing Date, made by the Loan Parties in favor of the Administrative Agent for the benefit of the Secured Parties.</w:t>
      </w:r>
    </w:p>
    <w:p>
      <w:pPr>
        <w:spacing w:after="0" w:line="197" w:lineRule="exact"/>
        <w:rPr>
          <w:sz w:val="20"/>
          <w:szCs w:val="20"/>
          <w:color w:val="auto"/>
        </w:rPr>
      </w:pPr>
    </w:p>
    <w:p>
      <w:pPr>
        <w:jc w:val="both"/>
        <w:ind w:right="4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the collective reference to (i) the Pledge Agreements, (ii) the Security Agreement, (iii) the Mortgages, (iv) the Depositary Agreement, (v) the Intellectual Property Security Agreements (if any) and (vi) all other security documents now or hereafter delivered to the Administrative Agent granting (or purporting to grant) a Lien on any Property of any Person to secure the Obligations.</w:t>
      </w:r>
    </w:p>
    <w:p>
      <w:pPr>
        <w:spacing w:after="0" w:line="193"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Business</w:t>
      </w:r>
      <w:r>
        <w:rPr>
          <w:rFonts w:ascii="Arial" w:cs="Arial" w:eastAsia="Arial" w:hAnsi="Arial"/>
          <w:sz w:val="16"/>
          <w:szCs w:val="16"/>
          <w:color w:val="auto"/>
        </w:rPr>
        <w:t>”: any business conducted or proposed to be conducted by the LNG Group Members on the Closing Date or any business that is similar, reasonably related, incidental, ancillary or complementary thereto, or is a reasonable extension, development or expansion thereof.</w:t>
      </w:r>
    </w:p>
    <w:p>
      <w:pPr>
        <w:spacing w:after="0" w:line="15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at any date, with respect to the LNG Group Members viewed for all purposes of this definition on a consolidated basis, that (a) the sum of the debt (including contingent liabilities) of the LNG Group Members does not exceed the present fair saleable value of the present assets of the LNG Group Members; (b) the capital of the LNG Group Members is not unreasonably small in relation to their business as contemplated on such date or with respect to any transaction contemplated to be undertaken after such date; and (c) the LNG Group Members have not incurred, and do not intend to incur, debts beyond their ability to pay such debts as they become due (whether at maturity or otherwise).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20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as to any Person (a) any corporation of which more than 50% of the outstanding Capital Stock having ordinary voting power to elect the board of directors of such corporation (irrespective of whether at the time Capital Stock of any other class or classes of such corporation shall or might have voting power upon the occurrence of any contingency) is at the time directly or indirectly owned (i) by such Person, (ii) by such Person and one or more subsidiaries of such Person, or (iii) by one or more subsidiaries of such Person; or (b) any trust, partnership, joint venture or other Person as to which such Person, or one or more subsidiaries of such Person, owns more than 50% of the voting ownership, equity or similar interest of such trust, partnership, joint venture or other Person, as the case may be. Each reference herein or in any other Loan Document to a “Subsidiary” shall be deemed to exclude Unrestricted Subsidiaries unless expressly noted otherwise.</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each Subsidiary of the Borrower providing a guarantee of the Obligations pursuant to a Guarantee Agreement.</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as defined in “Excluded Swap Obligations.”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as defined in the recitals hereto.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Exposure</w:t>
      </w:r>
      <w:r>
        <w:rPr>
          <w:rFonts w:ascii="Arial" w:cs="Arial" w:eastAsia="Arial" w:hAnsi="Arial"/>
          <w:sz w:val="18"/>
          <w:szCs w:val="18"/>
          <w:color w:val="auto"/>
        </w:rPr>
        <w:t xml:space="preserve">”: with respect to any Lender, as of any date of determination, the outstanding principal amount of the Term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unused Commitment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prior to the making of the initial Term Loans, the Term Loan Exposure of any Lender shall be equal to such Lender’s Commitment. For the avoidance of doubt, any assignments of Term Loans pursuant to Section 9.6 shall require a ratable assignment of the unused Commitment of such Lender.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as defined in the recitals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Note</w:t>
      </w:r>
      <w:r>
        <w:rPr>
          <w:rFonts w:ascii="Arial" w:cs="Arial" w:eastAsia="Arial" w:hAnsi="Arial"/>
          <w:sz w:val="16"/>
          <w:szCs w:val="16"/>
          <w:color w:val="auto"/>
        </w:rPr>
        <w:t xml:space="preserve">”: a promissory note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as it may be amended, restated, supplemented or otherwise modified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3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Conditions</w:t>
      </w:r>
      <w:r>
        <w:rPr>
          <w:rFonts w:ascii="Arial" w:cs="Arial" w:eastAsia="Arial" w:hAnsi="Arial"/>
          <w:sz w:val="18"/>
          <w:szCs w:val="18"/>
          <w:color w:val="auto"/>
        </w:rPr>
        <w:t>”: collectively, (a) the payment in full in cash of the Obligations (other than (i) Unasserted Contingent Obligations and (ii) Obligations owing to Lender Counterparties under any Secured Hedge Agreement that are not then due and payable) and (b) the termination of the Commitments.</w:t>
      </w:r>
    </w:p>
    <w:p>
      <w:pPr>
        <w:spacing w:after="0" w:line="208"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at any date, the most recently ended period of four consecutive fiscal quarters (taken as one accounting period) of the Borrower for which financial statements have been or are required to be delivered pursuant to Section 5.1.</w:t>
      </w:r>
    </w:p>
    <w:p>
      <w:pPr>
        <w:spacing w:after="0" w:line="19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at any date, the total assets of the LNG Group Members determined on a consolidated basis in accordance with GAAP as shown on the most recent consolidated balance sheet of the Borrower and its Subsidiaries delivered pursuant to Section 5.1.</w:t>
      </w:r>
    </w:p>
    <w:p>
      <w:pPr>
        <w:spacing w:after="0" w:line="197"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Cash</w:t>
      </w:r>
      <w:r>
        <w:rPr>
          <w:rFonts w:ascii="Arial" w:cs="Arial" w:eastAsia="Arial" w:hAnsi="Arial"/>
          <w:sz w:val="18"/>
          <w:szCs w:val="18"/>
          <w:color w:val="auto"/>
        </w:rPr>
        <w:t>”: at any date, the aggregate amount of cash and Cash Equivalents of the Borrower and its Subsidiaries determined on a consolidated basis in accordance with GAAP.</w:t>
      </w:r>
    </w:p>
    <w:p>
      <w:pPr>
        <w:spacing w:after="0" w:line="19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w:t>
      </w:r>
      <w:r>
        <w:rPr>
          <w:rFonts w:ascii="Arial" w:cs="Arial" w:eastAsia="Arial" w:hAnsi="Arial"/>
          <w:sz w:val="18"/>
          <w:szCs w:val="18"/>
          <w:color w:val="auto"/>
        </w:rPr>
        <w:t>”: at any date, without duplication, the aggregate principal amount of all Indebtedness of the type specified in clauses (a), (c), (e) and (h) (solely with respect to Guarantee Obligations in respect of obligations of the kind referred to in clauses (a), (c) and (e) of the definition of “Indebtedness”) of the definition thereof, determined on a consolidated basis in accordance with GAAP, as shown on the most recent consolidated balance sheet of the Borrower and its Subsidiaries delivered pursuant to Section 5.1, excluding bank guarantees and similar instruments and revolving credit lines, to the extent undrawn.</w:t>
      </w:r>
    </w:p>
    <w:p>
      <w:pPr>
        <w:spacing w:after="0" w:line="215" w:lineRule="exact"/>
        <w:rPr>
          <w:sz w:val="20"/>
          <w:szCs w:val="20"/>
          <w:color w:val="auto"/>
        </w:rPr>
      </w:pPr>
    </w:p>
    <w:p>
      <w:pPr>
        <w:ind w:right="4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 Leverage Ratio</w:t>
      </w:r>
      <w:r>
        <w:rPr>
          <w:rFonts w:ascii="Arial" w:cs="Arial" w:eastAsia="Arial" w:hAnsi="Arial"/>
          <w:sz w:val="17"/>
          <w:szCs w:val="17"/>
          <w:color w:val="auto"/>
        </w:rPr>
        <w:t xml:space="preserve">”: as of the last day of any Test Period, the ratio of (a)(i) Total Debt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aggregate amount of Unrestricted Cash as of such date, to (b) Consolidated EBITDA of the Borrower for such four consecutive fiscal quarters.</w:t>
      </w:r>
    </w:p>
    <w:p>
      <w:pPr>
        <w:spacing w:after="0" w:line="174"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Secured Debt</w:t>
      </w:r>
      <w:r>
        <w:rPr>
          <w:rFonts w:ascii="Arial" w:cs="Arial" w:eastAsia="Arial" w:hAnsi="Arial"/>
          <w:sz w:val="16"/>
          <w:szCs w:val="16"/>
          <w:color w:val="auto"/>
        </w:rPr>
        <w:t>”: at any date, without duplication, the aggregate principal amount of Total Debt which is secured by a Lien, determined on a consolidated basis in accordance with GAAP, as shown on the most recent consolidated balance sheet of the Borrower and its Subsidiaries delivered pursuant to Section 5.1, (x) including without limitation, any secured Indebtedness incurred in connection with construction or land development or acquisitions and Capital Lease Obligations, and (y) excluding any Indebtedness secured by Liens that are subordinated to the Liens securing the Obligations.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2" w:name="page193"/>
    <w:bookmarkEnd w:id="192"/>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Secured Debt Leverage Ratio</w:t>
      </w:r>
      <w:r>
        <w:rPr>
          <w:rFonts w:ascii="Arial" w:cs="Arial" w:eastAsia="Arial" w:hAnsi="Arial"/>
          <w:sz w:val="18"/>
          <w:szCs w:val="18"/>
          <w:color w:val="auto"/>
        </w:rPr>
        <w:t xml:space="preserve">”: as of the last day of any Test Period, the ratio of (a) (i) Total Secured Debt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aggregate amount of Unrestricted Cash as of such date, to (b) Consolidated EBITDA of the Borrower for such period.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as defined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 of Term Loan</w:t>
      </w:r>
      <w:r>
        <w:rPr>
          <w:rFonts w:ascii="Arial" w:cs="Arial" w:eastAsia="Arial" w:hAnsi="Arial"/>
          <w:sz w:val="18"/>
          <w:szCs w:val="18"/>
          <w:color w:val="auto"/>
        </w:rPr>
        <w:t>”: a Base Rate Loan or a Eurodollar Rate Loan.</w:t>
      </w:r>
    </w:p>
    <w:p>
      <w:pPr>
        <w:spacing w:after="0" w:line="252" w:lineRule="exact"/>
        <w:rPr>
          <w:sz w:val="20"/>
          <w:szCs w:val="20"/>
          <w:color w:val="auto"/>
        </w:rPr>
      </w:pPr>
    </w:p>
    <w:p>
      <w:pPr>
        <w:jc w:val="both"/>
        <w:ind w:right="4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Unasserted Contingent Obligations</w:t>
      </w:r>
      <w:r>
        <w:rPr>
          <w:rFonts w:ascii="Arial" w:cs="Arial" w:eastAsia="Arial" w:hAnsi="Arial"/>
          <w:sz w:val="18"/>
          <w:szCs w:val="18"/>
          <w:color w:val="auto"/>
        </w:rPr>
        <w:t>”: at any date,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21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at any date, Total Cash on the consolidated balance sheet of the Borrower and its Subsidiaries to the extent that the use of such Total Cash for application to payment of the Obligations or other Indebtedness is not prohibited by law or any contract or other agreement and such Total Cash is free and clear of all Liens (other than Liens in favor of the Administrative Agent for the benefit of the Secured Parties and Liens permitted under Section 6.3(t)).</w:t>
      </w:r>
    </w:p>
    <w:p>
      <w:pPr>
        <w:spacing w:after="0" w:line="214"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any Subsidiary of the Borrower designated by the Borrower as an Unrestricted Subsidiary pursuant to Section 5.15. There shall be no Unrestricted Subsidiaries prior to the Plant Completion Date.</w:t>
      </w:r>
    </w:p>
    <w:p>
      <w:pPr>
        <w:spacing w:after="0" w:line="197" w:lineRule="exact"/>
        <w:rPr>
          <w:sz w:val="20"/>
          <w:szCs w:val="20"/>
          <w:color w:val="auto"/>
        </w:rPr>
      </w:pPr>
    </w:p>
    <w:p>
      <w:pPr>
        <w:jc w:val="both"/>
        <w:ind w:right="4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as to any LNG Group Member, any other Person all of the Capital Stock of which (other than directors’ qualifying shares or other similar shares required pursuant to applicable Law) is owned by the Loan Parties directly and/or through other Wholly Owned Subsidiaries.</w:t>
      </w:r>
    </w:p>
    <w:p>
      <w:pPr>
        <w:spacing w:after="0" w:line="23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w:t>
      </w:r>
    </w:p>
    <w:p>
      <w:pPr>
        <w:spacing w:after="0" w:line="279" w:lineRule="exact"/>
        <w:rPr>
          <w:sz w:val="20"/>
          <w:szCs w:val="20"/>
          <w:color w:val="auto"/>
        </w:rPr>
      </w:pPr>
    </w:p>
    <w:p>
      <w:pPr>
        <w:ind w:right="240" w:firstLine="1305"/>
        <w:spacing w:after="0" w:line="277" w:lineRule="auto"/>
        <w:tabs>
          <w:tab w:leader="none" w:pos="20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224" w:lineRule="exact"/>
        <w:rPr>
          <w:rFonts w:ascii="Arial" w:cs="Arial" w:eastAsia="Arial" w:hAnsi="Arial"/>
          <w:sz w:val="18"/>
          <w:szCs w:val="18"/>
          <w:color w:val="auto"/>
        </w:rPr>
      </w:pPr>
    </w:p>
    <w:p>
      <w:pPr>
        <w:ind w:right="20" w:firstLine="1305"/>
        <w:spacing w:after="0" w:line="281" w:lineRule="auto"/>
        <w:tabs>
          <w:tab w:leader="none" w:pos="20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As used herein and in the other Loan Documents, and any certificate or other document made or delivered pursuant hereto or thereto, accounting terms relating to Holdings, the Borrower and their respective Subsidiaries not defined in Section 1.1 and accounting terms partly defined in Section 1.1, to the extent not defined, shall have the respective meanings given to them under GAAP; provided that if the Borrower notifies the Administrative Agent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w:t>
      </w:r>
      <w:r>
        <w:rPr>
          <w:rFonts w:ascii="Arial" w:cs="Arial" w:eastAsia="Arial" w:hAnsi="Arial"/>
          <w:sz w:val="19"/>
          <w:szCs w:val="19"/>
          <w:color w:val="auto"/>
        </w:rPr>
        <w:t>tive until such notice shall have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been withdrawn or such provision amended in accordance herewith.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3" w:name="page194"/>
    <w:bookmarkEnd w:id="193"/>
    <w:p>
      <w:pPr>
        <w:ind w:right="460" w:firstLine="1305"/>
        <w:spacing w:after="0" w:line="264" w:lineRule="auto"/>
        <w:tabs>
          <w:tab w:leader="none" w:pos="20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90" w:lineRule="exact"/>
        <w:rPr>
          <w:rFonts w:ascii="Arial" w:cs="Arial" w:eastAsia="Arial" w:hAnsi="Arial"/>
          <w:sz w:val="17"/>
          <w:szCs w:val="17"/>
          <w:color w:val="auto"/>
        </w:rPr>
      </w:pPr>
    </w:p>
    <w:p>
      <w:pPr>
        <w:ind w:right="80" w:firstLine="1305"/>
        <w:spacing w:after="0" w:line="259" w:lineRule="auto"/>
        <w:tabs>
          <w:tab w:leader="none" w:pos="20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calculations of financial ratios set forth herein shall be calculated to the same number of decimal places as the relevant ratios are expressed in and shall be rounded upward if the number in the decimal place immediately following the last calculated decimal place is five or greater. For example, if the relevant ratio is to be calculated to the hundredth decimal place and the calculation of the ratio is 5.126, the ratio will be rounded up to 5.13.</w:t>
      </w:r>
    </w:p>
    <w:p>
      <w:pPr>
        <w:spacing w:after="0" w:line="240" w:lineRule="exact"/>
        <w:rPr>
          <w:rFonts w:ascii="Arial" w:cs="Arial" w:eastAsia="Arial" w:hAnsi="Arial"/>
          <w:sz w:val="18"/>
          <w:szCs w:val="18"/>
          <w:color w:val="auto"/>
        </w:rPr>
      </w:pPr>
    </w:p>
    <w:p>
      <w:pPr>
        <w:ind w:right="40" w:firstLine="1305"/>
        <w:spacing w:after="0" w:line="264" w:lineRule="auto"/>
        <w:tabs>
          <w:tab w:leader="none" w:pos="201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w:t>
      </w:r>
    </w:p>
    <w:p>
      <w:pPr>
        <w:spacing w:after="0" w:line="235" w:lineRule="exact"/>
        <w:rPr>
          <w:rFonts w:ascii="Arial" w:cs="Arial" w:eastAsia="Arial" w:hAnsi="Arial"/>
          <w:sz w:val="18"/>
          <w:szCs w:val="18"/>
          <w:color w:val="auto"/>
        </w:rPr>
      </w:pPr>
    </w:p>
    <w:p>
      <w:pPr>
        <w:ind w:right="180" w:firstLine="1305"/>
        <w:spacing w:after="0" w:line="277" w:lineRule="auto"/>
        <w:tabs>
          <w:tab w:leader="none" w:pos="20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statute includes all regulations made pursuant to such statute and, unless otherwise specified, the provisions of any statute or regulation which amends, revises, restates, supplements or supersedes any such statute or any such regulation.</w:t>
      </w:r>
    </w:p>
    <w:p>
      <w:pPr>
        <w:spacing w:after="0" w:line="224"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Timing of Payment or Performance</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w:t>
      </w:r>
    </w:p>
    <w:p>
      <w:pPr>
        <w:spacing w:after="0" w:line="279" w:lineRule="exact"/>
        <w:rPr>
          <w:sz w:val="20"/>
          <w:szCs w:val="20"/>
          <w:color w:val="auto"/>
        </w:rPr>
      </w:pPr>
    </w:p>
    <w:p>
      <w:pPr>
        <w:ind w:right="20" w:firstLine="1305"/>
        <w:spacing w:after="0" w:line="259" w:lineRule="auto"/>
        <w:tabs>
          <w:tab w:leader="none" w:pos="20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purposes of determining compliance with Sections 6.2, 6.3 and 6.8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240" w:lineRule="exact"/>
        <w:rPr>
          <w:rFonts w:ascii="Arial" w:cs="Arial" w:eastAsia="Arial" w:hAnsi="Arial"/>
          <w:sz w:val="18"/>
          <w:szCs w:val="18"/>
          <w:color w:val="auto"/>
        </w:rPr>
      </w:pPr>
    </w:p>
    <w:p>
      <w:pPr>
        <w:ind w:right="200" w:firstLine="1305"/>
        <w:spacing w:after="0" w:line="281" w:lineRule="auto"/>
        <w:tabs>
          <w:tab w:leader="none" w:pos="204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(subject to the following proviso) or determination and shall not be affected by subsequent fluctuations in exchange rates;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Total Debt Leverage Ratio or Total Secured Debt Leverage Ratio, amounts de</w:t>
      </w:r>
      <w:r>
        <w:rPr>
          <w:rFonts w:ascii="Arial" w:cs="Arial" w:eastAsia="Arial" w:hAnsi="Arial"/>
          <w:sz w:val="19"/>
          <w:szCs w:val="19"/>
          <w:color w:val="auto"/>
        </w:rPr>
        <w:t>nominated in a currency other than Dollars will be converted to Dollars at</w:t>
      </w:r>
    </w:p>
    <w:p>
      <w:pPr>
        <w:spacing w:after="0" w:line="1" w:lineRule="exact"/>
        <w:rPr>
          <w:sz w:val="20"/>
          <w:szCs w:val="20"/>
          <w:color w:val="auto"/>
        </w:rPr>
      </w:pPr>
    </w:p>
    <w:p>
      <w:pPr>
        <w:ind w:right="820"/>
        <w:spacing w:after="0" w:line="237" w:lineRule="auto"/>
        <w:rPr>
          <w:sz w:val="20"/>
          <w:szCs w:val="20"/>
          <w:color w:val="auto"/>
        </w:rPr>
      </w:pPr>
      <w:r>
        <w:rPr>
          <w:rFonts w:ascii="Arial" w:cs="Arial" w:eastAsia="Arial" w:hAnsi="Arial"/>
          <w:sz w:val="22"/>
          <w:szCs w:val="22"/>
          <w:color w:val="auto"/>
        </w:rPr>
        <w:t>the currency exchange rates used in preparing the financial statements corresponding to the Test Period with respect to the applicable date of determination.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194" w:name="page195"/>
    <w:bookmarkEnd w:id="194"/>
    <w:p>
      <w:pPr>
        <w:ind w:right="640" w:firstLine="1297"/>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As used in this Agreement, the following terms shall have the respective meanings set forth in the described Sections.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gridSpan w:val="2"/>
          </w:tcPr>
          <w:p>
            <w:pPr>
              <w:ind w:left="580"/>
              <w:spacing w:after="0"/>
              <w:rPr>
                <w:sz w:val="20"/>
                <w:szCs w:val="20"/>
                <w:color w:val="auto"/>
              </w:rPr>
            </w:pPr>
            <w:r>
              <w:rPr>
                <w:rFonts w:ascii="Arial" w:cs="Arial" w:eastAsia="Arial" w:hAnsi="Arial"/>
                <w:sz w:val="14"/>
                <w:szCs w:val="14"/>
                <w:b w:val="1"/>
                <w:bCs w:val="1"/>
                <w:color w:val="auto"/>
              </w:rPr>
              <w:t>Defined Term</w:t>
            </w:r>
          </w:p>
        </w:tc>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ind w:left="580"/>
              <w:spacing w:after="0"/>
              <w:rPr>
                <w:sz w:val="20"/>
                <w:szCs w:val="20"/>
                <w:color w:val="auto"/>
              </w:rPr>
            </w:pPr>
            <w:r>
              <w:rPr>
                <w:rFonts w:ascii="Arial" w:cs="Arial" w:eastAsia="Arial" w:hAnsi="Arial"/>
                <w:sz w:val="14"/>
                <w:szCs w:val="14"/>
                <w:b w:val="1"/>
                <w:bCs w:val="1"/>
                <w:color w:val="auto"/>
              </w:rPr>
              <w:t>Section</w:t>
            </w:r>
          </w:p>
        </w:tc>
        <w:tc>
          <w:tcPr>
            <w:tcW w:w="560" w:type="dxa"/>
            <w:vAlign w:val="bottom"/>
          </w:tcPr>
          <w:p>
            <w:pPr>
              <w:spacing w:after="0"/>
              <w:rPr>
                <w:sz w:val="16"/>
                <w:szCs w:val="16"/>
                <w:color w:val="auto"/>
              </w:rPr>
            </w:pPr>
          </w:p>
        </w:tc>
      </w:tr>
      <w:tr>
        <w:trPr>
          <w:trHeight w:val="73"/>
        </w:trPr>
        <w:tc>
          <w:tcPr>
            <w:tcW w:w="580" w:type="dxa"/>
            <w:vAlign w:val="bottom"/>
          </w:tcPr>
          <w:p>
            <w:pPr>
              <w:spacing w:after="0"/>
              <w:rPr>
                <w:sz w:val="6"/>
                <w:szCs w:val="6"/>
                <w:color w:val="auto"/>
              </w:rPr>
            </w:pPr>
          </w:p>
        </w:tc>
        <w:tc>
          <w:tcPr>
            <w:tcW w:w="4040" w:type="dxa"/>
            <w:vAlign w:val="bottom"/>
          </w:tcPr>
          <w:p>
            <w:pPr>
              <w:spacing w:after="0"/>
              <w:rPr>
                <w:sz w:val="6"/>
                <w:szCs w:val="6"/>
                <w:color w:val="auto"/>
              </w:rPr>
            </w:pPr>
          </w:p>
        </w:tc>
        <w:tc>
          <w:tcPr>
            <w:tcW w:w="454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560" w:type="dxa"/>
            <w:vAlign w:val="bottom"/>
          </w:tcPr>
          <w:p>
            <w:pPr>
              <w:spacing w:after="0"/>
              <w:rPr>
                <w:sz w:val="6"/>
                <w:szCs w:val="6"/>
                <w:color w:val="auto"/>
              </w:rPr>
            </w:pPr>
          </w:p>
        </w:tc>
      </w:tr>
      <w:tr>
        <w:trPr>
          <w:trHeight w:val="202"/>
        </w:trPr>
        <w:tc>
          <w:tcPr>
            <w:tcW w:w="58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“Accounting Change”</w:t>
            </w:r>
          </w:p>
        </w:tc>
        <w:tc>
          <w:tcPr>
            <w:tcW w:w="4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9.15</w:t>
            </w:r>
          </w:p>
        </w:tc>
        <w:tc>
          <w:tcPr>
            <w:tcW w:w="560" w:type="dxa"/>
            <w:vAlign w:val="bottom"/>
          </w:tcPr>
          <w:p>
            <w:pPr>
              <w:spacing w:after="0"/>
              <w:rPr>
                <w:sz w:val="17"/>
                <w:szCs w:val="17"/>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“Affected Lender”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2.19(b)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“Affected Loans”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2.19(b)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“Affiliated Lender”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9.6(d)</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“Agent Parties”</w:t>
            </w:r>
          </w:p>
        </w:tc>
        <w:tc>
          <w:tcPr>
            <w:tcW w:w="6240" w:type="dxa"/>
            <w:vAlign w:val="bottom"/>
            <w:gridSpan w:val="3"/>
          </w:tcPr>
          <w:p>
            <w:pPr>
              <w:jc w:val="center"/>
              <w:ind w:left="4530"/>
              <w:spacing w:after="0"/>
              <w:rPr>
                <w:sz w:val="20"/>
                <w:szCs w:val="20"/>
                <w:color w:val="auto"/>
              </w:rPr>
            </w:pPr>
            <w:r>
              <w:rPr>
                <w:rFonts w:ascii="Arial" w:cs="Arial" w:eastAsia="Arial" w:hAnsi="Arial"/>
                <w:sz w:val="18"/>
                <w:szCs w:val="18"/>
                <w:color w:val="auto"/>
                <w:w w:val="87"/>
              </w:rPr>
              <w:t>9.2</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“Aggregate Amounts Due”</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2.18</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“Agreement Currency”</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9.17(b)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“Applicable Creditor”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9.17(b)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“Asset Sale Threshold Amount”</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2.15(a)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“Assignee”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9.6(c)</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“Assignor”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9.6(c)</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“Auction”</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9.6(i)(ii)</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“Benefited Lender”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9.7(a)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“Borrower Loan Purchase”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9.6(i)(i)</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“Borrower Loan Purchase Effective Date”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9.6(i)(v)</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“Borrower Materials”</w:t>
            </w:r>
          </w:p>
        </w:tc>
        <w:tc>
          <w:tcPr>
            <w:tcW w:w="6240" w:type="dxa"/>
            <w:vAlign w:val="bottom"/>
            <w:gridSpan w:val="3"/>
          </w:tcPr>
          <w:p>
            <w:pPr>
              <w:jc w:val="center"/>
              <w:ind w:left="4530"/>
              <w:spacing w:after="0"/>
              <w:rPr>
                <w:sz w:val="20"/>
                <w:szCs w:val="20"/>
                <w:color w:val="auto"/>
              </w:rPr>
            </w:pPr>
            <w:r>
              <w:rPr>
                <w:rFonts w:ascii="Arial" w:cs="Arial" w:eastAsia="Arial" w:hAnsi="Arial"/>
                <w:sz w:val="18"/>
                <w:szCs w:val="18"/>
                <w:color w:val="auto"/>
                <w:w w:val="87"/>
              </w:rPr>
              <w:t>9.2</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“Cure Amount”</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7.3(a)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“Cure Right”</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7.3(a)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“Delivery Date”</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3.24</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“Eligible Collateral Property”</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5.10(e)</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“Equity Fulfillment Condition”</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2.1(a)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“FATCA”</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2.21(a)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“FCPA”</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3.23(a)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“Granting Lender”</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9.6(g)</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“In-Balance Test”</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6.17</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“Increased Cost Lender”</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2.24</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“Indemnified Liabilities”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9.5(a)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“Indemnitee”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9.5(a)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“Information”</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9.14</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“Installment”</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2.13</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“Judgment Currency”</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9.17(b)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“Junior Debt”</w:t>
            </w:r>
          </w:p>
        </w:tc>
        <w:tc>
          <w:tcPr>
            <w:tcW w:w="6240" w:type="dxa"/>
            <w:vAlign w:val="bottom"/>
            <w:gridSpan w:val="3"/>
          </w:tcPr>
          <w:p>
            <w:pPr>
              <w:jc w:val="center"/>
              <w:ind w:left="4530"/>
              <w:spacing w:after="0"/>
              <w:rPr>
                <w:sz w:val="20"/>
                <w:szCs w:val="20"/>
                <w:color w:val="auto"/>
              </w:rPr>
            </w:pPr>
            <w:r>
              <w:rPr>
                <w:rFonts w:ascii="Arial" w:cs="Arial" w:eastAsia="Arial" w:hAnsi="Arial"/>
                <w:sz w:val="18"/>
                <w:szCs w:val="18"/>
                <w:color w:val="auto"/>
                <w:w w:val="87"/>
              </w:rPr>
              <w:t>6.9</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“Maturity Extension Option”</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2.25</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“Non-Consenting Lender”</w:t>
            </w:r>
          </w:p>
        </w:tc>
        <w:tc>
          <w:tcPr>
            <w:tcW w:w="6240" w:type="dxa"/>
            <w:vAlign w:val="bottom"/>
            <w:gridSpan w:val="3"/>
          </w:tcPr>
          <w:p>
            <w:pPr>
              <w:jc w:val="center"/>
              <w:ind w:left="4510"/>
              <w:spacing w:after="0"/>
              <w:rPr>
                <w:sz w:val="20"/>
                <w:szCs w:val="20"/>
                <w:color w:val="auto"/>
              </w:rPr>
            </w:pPr>
            <w:r>
              <w:rPr>
                <w:rFonts w:ascii="Arial" w:cs="Arial" w:eastAsia="Arial" w:hAnsi="Arial"/>
                <w:sz w:val="18"/>
                <w:szCs w:val="18"/>
                <w:color w:val="auto"/>
                <w:w w:val="91"/>
              </w:rPr>
              <w:t>2.24</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“Non-Excluded Taxes”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2.21(a)</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“OFAC”</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3.23(b)</w:t>
            </w:r>
          </w:p>
        </w:tc>
        <w:tc>
          <w:tcPr>
            <w:tcW w:w="560" w:type="dxa"/>
            <w:vAlign w:val="bottom"/>
          </w:tcPr>
          <w:p>
            <w:pPr>
              <w:spacing w:after="0"/>
              <w:rPr>
                <w:sz w:val="18"/>
                <w:szCs w:val="18"/>
                <w:color w:val="auto"/>
              </w:rPr>
            </w:pPr>
          </w:p>
        </w:tc>
      </w:tr>
      <w:tr>
        <w:trPr>
          <w:trHeight w:val="216"/>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“Participant”</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9.6(b)</w:t>
            </w:r>
          </w:p>
        </w:tc>
        <w:tc>
          <w:tcPr>
            <w:tcW w:w="560" w:type="dxa"/>
            <w:vAlign w:val="bottom"/>
          </w:tcPr>
          <w:p>
            <w:pPr>
              <w:spacing w:after="0"/>
              <w:rPr>
                <w:sz w:val="18"/>
                <w:szCs w:val="18"/>
                <w:color w:val="auto"/>
              </w:rPr>
            </w:pPr>
          </w:p>
        </w:tc>
      </w:tr>
      <w:tr>
        <w:trPr>
          <w:trHeight w:val="230"/>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“Participant Register”</w:t>
            </w:r>
          </w:p>
        </w:tc>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9.6(b)</w:t>
            </w:r>
          </w:p>
        </w:tc>
        <w:tc>
          <w:tcPr>
            <w:tcW w:w="560" w:type="dxa"/>
            <w:vAlign w:val="bottom"/>
          </w:tcPr>
          <w:p>
            <w:pPr>
              <w:spacing w:after="0"/>
              <w:rPr>
                <w:sz w:val="20"/>
                <w:szCs w:val="20"/>
                <w:color w:val="auto"/>
              </w:rPr>
            </w:pPr>
          </w:p>
        </w:tc>
      </w:tr>
      <w:tr>
        <w:trPr>
          <w:trHeight w:val="635"/>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540" w:type="dxa"/>
            <w:vAlign w:val="bottom"/>
          </w:tcPr>
          <w:p>
            <w:pPr>
              <w:jc w:val="right"/>
              <w:ind w:right="327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52" w:right="2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gridSpan w:val="2"/>
          </w:tcPr>
          <w:p>
            <w:pPr>
              <w:ind w:left="580"/>
              <w:spacing w:after="0"/>
              <w:rPr>
                <w:sz w:val="20"/>
                <w:szCs w:val="20"/>
                <w:color w:val="auto"/>
              </w:rPr>
            </w:pPr>
            <w:r>
              <w:rPr>
                <w:rFonts w:ascii="Arial" w:cs="Arial" w:eastAsia="Arial" w:hAnsi="Arial"/>
                <w:sz w:val="14"/>
                <w:szCs w:val="14"/>
                <w:b w:val="1"/>
                <w:bCs w:val="1"/>
                <w:color w:val="auto"/>
              </w:rPr>
              <w:t>Defined Term</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ind w:left="580"/>
              <w:spacing w:after="0"/>
              <w:rPr>
                <w:sz w:val="20"/>
                <w:szCs w:val="20"/>
                <w:color w:val="auto"/>
              </w:rPr>
            </w:pPr>
            <w:r>
              <w:rPr>
                <w:rFonts w:ascii="Arial" w:cs="Arial" w:eastAsia="Arial" w:hAnsi="Arial"/>
                <w:sz w:val="14"/>
                <w:szCs w:val="14"/>
                <w:b w:val="1"/>
                <w:bCs w:val="1"/>
                <w:color w:val="auto"/>
              </w:rPr>
              <w:t>Section</w:t>
            </w:r>
          </w:p>
        </w:tc>
      </w:tr>
      <w:tr>
        <w:trPr>
          <w:trHeight w:val="73"/>
        </w:trPr>
        <w:tc>
          <w:tcPr>
            <w:tcW w:w="58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r>
      <w:tr>
        <w:trPr>
          <w:trHeight w:val="202"/>
        </w:trPr>
        <w:tc>
          <w:tcPr>
            <w:tcW w:w="580" w:type="dxa"/>
            <w:vAlign w:val="bottom"/>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“Platform”</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auto"/>
                <w:w w:val="87"/>
              </w:rPr>
              <w:t>5.2</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“Private Side Information”</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5.2</w:t>
            </w:r>
          </w:p>
        </w:tc>
      </w:tr>
      <w:tr>
        <w:trPr>
          <w:trHeight w:val="216"/>
        </w:trPr>
        <w:tc>
          <w:tcPr>
            <w:tcW w:w="1540" w:type="dxa"/>
            <w:vAlign w:val="bottom"/>
            <w:gridSpan w:val="2"/>
          </w:tcPr>
          <w:p>
            <w:pPr>
              <w:ind w:left="580"/>
              <w:spacing w:after="0"/>
              <w:rPr>
                <w:sz w:val="20"/>
                <w:szCs w:val="20"/>
                <w:color w:val="auto"/>
              </w:rPr>
            </w:pPr>
            <w:r>
              <w:rPr>
                <w:rFonts w:ascii="Arial" w:cs="Arial" w:eastAsia="Arial" w:hAnsi="Arial"/>
                <w:sz w:val="18"/>
                <w:szCs w:val="18"/>
                <w:color w:val="auto"/>
              </w:rPr>
              <w:t>“Recipient”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2.21(a)</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“Refused Proceeds”</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2.16(c)</w:t>
            </w:r>
          </w:p>
        </w:tc>
      </w:tr>
      <w:tr>
        <w:trPr>
          <w:trHeight w:val="216"/>
        </w:trPr>
        <w:tc>
          <w:tcPr>
            <w:tcW w:w="1540" w:type="dxa"/>
            <w:vAlign w:val="bottom"/>
            <w:gridSpan w:val="2"/>
          </w:tcPr>
          <w:p>
            <w:pPr>
              <w:ind w:left="580"/>
              <w:spacing w:after="0"/>
              <w:rPr>
                <w:sz w:val="20"/>
                <w:szCs w:val="20"/>
                <w:color w:val="auto"/>
              </w:rPr>
            </w:pPr>
            <w:r>
              <w:rPr>
                <w:rFonts w:ascii="Arial" w:cs="Arial" w:eastAsia="Arial" w:hAnsi="Arial"/>
                <w:sz w:val="18"/>
                <w:szCs w:val="18"/>
                <w:color w:val="auto"/>
              </w:rPr>
              <w:t>“Register”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2.8(b)</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“Repair Plan”</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2.15(b)(iv)</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“Replacement Lender”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2.24</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“Required Prepayment Date”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2.16(c)</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“Restricted Payments”</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6.6</w:t>
            </w:r>
          </w:p>
        </w:tc>
      </w:tr>
      <w:tr>
        <w:trPr>
          <w:trHeight w:val="216"/>
        </w:trPr>
        <w:tc>
          <w:tcPr>
            <w:tcW w:w="1540" w:type="dxa"/>
            <w:vAlign w:val="bottom"/>
            <w:gridSpan w:val="2"/>
          </w:tcPr>
          <w:p>
            <w:pPr>
              <w:ind w:left="580"/>
              <w:spacing w:after="0"/>
              <w:rPr>
                <w:sz w:val="20"/>
                <w:szCs w:val="20"/>
                <w:color w:val="auto"/>
              </w:rPr>
            </w:pPr>
            <w:r>
              <w:rPr>
                <w:rFonts w:ascii="Arial" w:cs="Arial" w:eastAsia="Arial" w:hAnsi="Arial"/>
                <w:sz w:val="18"/>
                <w:szCs w:val="18"/>
                <w:color w:val="auto"/>
              </w:rPr>
              <w:t>“SPC”</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9.6(g)</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“Successor Borrower”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6.4(a)</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“Successor Holdings”</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6.4(a)</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“Terminated Lender”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2.24</w:t>
            </w:r>
          </w:p>
        </w:tc>
      </w:tr>
      <w:tr>
        <w:trPr>
          <w:trHeight w:val="216"/>
        </w:trPr>
        <w:tc>
          <w:tcPr>
            <w:tcW w:w="1540" w:type="dxa"/>
            <w:vAlign w:val="bottom"/>
            <w:gridSpan w:val="2"/>
          </w:tcPr>
          <w:p>
            <w:pPr>
              <w:ind w:left="580"/>
              <w:spacing w:after="0"/>
              <w:rPr>
                <w:sz w:val="20"/>
                <w:szCs w:val="20"/>
                <w:color w:val="auto"/>
              </w:rPr>
            </w:pPr>
            <w:r>
              <w:rPr>
                <w:rFonts w:ascii="Arial" w:cs="Arial" w:eastAsia="Arial" w:hAnsi="Arial"/>
                <w:sz w:val="18"/>
                <w:szCs w:val="18"/>
                <w:color w:val="auto"/>
                <w:w w:val="94"/>
              </w:rPr>
              <w:t>“Transferee”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9.14</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“Undrawn Amount”</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2.12(a)</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“Undrawn Commitment Fees”</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2.12(a)</w:t>
            </w:r>
          </w:p>
        </w:tc>
      </w:tr>
      <w:tr>
        <w:trPr>
          <w:trHeight w:val="216"/>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“Voluntary Prepayment”</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6.9</w:t>
            </w:r>
          </w:p>
        </w:tc>
      </w:tr>
      <w:tr>
        <w:trPr>
          <w:trHeight w:val="230"/>
        </w:trPr>
        <w:tc>
          <w:tcPr>
            <w:tcW w:w="9240" w:type="dxa"/>
            <w:vAlign w:val="bottom"/>
            <w:gridSpan w:val="7"/>
          </w:tcPr>
          <w:p>
            <w:pPr>
              <w:ind w:left="580"/>
              <w:spacing w:after="0"/>
              <w:rPr>
                <w:sz w:val="20"/>
                <w:szCs w:val="20"/>
                <w:color w:val="auto"/>
              </w:rPr>
            </w:pPr>
            <w:r>
              <w:rPr>
                <w:rFonts w:ascii="Arial" w:cs="Arial" w:eastAsia="Arial" w:hAnsi="Arial"/>
                <w:sz w:val="18"/>
                <w:szCs w:val="18"/>
                <w:color w:val="auto"/>
              </w:rPr>
              <w:t>“Waivable Mandatory Prepayment”</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2.16(c)</w:t>
            </w:r>
          </w:p>
        </w:tc>
      </w:tr>
      <w:tr>
        <w:trPr>
          <w:trHeight w:val="446"/>
        </w:trPr>
        <w:tc>
          <w:tcPr>
            <w:tcW w:w="1540" w:type="dxa"/>
            <w:vAlign w:val="bottom"/>
            <w:gridSpan w:val="2"/>
          </w:tcPr>
          <w:p>
            <w:pPr>
              <w:jc w:val="right"/>
              <w:ind w:right="730"/>
              <w:spacing w:after="0"/>
              <w:rPr>
                <w:sz w:val="20"/>
                <w:szCs w:val="20"/>
                <w:color w:val="auto"/>
              </w:rPr>
            </w:pPr>
            <w:r>
              <w:rPr>
                <w:rFonts w:ascii="Arial" w:cs="Arial" w:eastAsia="Arial" w:hAnsi="Arial"/>
                <w:sz w:val="18"/>
                <w:szCs w:val="18"/>
                <w:color w:val="auto"/>
                <w:w w:val="87"/>
              </w:rPr>
              <w:t>Section 2.</w:t>
            </w: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LOANS</w:t>
            </w:r>
          </w:p>
        </w:tc>
        <w:tc>
          <w:tcPr>
            <w:tcW w:w="710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r>
      <w:tr>
        <w:trPr>
          <w:trHeight w:val="466"/>
        </w:trPr>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7180" w:type="dxa"/>
            <w:vAlign w:val="bottom"/>
            <w:gridSpan w:val="4"/>
          </w:tcPr>
          <w:p>
            <w:pPr>
              <w:spacing w:after="0"/>
              <w:rPr>
                <w:sz w:val="20"/>
                <w:szCs w:val="20"/>
                <w:color w:val="auto"/>
              </w:rPr>
            </w:pPr>
            <w:r>
              <w:rPr>
                <w:rFonts w:ascii="Arial" w:cs="Arial" w:eastAsia="Arial" w:hAnsi="Arial"/>
                <w:sz w:val="18"/>
                <w:szCs w:val="18"/>
                <w:color w:val="auto"/>
              </w:rPr>
              <w:t>Term Loans.</w:t>
            </w:r>
          </w:p>
        </w:tc>
        <w:tc>
          <w:tcPr>
            <w:tcW w:w="16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1305"/>
        <w:spacing w:after="0" w:line="268" w:lineRule="auto"/>
        <w:tabs>
          <w:tab w:leader="none" w:pos="203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Loan Commitments</w:t>
      </w:r>
      <w:r>
        <w:rPr>
          <w:rFonts w:ascii="Arial" w:cs="Arial" w:eastAsia="Arial" w:hAnsi="Arial"/>
          <w:sz w:val="17"/>
          <w:szCs w:val="17"/>
          <w:color w:val="auto"/>
        </w:rPr>
        <w:t>. Subject to the terms and conditions hereof, each Lender severally agrees to make, from time to time during the period from and including the Closing Date to but not including the earlier of (i) the Plant Completion Date and (ii) the second anniversary of the Closing Date, Term Loans to the Borrower in an aggregate amount up to but not exceeding such Lender’s Commitment. The Borrower may not borrow Term Loans on the Closing Date in an amount in excess of the Initial Equity Contribution. The Borrower may not borrow Term Loans on any Credit Date occurring prior to the Plant Encumbrance Date if such borrowing would cause (after giving effect to such borrowing) the aggregate principal amount of the Term Loans outstanding on such Credit Date to exceed the Initial Equity Contribution. The Borrower may not borrow Term Loans on any Credit Date until the date that the Aggregate Equity Contribution exceeds $24,300,000 (the “</w:t>
      </w:r>
      <w:r>
        <w:rPr>
          <w:rFonts w:ascii="Arial" w:cs="Arial" w:eastAsia="Arial" w:hAnsi="Arial"/>
          <w:sz w:val="17"/>
          <w:szCs w:val="17"/>
          <w:u w:val="single" w:color="auto"/>
          <w:color w:val="auto"/>
        </w:rPr>
        <w:t>Equity Fulfillment Condition</w:t>
      </w:r>
      <w:r>
        <w:rPr>
          <w:rFonts w:ascii="Arial" w:cs="Arial" w:eastAsia="Arial" w:hAnsi="Arial"/>
          <w:sz w:val="17"/>
          <w:szCs w:val="17"/>
          <w:color w:val="auto"/>
        </w:rPr>
        <w:t>”) if such borrowing would cause (after giving effect to such borrowing) the aggregate principal amount of the Term Loans outstanding to exceed the Aggregate Equity Contribution. Upon and after the satisfaction of the Equity Fulfillment Condition, the Borrower may borrow the then remaining Commitments. Any amount borrowed under this Section 2.1(a) and subsequently repaid or prepaid may not be reborrowed. Subject to Sections 2.13, 2.14(a) and 2.15, all amounts owed hereunder shall be paid in full no later than the Maturity Date. On each Credit Date (including the Closing Date), each Lender’s Commitment shall be reduced immediately and without further action in the amount of the Term Loans made on such Credit Date. Each Lender’s Commitment to make additional Term Loans shall terminate immediately and without further action on the earlier of (i) the Plant Completion Date and (ii) the second anniversary of the Closing Date to the extent such Commitment is unused or not otherwise terminated prior to such date.</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96" w:name="page197"/>
    <w:bookmarkEnd w:id="196"/>
    <w:p>
      <w:pPr>
        <w:ind w:left="2040" w:hanging="755"/>
        <w:spacing w:after="0"/>
        <w:tabs>
          <w:tab w:leader="none" w:pos="20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Borrowing Mechanics for Term Loans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firstLine="1548"/>
        <w:spacing w:after="0" w:line="276" w:lineRule="auto"/>
        <w:tabs>
          <w:tab w:leader="none" w:pos="19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With respect to each Term Loan requested by the Borrower, the Borrower shall deliver to the Administrative Agent a fully executed Funding Notice no later than 3:00 p.m. (New York City time) (x) at least one Business Day prior to the proposed Credit Date with respect to Base Rate Loans and (y) at least three days prior to the proposed Credit Date with respect to Eurodollar Rate Loans (or, with respect to a Term Loan requested to be made on the Closing Date, such shorter period as may be acceptable to the Lenders on the Closing Date). Promptly upon receipt by the Administrative Agent of such Funding Notice, the Administrative Agent shall notify each Lender of the proposed borrowing.</w:t>
      </w:r>
    </w:p>
    <w:p>
      <w:pPr>
        <w:spacing w:after="0" w:line="226" w:lineRule="exact"/>
        <w:rPr>
          <w:rFonts w:ascii="Arial" w:cs="Arial" w:eastAsia="Arial" w:hAnsi="Arial"/>
          <w:sz w:val="17"/>
          <w:szCs w:val="17"/>
          <w:color w:val="auto"/>
        </w:rPr>
      </w:pPr>
    </w:p>
    <w:p>
      <w:pPr>
        <w:ind w:left="-20" w:right="40" w:firstLine="1548"/>
        <w:spacing w:after="0" w:line="272" w:lineRule="auto"/>
        <w:tabs>
          <w:tab w:leader="none" w:pos="195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Each Lender shall make its Pro Rata Share of the Term Loans requested to be made on any Credit Date available to the Administrative Agent not later than 10:00 a.m. (New York City time) on such Credit Date, by wire transfer of same day funds in Dollars, at the principal office designated by Administrative Agent. Upon satisfaction or waiver of the conditions precedent specified herein and subject to any required funding of the Debt Service Reserve Account with the proceeds of any Term Loans pursuant to the Depositary Agreement, the Administrative Agent shall make the proceeds of the Term Loans available to the Borrower on the requested Credit Date by causing an amount of same day funds in Dollars equal to the proceeds of all such Term Loans received by the Administrative Agent from Lenders to be credited to the account of the Borrower at the Principal Office designated by the Administrative Agent or to such other account as may be designated in writing to the Administrative Agent by the Borrower.</w:t>
      </w:r>
    </w:p>
    <w:p>
      <w:pPr>
        <w:spacing w:after="0" w:line="232"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Pro Rata Shares; Availability of Funds</w:t>
      </w:r>
      <w:r>
        <w:rPr>
          <w:rFonts w:ascii="Arial" w:cs="Arial" w:eastAsia="Arial" w:hAnsi="Arial"/>
          <w:sz w:val="16"/>
          <w:szCs w:val="16"/>
          <w:color w:val="auto"/>
        </w:rPr>
        <w:t>.</w:t>
      </w:r>
    </w:p>
    <w:p>
      <w:pPr>
        <w:spacing w:after="0" w:line="279" w:lineRule="exact"/>
        <w:rPr>
          <w:sz w:val="20"/>
          <w:szCs w:val="20"/>
          <w:color w:val="auto"/>
        </w:rPr>
      </w:pPr>
    </w:p>
    <w:p>
      <w:pPr>
        <w:ind w:left="-20" w:right="60" w:firstLine="1305"/>
        <w:spacing w:after="0" w:line="259" w:lineRule="auto"/>
        <w:tabs>
          <w:tab w:leader="none" w:pos="201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All Term Loans shall be made, and all participations purchased, by Lenders simultaneously and proportionately to their respective Pro Rata Shares, it being understood that no Lender shall be responsible for any default by any other Lender in such other Lender’s obligation to make a Term Loan requested hereunder nor shall any Commitment of any Lender be increased or decreased as a result of a default by any other Lender in such other Lender’s obligation to make a Term Loan requested hereunder.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197" w:name="page198"/>
    <w:bookmarkEnd w:id="197"/>
    <w:p>
      <w:pPr>
        <w:ind w:right="80" w:firstLine="1305"/>
        <w:spacing w:after="0" w:line="284" w:lineRule="auto"/>
        <w:tabs>
          <w:tab w:leader="none" w:pos="204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Availability of Funds</w:t>
      </w:r>
      <w:r>
        <w:rPr>
          <w:rFonts w:ascii="Arial" w:cs="Arial" w:eastAsia="Arial" w:hAnsi="Arial"/>
          <w:sz w:val="16"/>
          <w:szCs w:val="16"/>
          <w:color w:val="auto"/>
        </w:rPr>
        <w:t>. Unless the Administrative Agent shall have been notified by any Lender prior to the applicable Credit Date that such Lender does not intend to make available to the Administrative Agent the amount of such Lender’s Term Loan requested on such Credit Date, the Administrative Agent may assume that such Lender has made such amount available to the Administrative Agent on such Credit Date and the Administrative Agent may, in its sole discretion, but shall not be obligated to, make available to the Borrower a corresponding amount on such Credit Date. If such corresponding amount is not in fact made available to the Administrative Agent by such Lender, the Administrative Agent shall be entitled to</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recover such corresponding amount on demand from such Lender, together with interest thereon, for each day from such Credit Date until the date such amount is paid to the Administrative Agent, at the customary rate set by the Administrative Agent for the correction of errors among banks for three Business Days and thereafter at the Base Rate.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thereon, for each day from such Credit Date until the date such amount is paid to the Administrative Agent, at the rate payable hereunder for Base Rate Loans. Nothing in this Section 2.6(b) shall be deemed to relieve any Lender from its obligation to fulfill its Commitments hereunder or to prejudice any rights that the Borrower may have against any Lender as a result of any default by such Lender hereunder. In the event that (i) the Administrative Agent declines to make a requested amount available to the Borrower until such time as all Lenders have made payment to the Administrative Agent, (ii) a Lender fails to fund to the Administrative Agent all or any portion of the Term Loans required to be funded by such Lender hereunder prior to the time specified in this Agreement and (iii) such Lender’s failure results in the Administrative Agent failing to make a corresponding amount available to the Borrower on the applicable Credit Date, then, at the Administrative Agent’s option, such Lender shall not receive interest hereunder with respect to the requested amount of such Lender’s Term Loans for the period commencing with the time specified in this Agreement for receipt of payment by the Borrower through and including the time of the Borrower’s receipt of the requested amount.</w:t>
      </w:r>
    </w:p>
    <w:p>
      <w:pPr>
        <w:spacing w:after="0" w:line="200" w:lineRule="exact"/>
        <w:rPr>
          <w:sz w:val="20"/>
          <w:szCs w:val="20"/>
          <w:color w:val="auto"/>
        </w:rPr>
      </w:pPr>
    </w:p>
    <w:p>
      <w:pPr>
        <w:spacing w:after="0" w:line="2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Term Loans requested to be made on any Credit Date shall be applied by the Borrower to</w:t>
      </w:r>
    </w:p>
    <w:p>
      <w:pPr>
        <w:spacing w:after="0" w:line="23" w:lineRule="exact"/>
        <w:rPr>
          <w:sz w:val="20"/>
          <w:szCs w:val="20"/>
          <w:color w:val="auto"/>
        </w:rPr>
      </w:pPr>
    </w:p>
    <w:p>
      <w:pPr>
        <w:ind w:firstLine="8"/>
        <w:spacing w:after="0" w:line="255" w:lineRule="auto"/>
        <w:tabs>
          <w:tab w:leader="none" w:pos="2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pay fees and expenses incurred in connection with the Term Loan Facility, (b) directly fund the Debt Service Reserve Account to the extent required under the Depositary Agreement, and (c) fund construction costs consistent with the Budget, other costs related to the Plant and working capital with respect to and/or related to the Plant.</w:t>
      </w:r>
    </w:p>
    <w:p>
      <w:pPr>
        <w:spacing w:after="0" w:line="24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Evidence of Debt; Register; Lenders’ Books and Records; Notes</w:t>
      </w:r>
      <w:r>
        <w:rPr>
          <w:rFonts w:ascii="Arial" w:cs="Arial" w:eastAsia="Arial" w:hAnsi="Arial"/>
          <w:sz w:val="16"/>
          <w:szCs w:val="16"/>
          <w:color w:val="auto"/>
        </w:rPr>
        <w:t>.</w:t>
      </w:r>
    </w:p>
    <w:p>
      <w:pPr>
        <w:spacing w:after="0" w:line="279" w:lineRule="exact"/>
        <w:rPr>
          <w:sz w:val="20"/>
          <w:szCs w:val="20"/>
          <w:color w:val="auto"/>
        </w:rPr>
      </w:pPr>
    </w:p>
    <w:p>
      <w:pPr>
        <w:ind w:right="140" w:firstLine="1305"/>
        <w:spacing w:after="0" w:line="276" w:lineRule="auto"/>
        <w:tabs>
          <w:tab w:leader="none" w:pos="203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Lenders’ Evidence of Debt</w:t>
      </w:r>
      <w:r>
        <w:rPr>
          <w:rFonts w:ascii="Arial" w:cs="Arial" w:eastAsia="Arial" w:hAnsi="Arial"/>
          <w:sz w:val="17"/>
          <w:szCs w:val="17"/>
          <w:color w:val="auto"/>
        </w:rPr>
        <w:t xml:space="preserve">. Each Lender shall maintain on its internal records an account or accounts evidencing the Borrower Obligations to such Lender, including the amounts of the Term Loans made by it and each repayment and prepayment in respect thereof. Any such recordation shall be conclusive and binding on the Borrower,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make any such recordation, or any error in such recordation, shall not affect any Lender’s Commitments or the Borrower Obligations in respect of any Term Loan;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event of any inconsistency between the Register and any Lender’s records, the recordations in the Register shall govern.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198" w:name="page199"/>
    <w:bookmarkEnd w:id="198"/>
    <w:p>
      <w:pPr>
        <w:ind w:right="20" w:firstLine="1305"/>
        <w:spacing w:after="0" w:line="281" w:lineRule="auto"/>
        <w:tabs>
          <w:tab w:leader="none" w:pos="204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(or its agent or sub-agent appointed by it) shall maintain at its Principal Office a register for the recordation of the names and addresses of Lenders and the Commitments and Term Loans (and related interest and fee amounts) of each Lender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Register shall be available for inspection by the Borrower or any Lender (with respect to (i) any entry relating to such Lender’s Commitments and Term Loans or (ii) the identity of the other Lenders (but not any information with respect to such other Lenders’ Commitments and Term Loans except upon the occurrence and dur</w:t>
      </w:r>
      <w:r>
        <w:rPr>
          <w:rFonts w:ascii="Arial" w:cs="Arial" w:eastAsia="Arial" w:hAnsi="Arial"/>
          <w:sz w:val="19"/>
          <w:szCs w:val="19"/>
          <w:color w:val="auto"/>
        </w:rPr>
        <w:t>ing the continuance of an Event of Default)) at any reasonable time and from time to time upon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 xml:space="preserve">reasonable prior notice. The Administrative Agent shall record, or shall cause to be recorded, in the Register the Commitments and the Term Loans (and related interest amounts), as well as any assignments thereof, in accordance with the provisions of Section 9.6, and each repayment or prepayment in respect of the principal amount (and related interest and fee amounts) of the Term Loans, and any such recordation shall be conclusive and binding on the Borrower and each Lender, absent manifest error; </w:t>
      </w:r>
      <w:r>
        <w:rPr>
          <w:rFonts w:ascii="Arial" w:cs="Arial" w:eastAsia="Arial" w:hAnsi="Arial"/>
          <w:sz w:val="17"/>
          <w:szCs w:val="17"/>
          <w:u w:val="single" w:color="auto"/>
          <w:color w:val="auto"/>
        </w:rPr>
        <w:t>provided</w:t>
      </w:r>
      <w:r>
        <w:rPr>
          <w:rFonts w:ascii="Arial" w:cs="Arial" w:eastAsia="Arial" w:hAnsi="Arial"/>
          <w:sz w:val="21"/>
          <w:szCs w:val="21"/>
          <w:color w:val="auto"/>
        </w:rPr>
        <w:t xml:space="preserve"> that any failure to make any such recordation, or any error in such recordation, shall not affect any Lender’s Commitments or the Borrower Obligations in respect of any Term Loan. The Borrower hereby designates the Administrative Agent to serve as the Borrower’s agent solely for purposes of maintaining the Register as provided in this Section 2.8. The parties hereto shall treat each Person listed in the Register as the owner of the applicable Term Loan, notwithstanding notice to the contrary. This Section 2.8(b) is intended to establish a “book entry system” within the meaning of Treasury regulation Section 5f.103-1(c)(1)(ii) and shall be interpreted consistently with such intent.</w:t>
      </w:r>
    </w:p>
    <w:p>
      <w:pPr>
        <w:spacing w:after="0" w:line="245" w:lineRule="exact"/>
        <w:rPr>
          <w:sz w:val="20"/>
          <w:szCs w:val="20"/>
          <w:color w:val="auto"/>
        </w:rPr>
      </w:pPr>
    </w:p>
    <w:p>
      <w:pPr>
        <w:ind w:right="20" w:firstLine="1305"/>
        <w:spacing w:after="0" w:line="279" w:lineRule="auto"/>
        <w:tabs>
          <w:tab w:leader="none" w:pos="2036"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Term Loan Note to evidence such Lender’s Term Loan.</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Interest on Term Loans</w:t>
      </w:r>
      <w:r>
        <w:rPr>
          <w:rFonts w:ascii="Arial" w:cs="Arial" w:eastAsia="Arial" w:hAnsi="Arial"/>
          <w:sz w:val="16"/>
          <w:szCs w:val="16"/>
          <w:color w:val="auto"/>
        </w:rPr>
        <w:t>.</w:t>
      </w:r>
    </w:p>
    <w:p>
      <w:pPr>
        <w:spacing w:after="0" w:line="279" w:lineRule="exact"/>
        <w:rPr>
          <w:sz w:val="20"/>
          <w:szCs w:val="20"/>
          <w:color w:val="auto"/>
        </w:rPr>
      </w:pPr>
    </w:p>
    <w:p>
      <w:pPr>
        <w:ind w:right="380" w:firstLine="1305"/>
        <w:spacing w:after="0" w:line="277" w:lineRule="auto"/>
        <w:tabs>
          <w:tab w:leader="none" w:pos="20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otherwise set forth herein, each Term Loan shall bear interest on the unpaid principal amount thereof from the date made through repayment (whether by acceleration or otherwise) thereof as follows:</w:t>
      </w:r>
    </w:p>
    <w:p>
      <w:pPr>
        <w:spacing w:after="0" w:line="224" w:lineRule="exact"/>
        <w:rPr>
          <w:rFonts w:ascii="Arial" w:cs="Arial" w:eastAsia="Arial" w:hAnsi="Arial"/>
          <w:sz w:val="18"/>
          <w:szCs w:val="18"/>
          <w:color w:val="auto"/>
        </w:rPr>
      </w:pPr>
    </w:p>
    <w:p>
      <w:pPr>
        <w:ind w:left="1980" w:hanging="432"/>
        <w:spacing w:after="0"/>
        <w:tabs>
          <w:tab w:leader="none" w:pos="1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if a Base Rate Loan,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w:t>
      </w:r>
    </w:p>
    <w:p>
      <w:pPr>
        <w:spacing w:after="0" w:line="279" w:lineRule="exact"/>
        <w:rPr>
          <w:rFonts w:ascii="Arial" w:cs="Arial" w:eastAsia="Arial" w:hAnsi="Arial"/>
          <w:sz w:val="18"/>
          <w:szCs w:val="18"/>
          <w:color w:val="auto"/>
        </w:rPr>
      </w:pPr>
    </w:p>
    <w:p>
      <w:pPr>
        <w:ind w:left="1980" w:hanging="432"/>
        <w:spacing w:after="0"/>
        <w:tabs>
          <w:tab w:leader="none" w:pos="1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if a Eurodollar Rate Loan, at the Adjusted Eurodollar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79" w:lineRule="exact"/>
        <w:rPr>
          <w:rFonts w:ascii="Arial" w:cs="Arial" w:eastAsia="Arial" w:hAnsi="Arial"/>
          <w:sz w:val="18"/>
          <w:szCs w:val="18"/>
          <w:color w:val="auto"/>
        </w:rPr>
      </w:pPr>
    </w:p>
    <w:p>
      <w:pPr>
        <w:ind w:right="460" w:firstLine="1305"/>
        <w:spacing w:after="0" w:line="264" w:lineRule="auto"/>
        <w:tabs>
          <w:tab w:leader="none" w:pos="20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basis for determining the rate of interest with respect to any Term Loan, and the Interest Period with respect to any Eurodollar Rate Loan, shall be selected by the Borrower and notified to Administrative Agent and Lenders pursuant to the applicable Funding Notice or Conversion/Continuation Notice, as the case may be.</w:t>
      </w:r>
    </w:p>
    <w:p>
      <w:pPr>
        <w:spacing w:after="0" w:line="235" w:lineRule="exact"/>
        <w:rPr>
          <w:rFonts w:ascii="Arial" w:cs="Arial" w:eastAsia="Arial" w:hAnsi="Arial"/>
          <w:sz w:val="18"/>
          <w:szCs w:val="18"/>
          <w:color w:val="auto"/>
        </w:rPr>
      </w:pPr>
    </w:p>
    <w:p>
      <w:pPr>
        <w:ind w:firstLine="1305"/>
        <w:spacing w:after="0" w:line="281" w:lineRule="auto"/>
        <w:tabs>
          <w:tab w:leader="none" w:pos="203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connection with Eurodollar Rate Loans there shall be no more than ten (10) Interest Periods outstanding at any time. In the event the Borrower fails to specify between a Base Rate Loan or a Eurodollar Rate Loan in the applicable Funding Notice or Conversion/Continuation Notice, such Term Loan (if outstanding as a Eurodollar Rate Loan) will be automatically converted into a Base Rate Loan on the last day of the then current Interest Period for such Term Loan (or if outstanding as a Base Rate Loan will remain as, or (if not then outstanding) will be made as, a Base Rate Loan). In the event the Borrower fails to specify an Interest Period for any Eurodollar Rate Loan in the applicable Funding Notice or Conver</w:t>
      </w:r>
      <w:r>
        <w:rPr>
          <w:rFonts w:ascii="Arial" w:cs="Arial" w:eastAsia="Arial" w:hAnsi="Arial"/>
          <w:sz w:val="19"/>
          <w:szCs w:val="19"/>
          <w:color w:val="auto"/>
        </w:rPr>
        <w:t>sion/Continuation Notice, the</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21"/>
          <w:szCs w:val="21"/>
          <w:color w:val="auto"/>
        </w:rPr>
        <w:t>Borrower shall be deemed to have selected an Interest Period of one month.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(in writing or by telephone confirmed in writing) to the Borrower and each Lender.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9" w:name="page200"/>
    <w:bookmarkEnd w:id="199"/>
    <w:p>
      <w:pPr>
        <w:ind w:firstLine="1305"/>
        <w:spacing w:after="0" w:line="290" w:lineRule="auto"/>
        <w:tabs>
          <w:tab w:leader="none" w:pos="20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Interest payable pursuant to Section 2.9(a) shall be computed (i) in the case of Base Rate Loans on the basis of a 365 day or 366 day year, as the case may be, and (ii) in the case of Eurodollar Rate Loans, on the basis of a 360 day year, in each case for the actual number of days elapsed in the period during which it accrues. In computing interest on any Term Loan, the date of the making of such Term Loan or the first day of an Interest Period applicable to such Term Loan or the last Interest Payment Date with respect to such Term Loan or, with respect to a Base Rate Loan being converted from a Eurodollar Rate Loan, the date of conversion of such Eurodollar Rate Loan to such Base Rate Loan, as the case may be, shall be included, and the date of payment of such Term Loan or the expiration date of an Interest Period applicable to such Term Loan or, with respect to a Base Rate Loan being converted to a Eurodollar Rate Loan, the date of conversion of such Base Rate Loan to such Eurodollar Rate Loan, as the case may be,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Term Loan is repaid on the same day on which it is made, one day’s interest shall be paid on that Term Loan.</w:t>
      </w:r>
    </w:p>
    <w:p>
      <w:pPr>
        <w:spacing w:after="0" w:line="220" w:lineRule="exact"/>
        <w:rPr>
          <w:rFonts w:ascii="Arial" w:cs="Arial" w:eastAsia="Arial" w:hAnsi="Arial"/>
          <w:sz w:val="16"/>
          <w:szCs w:val="16"/>
          <w:color w:val="auto"/>
        </w:rPr>
      </w:pPr>
    </w:p>
    <w:p>
      <w:pPr>
        <w:jc w:val="both"/>
        <w:ind w:firstLine="1305"/>
        <w:spacing w:after="0" w:line="279" w:lineRule="auto"/>
        <w:tabs>
          <w:tab w:leader="none" w:pos="20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Except as otherwise set forth herein, interest on each Term Loan (i) shall accrue on a daily basis and shall be payable in arrears on each Interest Payment Date with respect to interest accrued on and to each such payment date; (ii) shall accrue on a daily basis and shall be payable in arrears upon any prepayment of that Term Loan, whether voluntary or mandatory, to the extent accrued on the amount being prepaid; and (iii) shall accrue on a daily basis and shall be payable in arrears at maturity of the Term Loans, including final maturity of the Term Loans.</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Conversion/Continuation</w:t>
      </w:r>
      <w:r>
        <w:rPr>
          <w:rFonts w:ascii="Arial" w:cs="Arial" w:eastAsia="Arial" w:hAnsi="Arial"/>
          <w:sz w:val="16"/>
          <w:szCs w:val="16"/>
          <w:color w:val="auto"/>
        </w:rPr>
        <w:t>.</w:t>
      </w:r>
    </w:p>
    <w:p>
      <w:pPr>
        <w:spacing w:after="0" w:line="279" w:lineRule="exact"/>
        <w:rPr>
          <w:sz w:val="20"/>
          <w:szCs w:val="20"/>
          <w:color w:val="auto"/>
        </w:rPr>
      </w:pPr>
    </w:p>
    <w:p>
      <w:pPr>
        <w:ind w:left="2040" w:hanging="735"/>
        <w:spacing w:after="0"/>
        <w:tabs>
          <w:tab w:leader="none" w:pos="20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Subject to Section 2.19 and so long as no Default or Event of Default shall have occurred and then be continuing, the Borrower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have the option:</w:t>
      </w:r>
    </w:p>
    <w:p>
      <w:pPr>
        <w:spacing w:after="0" w:line="264" w:lineRule="exact"/>
        <w:rPr>
          <w:rFonts w:ascii="Arial" w:cs="Arial" w:eastAsia="Arial" w:hAnsi="Arial"/>
          <w:sz w:val="16"/>
          <w:szCs w:val="16"/>
          <w:color w:val="auto"/>
        </w:rPr>
      </w:pPr>
    </w:p>
    <w:p>
      <w:pPr>
        <w:jc w:val="both"/>
        <w:ind w:left="660" w:right="100" w:firstLine="888"/>
        <w:spacing w:after="0" w:line="259" w:lineRule="auto"/>
        <w:tabs>
          <w:tab w:leader="none" w:pos="199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to convert at any time all or any part of any Term Loan equal to $1,000,000 and integral multiples of $1,000,000 in excess of that amount from one Type of Term Loan to another Type of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Eurodollar Rate Loan may only be converted on the expiration of the Interest Period applicable to such Eurodollar Rate Loan unless the Borrower shall pay all amounts due under Section 2.19 in connection with any such conversion; or</w:t>
      </w:r>
    </w:p>
    <w:p>
      <w:pPr>
        <w:spacing w:after="0" w:line="240" w:lineRule="exact"/>
        <w:rPr>
          <w:rFonts w:ascii="Arial" w:cs="Arial" w:eastAsia="Arial" w:hAnsi="Arial"/>
          <w:sz w:val="18"/>
          <w:szCs w:val="18"/>
          <w:color w:val="auto"/>
        </w:rPr>
      </w:pPr>
    </w:p>
    <w:p>
      <w:pPr>
        <w:ind w:left="660" w:right="360" w:firstLine="888"/>
        <w:spacing w:after="0" w:line="277" w:lineRule="auto"/>
        <w:tabs>
          <w:tab w:leader="none" w:pos="198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upon the expiration of any Interest Period applicable to any Eurodollar Rate Loan, to continue all or any portion of such Term Loan equal to $1,000,000 and integral multiples of $1,000,000 in excess of that amount as a Eurodollar Rate Loan.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00" w:name="page201"/>
    <w:bookmarkEnd w:id="200"/>
    <w:p>
      <w:pPr>
        <w:ind w:firstLine="1305"/>
        <w:spacing w:after="0" w:line="271" w:lineRule="auto"/>
        <w:tabs>
          <w:tab w:leader="none" w:pos="204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Eurodollar Rate Loan). Except as otherwise provided herein, a Conversion/Continuation Notice for conversion to, or continuation of, any Eurodollar Rate Loans shall be irrevocable on and after the related Interest Rate Determination Date, and the Borrower shall be bound to effect a conversion or continuation in accordance therewith. If on any day a Term Loan is outstanding with respect to which a Funding Notice or Conversion/Continuation Notice has not been delivered to the Administrative Agent in accordance with the terms hereof specifying the applicable basis for determining the rate of interest, then for that day such Term Loan shall be a Base Rate Loan.</w:t>
      </w:r>
    </w:p>
    <w:p>
      <w:pPr>
        <w:spacing w:after="0" w:line="232" w:lineRule="exact"/>
        <w:rPr>
          <w:rFonts w:ascii="Arial" w:cs="Arial" w:eastAsia="Arial" w:hAnsi="Arial"/>
          <w:sz w:val="17"/>
          <w:szCs w:val="17"/>
          <w:color w:val="auto"/>
        </w:rPr>
      </w:pPr>
    </w:p>
    <w:p>
      <w:pPr>
        <w:ind w:right="40" w:firstLine="1305"/>
        <w:spacing w:after="0" w:line="270" w:lineRule="auto"/>
        <w:tabs>
          <w:tab w:leader="none" w:pos="20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Any Conversion/Continuation Notice shall be executed by a Responsible Officer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notice shall be promptly confirmed in writing by delivery of the applicable Conversion/Continuation Notice to the Administrative Agent on or before 5:00 pm (New York City time) on the Business Day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236"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Default Interest</w:t>
      </w:r>
      <w:r>
        <w:rPr>
          <w:rFonts w:ascii="Arial" w:cs="Arial" w:eastAsia="Arial" w:hAnsi="Arial"/>
          <w:sz w:val="16"/>
          <w:szCs w:val="16"/>
          <w:color w:val="auto"/>
        </w:rPr>
        <w:t>. Upon the occurrence and during the continuance of an Event of Default under Section 7.1(a) or Section 7.1(f), the overdue principal amount of all Term Loans outstanding and, to the extent permitted by applicable law, any overdue interest payments on the Term Loans or any overdue fees or other amounts owed hereunder shall bear interest (including post-petition interest in any proceeding under Debtor Relief Laws) payable on demand at a rate that is 2% per annum in excess of the interest rate otherwise payable hereunder with respect to the applicable Term Loans. Payment or acceptance of the increased rates of interest provided for in this Section 2.11 is not a permitted alternative to timely payment and shall not constitute a waiver of any Event of Default or otherwise prejudice or limit any rights or remedies of the Administrative Agent or any Lender.</w:t>
      </w:r>
    </w:p>
    <w:p>
      <w:pPr>
        <w:spacing w:after="0" w:line="21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79" w:lineRule="exact"/>
        <w:rPr>
          <w:sz w:val="20"/>
          <w:szCs w:val="20"/>
          <w:color w:val="auto"/>
        </w:rPr>
      </w:pPr>
    </w:p>
    <w:p>
      <w:pPr>
        <w:ind w:right="40" w:firstLine="1305"/>
        <w:spacing w:after="0" w:line="281" w:lineRule="auto"/>
        <w:tabs>
          <w:tab w:leader="none" w:pos="20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Borrower agrees to pay to Lenders undrawn commitment fees (“</w:t>
      </w:r>
      <w:r>
        <w:rPr>
          <w:rFonts w:ascii="Arial" w:cs="Arial" w:eastAsia="Arial" w:hAnsi="Arial"/>
          <w:sz w:val="16"/>
          <w:szCs w:val="16"/>
          <w:u w:val="single" w:color="auto"/>
          <w:color w:val="auto"/>
        </w:rPr>
        <w:t>Undrawn Commitment Fees</w:t>
      </w:r>
      <w:r>
        <w:rPr>
          <w:rFonts w:ascii="Arial" w:cs="Arial" w:eastAsia="Arial" w:hAnsi="Arial"/>
          <w:sz w:val="16"/>
          <w:szCs w:val="16"/>
          <w:color w:val="auto"/>
        </w:rPr>
        <w:t>”) equal to (i) the average of the daily difference between the Commitments and the aggregate principal amount of all outstanding Term Loans (such difference, the “</w:t>
      </w:r>
      <w:r>
        <w:rPr>
          <w:rFonts w:ascii="Arial" w:cs="Arial" w:eastAsia="Arial" w:hAnsi="Arial"/>
          <w:sz w:val="16"/>
          <w:szCs w:val="16"/>
          <w:u w:val="single" w:color="auto"/>
          <w:color w:val="auto"/>
        </w:rPr>
        <w:t>Undrawn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25% of the Applicable Margin then applicable to Eurodollar Rate Loans. Such Undrawn Commitment Fees shall be paid to the Administrative Agent at its Principal Office and upon receipt, the Administrative Agent shall promptly distribute to each </w:t>
      </w:r>
      <w:r>
        <w:rPr>
          <w:rFonts w:ascii="Arial" w:cs="Arial" w:eastAsia="Arial" w:hAnsi="Arial"/>
          <w:sz w:val="19"/>
          <w:szCs w:val="19"/>
          <w:color w:val="auto"/>
        </w:rPr>
        <w:t>Lender its Pro Rata Share thereof. Such</w:t>
      </w:r>
    </w:p>
    <w:p>
      <w:pPr>
        <w:ind w:right="160"/>
        <w:spacing w:after="0" w:line="233" w:lineRule="auto"/>
        <w:rPr>
          <w:sz w:val="20"/>
          <w:szCs w:val="20"/>
          <w:color w:val="auto"/>
        </w:rPr>
      </w:pPr>
      <w:r>
        <w:rPr>
          <w:rFonts w:ascii="Arial" w:cs="Arial" w:eastAsia="Arial" w:hAnsi="Arial"/>
          <w:sz w:val="22"/>
          <w:szCs w:val="22"/>
          <w:color w:val="auto"/>
        </w:rPr>
        <w:t>Undrawn Commitment Fees shall be calculated on the basis of a 360-day year and the actual number of days elapsed and shall be paid in arrears on the last Business Day of March, June, September and December of each year and on the date of any termination of Commitments pursuant to Section 2.14(c), such payment commencing on December 31, 2014 (but accruing beginning on the Closing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01" w:name="page202"/>
    <w:bookmarkEnd w:id="201"/>
    <w:p>
      <w:pPr>
        <w:ind w:firstLine="1305"/>
        <w:spacing w:after="0" w:line="257" w:lineRule="auto"/>
        <w:tabs>
          <w:tab w:leader="none" w:pos="20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MSSF and Credit Suisse, out of the proceeds of the initial Term Loans made by the Lenders on the Closing Date, an underwriting fee in an amount equal to 2.00% of the stated principal amount of the aggregate Commitments immediately prior to the funding of the initial Term Loans, payable to the Administrative Agent from the proceeds of the initial Term Loans as and when funded on the Closing Date. Such underwriting fee will be in all respects fully earned, due and payable on the Closing Date and non-refundable and non-creditable thereafter.</w:t>
      </w:r>
    </w:p>
    <w:p>
      <w:pPr>
        <w:spacing w:after="0" w:line="242" w:lineRule="exact"/>
        <w:rPr>
          <w:rFonts w:ascii="Arial" w:cs="Arial" w:eastAsia="Arial" w:hAnsi="Arial"/>
          <w:sz w:val="18"/>
          <w:szCs w:val="18"/>
          <w:color w:val="auto"/>
        </w:rPr>
      </w:pPr>
    </w:p>
    <w:p>
      <w:pPr>
        <w:ind w:right="260" w:firstLine="1305"/>
        <w:spacing w:after="0" w:line="277" w:lineRule="auto"/>
        <w:tabs>
          <w:tab w:leader="none" w:pos="203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addition to any of the foregoing fees, the Borrower agrees to pay to the Arranger, any Lender and the Administrative Agent such other fees in the amounts and at the times separately agreed upon.</w:t>
      </w:r>
    </w:p>
    <w:p>
      <w:pPr>
        <w:spacing w:after="0" w:line="224"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Scheduled Payments</w:t>
      </w:r>
      <w:r>
        <w:rPr>
          <w:rFonts w:ascii="Arial" w:cs="Arial" w:eastAsia="Arial" w:hAnsi="Arial"/>
          <w:sz w:val="18"/>
          <w:szCs w:val="18"/>
          <w:color w:val="auto"/>
        </w:rPr>
        <w:t>. The outstanding principal amounts of the Term Loans shall be repaid in consecutive quarterly installments (each such payment, together with the payment required to be made on the Maturity Date, an “</w:t>
      </w:r>
      <w:r>
        <w:rPr>
          <w:rFonts w:ascii="Arial" w:cs="Arial" w:eastAsia="Arial" w:hAnsi="Arial"/>
          <w:sz w:val="18"/>
          <w:szCs w:val="18"/>
          <w:u w:val="single" w:color="auto"/>
          <w:color w:val="auto"/>
        </w:rPr>
        <w:t>Installment</w:t>
      </w:r>
      <w:r>
        <w:rPr>
          <w:rFonts w:ascii="Arial" w:cs="Arial" w:eastAsia="Arial" w:hAnsi="Arial"/>
          <w:sz w:val="18"/>
          <w:szCs w:val="18"/>
          <w:color w:val="auto"/>
        </w:rPr>
        <w:t xml:space="preserve">”) on the last Business Day of March, June, September and December of each year, commencing on March 31, 2015, in equal quarterly amounts of 1.00% per annum of the principal amount of the Term Loans outstanding on March 31, 2015;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quarterly amounts shall be adjusted by the Administrative Agent after each making of a Term Loan to maintain and reflect a 1.00% per annum scheduled amortization and/or to maintain fungibility among the Term Loans. Notwithstanding the foregoing, (x) such Installments shall be reduced in connection with any voluntary or mandatory prepayments of the Term Loans in accordance with Sections 2.14, 2.15 and 2.16, as applicable; and (y) the Term Loans, together with all other amounts owed hereunder with respect thereto, shall, in any event, be paid in full no later than the Maturity Date.</w:t>
      </w:r>
    </w:p>
    <w:p>
      <w:pPr>
        <w:spacing w:after="0" w:line="24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Voluntary Prepayments/Commitment Reductions</w:t>
      </w:r>
      <w:r>
        <w:rPr>
          <w:rFonts w:ascii="Arial" w:cs="Arial" w:eastAsia="Arial" w:hAnsi="Arial"/>
          <w:sz w:val="16"/>
          <w:szCs w:val="16"/>
          <w:color w:val="auto"/>
        </w:rPr>
        <w:t>.</w:t>
      </w:r>
    </w:p>
    <w:p>
      <w:pPr>
        <w:spacing w:after="0" w:line="279" w:lineRule="exact"/>
        <w:rPr>
          <w:sz w:val="20"/>
          <w:szCs w:val="20"/>
          <w:color w:val="auto"/>
        </w:rPr>
      </w:pPr>
    </w:p>
    <w:p>
      <w:pPr>
        <w:ind w:left="2040" w:hanging="735"/>
        <w:spacing w:after="0"/>
        <w:tabs>
          <w:tab w:leader="none" w:pos="20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Term Loans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80" w:hanging="432"/>
        <w:spacing w:after="0"/>
        <w:tabs>
          <w:tab w:leader="none" w:pos="19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time and from time to time (and subject to Section 2.14(b)):</w:t>
      </w:r>
    </w:p>
    <w:p>
      <w:pPr>
        <w:spacing w:after="0" w:line="279" w:lineRule="exact"/>
        <w:rPr>
          <w:sz w:val="20"/>
          <w:szCs w:val="20"/>
          <w:color w:val="auto"/>
        </w:rPr>
      </w:pPr>
    </w:p>
    <w:p>
      <w:pPr>
        <w:ind w:left="660" w:right="120" w:firstLine="645"/>
        <w:spacing w:after="0" w:line="277" w:lineRule="auto"/>
        <w:tabs>
          <w:tab w:leader="none" w:pos="20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Base Rate Loans, the Borrower may prepay any such Term Loans on any Business Day in whole, or in part in an aggregate minimum amount of $1,000,000 and integral multiples of $1,000,000 in excess of that amount; and</w:t>
      </w:r>
    </w:p>
    <w:p>
      <w:pPr>
        <w:spacing w:after="0" w:line="224" w:lineRule="exact"/>
        <w:rPr>
          <w:rFonts w:ascii="Arial" w:cs="Arial" w:eastAsia="Arial" w:hAnsi="Arial"/>
          <w:sz w:val="18"/>
          <w:szCs w:val="18"/>
          <w:color w:val="auto"/>
        </w:rPr>
      </w:pPr>
    </w:p>
    <w:p>
      <w:pPr>
        <w:ind w:left="660" w:right="100" w:firstLine="645"/>
        <w:spacing w:after="0" w:line="277" w:lineRule="auto"/>
        <w:tabs>
          <w:tab w:leader="none" w:pos="20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Eurodollar Rate Loans, the Borrower may prepay any such Term Loans on any Business Day in whole, or in part in an aggregate minimum amount of $1,000,000 and integral multiples of $1,000,000 in excess of that amount.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02" w:name="page203"/>
    <w:bookmarkEnd w:id="202"/>
    <w:p>
      <w:pPr>
        <w:ind w:left="1980" w:hanging="432"/>
        <w:spacing w:after="0"/>
        <w:tabs>
          <w:tab w:leader="none" w:pos="1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such prepayments shall be made:</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written or telephonic notice on the date of prepayment, in the case of Base Rate Loans; and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not less than two Business Days’ prior written or telephonic notice in the case of Eurodollar Rate Loans;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each case given to the Administrative Agent by 3:00 p.m. (New York City time) on the date required and, if given by telephone, promptly confirmed by delivery of written notice thereof to the Administrative Agent (and the Administrative Agent will promptly transmit such original notice for Term Loans by telefacsimile or telephone to each applicable Lender). Upon the giving of any such notice, the principal amount of the Term Loans specified in such notice shall become due and payable on the prepayment date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voluntary prepayment may state that such notice is conditioned upon the effectiveness of other credit facilities, the receipt of proceeds from the issuance of other Indebtedness or the Disposition of assets or the closing of a merger or acquisition transaction, in which case such notice of prepayment may be revoked or extended by the Borrower (by written notice to the Administrative Agent on or prior to the specified date) if such condition is not satisfied or delayed in effectiveness. Any such voluntary prepayment shall be applied as specified in Section 2.16(a).</w:t>
      </w:r>
    </w:p>
    <w:p>
      <w:pPr>
        <w:spacing w:after="0" w:line="246" w:lineRule="exact"/>
        <w:rPr>
          <w:sz w:val="20"/>
          <w:szCs w:val="20"/>
          <w:color w:val="auto"/>
        </w:rPr>
      </w:pPr>
    </w:p>
    <w:p>
      <w:pPr>
        <w:ind w:right="220" w:firstLine="1305"/>
        <w:spacing w:after="0" w:line="302" w:lineRule="auto"/>
        <w:tabs>
          <w:tab w:leader="none" w:pos="2047"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Prepayment Premium</w:t>
      </w:r>
      <w:r>
        <w:rPr>
          <w:rFonts w:ascii="Arial" w:cs="Arial" w:eastAsia="Arial" w:hAnsi="Arial"/>
          <w:sz w:val="16"/>
          <w:szCs w:val="16"/>
          <w:color w:val="auto"/>
        </w:rPr>
        <w:t>. If, on or prior to the first anniversary of the Closing Date, any Term Loans are voluntarily prepaid pursuant to this Section 2.14 or mandatorily prepaid pursuant to Section 2.15(c)(i), such prepayments shall be made at 101% of the aggregate principal amount of the Term Loans so prepaid. Any repricing amendment in respect of the Term Loans shall be deemed a voluntary prepayment for purposes of the previous sentence, and such prepayment premium shall accrue for the benefit of each Lender prior to giving effect to such amendment.</w:t>
      </w:r>
    </w:p>
    <w:p>
      <w:pPr>
        <w:spacing w:after="0" w:line="208" w:lineRule="exact"/>
        <w:rPr>
          <w:rFonts w:ascii="Arial" w:cs="Arial" w:eastAsia="Arial" w:hAnsi="Arial"/>
          <w:sz w:val="16"/>
          <w:szCs w:val="16"/>
          <w:color w:val="auto"/>
        </w:rPr>
      </w:pPr>
    </w:p>
    <w:p>
      <w:pPr>
        <w:ind w:left="2040" w:hanging="735"/>
        <w:spacing w:after="0"/>
        <w:tabs>
          <w:tab w:leader="none" w:pos="20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Voluntary Commitment Reductions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1548"/>
        <w:spacing w:after="0" w:line="257" w:lineRule="auto"/>
        <w:tabs>
          <w:tab w:leader="none" w:pos="1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The Borrower may, upon not less than three Business Days’ prior written or telephonic notice promptly confirmed by delivery of written notice thereof to the Administrative Agent (which original written notice Administrative Agent will promptly transmit by telefacsimile or telephone to each Lender), at any time and from time to time terminate in whole or permanently reduce in part, without premium or penalty,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partial reduction of the Commitments shall in each case be in an aggregate minimum amount of $1,000,000 and integral multiples of $1,000,000 in excess of that amount.</w:t>
      </w:r>
    </w:p>
    <w:p>
      <w:pPr>
        <w:spacing w:after="0" w:line="242" w:lineRule="exact"/>
        <w:rPr>
          <w:rFonts w:ascii="Arial" w:cs="Arial" w:eastAsia="Arial" w:hAnsi="Arial"/>
          <w:sz w:val="18"/>
          <w:szCs w:val="18"/>
          <w:color w:val="auto"/>
        </w:rPr>
      </w:pPr>
    </w:p>
    <w:p>
      <w:pPr>
        <w:ind w:right="20" w:firstLine="1548"/>
        <w:spacing w:after="0" w:line="281" w:lineRule="auto"/>
        <w:tabs>
          <w:tab w:leader="none" w:pos="197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The Borrower’s notice to the Administrative Agent shall designate the date (which shall be a Business Day) of such termination or reduction and the amount of any partial reduction, and such termination or reduction of the Commitments shall be effective on the date specified in the Borrower’s notice and shall reduce the Commitment of each Lender proportionately to its Pro Rata Share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or partial reduction of the Commitments may state that such notice is conditional upon the effectiveness of other credit facilities, the receipt of proceeds from the issuance of other Indebtedness or the Disposition of assets or the closing of a merger or acquisition transaction, in which case such notice of </w:t>
      </w:r>
      <w:r>
        <w:rPr>
          <w:rFonts w:ascii="Arial" w:cs="Arial" w:eastAsia="Arial" w:hAnsi="Arial"/>
          <w:sz w:val="19"/>
          <w:szCs w:val="19"/>
          <w:color w:val="auto"/>
        </w:rPr>
        <w:t>termination or</w:t>
      </w:r>
    </w:p>
    <w:p>
      <w:pPr>
        <w:spacing w:after="0" w:line="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partial reduction may be revoked or extended by the Borrower (by notice to the Administrative Agent on or prior to the specified date) if such condition is not satisfied or delayed in effectiveness. All Undrawn Commitment Fees in respect of the Commitments accrued until the effective date of any termination of the Commitments shall be paid on the effective date of such termination.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03" w:name="page204"/>
    <w:bookmarkEnd w:id="203"/>
    <w:p>
      <w:pPr>
        <w:ind w:left="1300"/>
        <w:spacing w:after="0"/>
        <w:tabs>
          <w:tab w:leader="none" w:pos="20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69" w:lineRule="auto"/>
        <w:tabs>
          <w:tab w:leader="none" w:pos="2036"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Net Cash Proceeds from Asset Sales</w:t>
      </w:r>
      <w:r>
        <w:rPr>
          <w:rFonts w:ascii="Arial" w:cs="Arial" w:eastAsia="Arial" w:hAnsi="Arial"/>
          <w:sz w:val="17"/>
          <w:szCs w:val="17"/>
          <w:color w:val="auto"/>
        </w:rPr>
        <w:t xml:space="preserve">. No later than the tenth Business Day following the date of receipt by any LNG Group Member of any Net Cash Proceeds from any Asset Sale, the Borrower shall prepay the Term Loans as set forth in Section 2.16(b) in an aggregate amount equal to such Net Cash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under Section 7.1(a) or (f) shall have occurred and be continuing at the time such Net Cash Proceeds from Asset Sales are received, the Borrower shall have the option, directly or through one or more of its Subsidiaries, to reinvest such Net Cash Proceeds within 180 days of receipt thereof in assets useful in the business of the Borrower and its Subsidiaries or to enter into a binding commitment to acquire such assets within 180 days of receipt thereof so long as such assets are actually acquired within 360 days of receipt of such Net Cash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Net Cash Proceeds not so reinvested shall be applied to the prepayment of the Term Loans as set forth in this Section 2.15(a) at the end of such reinvestment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Net Cash Proceeds received in connection with any Asset Sale and not reinvested pursuant to the first or second proviso above shall be required to be used to prepay the Term Loans until the aggregate amount of all such Net Cash Proceeds received and not reinvested during the term of this Agreement shall exceed $100,000 (the “</w:t>
      </w:r>
      <w:r>
        <w:rPr>
          <w:rFonts w:ascii="Arial" w:cs="Arial" w:eastAsia="Arial" w:hAnsi="Arial"/>
          <w:sz w:val="17"/>
          <w:szCs w:val="17"/>
          <w:u w:val="single" w:color="auto"/>
          <w:color w:val="auto"/>
        </w:rPr>
        <w:t>Asset Sale Threshold Amount</w:t>
      </w:r>
      <w:r>
        <w:rPr>
          <w:rFonts w:ascii="Arial" w:cs="Arial" w:eastAsia="Arial" w:hAnsi="Arial"/>
          <w:sz w:val="17"/>
          <w:szCs w:val="17"/>
          <w:color w:val="auto"/>
        </w:rPr>
        <w:t>”) (and thereafter, only Net Cash Proceeds received and not reinvested in excess of such Asset Sale Threshold Amount shall be required to be used to prepay the Term Loans as set forth in Section 2.16(b)).</w:t>
      </w:r>
    </w:p>
    <w:p>
      <w:pPr>
        <w:spacing w:after="0" w:line="233" w:lineRule="exact"/>
        <w:rPr>
          <w:rFonts w:ascii="Arial" w:cs="Arial" w:eastAsia="Arial" w:hAnsi="Arial"/>
          <w:sz w:val="17"/>
          <w:szCs w:val="17"/>
          <w:color w:val="auto"/>
        </w:rPr>
      </w:pPr>
    </w:p>
    <w:p>
      <w:pPr>
        <w:ind w:left="2060" w:hanging="755"/>
        <w:spacing w:after="0"/>
        <w:tabs>
          <w:tab w:leader="none" w:pos="2060" w:val="left"/>
        </w:tabs>
        <w:numPr>
          <w:ilvl w:val="0"/>
          <w:numId w:val="16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Net Cash Proceeds from Recovery Events</w:t>
      </w:r>
      <w:r>
        <w:rPr>
          <w:rFonts w:ascii="Arial" w:cs="Arial" w:eastAsia="Arial" w:hAnsi="Arial"/>
          <w:sz w:val="18"/>
          <w:szCs w:val="18"/>
          <w:color w:val="auto"/>
        </w:rPr>
        <w:t>.</w:t>
      </w:r>
    </w:p>
    <w:p>
      <w:pPr>
        <w:spacing w:after="0" w:line="279" w:lineRule="exact"/>
        <w:rPr>
          <w:sz w:val="20"/>
          <w:szCs w:val="20"/>
          <w:color w:val="auto"/>
        </w:rPr>
      </w:pPr>
    </w:p>
    <w:p>
      <w:pPr>
        <w:ind w:right="20" w:firstLine="1305"/>
        <w:spacing w:after="0" w:line="283" w:lineRule="auto"/>
        <w:tabs>
          <w:tab w:leader="none" w:pos="208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No later than the tenth Business Day following the date of receipt by any LNG Group Member of any Net Cash Proceeds from any Recovery Event, the Borrower shall prepay the Term Loans as set forth in Section 2.16(b) in an aggregate amount equal to such Net Cash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in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case of any Recovery Event other than a material Recovery Event relating to the Plant, so long as no Event of Default under Section 7.1(a) or (f) shall have occurred and be continuing, the Borrower shall have the option, directly or through one or more of its Subsidiaries, to reinvest such Net Cash Proceeds within 180 days of receipt thereof in assets useful in the business of the Borrower and its Subsidiaries (or to use such Net Cash Proceeds to replace assets damaged or destroyed in connection with the property or casualty insurance claim or condemnation proceeding that is the basis for such Recovery Event) or to enter into a binding commitment to acquire such assets within 180 days of receipt thereof so long as such assets are actually acquired within 360 days of receipt of such Net Cash Proceeds;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Net Cash Proceeds not so reinvested shall be applied to the prepayment of the Term Loans as set forth in this Section 2.15(b) at the end of such reinvestment period; and (II) in the case of any material Recovery Event relating to the Plant, the Borrower shall prepay the Term Loans as set forth in Section 2.16(b) in an aggregate amount equal to such Net Cash Proceeds, unless each of the following conditions are satisfied or waived by the Required Consent Parties, within 90 Business Days after any Loan Party’s receipt of such Net Cash Proceeds,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which event such amounts shall be permitted to be applied to the repair or restoration of the Plant: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4" w:name="page205"/>
    <w:bookmarkEnd w:id="204"/>
    <w:p>
      <w:pPr>
        <w:ind w:left="652" w:right="280" w:firstLine="888"/>
        <w:spacing w:after="0" w:line="262" w:lineRule="auto"/>
        <w:tabs>
          <w:tab w:leader="none" w:pos="225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Borrower certifies in writing that the damage or destruction or Casual-ty Event giving rise to such Recovery Event does not constitute the destruction of all or substantially all of the Plant;</w:t>
      </w:r>
    </w:p>
    <w:p>
      <w:pPr>
        <w:spacing w:after="0" w:line="196" w:lineRule="exact"/>
        <w:rPr>
          <w:rFonts w:ascii="Arial" w:cs="Arial" w:eastAsia="Arial" w:hAnsi="Arial"/>
          <w:sz w:val="18"/>
          <w:szCs w:val="18"/>
          <w:color w:val="auto"/>
        </w:rPr>
      </w:pPr>
    </w:p>
    <w:p>
      <w:pPr>
        <w:ind w:left="652" w:right="80" w:firstLine="888"/>
        <w:spacing w:after="0" w:line="248" w:lineRule="auto"/>
        <w:tabs>
          <w:tab w:leader="none" w:pos="2258" w:val="left"/>
        </w:tabs>
        <w:numPr>
          <w:ilvl w:val="2"/>
          <w:numId w:val="162"/>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under at the time of receipt of such Net Cash Proceeds, and after giving effect to any proposed repair and resto-ration, no Event of Default would reasonably be expected to be continuing after giving effect to the proposed repair and restoration;</w:t>
      </w:r>
    </w:p>
    <w:p>
      <w:pPr>
        <w:spacing w:after="0" w:line="209" w:lineRule="exact"/>
        <w:rPr>
          <w:rFonts w:ascii="Arial" w:cs="Arial" w:eastAsia="Arial" w:hAnsi="Arial"/>
          <w:sz w:val="18"/>
          <w:szCs w:val="18"/>
          <w:color w:val="auto"/>
        </w:rPr>
      </w:pPr>
    </w:p>
    <w:p>
      <w:pPr>
        <w:ind w:left="652" w:right="260" w:firstLine="888"/>
        <w:spacing w:after="0" w:line="243" w:lineRule="auto"/>
        <w:tabs>
          <w:tab w:leader="none" w:pos="226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Borrower certifies in writing that repair or restoration of the Plant to a condition substantially similar to the condition of the Plant immediately prior to the dam-age or destruction or Casualty Event to which the relevant Recovery Event relates, is technically and economically feasible within a 12-month period after receipt of any such Net Cash Proceeds, and that a sufficient amount of funds is or will be available to the Borrower to make such repairs and restorations;</w:t>
      </w:r>
    </w:p>
    <w:p>
      <w:pPr>
        <w:spacing w:after="0" w:line="215" w:lineRule="exact"/>
        <w:rPr>
          <w:rFonts w:ascii="Arial" w:cs="Arial" w:eastAsia="Arial" w:hAnsi="Arial"/>
          <w:sz w:val="18"/>
          <w:szCs w:val="18"/>
          <w:color w:val="auto"/>
        </w:rPr>
      </w:pPr>
    </w:p>
    <w:p>
      <w:pPr>
        <w:ind w:left="652" w:right="60" w:firstLine="888"/>
        <w:spacing w:after="0" w:line="248" w:lineRule="auto"/>
        <w:tabs>
          <w:tab w:leader="none" w:pos="225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Borrower delivers to the Administrative Agent a plan describing in reasonable detail the nature of the repairs or restoration to be effected and the anticipated costs and schedule associated therewith (the “</w:t>
      </w:r>
      <w:r>
        <w:rPr>
          <w:rFonts w:ascii="Arial" w:cs="Arial" w:eastAsia="Arial" w:hAnsi="Arial"/>
          <w:sz w:val="18"/>
          <w:szCs w:val="18"/>
          <w:u w:val="single" w:color="auto"/>
          <w:color w:val="auto"/>
        </w:rPr>
        <w:t>Repair Plan</w:t>
      </w:r>
      <w:r>
        <w:rPr>
          <w:rFonts w:ascii="Arial" w:cs="Arial" w:eastAsia="Arial" w:hAnsi="Arial"/>
          <w:sz w:val="18"/>
          <w:szCs w:val="18"/>
          <w:color w:val="auto"/>
        </w:rPr>
        <w:t>”), and the Administrative Agent, in the exercise of its reasonable judgment, acknowledges in writing that the Repair Plan is achievable;</w:t>
      </w:r>
    </w:p>
    <w:p>
      <w:pPr>
        <w:spacing w:after="0" w:line="209" w:lineRule="exact"/>
        <w:rPr>
          <w:rFonts w:ascii="Arial" w:cs="Arial" w:eastAsia="Arial" w:hAnsi="Arial"/>
          <w:sz w:val="18"/>
          <w:szCs w:val="18"/>
          <w:color w:val="auto"/>
        </w:rPr>
      </w:pPr>
    </w:p>
    <w:p>
      <w:pPr>
        <w:ind w:left="652" w:right="60" w:firstLine="888"/>
        <w:spacing w:after="0" w:line="248" w:lineRule="auto"/>
        <w:tabs>
          <w:tab w:leader="none" w:pos="220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Debt Service Reserve Account shall be funded with such Net Cash Proceeds in an amount equal to the DSRA Shortfall (as defined in the Depositary Agree-ment) resulting from the extension to the expected Plant Completion Date resulting from the damage, destruction or Casualty Event giving rise to such Recovery Event;</w:t>
      </w:r>
    </w:p>
    <w:p>
      <w:pPr>
        <w:spacing w:after="0" w:line="209" w:lineRule="exact"/>
        <w:rPr>
          <w:rFonts w:ascii="Arial" w:cs="Arial" w:eastAsia="Arial" w:hAnsi="Arial"/>
          <w:sz w:val="18"/>
          <w:szCs w:val="18"/>
          <w:color w:val="auto"/>
        </w:rPr>
      </w:pPr>
    </w:p>
    <w:p>
      <w:pPr>
        <w:ind w:left="652" w:right="40" w:firstLine="888"/>
        <w:spacing w:after="0" w:line="262" w:lineRule="auto"/>
        <w:tabs>
          <w:tab w:leader="none" w:pos="225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the Borrower reasonably expects it or the appropriate Loan Party to obtain any Permit necessary to proceed with the repair and restoration of the Plant; and</w:t>
      </w:r>
    </w:p>
    <w:p>
      <w:pPr>
        <w:spacing w:after="0" w:line="196" w:lineRule="exact"/>
        <w:rPr>
          <w:rFonts w:ascii="Arial" w:cs="Arial" w:eastAsia="Arial" w:hAnsi="Arial"/>
          <w:sz w:val="18"/>
          <w:szCs w:val="18"/>
          <w:color w:val="auto"/>
        </w:rPr>
      </w:pPr>
    </w:p>
    <w:p>
      <w:pPr>
        <w:ind w:left="652" w:firstLine="888"/>
        <w:spacing w:after="0" w:line="294" w:lineRule="auto"/>
        <w:tabs>
          <w:tab w:leader="none" w:pos="2258" w:val="left"/>
        </w:tabs>
        <w:numPr>
          <w:ilvl w:val="2"/>
          <w:numId w:val="162"/>
        </w:numPr>
        <w:rPr>
          <w:rFonts w:ascii="Arial" w:cs="Arial" w:eastAsia="Arial" w:hAnsi="Arial"/>
          <w:sz w:val="16"/>
          <w:szCs w:val="16"/>
          <w:color w:val="auto"/>
        </w:rPr>
      </w:pPr>
      <w:r>
        <w:rPr>
          <w:rFonts w:ascii="Arial" w:cs="Arial" w:eastAsia="Arial" w:hAnsi="Arial"/>
          <w:sz w:val="16"/>
          <w:szCs w:val="16"/>
          <w:color w:val="auto"/>
        </w:rPr>
        <w:t>the Borrower agrees to use commercially reasonable efforts to obtain such additional title insurance, endorsements, mechanic’s lien waivers or other documents as may reasonably be requested by the Administrative Agent as necessary or appropriate in connection with such repairs or restoration of the Plant or to preserve or protect the Lenders’ interests hereunder and in the applicable Collateral.</w:t>
      </w:r>
    </w:p>
    <w:p>
      <w:pPr>
        <w:spacing w:after="0" w:line="174" w:lineRule="exact"/>
        <w:rPr>
          <w:rFonts w:ascii="Arial" w:cs="Arial" w:eastAsia="Arial" w:hAnsi="Arial"/>
          <w:sz w:val="16"/>
          <w:szCs w:val="16"/>
          <w:color w:val="auto"/>
        </w:rPr>
      </w:pPr>
    </w:p>
    <w:p>
      <w:pPr>
        <w:ind w:left="1952" w:hanging="655"/>
        <w:spacing w:after="0"/>
        <w:tabs>
          <w:tab w:leader="none" w:pos="1952"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Net Cash Proceeds from the Issuance of Debt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8" w:right="200" w:firstLine="8"/>
        <w:spacing w:after="0" w:line="294" w:lineRule="auto"/>
        <w:tabs>
          <w:tab w:leader="none" w:pos="61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Subject to Section 2.14(b), no later than the first Business Day following the date of receipt by any LNG Group Member of any Net Cash Proceeds from the incurrence by any LNG Group Member of any Indebtedness (other than with respect to any Indebtedness permitted to be incurred pursuant to Section 6.2), the Borrower shall prepay the Term Loans as set forth in Section 2.16(b) in an aggregate amount equal to 100% of such Net Cash Proceeds.</w:t>
      </w: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205" w:name="page206"/>
    <w:bookmarkEnd w:id="205"/>
    <w:p>
      <w:pPr>
        <w:jc w:val="both"/>
        <w:ind w:right="60" w:firstLine="1548"/>
        <w:spacing w:after="0" w:line="286" w:lineRule="auto"/>
        <w:tabs>
          <w:tab w:leader="none" w:pos="197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No later than the fifth Business Day following the date of receipt by any LNG Group Member of any Net Cash Proceeds from the incurrence of any Indebtedness pursuant to Section 6.2(u) in excess of $10,000,000 in the aggregate, the Borrower shall prepay the Term Loans as set forth in Section 2.16(b) in an aggregate amount equal to 100% of such Net Cash Proceeds in excess of $10,000,000 in the aggregate.</w:t>
      </w:r>
    </w:p>
    <w:p>
      <w:pPr>
        <w:spacing w:after="0" w:line="219" w:lineRule="exact"/>
        <w:rPr>
          <w:rFonts w:ascii="Arial" w:cs="Arial" w:eastAsia="Arial" w:hAnsi="Arial"/>
          <w:sz w:val="17"/>
          <w:szCs w:val="17"/>
          <w:color w:val="auto"/>
        </w:rPr>
      </w:pPr>
    </w:p>
    <w:p>
      <w:pPr>
        <w:ind w:firstLine="1305"/>
        <w:spacing w:after="0" w:line="288" w:lineRule="auto"/>
        <w:tabs>
          <w:tab w:leader="none" w:pos="2047"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Consolidated Excess Cash Flow</w:t>
      </w:r>
      <w:r>
        <w:rPr>
          <w:rFonts w:ascii="Arial" w:cs="Arial" w:eastAsia="Arial" w:hAnsi="Arial"/>
          <w:sz w:val="16"/>
          <w:szCs w:val="16"/>
          <w:color w:val="auto"/>
        </w:rPr>
        <w:t>. If, as of any Excess Cash Flow Determination Date, the Excess Cash Flow Prepayment Amount exceeds $0, then within ten (10) Business Days after the date the financial statements for the second fiscal quarter after each fiscal year ended on any Excess Cash Flow Determination Date are required to be delivered pursuant to Section 5.1(b), the Borrower shall prepay the Term Loans as set forth in Section</w:t>
      </w: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2.16(b) in an amount equal to (i) 100% of the Excess Cash Flow Prepayment Amount, minus (ii) voluntary prepayments of Term Loans made during such fiscal year, and amounts paid by the Borrower in connection with any Borrower Loan Purchase during such fiscal year, in each case in this clause (ii) except to the extent funded with any Financing Proceeds.</w:t>
      </w:r>
    </w:p>
    <w:p>
      <w:pPr>
        <w:spacing w:after="0" w:line="244" w:lineRule="exact"/>
        <w:rPr>
          <w:rFonts w:ascii="Arial" w:cs="Arial" w:eastAsia="Arial" w:hAnsi="Arial"/>
          <w:sz w:val="16"/>
          <w:szCs w:val="16"/>
          <w:color w:val="auto"/>
        </w:rPr>
      </w:pPr>
    </w:p>
    <w:p>
      <w:pPr>
        <w:ind w:left="2040" w:hanging="735"/>
        <w:spacing w:after="0"/>
        <w:tabs>
          <w:tab w:leader="none" w:pos="20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00" w:firstLine="1305"/>
        <w:spacing w:after="0" w:line="293" w:lineRule="auto"/>
        <w:tabs>
          <w:tab w:leader="none" w:pos="2071"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Prepayment Certificate</w:t>
      </w:r>
      <w:r>
        <w:rPr>
          <w:rFonts w:ascii="Arial" w:cs="Arial" w:eastAsia="Arial" w:hAnsi="Arial"/>
          <w:sz w:val="16"/>
          <w:szCs w:val="16"/>
          <w:color w:val="auto"/>
        </w:rPr>
        <w:t>. Concurrently with any prepayment of the Term Loans pursuant to Sections 2.15(a) through 2.15(d), the Borrower shall deliver to the Administrative Agent for distribution to the Lenders a certificate of a Responsible Officer of the Borrower demonstrating the calculation of the amount of the applicable Net Cash Proceeds or Excess Cash Flow Prepayment Amount, as the case may be. In the event that the Borrower shall subsequently determine that the actual amount required to be prepaid exceeded the amount set forth in such certificate, the Borrower shall promptly make an additional prepayment of the Term Loans in an amount equal to such excess, and the Borrower shall concurrently therewith deliver to the Administrative Agent for distribution to the Lenders a certificate of a Responsible Officer of the Borrower demonstrating the derivation of such excess.</w:t>
      </w:r>
    </w:p>
    <w:p>
      <w:pPr>
        <w:spacing w:after="0" w:line="21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Application of Prepayments/Reductions</w:t>
      </w:r>
      <w:r>
        <w:rPr>
          <w:rFonts w:ascii="Arial" w:cs="Arial" w:eastAsia="Arial" w:hAnsi="Arial"/>
          <w:sz w:val="16"/>
          <w:szCs w:val="16"/>
          <w:color w:val="auto"/>
        </w:rPr>
        <w:t>.</w:t>
      </w:r>
    </w:p>
    <w:p>
      <w:pPr>
        <w:spacing w:after="0" w:line="279" w:lineRule="exact"/>
        <w:rPr>
          <w:sz w:val="20"/>
          <w:szCs w:val="20"/>
          <w:color w:val="auto"/>
        </w:rPr>
      </w:pPr>
    </w:p>
    <w:p>
      <w:pPr>
        <w:ind w:right="160" w:firstLine="1305"/>
        <w:spacing w:after="0" w:line="259" w:lineRule="auto"/>
        <w:tabs>
          <w:tab w:leader="none" w:pos="203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xml:space="preserve">. Any prepayment of any Term Loan pursuant to Section 2.14(a) shall be applied as specified by the Borrower in the applicable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Borrower fails to specify the Term Loans to which any such prepayment shall be applied, such prepayment shall be applied to prepay the Term Loans in direct order of maturity of the scheduled remaining Installments of principal of the Term Loans.</w:t>
      </w:r>
    </w:p>
    <w:p>
      <w:pPr>
        <w:spacing w:after="0" w:line="240" w:lineRule="exact"/>
        <w:rPr>
          <w:rFonts w:ascii="Arial" w:cs="Arial" w:eastAsia="Arial" w:hAnsi="Arial"/>
          <w:sz w:val="18"/>
          <w:szCs w:val="18"/>
          <w:color w:val="auto"/>
        </w:rPr>
      </w:pPr>
    </w:p>
    <w:p>
      <w:pPr>
        <w:jc w:val="both"/>
        <w:ind w:right="100" w:firstLine="1305"/>
        <w:spacing w:after="0" w:line="259" w:lineRule="auto"/>
        <w:tabs>
          <w:tab w:leader="none" w:pos="204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xml:space="preserve">. Any amount required to be used to prepay the Term Loans pursuant to Sections 2.15(a) through 2.15(d) shall be applied as specified by the Borrower in the applicable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Borrower fails to specify the Term Loans to which any such prepayment shall be applied, such prepayment shall be applied to prepay the Term Loans in direct order of maturity of the scheduled remaining Installments of principal of the Term Loans.</w:t>
      </w:r>
    </w:p>
    <w:p>
      <w:pPr>
        <w:spacing w:after="0" w:line="240" w:lineRule="exact"/>
        <w:rPr>
          <w:rFonts w:ascii="Arial" w:cs="Arial" w:eastAsia="Arial" w:hAnsi="Arial"/>
          <w:sz w:val="18"/>
          <w:szCs w:val="18"/>
          <w:color w:val="auto"/>
        </w:rPr>
      </w:pPr>
    </w:p>
    <w:p>
      <w:pPr>
        <w:ind w:right="320" w:firstLine="1305"/>
        <w:spacing w:after="0" w:line="280" w:lineRule="auto"/>
        <w:tabs>
          <w:tab w:leader="none" w:pos="2036"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Waivable Mandatory Prepayment</w:t>
      </w:r>
      <w:r>
        <w:rPr>
          <w:rFonts w:ascii="Arial" w:cs="Arial" w:eastAsia="Arial" w:hAnsi="Arial"/>
          <w:sz w:val="16"/>
          <w:szCs w:val="16"/>
          <w:color w:val="auto"/>
        </w:rPr>
        <w:t xml:space="preserve">. Anything contained herein to the contrary notwithstanding, so long as any Term Loans are outstanding, in the event the Borrower is </w:t>
      </w:r>
      <w:r>
        <w:rPr>
          <w:rFonts w:ascii="Arial" w:cs="Arial" w:eastAsia="Arial" w:hAnsi="Arial"/>
          <w:sz w:val="19"/>
          <w:szCs w:val="19"/>
          <w:color w:val="auto"/>
        </w:rPr>
        <w:t>required to make any mandatory prepayment (a “</w:t>
      </w:r>
      <w:r>
        <w:rPr>
          <w:rFonts w:ascii="Arial" w:cs="Arial" w:eastAsia="Arial" w:hAnsi="Arial"/>
          <w:sz w:val="16"/>
          <w:szCs w:val="16"/>
          <w:u w:val="single" w:color="auto"/>
          <w:color w:val="auto"/>
        </w:rPr>
        <w:t>Waivable Mandatory Prepayment</w:t>
      </w:r>
      <w:r>
        <w:rPr>
          <w:rFonts w:ascii="Arial" w:cs="Arial" w:eastAsia="Arial" w:hAnsi="Arial"/>
          <w:sz w:val="19"/>
          <w:szCs w:val="19"/>
          <w:color w:val="auto"/>
        </w:rPr>
        <w:t>”) of the Term</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Loans, not less than five Business Days prior to the date (the “</w:t>
      </w:r>
      <w:r>
        <w:rPr>
          <w:rFonts w:ascii="Arial" w:cs="Arial" w:eastAsia="Arial" w:hAnsi="Arial"/>
          <w:sz w:val="16"/>
          <w:szCs w:val="16"/>
          <w:u w:val="single" w:color="auto"/>
          <w:color w:val="auto"/>
        </w:rPr>
        <w:t>Required Prepayment Date</w:t>
      </w:r>
      <w:r>
        <w:rPr>
          <w:rFonts w:ascii="Arial" w:cs="Arial" w:eastAsia="Arial" w:hAnsi="Arial"/>
          <w:sz w:val="19"/>
          <w:szCs w:val="19"/>
          <w:color w:val="auto"/>
        </w:rPr>
        <w:t>”) on which the Borrower is required to make such Waivable Mandatory Prepayment, the Borrower shall notify the Administrative Agent of the amount of such prepayment, and the Administrative Agent will promptly thereafter notify each Lender holding an outstanding Term Loan of the amount of such Lender’s Pro Rata Share of such Waivable Mandatory Prepayment and such Lender’s option to refuse such amount. Each such Lender may exercise such option to refuse its Pro Rata Share of such Waivable Mandatory Prepayment (such refused amount of all such Lenders, the “</w:t>
      </w:r>
      <w:r>
        <w:rPr>
          <w:rFonts w:ascii="Arial" w:cs="Arial" w:eastAsia="Arial" w:hAnsi="Arial"/>
          <w:sz w:val="16"/>
          <w:szCs w:val="16"/>
          <w:u w:val="single" w:color="auto"/>
          <w:color w:val="auto"/>
        </w:rPr>
        <w:t>Refused Proceeds</w:t>
      </w:r>
      <w:r>
        <w:rPr>
          <w:rFonts w:ascii="Arial" w:cs="Arial" w:eastAsia="Arial" w:hAnsi="Arial"/>
          <w:sz w:val="19"/>
          <w:szCs w:val="19"/>
          <w:color w:val="auto"/>
        </w:rPr>
        <w:t>”) by giving written notice to the Borrower and the Administrative Agent of its election to do so on or before the third Business Day prior to the Required Prepayment Date (it being understood that any Lender which does not notify the Borrower and the Administrative Agent of its election to exercise such option on or before the third Business Day prior to the Required Prepayment Date shall be deemed to have elected, as of such date, not to exercise such option). On the Required Prepayment Date, the Borrower shall (i) pay to the Administrative Agent the amount of the Waivable Mandatory Prepayment, less the Refused Proceeds, which such remaining amount shall be applied to prepay the Term Loans of those Lenders that have elected not to exercise such option (which prepayment shall be applied to the scheduled Installments of principal of the Term Loans in accordance with Section 2.16(b)), and (ii) retain any Refused Proceeds or use such Refused Proceeds for any other purpose permitted hereunder.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6" w:name="page207"/>
    <w:bookmarkEnd w:id="206"/>
    <w:p>
      <w:pPr>
        <w:ind w:left="-120" w:firstLine="1305"/>
        <w:spacing w:after="0" w:line="264" w:lineRule="auto"/>
        <w:tabs>
          <w:tab w:leader="none" w:pos="192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Application of Prepayments of Term Loans to Base Rate Loans and Eurodollar Rate Loans</w:t>
      </w:r>
      <w:r>
        <w:rPr>
          <w:rFonts w:ascii="Arial" w:cs="Arial" w:eastAsia="Arial" w:hAnsi="Arial"/>
          <w:sz w:val="18"/>
          <w:szCs w:val="18"/>
          <w:color w:val="auto"/>
        </w:rPr>
        <w:t>. Any prepayment of Term Loans shall be applied first to Base Rate Loans to the full extent thereof before application to Eurodollar Rate Loans, in each case in a manner which minimizes the amount of any payments required to be made by the Borrower pursuant to Section 2.19(c).</w:t>
      </w:r>
    </w:p>
    <w:p>
      <w:pPr>
        <w:spacing w:after="0" w:line="235" w:lineRule="exact"/>
        <w:rPr>
          <w:sz w:val="20"/>
          <w:szCs w:val="20"/>
          <w:color w:val="auto"/>
        </w:rPr>
      </w:pPr>
    </w:p>
    <w:p>
      <w:pPr>
        <w:ind w:left="1180"/>
        <w:spacing w:after="0"/>
        <w:tabs>
          <w:tab w:leader="none" w:pos="19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u w:val="single" w:color="auto"/>
          <w:color w:val="auto"/>
        </w:rPr>
        <w:t>General Provisions Regarding Payments</w:t>
      </w:r>
      <w:r>
        <w:rPr>
          <w:rFonts w:ascii="Arial" w:cs="Arial" w:eastAsia="Arial" w:hAnsi="Arial"/>
          <w:sz w:val="16"/>
          <w:szCs w:val="16"/>
          <w:color w:val="auto"/>
        </w:rPr>
        <w:t>.</w:t>
      </w:r>
    </w:p>
    <w:p>
      <w:pPr>
        <w:spacing w:after="0" w:line="279" w:lineRule="exact"/>
        <w:rPr>
          <w:sz w:val="20"/>
          <w:szCs w:val="20"/>
          <w:color w:val="auto"/>
        </w:rPr>
      </w:pPr>
    </w:p>
    <w:p>
      <w:pPr>
        <w:ind w:left="-120" w:right="20" w:firstLine="1305"/>
        <w:spacing w:after="0" w:line="257" w:lineRule="auto"/>
        <w:tabs>
          <w:tab w:leader="none" w:pos="191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3:00 p.m. (New York City time) on the date due at the Principal Office of the Administrative Agent for the account of Lenders; for purposes of computing interest and fees, funds received by the Administrative Agent after that time on such due date shall be deemed to have been paid by the Borrower on the next succeeding Business Day.</w:t>
      </w:r>
    </w:p>
    <w:p>
      <w:pPr>
        <w:spacing w:after="0" w:line="242" w:lineRule="exact"/>
        <w:rPr>
          <w:rFonts w:ascii="Arial" w:cs="Arial" w:eastAsia="Arial" w:hAnsi="Arial"/>
          <w:sz w:val="18"/>
          <w:szCs w:val="18"/>
          <w:color w:val="auto"/>
        </w:rPr>
      </w:pPr>
    </w:p>
    <w:p>
      <w:pPr>
        <w:ind w:left="-120" w:firstLine="1305"/>
        <w:spacing w:after="0" w:line="312" w:lineRule="auto"/>
        <w:tabs>
          <w:tab w:leader="none" w:pos="192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payments in respect of the principal amount of any Term Loan shall be accompanied by payment of accrued interest on the principal amount being repaid or prepaid, and all such payments (and, in any event, any payments in respect of any Term Loan on a date when interest is due and payable with respect to such Term Loan) shall be applied to the payment of interest then due and payable before application to principal.</w:t>
      </w:r>
    </w:p>
    <w:p>
      <w:pPr>
        <w:spacing w:after="0" w:line="200" w:lineRule="exact"/>
        <w:rPr>
          <w:rFonts w:ascii="Arial" w:cs="Arial" w:eastAsia="Arial" w:hAnsi="Arial"/>
          <w:sz w:val="16"/>
          <w:szCs w:val="16"/>
          <w:color w:val="auto"/>
        </w:rPr>
      </w:pPr>
    </w:p>
    <w:p>
      <w:pPr>
        <w:ind w:left="-120" w:right="80" w:firstLine="1305"/>
        <w:spacing w:after="0" w:line="312" w:lineRule="auto"/>
        <w:tabs>
          <w:tab w:leader="none" w:pos="191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48895</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60" w:top="152" w:right="359" w:bottom="1440" w:gutter="0" w:footer="0" w:header="0"/>
        </w:sectPr>
      </w:pPr>
    </w:p>
    <w:bookmarkStart w:id="207" w:name="page208"/>
    <w:bookmarkEnd w:id="207"/>
    <w:p>
      <w:pPr>
        <w:ind w:right="80" w:firstLine="1305"/>
        <w:spacing w:after="0" w:line="264" w:lineRule="auto"/>
        <w:tabs>
          <w:tab w:leader="none" w:pos="20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the foregoing provisions hereof, if any Conversion/Continuation Notice is withdrawn as to any Affected Lender or if any Affected Lender makes Base Rate Loans in lieu of its Pro Rata Share of any Eurodollar Rate Loans, the Administrative Agent shall give effect thereto in apportioning payments received thereafter.</w:t>
      </w:r>
    </w:p>
    <w:p>
      <w:pPr>
        <w:spacing w:after="0" w:line="235" w:lineRule="exact"/>
        <w:rPr>
          <w:rFonts w:ascii="Arial" w:cs="Arial" w:eastAsia="Arial" w:hAnsi="Arial"/>
          <w:sz w:val="18"/>
          <w:szCs w:val="18"/>
          <w:color w:val="auto"/>
        </w:rPr>
      </w:pPr>
    </w:p>
    <w:p>
      <w:pPr>
        <w:ind w:right="520" w:firstLine="1305"/>
        <w:spacing w:after="0" w:line="277" w:lineRule="auto"/>
        <w:tabs>
          <w:tab w:leader="none" w:pos="20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Whenever any payment to be made hereunder with respect to any Term Loan shall be stated to be due on a day that is not a Business Day, such payment shall be made on the next succeeding Business Day.</w:t>
      </w:r>
    </w:p>
    <w:p>
      <w:pPr>
        <w:spacing w:after="0" w:line="224" w:lineRule="exact"/>
        <w:rPr>
          <w:rFonts w:ascii="Arial" w:cs="Arial" w:eastAsia="Arial" w:hAnsi="Arial"/>
          <w:sz w:val="18"/>
          <w:szCs w:val="18"/>
          <w:color w:val="auto"/>
        </w:rPr>
      </w:pPr>
    </w:p>
    <w:p>
      <w:pPr>
        <w:ind w:firstLine="1305"/>
        <w:spacing w:after="0" w:line="271" w:lineRule="auto"/>
        <w:tabs>
          <w:tab w:leader="none" w:pos="207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Administrative Agent shall deem any payment by or on behalf of the Borrower hereunder that is not made in same day funds prior to 3:00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2.11, if applicable, from the date such amount was due and payable until the date such amount is paid in full.</w:t>
      </w:r>
    </w:p>
    <w:p>
      <w:pPr>
        <w:spacing w:after="0" w:line="233" w:lineRule="exact"/>
        <w:rPr>
          <w:sz w:val="20"/>
          <w:szCs w:val="20"/>
          <w:color w:val="auto"/>
        </w:rPr>
      </w:pPr>
    </w:p>
    <w:p>
      <w:pPr>
        <w:ind w:right="20" w:firstLine="1297"/>
        <w:spacing w:after="0" w:line="282"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Ratable Sharing</w:t>
      </w:r>
      <w:r>
        <w:rPr>
          <w:rFonts w:ascii="Arial" w:cs="Arial" w:eastAsia="Arial" w:hAnsi="Arial"/>
          <w:sz w:val="16"/>
          <w:szCs w:val="16"/>
          <w:color w:val="auto"/>
        </w:rPr>
        <w:t>. The Lenders hereby agree among themselves that if any of them shall, whether by voluntary payment (other than a voluntary prepayment of Term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Debtor Relief Laws, receive payment or reduction of a proportion of the aggregate amount of principal, interest, fees and other amounts then due and owing to such Lender hereunder or under the other Loan Documents (collectively, the “</w:t>
      </w:r>
      <w:r>
        <w:rPr>
          <w:rFonts w:ascii="Arial" w:cs="Arial" w:eastAsia="Arial" w:hAnsi="Arial"/>
          <w:sz w:val="16"/>
          <w:szCs w:val="16"/>
          <w:u w:val="single" w:color="auto"/>
          <w:color w:val="auto"/>
        </w:rPr>
        <w:t>Aggregate Amounts Due</w:t>
      </w:r>
      <w:r>
        <w:rPr>
          <w:rFonts w:ascii="Arial" w:cs="Arial" w:eastAsia="Arial" w:hAnsi="Arial"/>
          <w:sz w:val="16"/>
          <w:szCs w:val="16"/>
          <w:color w:val="auto"/>
        </w:rPr>
        <w:t xml:space="preserv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Arial" w:cs="Arial" w:eastAsia="Arial" w:hAnsi="Arial"/>
          <w:sz w:val="16"/>
          <w:szCs w:val="16"/>
          <w:u w:val="single" w:color="auto"/>
          <w:color w:val="auto"/>
        </w:rPr>
        <w:t>provided</w:t>
      </w:r>
      <w:r>
        <w:rPr>
          <w:rFonts w:ascii="Arial" w:cs="Arial" w:eastAsia="Arial" w:hAnsi="Arial"/>
          <w:sz w:val="16"/>
          <w:szCs w:val="16"/>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w:t>
      </w:r>
    </w:p>
    <w:p>
      <w:pPr>
        <w:spacing w:after="0" w:line="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fully as if that holder were owed the amount of the participation held by that holder. The provisions of </w:t>
      </w:r>
      <w:r>
        <w:rPr>
          <w:rFonts w:ascii="Arial" w:cs="Arial" w:eastAsia="Arial" w:hAnsi="Arial"/>
          <w:sz w:val="21"/>
          <w:szCs w:val="21"/>
          <w:color w:val="auto"/>
        </w:rPr>
        <w:t>this Section 2.18 shall not be construed to</w:t>
      </w:r>
      <w:r>
        <w:rPr>
          <w:rFonts w:ascii="Arial" w:cs="Arial" w:eastAsia="Arial" w:hAnsi="Arial"/>
          <w:sz w:val="18"/>
          <w:szCs w:val="18"/>
          <w:color w:val="auto"/>
        </w:rPr>
        <w:t xml:space="preserve"> </w:t>
      </w:r>
      <w:r>
        <w:rPr>
          <w:rFonts w:ascii="Arial" w:cs="Arial" w:eastAsia="Arial" w:hAnsi="Arial"/>
          <w:sz w:val="21"/>
          <w:szCs w:val="21"/>
          <w:color w:val="auto"/>
        </w:rPr>
        <w:t>apply to (a) any payment made by the Borrower pursuant to and in accordance with the express terms of this Agreement as in effect from time to time (including the application of funds arising from the existence of a Defaulting Lender) or (b) any payment obtained by any Lender as consideration for the assignment or sale of a participation in any of its Term Loans or other Obligations owed to it. For purposes of clause (a)(iii) of Section 2.21, a Lender that acquires a participation pursuant to this Section 2.18 shall be treated as having acquired such participation on the earlier date on which such Lender acquired the applicable interest in the Term Loan to which such participation relates.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08" w:name="page209"/>
    <w:bookmarkEnd w:id="208"/>
    <w:p>
      <w:pPr>
        <w:ind w:left="1300"/>
        <w:spacing w:after="0"/>
        <w:tabs>
          <w:tab w:leader="none" w:pos="20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Making or Maintaining Eurodollar Rate Loans</w:t>
      </w:r>
      <w:r>
        <w:rPr>
          <w:rFonts w:ascii="Arial" w:cs="Arial" w:eastAsia="Arial" w:hAnsi="Arial"/>
          <w:sz w:val="16"/>
          <w:szCs w:val="16"/>
          <w:color w:val="auto"/>
        </w:rPr>
        <w:t>.</w:t>
      </w:r>
    </w:p>
    <w:p>
      <w:pPr>
        <w:spacing w:after="0" w:line="279" w:lineRule="exact"/>
        <w:rPr>
          <w:sz w:val="20"/>
          <w:szCs w:val="20"/>
          <w:color w:val="auto"/>
        </w:rPr>
      </w:pPr>
    </w:p>
    <w:p>
      <w:pPr>
        <w:ind w:right="40" w:firstLine="1305"/>
        <w:spacing w:after="0" w:line="253" w:lineRule="auto"/>
        <w:tabs>
          <w:tab w:leader="none" w:pos="2036"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Inability to Determine Applicable Interest Rate</w:t>
      </w:r>
      <w:r>
        <w:rPr>
          <w:rFonts w:ascii="Arial" w:cs="Arial" w:eastAsia="Arial" w:hAnsi="Arial"/>
          <w:sz w:val="18"/>
          <w:szCs w:val="18"/>
          <w:color w:val="auto"/>
        </w:rPr>
        <w:t>. In the event that the Required Lenders shall have reasonably determined (which determination shall be final and conclusive and binding upon all parties hereto but shall be made only after consultation with the Borrower and the Administrative Agent) on any Interest Rate Determination Date with respect to any Eurodollar Rate Loans, that by reason of circumstances affecting the London interbank market adequate and fair means do not exist for ascertaining the interest rate applicable to such Term Loans on the basis provided for in the definition of “Adjusted Eurodollar Rate,” the Administrative Agent shall on such date give notice (by telefacsimile or by telephone confirmed in writing) to the Borrower and each Lender of such determination, whereupon (i) no Term Loans may be made as, or converted to, Eurodollar Rate Loans until such time as the Administrative Agent notifies the Borrower and Lenders that the circumstances giving rise to such notice no longer exist, and (ii) any Funding Notice or Conversion/Continuation Notice given by the Borrower with respect to the Term Loans in respect of which such determination was made shall be deemed to be rescinded by the Borrower.</w:t>
      </w:r>
    </w:p>
    <w:p>
      <w:pPr>
        <w:spacing w:after="0" w:line="251" w:lineRule="exact"/>
        <w:rPr>
          <w:rFonts w:ascii="Arial" w:cs="Arial" w:eastAsia="Arial" w:hAnsi="Arial"/>
          <w:sz w:val="18"/>
          <w:szCs w:val="18"/>
          <w:color w:val="auto"/>
        </w:rPr>
      </w:pPr>
    </w:p>
    <w:p>
      <w:pPr>
        <w:ind w:right="20" w:firstLine="1305"/>
        <w:spacing w:after="0" w:line="283" w:lineRule="auto"/>
        <w:tabs>
          <w:tab w:leader="none" w:pos="2047"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Illegality or Impracticability of Eurodollar Rate Loans</w:t>
      </w:r>
      <w:r>
        <w:rPr>
          <w:rFonts w:ascii="Arial" w:cs="Arial" w:eastAsia="Arial" w:hAnsi="Arial"/>
          <w:sz w:val="16"/>
          <w:szCs w:val="16"/>
          <w:color w:val="auto"/>
        </w:rPr>
        <w:t>.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Eurodollar Rate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Eurodollar Rate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Arial" w:cs="Arial" w:eastAsia="Arial" w:hAnsi="Arial"/>
          <w:sz w:val="16"/>
          <w:szCs w:val="16"/>
          <w:u w:val="single" w:color="auto"/>
          <w:color w:val="auto"/>
        </w:rPr>
        <w:t>Affected Lender</w:t>
      </w:r>
      <w:r>
        <w:rPr>
          <w:rFonts w:ascii="Arial" w:cs="Arial" w:eastAsia="Arial" w:hAnsi="Arial"/>
          <w:sz w:val="16"/>
          <w:szCs w:val="16"/>
          <w:color w:val="auto"/>
        </w:rPr>
        <w:t>” and such Affected Lender shall on that day give 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w:t>
      </w:r>
    </w:p>
    <w:p>
      <w:pPr>
        <w:spacing w:after="0" w:line="4" w:lineRule="exact"/>
        <w:rPr>
          <w:rFonts w:ascii="Arial" w:cs="Arial" w:eastAsia="Arial" w:hAnsi="Arial"/>
          <w:sz w:val="16"/>
          <w:szCs w:val="16"/>
          <w:color w:val="auto"/>
        </w:rPr>
      </w:pPr>
    </w:p>
    <w:p>
      <w:pPr>
        <w:ind w:firstLine="8"/>
        <w:spacing w:after="0" w:line="279" w:lineRule="auto"/>
        <w:tabs>
          <w:tab w:leader="none" w:pos="2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Lenders constituting Required Lenders pursuant to clause (ii) of the preceding sentence, then (1) the obligation of the Lenders (or, in the case of any notice pursuant to clause (i) of the preceding sentence, such Lender) to make Term Loans as, or to convert Term Loans to, Eurodollar Rate Loans shall be</w:t>
      </w:r>
    </w:p>
    <w:p>
      <w:pPr>
        <w:spacing w:after="0" w:line="1"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 xml:space="preserve">suspended until such notice shall be withdrawn by each Affected Lender, (2) to the extent such determination by the Affected Lender relates to a Eurodollar Rate Loan then being requested by the Borrower pursuant to a Funding Notice or a </w:t>
      </w:r>
      <w:r>
        <w:rPr>
          <w:rFonts w:ascii="Arial" w:cs="Arial" w:eastAsia="Arial" w:hAnsi="Arial"/>
          <w:sz w:val="16"/>
          <w:szCs w:val="16"/>
          <w:color w:val="auto"/>
        </w:rPr>
        <w:t>Conversion/Continuation Notice</w:t>
      </w:r>
      <w:r>
        <w:rPr>
          <w:rFonts w:ascii="Arial" w:cs="Arial" w:eastAsia="Arial" w:hAnsi="Arial"/>
          <w:sz w:val="19"/>
          <w:szCs w:val="19"/>
          <w:color w:val="auto"/>
        </w:rPr>
        <w:t>, the Lenders (or in the case of any notice pursuant to clause (i) of the preceding sentence, such Lender)</w:t>
      </w:r>
      <w:r>
        <w:rPr>
          <w:rFonts w:ascii="Arial" w:cs="Arial" w:eastAsia="Arial" w:hAnsi="Arial"/>
          <w:sz w:val="16"/>
          <w:szCs w:val="16"/>
          <w:color w:val="auto"/>
        </w:rPr>
        <w:t xml:space="preserve"> </w:t>
      </w:r>
      <w:r>
        <w:rPr>
          <w:rFonts w:ascii="Arial" w:cs="Arial" w:eastAsia="Arial" w:hAnsi="Arial"/>
          <w:sz w:val="19"/>
          <w:szCs w:val="19"/>
          <w:color w:val="auto"/>
        </w:rPr>
        <w:t>shall make such Term Loan as (or continue such Term Loan as or convert such Term Loan to, as the case may be) a Base Rate Loan, (3) the Lenders’ (or in the case of any notice pursuant to clause (i) of the preceding sentence, such Lender’s) obligations to maintain their respective outstanding Eurodollar Rate Loans (the “</w:t>
      </w:r>
      <w:r>
        <w:rPr>
          <w:rFonts w:ascii="Arial" w:cs="Arial" w:eastAsia="Arial" w:hAnsi="Arial"/>
          <w:sz w:val="16"/>
          <w:szCs w:val="16"/>
          <w:u w:val="single" w:color="auto"/>
          <w:color w:val="auto"/>
        </w:rPr>
        <w:t>Affected Loans</w:t>
      </w:r>
      <w:r>
        <w:rPr>
          <w:rFonts w:ascii="Arial" w:cs="Arial" w:eastAsia="Arial" w:hAnsi="Arial"/>
          <w:sz w:val="19"/>
          <w:szCs w:val="19"/>
          <w:color w:val="auto"/>
        </w:rPr>
        <w:t xml:space="preserve">”) shall be terminated at the earlier to occur of the expiration of the Interest Period then in effect with respect to the Affected Loans or when required by law, and (4) the Affected Loans shall automatically convert into Base Rate Loans on the date of such termination. Notwithstanding the foregoing, to the extent a determination by an Affected Lender as described above relates to a Eurodollar Rate Loan then being requested by the Borrower pursuant to a Funding Notice or a Conversion/Continuation Notice, the Borrower shall have the option, subject to the </w:t>
      </w:r>
      <w:r>
        <w:rPr>
          <w:rFonts w:ascii="Arial" w:cs="Arial" w:eastAsia="Arial" w:hAnsi="Arial"/>
          <w:sz w:val="16"/>
          <w:szCs w:val="16"/>
          <w:color w:val="auto"/>
        </w:rPr>
        <w:t xml:space="preserve">provisions of Section 2.19(c), </w:t>
      </w:r>
      <w:r>
        <w:rPr>
          <w:rFonts w:ascii="Arial" w:cs="Arial" w:eastAsia="Arial" w:hAnsi="Arial"/>
          <w:sz w:val="19"/>
          <w:szCs w:val="19"/>
          <w:color w:val="auto"/>
        </w:rPr>
        <w:t>to rescind such Funding Notice or Conversion/Continuation Notice as to all Lenders by giving written or</w:t>
      </w:r>
      <w:r>
        <w:rPr>
          <w:rFonts w:ascii="Arial" w:cs="Arial" w:eastAsia="Arial" w:hAnsi="Arial"/>
          <w:sz w:val="16"/>
          <w:szCs w:val="16"/>
          <w:color w:val="auto"/>
        </w:rPr>
        <w:t xml:space="preserve"> </w:t>
      </w:r>
      <w:r>
        <w:rPr>
          <w:rFonts w:ascii="Arial" w:cs="Arial" w:eastAsia="Arial" w:hAnsi="Arial"/>
          <w:sz w:val="19"/>
          <w:szCs w:val="19"/>
          <w:color w:val="auto"/>
        </w:rPr>
        <w:t>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2.19(b) shall affect the obligation of any Lender other than an Affected Lender to make or maintain Term Loans as, or to convert Term Loans to, Eurodollar Rate Loans in accordance with the terms 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09" w:name="page210"/>
    <w:bookmarkEnd w:id="209"/>
    <w:p>
      <w:pPr>
        <w:ind w:firstLine="1305"/>
        <w:spacing w:after="0" w:line="289" w:lineRule="auto"/>
        <w:tabs>
          <w:tab w:leader="none" w:pos="2036"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Eurodollar Rate Loan does not occur on a date specified therefor in a Funding Notice or a telephonic request for borrowing, or a conversion to or continuation of any Eurodollar Rate Loan does not occur on a date specified therefor in a Conversion/Continuation Notice or a telephonic request for conversion or continuation; (ii) if any prepayment or other principal payment of, or any conversion of, any of its Eurodollar Rate Loans occurs on a date prior to the last day of an Interest Period applicable to that Term Loan; or (iii) if any prepayment of any of its Eurodollar Rate Loans is not made on any date specified in a notice of prepayment given by the Borrower.</w:t>
      </w:r>
    </w:p>
    <w:p>
      <w:pPr>
        <w:spacing w:after="0" w:line="220" w:lineRule="exact"/>
        <w:rPr>
          <w:rFonts w:ascii="Arial" w:cs="Arial" w:eastAsia="Arial" w:hAnsi="Arial"/>
          <w:sz w:val="16"/>
          <w:szCs w:val="16"/>
          <w:color w:val="auto"/>
        </w:rPr>
      </w:pPr>
    </w:p>
    <w:p>
      <w:pPr>
        <w:ind w:right="200" w:firstLine="1305"/>
        <w:spacing w:after="0" w:line="277" w:lineRule="auto"/>
        <w:tabs>
          <w:tab w:leader="none" w:pos="204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Booking of Eurodollar Rate Loans</w:t>
      </w:r>
      <w:r>
        <w:rPr>
          <w:rFonts w:ascii="Arial" w:cs="Arial" w:eastAsia="Arial" w:hAnsi="Arial"/>
          <w:sz w:val="18"/>
          <w:szCs w:val="18"/>
          <w:color w:val="auto"/>
        </w:rPr>
        <w:t>. Any Lender may make, carry or transfer Eurodollar Rate Loans at, to, or for the account of any of its branch offices or the office of an Affiliate of such Lender.</w:t>
      </w:r>
    </w:p>
    <w:p>
      <w:pPr>
        <w:spacing w:after="0" w:line="224" w:lineRule="exact"/>
        <w:rPr>
          <w:rFonts w:ascii="Arial" w:cs="Arial" w:eastAsia="Arial" w:hAnsi="Arial"/>
          <w:sz w:val="18"/>
          <w:szCs w:val="18"/>
          <w:color w:val="auto"/>
        </w:rPr>
      </w:pPr>
    </w:p>
    <w:p>
      <w:pPr>
        <w:ind w:right="140" w:firstLine="1305"/>
        <w:spacing w:after="0" w:line="280" w:lineRule="auto"/>
        <w:tabs>
          <w:tab w:leader="none" w:pos="2036"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Assumptions Concerning Funding of Eurodollar Rate Loans</w:t>
      </w:r>
      <w:r>
        <w:rPr>
          <w:rFonts w:ascii="Arial" w:cs="Arial" w:eastAsia="Arial" w:hAnsi="Arial"/>
          <w:sz w:val="16"/>
          <w:szCs w:val="16"/>
          <w:color w:val="auto"/>
        </w:rPr>
        <w:t xml:space="preserve">. Calculation of all amounts payable to a Lender under this Section 2.19 and under Section 2.20 shall be made as though such Lender had actually funded each of its relevant Eurodollar Rate Loans through the purchase of a Eurodollar deposit bearing interest at the rate obtained pursuant to clause (i) of </w:t>
      </w:r>
      <w:r>
        <w:rPr>
          <w:rFonts w:ascii="Arial" w:cs="Arial" w:eastAsia="Arial" w:hAnsi="Arial"/>
          <w:sz w:val="19"/>
          <w:szCs w:val="19"/>
          <w:color w:val="auto"/>
        </w:rPr>
        <w:t>the definition of “Adjusted Eurodollar Rate” in an amount equal</w:t>
      </w:r>
    </w:p>
    <w:p>
      <w:pPr>
        <w:spacing w:after="0" w:line="2"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 xml:space="preserve">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8"/>
          <w:szCs w:val="18"/>
          <w:u w:val="single" w:color="auto"/>
          <w:color w:val="auto"/>
        </w:rPr>
        <w:t>provided</w:t>
      </w:r>
      <w:r>
        <w:rPr>
          <w:rFonts w:ascii="Arial" w:cs="Arial" w:eastAsia="Arial" w:hAnsi="Arial"/>
          <w:sz w:val="22"/>
          <w:szCs w:val="22"/>
          <w:color w:val="auto"/>
        </w:rPr>
        <w:t xml:space="preserve">, </w:t>
      </w:r>
      <w:r>
        <w:rPr>
          <w:rFonts w:ascii="Arial" w:cs="Arial" w:eastAsia="Arial" w:hAnsi="Arial"/>
          <w:sz w:val="18"/>
          <w:szCs w:val="18"/>
          <w:u w:val="single" w:color="auto"/>
          <w:color w:val="auto"/>
        </w:rPr>
        <w:t>however</w:t>
      </w:r>
      <w:r>
        <w:rPr>
          <w:rFonts w:ascii="Arial" w:cs="Arial" w:eastAsia="Arial" w:hAnsi="Arial"/>
          <w:sz w:val="22"/>
          <w:szCs w:val="22"/>
          <w:color w:val="auto"/>
        </w:rPr>
        <w:t>, that each Lender may fund each of its Eurodollar Rate Loans in any manner it sees fit and the foregoing assumptions shall be utilized only for the purposes of calculating amounts payable under this Section 2.19 and under Section 2.20.</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0" w:name="page211"/>
    <w:bookmarkEnd w:id="210"/>
    <w:p>
      <w:pPr>
        <w:ind w:left="1300"/>
        <w:spacing w:after="0"/>
        <w:tabs>
          <w:tab w:leader="none" w:pos="20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u w:val="single" w:color="auto"/>
          <w:color w:val="auto"/>
        </w:rPr>
        <w:t>Increased Costs; Capital Adequacy</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81" w:lineRule="auto"/>
        <w:tabs>
          <w:tab w:leader="none" w:pos="2036"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Compensation for Increased Costs and Taxes</w:t>
      </w:r>
      <w:r>
        <w:rPr>
          <w:rFonts w:ascii="Arial" w:cs="Arial" w:eastAsia="Arial" w:hAnsi="Arial"/>
          <w:sz w:val="16"/>
          <w:szCs w:val="16"/>
          <w:color w:val="auto"/>
        </w:rPr>
        <w:t xml:space="preserve">. In the event that any Lender shall reasonably determine (which determination shall be final and conclusive and binding upon all parties hereto but shall be made only after consultation with the Borrower and the Administrative Agent) that any law, treaty or governmental rule, regulation or order, or any change therein or in the interpretation, administration or application thereof (regardless of whether the underlying law, treaty or governmental rule, regulation or order was issued or enacted prior to the date hereof), including the introduction of any new law, treaty or governmental rule, regulation or order but excluding solely proposals thereof, or any determination of a court or Governmental Authority, in each case that becomes effective after the date hereof, or compliance by such Lender with any guideline, request or directive by any central bank or other governmental or quasi-governmental authority (whether or not having the force of law) or any implementation rules or interpretations of previously issued guidelines, requests or directives, in each case that is issued or made after the date hereof: (i) subjects such Lender (or its applicable lending office) to any additional tax (other than taxes excluded from Section 2.21 pursuant to clauses (i) through (vi) of Section 2.21(a) and Non-Excluded Taxes and Other Taxes indemnifiable under Section 2.21) with respect to this Agreement or any of the other Loan Documents or any of its obligations hereunder or thereunder or any obligations or payments to such Lender (or its applicable lending office) of principal, interest, fees or any other amount payable hereunder; (ii) imposes, modifies or holds applicable any reserve (including any marginal, emergency, supplemental, special or other reserve), special deposit, liquidity, compulsory loan, FDIC insurance or similar requirement against assets held by, or deposits or other liabilities in or for the account of, or advances or loans by, or other credit extended by, or any other acquisition of funds by, any office of such Lender (other than any such reserve or other requirements with respect to Eurodollar Rate Loans that are reflected in the definition of “Adjusted Eurodollar Rate”); or (iii) imposes any other condition (other than with respect to a tax matter) on or affecting such Lender (or its applicable lending office) or such Lender’s obligations hereunder or the London interbank market; and the result of any of the foregoing is to increase the cost to such Lender by any amount of agreeing to make, making or maintaining Term Loans hereunder or to reduce any amount received or receivable by such Lender (or its applicable lending office) by any amount with respect thereto; then, in any such case, the Borrower shall pay to such Lender, within thirty (30) days of receipt of the statement referred to in the next sentence, such additional amount or amounts (in the form of an increased rate of, or a different method of calculating, interest or in a lump sum or otherwise as such Lender in its sole discretion shall determine) as may be necessary to compensate such Lender for any such increased cost or reduction in amounts received or receivable hereunder. Such Lender shall deliver to the Borrower (with a copy to the Administrative Agent) a written statement, setting forth in reasonable detail the basis for calculating the additional amounts owed to such Lender under this Section 2.20(a), which statement shall be conclusive </w:t>
      </w:r>
      <w:r>
        <w:rPr>
          <w:rFonts w:ascii="Arial" w:cs="Arial" w:eastAsia="Arial" w:hAnsi="Arial"/>
          <w:sz w:val="19"/>
          <w:szCs w:val="19"/>
          <w:color w:val="auto"/>
        </w:rPr>
        <w:t>and binding upon all parties hereto absent manifest error.</w:t>
      </w:r>
    </w:p>
    <w:p>
      <w:pPr>
        <w:spacing w:after="0" w:line="13"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Notwithstanding the foregoing, no Lender may demand compensation pursuant to this Section 2.20(a) unless it is then the general policy of such Lender to pursue similar compensation in similar circumstances under comparable provisions of other credit agreements.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1" w:name="page212"/>
    <w:bookmarkEnd w:id="211"/>
    <w:p>
      <w:pPr>
        <w:ind w:left="-60" w:firstLine="1305"/>
        <w:spacing w:after="0" w:line="267" w:lineRule="auto"/>
        <w:tabs>
          <w:tab w:leader="none" w:pos="1987"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Capital Adequacy Adjustment</w:t>
      </w:r>
      <w:r>
        <w:rPr>
          <w:rFonts w:ascii="Arial" w:cs="Arial" w:eastAsia="Arial" w:hAnsi="Arial"/>
          <w:sz w:val="17"/>
          <w:szCs w:val="17"/>
          <w:color w:val="auto"/>
        </w:rPr>
        <w:t>. In the event that any Lender shall have reasonably determined (which determination shall, absent manifest error, be final and conclusive and binding upon all parties hereto) that (A) the adoption, effectiveness, phase in or applicability of any law, rule or regulation (or any provision thereof) regarding liquidity and capital adequacy, or any change therein or in the interpretation or administration thereof by any Governmental Authority, central bank or comparable agency charged with the interpretation or administration thereof, or (B) compliance by any Lender (or its applicable lending office) with any guideline, request or directive regarding liquidity and capital adequacy (whether or not having the force of law) of any such Governmental Authority, central bank or comparable agency, in each case after the date hereof, has or would have the effect of reducing the rate of return on the capital of such Lender by a material amount as a consequence of, or with reference to, such Lender’s Term Loans, or participations therein or other obligations hereunder with respect to the Term Loans to a level below that which such Lender could have achieved but for such adoption, effectiveness, phase in, applicability, change or compliance (taking into consideration the policies of such Lender with regard to liquidity and capital adequacy), then from time to time, within thirty (30) days after receipt by the Borrower from such Lender of the statement referred to in the next sentence, the Borrower shall pay to such Lender such additional amount or amounts as will compensate such Lender or such controlling company on an after tax basis for such reduction. Such Lender shall deliver to the Borrower (with a copy to the Administrative Agent) a written statement, setting forth in reasonable detail the basis for calculating the additional amounts owed to Lender under this Section 2.20(b), which statement shall be conclusive and binding upon all parties hereto absent manifest error. For the avoidance of doubt, subsections (a) and (b) of this Section 2.20 shall apply to all requests, rules, guidelines or directives concerning liquidity and capital adequacy issued by any United States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regardless of the date adopted, issued, promulgated or implemented. Notwithstanding the foregoing, no Lender may demand compensation pursuant to this Section 2.20(b) unless it is then the general policy of such Lender to pursue similar compensation in similar circumstances under comparable provisions of other credit agreements.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52" w:right="299" w:bottom="1440" w:gutter="0" w:footer="0" w:header="0"/>
        </w:sectPr>
      </w:pPr>
    </w:p>
    <w:bookmarkStart w:id="212" w:name="page213"/>
    <w:bookmarkEnd w:id="212"/>
    <w:p>
      <w:pPr>
        <w:ind w:left="1300"/>
        <w:spacing w:after="0"/>
        <w:tabs>
          <w:tab w:leader="none" w:pos="20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79" w:lineRule="exact"/>
        <w:rPr>
          <w:sz w:val="20"/>
          <w:szCs w:val="20"/>
          <w:color w:val="auto"/>
        </w:rPr>
      </w:pPr>
    </w:p>
    <w:p>
      <w:pPr>
        <w:ind w:right="100" w:firstLine="1305"/>
        <w:spacing w:after="0" w:line="281" w:lineRule="auto"/>
        <w:tabs>
          <w:tab w:leader="none" w:pos="20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payments made by or on behalf of any Loan Party to the Administrative Agent, the Arranger or any Lender or other recipient (each, a “</w:t>
      </w:r>
      <w:r>
        <w:rPr>
          <w:rFonts w:ascii="Arial" w:cs="Arial" w:eastAsia="Arial" w:hAnsi="Arial"/>
          <w:sz w:val="16"/>
          <w:szCs w:val="16"/>
          <w:u w:val="single" w:color="auto"/>
          <w:color w:val="auto"/>
        </w:rPr>
        <w:t>Recipient</w:t>
      </w:r>
      <w:r>
        <w:rPr>
          <w:rFonts w:ascii="Arial" w:cs="Arial" w:eastAsia="Arial" w:hAnsi="Arial"/>
          <w:sz w:val="16"/>
          <w:szCs w:val="16"/>
          <w:color w:val="auto"/>
        </w:rPr>
        <w:t xml:space="preserve">”) under any Loan Document shall be made free and clear of, and without deduction or withholding for or on account of, any present or future taxes, levies, imposts, duties, charges, fees, deductions or withholdings, now or hereafter imposed, levied, collected, withheld or assessed by any Governmental Authority, excluding any of the following taxes (or any interest, additions to tax or penalties applicable thereto): (i) net income, net profit, branch profits, franchise and similar taxes imposed </w:t>
      </w:r>
      <w:r>
        <w:rPr>
          <w:rFonts w:ascii="Arial" w:cs="Arial" w:eastAsia="Arial" w:hAnsi="Arial"/>
          <w:sz w:val="19"/>
          <w:szCs w:val="19"/>
          <w:color w:val="auto"/>
        </w:rPr>
        <w:t>on any Recipient as a result of (x) such Recipient being organized under the laws of, or</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having its principal office or applicable lending office located in, the jurisdiction of the Governmental Authority imposing such tax, or (y) any other present or former connection between such Recipient and the jurisdiction of the Governmental Authority imposing such tax or any political subdivision or taxing authority thereof or therein (other than any such connection that would not have arisen but for and solely as a result of such Recipient having executed, delivered, been a party to, performed its obligations or received a payment under, received or perfected a security interest under, enforced or engaged in any other transaction pursuant to this Agreement or any other Loan Document); (ii) taxes imposed on any Recipient that are attributable to such Recipient’s failure to comply with the requirements of paragraph (d), (e), (f), (g) or (h) of this Section 2.21; (iii) with respect to any Lender, any U.S. federal withholding tax imposed on such Lender pursuant to any Law in effect at the time such Lender becomes a party hereto or, in the case of any additional interest in a Term Loan acquired after such Lender becomes a party hereto, at the time such Lender acquires such additional interest (or changes its applicable lending office) except to the extent that (x) such Lender’s assignor (if any) was entitled, immediately prior to the assignment to such Lender, to additional amounts in respect of such withholding tax, or</w:t>
      </w:r>
    </w:p>
    <w:p>
      <w:pPr>
        <w:ind w:right="220" w:firstLine="8"/>
        <w:spacing w:after="0" w:line="267" w:lineRule="auto"/>
        <w:tabs>
          <w:tab w:leader="none" w:pos="30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such Lender was entitled, immediately prior to such change in applicable lending office, to additional amounts in respect of such withholding tax; (iv) United States federal backup withholding taxes under Section 3406 of the Code; (v) taxes that are imposed pursuant to Sections 1471 through 1474 of the Code as of the date of this Agreement (or any amended or successor version that is substantively comparable and not materially more onerous to comply with) or any intergovernmental or FFI agreement entered into pursuant thereto, or any applicable Treasury regulations promulgated thereunder or official interpretations thereof (such Code provisions, agreements, regulations and interpretations, collectively, “</w:t>
      </w:r>
      <w:r>
        <w:rPr>
          <w:rFonts w:ascii="Arial" w:cs="Arial" w:eastAsia="Arial" w:hAnsi="Arial"/>
          <w:sz w:val="16"/>
          <w:szCs w:val="16"/>
          <w:u w:val="single" w:color="auto"/>
          <w:color w:val="auto"/>
        </w:rPr>
        <w:t>FATCA</w:t>
      </w:r>
      <w:r>
        <w:rPr>
          <w:rFonts w:ascii="Arial" w:cs="Arial" w:eastAsia="Arial" w:hAnsi="Arial"/>
          <w:sz w:val="19"/>
          <w:szCs w:val="19"/>
          <w:color w:val="auto"/>
        </w:rPr>
        <w:t>”); and (vi) any penalties, interest or additions to tax that are found by a final and nonappealable decision of a court of competent jurisdiction to have resulted from the Recipient’s gross negligence or willful misconduct. If any taxes not described in clauses (i) through (vi) of the preceding sentence and/or any interest, additions to tax or penalties applicable thereto (“</w:t>
      </w:r>
      <w:r>
        <w:rPr>
          <w:rFonts w:ascii="Arial" w:cs="Arial" w:eastAsia="Arial" w:hAnsi="Arial"/>
          <w:sz w:val="16"/>
          <w:szCs w:val="16"/>
          <w:u w:val="single" w:color="auto"/>
          <w:color w:val="auto"/>
        </w:rPr>
        <w:t>Non-Excluded Taxes</w:t>
      </w:r>
      <w:r>
        <w:rPr>
          <w:rFonts w:ascii="Arial" w:cs="Arial" w:eastAsia="Arial" w:hAnsi="Arial"/>
          <w:sz w:val="19"/>
          <w:szCs w:val="19"/>
          <w:color w:val="auto"/>
        </w:rPr>
        <w:t>”) or any Other Taxes are required to be withheld by any applicable withholding agent from or are otherwise imposed on any amounts payable to the Administrative Agent, the Arranger or any Lender by any Loan Party under any Loan Document, the amounts so payable by or on behalf of any Loan Party to the Administrative Agent, the Arranger or such Lender shall be increased to the extent necessary to yield to each Lender (or, in the case of any payment made to the Administrative Agent for its own account, the Administrative Agent), after payment of all Non-Excluded Taxes and Other Taxes (including with respect to additional amounts payable under this Section</w:t>
      </w:r>
    </w:p>
    <w:p>
      <w:pPr>
        <w:ind w:right="160"/>
        <w:spacing w:after="0" w:line="237" w:lineRule="auto"/>
        <w:rPr>
          <w:rFonts w:ascii="Arial" w:cs="Arial" w:eastAsia="Arial" w:hAnsi="Arial"/>
          <w:sz w:val="19"/>
          <w:szCs w:val="19"/>
          <w:color w:val="auto"/>
        </w:rPr>
      </w:pPr>
      <w:r>
        <w:rPr>
          <w:rFonts w:ascii="Arial" w:cs="Arial" w:eastAsia="Arial" w:hAnsi="Arial"/>
          <w:sz w:val="22"/>
          <w:szCs w:val="22"/>
          <w:color w:val="auto"/>
        </w:rPr>
        <w:t>2.21), interest or any such other amounts payable under such Loan Document at the rates or in the amounts specified in such Loan Document as if no such withholding or deduction had been made.</w:t>
      </w:r>
    </w:p>
    <w:p>
      <w:pPr>
        <w:spacing w:after="0" w:line="245" w:lineRule="exact"/>
        <w:rPr>
          <w:rFonts w:ascii="Arial" w:cs="Arial" w:eastAsia="Arial" w:hAnsi="Arial"/>
          <w:sz w:val="19"/>
          <w:szCs w:val="19"/>
          <w:color w:val="auto"/>
        </w:rPr>
      </w:pPr>
    </w:p>
    <w:p>
      <w:pPr>
        <w:ind w:right="340" w:firstLine="1305"/>
        <w:spacing w:after="0" w:line="277" w:lineRule="auto"/>
        <w:tabs>
          <w:tab w:leader="none" w:pos="20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Without duplication of Section 2.21(a), the Loan Parties shall pay to the relevant Governmental Authority in accordance with applicable Law, or at the option of the Administrative Agent timely reimburse it for the payment of, any Other Taxes.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3" w:name="page214"/>
    <w:bookmarkEnd w:id="213"/>
    <w:p>
      <w:pPr>
        <w:ind w:right="100" w:firstLine="1305"/>
        <w:spacing w:after="0" w:line="281" w:lineRule="auto"/>
        <w:tabs>
          <w:tab w:leader="none" w:pos="203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Whenever any Non-Excluded Taxes or Other Taxes are payable or remittable by a Loan Party, as promptly as possible thereafter the Loan Party shall send to the Administrative Agent and to the Arranger or the relevant Lender, as the case may be, a certified copy of an original official receipt received by the Loan Party or other reasonably satisfactory evidence showing payment thereof. Without duplication of Section 2.21(a), the Loan Parties, jointly and </w:t>
      </w:r>
      <w:r>
        <w:rPr>
          <w:rFonts w:ascii="Arial" w:cs="Arial" w:eastAsia="Arial" w:hAnsi="Arial"/>
          <w:sz w:val="19"/>
          <w:szCs w:val="19"/>
          <w:color w:val="auto"/>
        </w:rPr>
        <w:t>severally, shall indemnify the Administrative Agent, the Arranger or the relevant Lender for the full amount of</w:t>
      </w:r>
    </w:p>
    <w:p>
      <w:pPr>
        <w:ind w:right="60"/>
        <w:spacing w:after="0" w:line="269" w:lineRule="auto"/>
        <w:rPr>
          <w:sz w:val="20"/>
          <w:szCs w:val="20"/>
          <w:color w:val="auto"/>
        </w:rPr>
      </w:pPr>
      <w:r>
        <w:rPr>
          <w:rFonts w:ascii="Arial" w:cs="Arial" w:eastAsia="Arial" w:hAnsi="Arial"/>
          <w:sz w:val="19"/>
          <w:szCs w:val="19"/>
          <w:color w:val="auto"/>
        </w:rPr>
        <w:t xml:space="preserve">Non-Excluded Taxes or Other Taxes (including any Non-Excluded Taxes and Other Taxes imposed on amounts payable under this Section 2.21) payable by the Administrative Agent, the Arranger or the relevant Lender, as the case may be, and any liability (including penalties, additions to tax, interest and reasonable expenses) arising therefrom or with respect thereto, whether or not such Non-Excluded Taxes or Other Taxes were correctly or legally asserted by the relevant taxing authority or other Governmental Authority. Such indemnification shall be made within 30 days after the date the Administrative Agent, any Arranger or any relevant Lender, as the case may be, makes written demand therefor (which demand shall set forth in reasonable detail the nature and amount of Non-Excluded Taxes and Other Taxes for which indemnification is being sought). If the Administrative Agent, the Arranger or a Lender determines, in its reasonable discretion, that it has received a refund of any taxes as to which it has been indemnified by a Loan Party or with respect to which a Loan Party has paid additional amounts pursuant to this Section 2.21, it shall pay such Loan Party an amount equal to such refund (but only to the extent of indemnity payments made, or additional amounts paid, by the Loan Party under this Section 2.21 with respect to the taxes giving rise to such refund), net of all out-of-pocket expenses (including taxes) of the Administrative Agent, the Arranger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the Loan Party, upon the request of the Administrative Agent, the Arranger or such Lender, agrees to repay the amount paid over to the Loan Party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attributable to the period during which the Loan Party held such funds and any penalties, additions to tax, interest or other charges imposed by the relevant Governmental Authority) to the Administrative Agent, the Arranger or such Lender in the event the Administrative Agent, the Arranger or such Lender, as the case may be, is required to repay such refund to such Governmental Authority. This Section 2.21(c) shall not be construed to require the Administrative Agent, the Arranger or any Lender to make available its tax returns (or any other information relating to its taxes that it deems confidential) to the Borrower or any other Person. The agreements in this Section 2.21 shall survive the resignation and/or replacement of the Administrative Agent, any assignment of rights by, or the replacement of, a Lender, the termination of the Commitments and the repayment, satisfaction or discharge of all other Obligations.</w:t>
      </w:r>
    </w:p>
    <w:p>
      <w:pPr>
        <w:spacing w:after="0" w:line="200" w:lineRule="exact"/>
        <w:rPr>
          <w:sz w:val="20"/>
          <w:szCs w:val="20"/>
          <w:color w:val="auto"/>
        </w:rPr>
      </w:pPr>
    </w:p>
    <w:p>
      <w:pPr>
        <w:spacing w:after="0" w:line="265" w:lineRule="exact"/>
        <w:rPr>
          <w:sz w:val="20"/>
          <w:szCs w:val="20"/>
          <w:color w:val="auto"/>
        </w:rPr>
      </w:pPr>
    </w:p>
    <w:p>
      <w:pPr>
        <w:ind w:right="100" w:firstLine="1305"/>
        <w:spacing w:after="0" w:line="308" w:lineRule="auto"/>
        <w:tabs>
          <w:tab w:leader="none" w:pos="204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Without limiting the generality of Section 2.21(e), each Lender, to the extent such Lender is not a “U.S. person” (as such term is defined in Section 7701(a)(30) of the Code) shall deliver to the Borrower and the Administrative Agent whichever of the following is applicable:</w:t>
      </w:r>
    </w:p>
    <w:p>
      <w:pPr>
        <w:spacing w:after="0" w:line="200" w:lineRule="exact"/>
        <w:rPr>
          <w:rFonts w:ascii="Arial" w:cs="Arial" w:eastAsia="Arial" w:hAnsi="Arial"/>
          <w:sz w:val="17"/>
          <w:szCs w:val="17"/>
          <w:color w:val="auto"/>
        </w:rPr>
      </w:pPr>
    </w:p>
    <w:p>
      <w:pPr>
        <w:ind w:left="660" w:right="120" w:firstLine="888"/>
        <w:spacing w:after="0" w:line="264" w:lineRule="auto"/>
        <w:tabs>
          <w:tab w:leader="none" w:pos="199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two duly completed copies of IRS Form W-8BEN or W-8BEN-E (or any successor form) claiming eligibility for benefits of an income tax treaty to which the United States is a party and which provides for an exemption from or reduction in United States federal withholding tax;</w:t>
      </w:r>
    </w:p>
    <w:p>
      <w:pPr>
        <w:spacing w:after="0" w:line="235" w:lineRule="exact"/>
        <w:rPr>
          <w:rFonts w:ascii="Arial" w:cs="Arial" w:eastAsia="Arial" w:hAnsi="Arial"/>
          <w:sz w:val="18"/>
          <w:szCs w:val="18"/>
          <w:color w:val="auto"/>
        </w:rPr>
      </w:pPr>
    </w:p>
    <w:p>
      <w:pPr>
        <w:ind w:left="1980" w:hanging="432"/>
        <w:spacing w:after="0"/>
        <w:tabs>
          <w:tab w:leader="none" w:pos="1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two duly completed copies of IRS Form W-8ECI (or any successor form);</w:t>
      </w:r>
    </w:p>
    <w:p>
      <w:pPr>
        <w:spacing w:after="0" w:line="279" w:lineRule="exact"/>
        <w:rPr>
          <w:rFonts w:ascii="Arial" w:cs="Arial" w:eastAsia="Arial" w:hAnsi="Arial"/>
          <w:sz w:val="18"/>
          <w:szCs w:val="18"/>
          <w:color w:val="auto"/>
        </w:rPr>
      </w:pPr>
    </w:p>
    <w:p>
      <w:pPr>
        <w:ind w:left="660" w:right="220" w:firstLine="888"/>
        <w:spacing w:after="0" w:line="280" w:lineRule="auto"/>
        <w:tabs>
          <w:tab w:leader="none" w:pos="198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in the case of a Lender claiming the benefits of the exemption for portfolio interest under section 881(c) of the Code, (A) a certificate in substantially the form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to the effect that such Lender is not (1) a “bank” within the meaning of section 881(c)(3)(A) of the Code, (2) a “10 percent shareholder” of the Borrower within the </w:t>
      </w:r>
      <w:r>
        <w:rPr>
          <w:rFonts w:ascii="Arial" w:cs="Arial" w:eastAsia="Arial" w:hAnsi="Arial"/>
          <w:sz w:val="19"/>
          <w:szCs w:val="19"/>
          <w:color w:val="auto"/>
        </w:rPr>
        <w:t>meaning of section 881(c)(3)(B) of the Code, (3) a “controlled</w:t>
      </w:r>
    </w:p>
    <w:p>
      <w:pPr>
        <w:spacing w:after="0" w:line="2" w:lineRule="exact"/>
        <w:rPr>
          <w:sz w:val="20"/>
          <w:szCs w:val="20"/>
          <w:color w:val="auto"/>
        </w:rPr>
      </w:pPr>
    </w:p>
    <w:p>
      <w:pPr>
        <w:ind w:left="660"/>
        <w:spacing w:after="0" w:line="234" w:lineRule="auto"/>
        <w:rPr>
          <w:sz w:val="20"/>
          <w:szCs w:val="20"/>
          <w:color w:val="auto"/>
        </w:rPr>
      </w:pPr>
      <w:r>
        <w:rPr>
          <w:rFonts w:ascii="Arial" w:cs="Arial" w:eastAsia="Arial" w:hAnsi="Arial"/>
          <w:sz w:val="22"/>
          <w:szCs w:val="22"/>
          <w:color w:val="auto"/>
        </w:rPr>
        <w:t>foreign corporation” described in section 881(c)(3)(C) of the Code, and (4) was not engaged in a conduct of a trade or business within the United States to which the interest payment is effectively connected, and (B) two duly completed copies of IRS Form W-8BEN or W-8BEN-E (or any successor form);</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14" w:name="page215"/>
    <w:bookmarkEnd w:id="214"/>
    <w:p>
      <w:pPr>
        <w:ind w:left="660" w:right="20" w:firstLine="888"/>
        <w:spacing w:after="0" w:line="273" w:lineRule="auto"/>
        <w:tabs>
          <w:tab w:leader="none" w:pos="197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to the extent a Lender is not the beneficial owner (for example, where the Lender is a partnership or a participating Lender granting a participation), a complete and executed IRS Form W-8IMY, accompanied by a Form W-8ECI, W-8BEN or W-8BEN-E, a certificate in substantially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w:t>
      </w:r>
      <w:r>
        <w:rPr>
          <w:rFonts w:ascii="Arial" w:cs="Arial" w:eastAsia="Arial" w:hAnsi="Arial"/>
          <w:sz w:val="17"/>
          <w:szCs w:val="17"/>
          <w:u w:val="single" w:color="auto"/>
          <w:color w:val="auto"/>
        </w:rPr>
        <w:t>E-3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E-4</w:t>
      </w:r>
      <w:r>
        <w:rPr>
          <w:rFonts w:ascii="Arial" w:cs="Arial" w:eastAsia="Arial" w:hAnsi="Arial"/>
          <w:sz w:val="17"/>
          <w:szCs w:val="17"/>
          <w:color w:val="auto"/>
        </w:rPr>
        <w:t xml:space="preserve">, as applicable, IRS Form W-9, and/or other certification documents from each beneficial owner (or any successor forms),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partners of such Lender are claiming the portfolio interest exemption, such Lender may provide a certificate, in substantially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E-4</w:t>
      </w:r>
      <w:r>
        <w:rPr>
          <w:rFonts w:ascii="Arial" w:cs="Arial" w:eastAsia="Arial" w:hAnsi="Arial"/>
          <w:sz w:val="17"/>
          <w:szCs w:val="17"/>
          <w:color w:val="auto"/>
        </w:rPr>
        <w:t>, as applicable, on behalf of such beneficial owner(s) in lieu of requiring each beneficial owner to provide its own certificate; or</w:t>
      </w:r>
    </w:p>
    <w:p>
      <w:pPr>
        <w:spacing w:after="0" w:line="232" w:lineRule="exact"/>
        <w:rPr>
          <w:rFonts w:ascii="Arial" w:cs="Arial" w:eastAsia="Arial" w:hAnsi="Arial"/>
          <w:sz w:val="17"/>
          <w:szCs w:val="17"/>
          <w:color w:val="auto"/>
        </w:rPr>
      </w:pPr>
    </w:p>
    <w:p>
      <w:pPr>
        <w:ind w:left="660" w:firstLine="888"/>
        <w:spacing w:after="0" w:line="259" w:lineRule="auto"/>
        <w:tabs>
          <w:tab w:leader="none" w:pos="197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United States federal withholding tax on payments under this Agreement and the other Loan Documents duly completed together with such supplementary documentation as may be prescribed by applicable Law to permit the Borrower or the Administrative Agent to determine the withholding or deduction required to be made.</w:t>
      </w:r>
    </w:p>
    <w:p>
      <w:pPr>
        <w:spacing w:after="0" w:line="214"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To the extent a Lender is a “U.S. person” (as defined in Section 7701(a)(30) of the Code), such Lender shall deliver to the Borrower and the Administrative Agent two duly completed copies of IRS Form W-9 certifying that such Lender is exempt from U.S. federal backup withholding tax.</w:t>
      </w:r>
    </w:p>
    <w:p>
      <w:pPr>
        <w:spacing w:after="0" w:line="235" w:lineRule="exact"/>
        <w:rPr>
          <w:sz w:val="20"/>
          <w:szCs w:val="20"/>
          <w:color w:val="auto"/>
        </w:rPr>
      </w:pPr>
    </w:p>
    <w:p>
      <w:pPr>
        <w:ind w:right="80" w:firstLine="1305"/>
        <w:spacing w:after="0" w:line="257" w:lineRule="auto"/>
        <w:tabs>
          <w:tab w:leader="none" w:pos="20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Upon the reasonable request of the Borrower or the Administrative Agent, a Lender that is entitled to an exemption from or reduction of any applicable withholding tax with respect to any payments under this Agreement or any Loan Document shall deliver to the Borrower and the Administrative Agent such properly completed and executed documentation prescribed by applicable Law or reasonably requested by the Borrower or the Administrative Agent as will permit such payments to be made without withholding or at a reduced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is legally eligible to provide such documentation.</w:t>
      </w:r>
    </w:p>
    <w:p>
      <w:pPr>
        <w:spacing w:after="0" w:line="242" w:lineRule="exact"/>
        <w:rPr>
          <w:rFonts w:ascii="Arial" w:cs="Arial" w:eastAsia="Arial" w:hAnsi="Arial"/>
          <w:sz w:val="18"/>
          <w:szCs w:val="18"/>
          <w:color w:val="auto"/>
        </w:rPr>
      </w:pPr>
    </w:p>
    <w:p>
      <w:pPr>
        <w:ind w:firstLine="1305"/>
        <w:spacing w:after="0" w:line="284" w:lineRule="auto"/>
        <w:tabs>
          <w:tab w:leader="none" w:pos="207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with its obligations under FATCA or </w:t>
      </w:r>
      <w:r>
        <w:rPr>
          <w:rFonts w:ascii="Arial" w:cs="Arial" w:eastAsia="Arial" w:hAnsi="Arial"/>
          <w:sz w:val="21"/>
          <w:szCs w:val="21"/>
          <w:color w:val="auto"/>
        </w:rPr>
        <w:t>to determine the amount, if any, to deduct and withhold from such payment. Solely for the purpose</w:t>
      </w:r>
      <w:r>
        <w:rPr>
          <w:rFonts w:ascii="Arial" w:cs="Arial" w:eastAsia="Arial" w:hAnsi="Arial"/>
          <w:sz w:val="18"/>
          <w:szCs w:val="18"/>
          <w:color w:val="auto"/>
        </w:rPr>
        <w:t xml:space="preserve"> </w:t>
      </w:r>
      <w:r>
        <w:rPr>
          <w:rFonts w:ascii="Arial" w:cs="Arial" w:eastAsia="Arial" w:hAnsi="Arial"/>
          <w:sz w:val="21"/>
          <w:szCs w:val="21"/>
          <w:color w:val="auto"/>
        </w:rPr>
        <w:t>of this Section 2.21(f), “FATCA” shall include any amendments made to FATCA after the date of this Agreement.</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15" w:name="page216"/>
    <w:bookmarkEnd w:id="215"/>
    <w:p>
      <w:pPr>
        <w:ind w:left="-20" w:right="20" w:firstLine="1305"/>
        <w:spacing w:after="0" w:line="273" w:lineRule="auto"/>
        <w:tabs>
          <w:tab w:leader="none" w:pos="202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Lender shall deliver the forms and other documentation required to be provided under this Section 2.21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Administrative Agent and the Borrower at any time it determines that it is no longer in a position to provide any documentation previously delivered to the Borrower or the Administrative Agent. Notwithstanding any other provision of this Section 2.21, a Lender shall not be required to deliver any documentation pursuant to Sections 2.21(d), (e), (f) or (g) that such Lender is not legally eligible to provide.</w:t>
      </w:r>
    </w:p>
    <w:p>
      <w:pPr>
        <w:spacing w:after="0" w:line="232" w:lineRule="exact"/>
        <w:rPr>
          <w:rFonts w:ascii="Arial" w:cs="Arial" w:eastAsia="Arial" w:hAnsi="Arial"/>
          <w:sz w:val="17"/>
          <w:szCs w:val="17"/>
          <w:color w:val="auto"/>
        </w:rPr>
      </w:pPr>
    </w:p>
    <w:p>
      <w:pPr>
        <w:ind w:left="-20" w:firstLine="1305"/>
        <w:spacing w:after="0" w:line="269" w:lineRule="auto"/>
        <w:tabs>
          <w:tab w:leader="none" w:pos="202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on behalf of the Lenders, a properly completed and duly executed IRS Form W-8IMY confirming that the Administrative Agent agrees to be treated as a “United States person” for U.S. federal withholding tax purposes. The Administrative Agent shall, (i) promptly upon the obsolescence, expiration, inaccuracy or invalidity of any form previously delivered by the Administrative Agent under this clause (h), and (ii) at such other times as may be reasonably requested by the Borrower or as required by Law, deliver promptly to the Borrower an updated form or other appropriate documentation or promptly notify the Borrower in writing of its legal ineligibility to do so. Notwithstanding anything to the contrary in this clause (h), the Administrative Agent shall not be required to provide any documentation under this clause (h) that it is legally ineligible to provide as a result of a change in Law after the date 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16" w:name="page217"/>
    <w:bookmarkEnd w:id="216"/>
    <w:p>
      <w:pPr>
        <w:ind w:right="40" w:firstLine="1297"/>
        <w:spacing w:after="0" w:line="28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Obligation to Mitigate</w:t>
      </w:r>
      <w:r>
        <w:rPr>
          <w:rFonts w:ascii="Arial" w:cs="Arial" w:eastAsia="Arial" w:hAnsi="Arial"/>
          <w:sz w:val="16"/>
          <w:szCs w:val="16"/>
          <w:color w:val="auto"/>
        </w:rPr>
        <w:t>.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Section 2.19, 2.20 or 2.21, it will, to the extent not inconsistent with the internal policies of such Lender and any applicable legal or regulatory restrictions, use reasonable efforts to (a) make, issue, fund or maintain its Term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2.19, 2.20 or 2.21 would be reduced and if, as determined by such Lender in its sole discretion, the</w:t>
      </w:r>
    </w:p>
    <w:p>
      <w:pPr>
        <w:spacing w:after="0" w:line="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making, funding or maintaining of such Term Loans through such other office or in </w:t>
      </w:r>
      <w:r>
        <w:rPr>
          <w:rFonts w:ascii="Arial" w:cs="Arial" w:eastAsia="Arial" w:hAnsi="Arial"/>
          <w:sz w:val="20"/>
          <w:szCs w:val="20"/>
          <w:color w:val="auto"/>
        </w:rPr>
        <w:t>accordance with such other measures, as the case may be,</w:t>
      </w:r>
      <w:r>
        <w:rPr>
          <w:rFonts w:ascii="Arial" w:cs="Arial" w:eastAsia="Arial" w:hAnsi="Arial"/>
          <w:sz w:val="17"/>
          <w:szCs w:val="17"/>
          <w:color w:val="auto"/>
        </w:rPr>
        <w:t xml:space="preserve"> </w:t>
      </w:r>
      <w:r>
        <w:rPr>
          <w:rFonts w:ascii="Arial" w:cs="Arial" w:eastAsia="Arial" w:hAnsi="Arial"/>
          <w:sz w:val="20"/>
          <w:szCs w:val="20"/>
          <w:color w:val="auto"/>
        </w:rPr>
        <w:t xml:space="preserve">would not otherwise adversely affect such Term Loans or the interests of such Lender; </w:t>
      </w:r>
      <w:r>
        <w:rPr>
          <w:rFonts w:ascii="Arial" w:cs="Arial" w:eastAsia="Arial" w:hAnsi="Arial"/>
          <w:sz w:val="17"/>
          <w:szCs w:val="17"/>
          <w:u w:val="single" w:color="auto"/>
          <w:color w:val="auto"/>
        </w:rPr>
        <w:t>provided</w:t>
      </w:r>
      <w:r>
        <w:rPr>
          <w:rFonts w:ascii="Arial" w:cs="Arial" w:eastAsia="Arial" w:hAnsi="Arial"/>
          <w:sz w:val="20"/>
          <w:szCs w:val="20"/>
          <w:color w:val="auto"/>
        </w:rPr>
        <w:t xml:space="preserve"> that such Lender will not be obligated to utilize such other office or take such other measures pursuant to this Section 2.22 unless the Borrower agrees to pay all incremental expenses incurred by such Lender as a result of utilizing such other office or taking such other measures as described above. A certificate as to the amount of any such expenses payable by the Borrower pursuant to this Section 2.22 (setting forth in reasonable detail the basis for requesting such amount) submitted by such Lender to the Borrower (with a copy to the Administrative Agent) shall be conclusive absent manifest error. The Borrower shall not be required to make any payments to any Lender under Section 2.19 or 2.20 for any costs or reductions incurred more than 180 days prior to the date that such Lender notifies the Borrower of the circumstances giving rise to such costs or reductions and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20"/>
          <w:szCs w:val="20"/>
          <w:color w:val="auto"/>
        </w:rPr>
        <w:t xml:space="preserve"> that if the event giving rise to such costs or reductions is given retroactive effect, then the 180-day period referred to above shall be extended to include the period of retroactive effect therefor.</w:t>
      </w:r>
    </w:p>
    <w:p>
      <w:pPr>
        <w:spacing w:after="0" w:line="23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79" w:lineRule="exact"/>
        <w:rPr>
          <w:sz w:val="20"/>
          <w:szCs w:val="20"/>
          <w:color w:val="auto"/>
        </w:rPr>
      </w:pPr>
    </w:p>
    <w:p>
      <w:pPr>
        <w:ind w:right="40" w:firstLine="1305"/>
        <w:spacing w:after="0" w:line="277" w:lineRule="auto"/>
        <w:tabs>
          <w:tab w:leader="none" w:pos="203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24" w:lineRule="exact"/>
        <w:rPr>
          <w:rFonts w:ascii="Arial" w:cs="Arial" w:eastAsia="Arial" w:hAnsi="Arial"/>
          <w:sz w:val="18"/>
          <w:szCs w:val="18"/>
          <w:color w:val="auto"/>
        </w:rPr>
      </w:pPr>
    </w:p>
    <w:p>
      <w:pPr>
        <w:ind w:left="660" w:firstLine="888"/>
        <w:spacing w:after="0" w:line="281" w:lineRule="auto"/>
        <w:tabs>
          <w:tab w:leader="none" w:pos="1991"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Section 8 or otherwise) or received by the Administrative Agent from a Defaulting Lender pursuant to Section 9.7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Event of Default exists), to the funding of any Term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Borrower, to be held in a deposit account and released pro rata in order to satisfy such Defaulting Lender’s potential future funding obligations with respect to Term Loans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Term Loans in respect of which such Defaulting Lender has not fully funded its appropriate share, and (y) such Term Loans were made at a time when the conditions set forth in Section 4.2 were satisfied or waived, such payment shall be applied solely to pay the Term Loans of all Non-Defaulting Lenders on a pro rata basis prior to being applied to the payment of any Term Loans of such Defaulting Lender until such time as all Term </w:t>
      </w:r>
      <w:r>
        <w:rPr>
          <w:rFonts w:ascii="Arial" w:cs="Arial" w:eastAsia="Arial" w:hAnsi="Arial"/>
          <w:sz w:val="19"/>
          <w:szCs w:val="19"/>
          <w:color w:val="auto"/>
        </w:rPr>
        <w:t>Loans are held by the Lenders pro rata in accordance</w:t>
      </w:r>
    </w:p>
    <w:p>
      <w:pPr>
        <w:spacing w:after="0" w:line="8" w:lineRule="exact"/>
        <w:rPr>
          <w:sz w:val="20"/>
          <w:szCs w:val="20"/>
          <w:color w:val="auto"/>
        </w:rPr>
      </w:pPr>
    </w:p>
    <w:p>
      <w:pPr>
        <w:jc w:val="both"/>
        <w:ind w:left="660" w:right="240"/>
        <w:spacing w:after="0" w:line="287" w:lineRule="auto"/>
        <w:rPr>
          <w:sz w:val="20"/>
          <w:szCs w:val="20"/>
          <w:color w:val="auto"/>
        </w:rPr>
      </w:pPr>
      <w:r>
        <w:rPr>
          <w:rFonts w:ascii="Arial" w:cs="Arial" w:eastAsia="Arial" w:hAnsi="Arial"/>
          <w:sz w:val="19"/>
          <w:szCs w:val="19"/>
          <w:color w:val="auto"/>
        </w:rPr>
        <w:t>with the applicable Commitments. Any payments, prepayments or other amounts paid or payable to a Defaulting Lender that are applied (or held) to pay amounts owed by a Defaulting Lender pursuant to this Section 2.23(a)(i) shall be deemed paid to and redirected by such Defaulting Lender, and each Lender irrevocably consents hereto.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17" w:name="page218"/>
    <w:bookmarkEnd w:id="217"/>
    <w:p>
      <w:pPr>
        <w:ind w:left="640" w:right="20" w:firstLine="888"/>
        <w:spacing w:after="0" w:line="264" w:lineRule="auto"/>
        <w:tabs>
          <w:tab w:leader="none" w:pos="1967"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 pursuant to Section 2.12(a) for any period during which that Lender is a Defaulting Lender (and the Borrower shall not be required to pay any such fee that otherwise would have been required to have been paid to that Defaulting Lender).</w:t>
      </w:r>
    </w:p>
    <w:p>
      <w:pPr>
        <w:spacing w:after="0" w:line="235" w:lineRule="exact"/>
        <w:rPr>
          <w:rFonts w:ascii="Arial" w:cs="Arial" w:eastAsia="Arial" w:hAnsi="Arial"/>
          <w:sz w:val="18"/>
          <w:szCs w:val="18"/>
          <w:color w:val="auto"/>
        </w:rPr>
      </w:pPr>
    </w:p>
    <w:p>
      <w:pPr>
        <w:ind w:left="-20" w:firstLine="1305"/>
        <w:spacing w:after="0" w:line="271" w:lineRule="auto"/>
        <w:tabs>
          <w:tab w:leader="none" w:pos="2027"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Term Loans of the other Lenders or take such other actions as the Administrative Agent may determine to be necessary to cause the Term Loans to be held pro rata by the Lenders in accordance with the applicable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18" w:name="page219"/>
    <w:bookmarkEnd w:id="218"/>
    <w:p>
      <w:pPr>
        <w:ind w:firstLine="1297"/>
        <w:spacing w:after="0" w:line="28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Removal or Replacement of a Lender</w:t>
      </w:r>
      <w:r>
        <w:rPr>
          <w:rFonts w:ascii="Arial" w:cs="Arial" w:eastAsia="Arial" w:hAnsi="Arial"/>
          <w:sz w:val="16"/>
          <w:szCs w:val="16"/>
          <w:color w:val="auto"/>
        </w:rPr>
        <w:t>. Anything contained herein to the contrary notwithstanding, in the event that: (a) (i) any Lender (an “</w:t>
      </w:r>
      <w:r>
        <w:rPr>
          <w:rFonts w:ascii="Arial" w:cs="Arial" w:eastAsia="Arial" w:hAnsi="Arial"/>
          <w:sz w:val="16"/>
          <w:szCs w:val="16"/>
          <w:u w:val="single" w:color="auto"/>
          <w:color w:val="auto"/>
        </w:rPr>
        <w:t>Increased Cost Lender</w:t>
      </w:r>
      <w:r>
        <w:rPr>
          <w:rFonts w:ascii="Arial" w:cs="Arial" w:eastAsia="Arial" w:hAnsi="Arial"/>
          <w:sz w:val="16"/>
          <w:szCs w:val="16"/>
          <w:color w:val="auto"/>
        </w:rPr>
        <w:t>”) shall give notice to the Borrower that such Lender is an Affected Lender or that such Lender is entitled to receive payments under Section 2.19, 2.20 or 2.21, (ii) the circumstances which have caused such Lender to be an Affected Lender or which entitle such Lender to receive such payments shall remain in effect, and (iii) such Lender shall fail to withdraw such notice within five Business Days after the Borrower’s request for such withdrawal; or (b) (i) any Lender shall become and continues to be a Defaulting Lender, and (ii) such Defaulting Lender shall fail to cure the default pursuant to Section 2.23(b) within five Business Days after the Borrower’s request that it cure such default; or (c)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whose consent is required shall not have been obtained; then, with respect to each such Increased Cost Lender, Defaulting Lender or Non-Consenting Lender (the “</w:t>
      </w:r>
      <w:r>
        <w:rPr>
          <w:rFonts w:ascii="Arial" w:cs="Arial" w:eastAsia="Arial" w:hAnsi="Arial"/>
          <w:sz w:val="16"/>
          <w:szCs w:val="16"/>
          <w:u w:val="single" w:color="auto"/>
          <w:color w:val="auto"/>
        </w:rPr>
        <w:t>Terminated Lender</w:t>
      </w:r>
      <w:r>
        <w:rPr>
          <w:rFonts w:ascii="Arial" w:cs="Arial" w:eastAsia="Arial" w:hAnsi="Arial"/>
          <w:sz w:val="16"/>
          <w:szCs w:val="16"/>
          <w:color w:val="auto"/>
        </w:rPr>
        <w:t>”), the Borrower may, by giving written notice to the Administrative Agent and any Terminated Lender of its election to do so, elect to cause such Terminated Lender (and such Terminated Lender hereby irrevocably agrees) to assign its outstanding Term Loans and Commitments, if any, in full to one or more Persons permitted to become Lenders hereunder pursuant to and in accordance with the provisions of Section 9.6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the Borrower shall pay the fees, if any, payable thereunder in connection with any such assignment from an Increased Cost Lender, a Defaulting Lender or a Non-</w:t>
      </w:r>
    </w:p>
    <w:p>
      <w:pPr>
        <w:spacing w:after="0" w:line="1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Consenting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on the date of such assignment, such Terminated L</w:t>
      </w:r>
      <w:r>
        <w:rPr>
          <w:rFonts w:ascii="Arial" w:cs="Arial" w:eastAsia="Arial" w:hAnsi="Arial"/>
          <w:sz w:val="19"/>
          <w:szCs w:val="19"/>
          <w:color w:val="auto"/>
        </w:rPr>
        <w:t>ender shall have received payment from the Replacement</w:t>
      </w:r>
      <w:r>
        <w:rPr>
          <w:rFonts w:ascii="Arial" w:cs="Arial" w:eastAsia="Arial" w:hAnsi="Arial"/>
          <w:sz w:val="16"/>
          <w:szCs w:val="16"/>
          <w:color w:val="auto"/>
        </w:rPr>
        <w:t xml:space="preserve"> </w:t>
      </w:r>
      <w:r>
        <w:rPr>
          <w:rFonts w:ascii="Arial" w:cs="Arial" w:eastAsia="Arial" w:hAnsi="Arial"/>
          <w:sz w:val="19"/>
          <w:szCs w:val="19"/>
          <w:color w:val="auto"/>
        </w:rPr>
        <w:t xml:space="preserve">Lender or the Borrower in an amount equal to the sum of (A) the principal of, and all accrued interest on, all outstanding Term Loans of the Terminated Lender, (B) all unreimbursed drawings that have been funded by such Terminated Lender, together with all then unpaid interest with respect thereto at such time and (C) all accrued, but theretofore unpaid fees, premiums and other amounts accruing but unpaid hereunder owing to such Terminated Lender; (2) in the case of any such assignment resulting from a claim for compensation under Section 2.19(c), 2.20 or 2.21, such assignment will result in a material reduction in such compensation and on the date of such assignment, the Borrower shall pay any amounts payable to such Terminated Lender pursuant to Section 2.19, 2.20 or 2.21; or otherwise as if it were a prepayment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and the termination of such Terminated Lender’s Commitments, such Terminated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any rights of such Terminated Lender to indemnification hereunder shall survive as to such Terminated Lender. Each Lender agrees that if the Borrower exercises its option hereunder to cause an assignment by such Lender as a Non-Consenting Lender, Defaulting Lender or Terminated Lender, such Lender shall, promptly after receipt of written notice of such election, execute and deliver all documentation necessary to effectuate such assignment in accordance with Section 9.6;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each party hereto agrees that an assignment required pursuant to this Section 2.24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w:t>
      </w:r>
    </w:p>
    <w:p>
      <w:pPr>
        <w:spacing w:after="0" w:line="222" w:lineRule="exact"/>
        <w:rPr>
          <w:sz w:val="20"/>
          <w:szCs w:val="20"/>
          <w:color w:val="auto"/>
        </w:rPr>
      </w:pPr>
    </w:p>
    <w:p>
      <w:pPr>
        <w:ind w:right="40" w:firstLine="1297"/>
        <w:spacing w:after="0" w:line="283" w:lineRule="auto"/>
        <w:rPr>
          <w:sz w:val="20"/>
          <w:szCs w:val="20"/>
          <w:color w:val="auto"/>
        </w:rPr>
      </w:pPr>
      <w:r>
        <w:rPr>
          <w:rFonts w:ascii="Arial" w:cs="Arial" w:eastAsia="Arial" w:hAnsi="Arial"/>
          <w:sz w:val="16"/>
          <w:szCs w:val="16"/>
          <w:color w:val="auto"/>
        </w:rPr>
        <w:t xml:space="preserve">2.25 </w:t>
      </w:r>
      <w:r>
        <w:rPr>
          <w:rFonts w:ascii="Arial" w:cs="Arial" w:eastAsia="Arial" w:hAnsi="Arial"/>
          <w:sz w:val="16"/>
          <w:szCs w:val="16"/>
          <w:u w:val="single" w:color="auto"/>
          <w:color w:val="auto"/>
        </w:rPr>
        <w:t>Maturity Extension Option</w:t>
      </w:r>
      <w:r>
        <w:rPr>
          <w:rFonts w:ascii="Arial" w:cs="Arial" w:eastAsia="Arial" w:hAnsi="Arial"/>
          <w:sz w:val="16"/>
          <w:szCs w:val="16"/>
          <w:color w:val="auto"/>
        </w:rPr>
        <w:t>. The Borrower may from time to time after the second anniversary of the Closing Date, pursuant to the provisions of this Section 2.25, exercise in its sole discretion the right to extend the maturity date of the Term Loan Facility to a date no later than the date that is 18 months past the Original Maturity Date (the “</w:t>
      </w:r>
      <w:r>
        <w:rPr>
          <w:rFonts w:ascii="Arial" w:cs="Arial" w:eastAsia="Arial" w:hAnsi="Arial"/>
          <w:sz w:val="16"/>
          <w:szCs w:val="16"/>
          <w:u w:val="single" w:color="auto"/>
          <w:color w:val="auto"/>
        </w:rPr>
        <w:t>Maturity Extension Option</w:t>
      </w:r>
      <w:r>
        <w:rPr>
          <w:rFonts w:ascii="Arial" w:cs="Arial" w:eastAsia="Arial" w:hAnsi="Arial"/>
          <w:sz w:val="16"/>
          <w:szCs w:val="16"/>
          <w:color w:val="auto"/>
        </w:rPr>
        <w:t>”), by giving irrevocable written notice (the “</w:t>
      </w:r>
      <w:r>
        <w:rPr>
          <w:rFonts w:ascii="Arial" w:cs="Arial" w:eastAsia="Arial" w:hAnsi="Arial"/>
          <w:sz w:val="16"/>
          <w:szCs w:val="16"/>
          <w:u w:val="single" w:color="auto"/>
          <w:color w:val="auto"/>
        </w:rPr>
        <w:t>Maturity Extension Notice</w:t>
      </w:r>
      <w:r>
        <w:rPr>
          <w:rFonts w:ascii="Arial" w:cs="Arial" w:eastAsia="Arial" w:hAnsi="Arial"/>
          <w:sz w:val="16"/>
          <w:szCs w:val="16"/>
          <w:color w:val="auto"/>
        </w:rPr>
        <w:t xml:space="preserve">”) to the Administrative Agent of the exercise of the Maturity Extension Option (including the date of such new maturity date) at least five Business Days prior to the Original Maturity Date. The Maturity Extension Option shall not become effective unless (a) on the date that the Maturity Extension Notice is delivered, (i) the Plant Completion Date has occurred, (ii) no Default or Event of Default is continuing and (iii) the Borrower has paid to the Administrative Agent, for the account of each Lender party to this Agreement as a Lender on such date, an extension fee in cash in an amount equal to 1.00% of the principal amount of such Lender’s Term Loans outstanding on such date, and (b) the Total Secured Debt Leverage Ratio (calculated on a Pro Forma Basis) as of the last day of the Test Period most recently ended prior to the Original Maturity Date for which financial statements are required to have been delivered pursuant to Section 5.1 is less than or equal to 4.50:1.00;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calculating the Total Secured Debt Leverage Ratio for this clause (b), (A) any Cure Right exercised in respect of such Test Period shall be disregarded, and (B) any contracted revenue in respect of agreements that expire prior to the</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date that is two years after the Original Maturity Date shall be disregarded for purposes of calculating C</w:t>
      </w:r>
      <w:r>
        <w:rPr>
          <w:rFonts w:ascii="Arial" w:cs="Arial" w:eastAsia="Arial" w:hAnsi="Arial"/>
          <w:sz w:val="21"/>
          <w:szCs w:val="21"/>
          <w:color w:val="auto"/>
        </w:rPr>
        <w:t>onsolidated EBITDA. Such fees shall be</w:t>
      </w:r>
      <w:r>
        <w:rPr>
          <w:rFonts w:ascii="Arial" w:cs="Arial" w:eastAsia="Arial" w:hAnsi="Arial"/>
          <w:sz w:val="18"/>
          <w:szCs w:val="18"/>
          <w:color w:val="auto"/>
        </w:rPr>
        <w:t xml:space="preserve"> </w:t>
      </w:r>
      <w:r>
        <w:rPr>
          <w:rFonts w:ascii="Arial" w:cs="Arial" w:eastAsia="Arial" w:hAnsi="Arial"/>
          <w:sz w:val="21"/>
          <w:szCs w:val="21"/>
          <w:color w:val="auto"/>
        </w:rPr>
        <w:t>paid to the Administrative Agent at its Principal Office and upon receipt, the Administrative Agent shall promptly distribute to each Lender its Pro Rata Share of the aggregate amount of such fees paid to the Administrative Agent.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9" w:name="page220"/>
    <w:bookmarkEnd w:id="219"/>
    <w:p>
      <w:pPr>
        <w:spacing w:after="0"/>
        <w:tabs>
          <w:tab w:leader="none" w:pos="15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WARRANTIES</w:t>
      </w:r>
    </w:p>
    <w:p>
      <w:pPr>
        <w:spacing w:after="0" w:line="25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To induce the Administrative Agent and the Lenders to enter into this Agreement and to make the Term Loans, Holdings and the Borrower hereby jointly and severally represent and warrant to the Administrative Agent and each Lender that:</w:t>
      </w:r>
    </w:p>
    <w:p>
      <w:pPr>
        <w:spacing w:after="0" w:line="22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balance sheet of the Borrower delivered pursuant to Section 4.1(c)(i) and Section 5.1, and the consolidated statements of operations and of cash flows delivered pursuant to Section 5.1, in each case, present fairly in all material respects the consolidated financial condition of the Borrower as of such date or for such period, as applicable (subject to normal year-end audit adjustments and the absence of footnotes, as the case may be).</w:t>
      </w:r>
    </w:p>
    <w:p>
      <w:pPr>
        <w:spacing w:after="0" w:line="24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Change</w:t>
      </w:r>
      <w:r>
        <w:rPr>
          <w:rFonts w:ascii="Arial" w:cs="Arial" w:eastAsia="Arial" w:hAnsi="Arial"/>
          <w:sz w:val="18"/>
          <w:szCs w:val="18"/>
          <w:color w:val="auto"/>
        </w:rPr>
        <w:t>. Since September 30, 2014, there has been no development or event that has had or could reasonably be expected to have, individually or in the aggregate, a Material Adverse Effect.</w:t>
      </w:r>
    </w:p>
    <w:p>
      <w:pPr>
        <w:spacing w:after="0" w:line="224"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Corporate Existence; Compliance with Law</w:t>
      </w:r>
      <w:r>
        <w:rPr>
          <w:rFonts w:ascii="Arial" w:cs="Arial" w:eastAsia="Arial" w:hAnsi="Arial"/>
          <w:sz w:val="17"/>
          <w:szCs w:val="17"/>
          <w:color w:val="auto"/>
        </w:rPr>
        <w:t>. Each LNG Group Member (a) is duly organized, validly existing and in good standing (if applicable) under the laws of the jurisdiction of its organization or formation, (b) has the organizational power and authority to own and operate its Property, to lease the Property it leases as lessee and to conduct the business in which it is currently engaged, (c) is duly qualified as a foreign corporation or other organization and in good standing under the laws of each jurisdiction (if applicable) where its ownership, lease or operation of Property or the conduct of its business requires such qualification and (d) is in compliance with all Requirements of Law, except, in the case of clause (a) with respect to any LNG Group Member other than the Loan Parties and in the cases of clauses (b), (c) and (d) above, to the extent that failure of the same could not reasonably be expected to have, individually or in the aggregate, a Material Adverse Effect.</w:t>
      </w:r>
    </w:p>
    <w:p>
      <w:pPr>
        <w:spacing w:after="0" w:line="232"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Corporate Power; Authorization; Enforceable Obligations</w:t>
      </w:r>
      <w:r>
        <w:rPr>
          <w:rFonts w:ascii="Arial" w:cs="Arial" w:eastAsia="Arial" w:hAnsi="Arial"/>
          <w:sz w:val="16"/>
          <w:szCs w:val="16"/>
          <w:color w:val="auto"/>
        </w:rPr>
        <w:t>. Each Loan Party has the requisite corporate or other organizational power and authority to make, deliver and perform the Loan Documents to which it is a party. Each Loan Party has taken all necessary corporate or other organizational action to authorize the execution, delivery and performance of the Loan Documents to which it is a party. No material consent or authorization of, filing with, notice to or other act by or in respect of, any Governmental Authority or any other Person is required in connection with the borrowings hereunder or the execution, delivery or performance of this Agreement or any of the other Loan Documents, except (i) those consents, authorizations, filings and notices that have been obtained or made and are in full force and effect, (ii) those consents, authorizations, filings and notices, the failure to obtain or make could not reasonably be expected to have, individually or in the aggregate, a Material Adverse Effect and (iii) the filings or other actions referred to in Section 3.19. Each Loan Document has been duly executed and delivered on behalf of each Loan Party that is a party thereto and constitutes a legal, valid</w:t>
      </w:r>
    </w:p>
    <w:p>
      <w:pPr>
        <w:spacing w:after="0" w:line="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 xml:space="preserve">and binding obligation of each Loan Party that is a party thereto, enforceable against each such </w:t>
      </w:r>
      <w:r>
        <w:rPr>
          <w:rFonts w:ascii="Arial" w:cs="Arial" w:eastAsia="Arial" w:hAnsi="Arial"/>
          <w:sz w:val="21"/>
          <w:szCs w:val="21"/>
          <w:color w:val="auto"/>
        </w:rPr>
        <w:t>Loan Party in accordance with its terms, except as</w:t>
      </w:r>
      <w:r>
        <w:rPr>
          <w:rFonts w:ascii="Arial" w:cs="Arial" w:eastAsia="Arial" w:hAnsi="Arial"/>
          <w:sz w:val="18"/>
          <w:szCs w:val="18"/>
          <w:color w:val="auto"/>
        </w:rPr>
        <w:t xml:space="preserve"> </w:t>
      </w:r>
      <w:r>
        <w:rPr>
          <w:rFonts w:ascii="Arial" w:cs="Arial" w:eastAsia="Arial" w:hAnsi="Arial"/>
          <w:sz w:val="21"/>
          <w:szCs w:val="21"/>
          <w:color w:val="auto"/>
        </w:rPr>
        <w:t>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20" w:name="page221"/>
    <w:bookmarkEnd w:id="220"/>
    <w:p>
      <w:pPr>
        <w:ind w:firstLine="1297"/>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other Loan Documents, the borrowings hereunder and the use of the proceeds thereof will not violate in any material respect any Requirement of Law (except this shall not apply to tax, employee benefit or environmental matters, which are covered exclusively by Sections 3.10, 3.13 and 3.17, respectively) or any Material Construction-Related Contracts or Contractual Obligation of any LNG Group Member,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and Liens permitted by Section 6.3).</w:t>
      </w:r>
    </w:p>
    <w:p>
      <w:pPr>
        <w:spacing w:after="0" w:line="243"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Material Litigation</w:t>
      </w:r>
      <w:r>
        <w:rPr>
          <w:rFonts w:ascii="Arial" w:cs="Arial" w:eastAsia="Arial" w:hAnsi="Arial"/>
          <w:sz w:val="18"/>
          <w:szCs w:val="18"/>
          <w:color w:val="auto"/>
        </w:rPr>
        <w:t>. No litigation, investigation or proceeding of or before any arbitrator or Governmental Authority is pending or, to the knowledge of Holdings or the Borrower, threatened by or against Holdings, the Borrower or any of their respective Subsidiaries or against any of their respective properties or revenues, or with respect to any of the Loan Documents or any of the transactions contemplated hereby or thereby, that could reasonably be expected to have, individually or in the aggregate, a Material Adverse Effect.</w:t>
      </w:r>
    </w:p>
    <w:p>
      <w:pPr>
        <w:spacing w:after="0" w:line="24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w:t>
      </w:r>
    </w:p>
    <w:p>
      <w:pPr>
        <w:spacing w:after="0" w:line="279" w:lineRule="exact"/>
        <w:rPr>
          <w:sz w:val="20"/>
          <w:szCs w:val="20"/>
          <w:color w:val="auto"/>
        </w:rPr>
      </w:pPr>
    </w:p>
    <w:p>
      <w:pPr>
        <w:ind w:right="160" w:firstLine="1305"/>
        <w:spacing w:after="0" w:line="273" w:lineRule="auto"/>
        <w:tabs>
          <w:tab w:leader="none" w:pos="203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of the LNG Group Members has title in fee simple or good and valid title, as the case may be, to, or a valid leasehold interest in, or easements or other limited property interests in, all its real or immoveable property necessary in the ordinary conduct of its business and necessary to develop, construct, complete, own and operate the Plant, including the Mortgaged Property,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6.3.</w:t>
      </w:r>
    </w:p>
    <w:p>
      <w:pPr>
        <w:spacing w:after="0" w:line="232" w:lineRule="exact"/>
        <w:rPr>
          <w:rFonts w:ascii="Arial" w:cs="Arial" w:eastAsia="Arial" w:hAnsi="Arial"/>
          <w:sz w:val="17"/>
          <w:szCs w:val="17"/>
          <w:color w:val="auto"/>
        </w:rPr>
      </w:pPr>
    </w:p>
    <w:p>
      <w:pPr>
        <w:jc w:val="both"/>
        <w:ind w:right="180" w:firstLine="1305"/>
        <w:spacing w:after="0" w:line="259" w:lineRule="auto"/>
        <w:tabs>
          <w:tab w:leader="none" w:pos="20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Assuming completion of the work contemplated in the applicable plans and specifications, the Plant and the current use thereof comply with all applicable Requirements of Law (including applicable building and zoning ordinances and codes) and with all insurance requirements, and none of the Loan Parties are non-conforming users of the Plant, except, in each case, where noncompliance or such non-conforming use would not, individually or in the aggregate, reasonably be expected to result in a Material Adverse Effect.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21" w:name="page222"/>
    <w:bookmarkEnd w:id="221"/>
    <w:p>
      <w:pPr>
        <w:ind w:right="240" w:firstLine="1305"/>
        <w:spacing w:after="0" w:line="280" w:lineRule="auto"/>
        <w:tabs>
          <w:tab w:leader="none" w:pos="203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No taking, condemnation or eminent domain proceeding has been commenced with respect to all or any portion of the Plant or for the relocation of roadways providing </w:t>
      </w:r>
      <w:r>
        <w:rPr>
          <w:rFonts w:ascii="Arial" w:cs="Arial" w:eastAsia="Arial" w:hAnsi="Arial"/>
          <w:sz w:val="19"/>
          <w:szCs w:val="19"/>
          <w:color w:val="auto"/>
        </w:rPr>
        <w:t>access to the Plant. No taking, condemnation or eminent domain proceeding has been</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22"/>
          <w:szCs w:val="22"/>
          <w:color w:val="auto"/>
        </w:rPr>
        <w:t>commenced with respect to any real Property except, in each case, where such proceeding would not, individually or in the aggregate, reasonably be expected to result in a Material Adverse Effect.</w:t>
      </w:r>
    </w:p>
    <w:p>
      <w:pPr>
        <w:spacing w:after="0" w:line="246" w:lineRule="exact"/>
        <w:rPr>
          <w:sz w:val="20"/>
          <w:szCs w:val="20"/>
          <w:color w:val="auto"/>
        </w:rPr>
      </w:pPr>
    </w:p>
    <w:p>
      <w:pPr>
        <w:jc w:val="both"/>
        <w:ind w:right="340" w:firstLine="1305"/>
        <w:spacing w:after="0" w:line="286" w:lineRule="auto"/>
        <w:tabs>
          <w:tab w:leader="none" w:pos="2047"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There are no current or pending special or other assessments (other than for </w:t>
      </w:r>
      <w:r>
        <w:rPr>
          <w:rFonts w:ascii="Arial" w:cs="Arial" w:eastAsia="Arial" w:hAnsi="Arial"/>
          <w:sz w:val="17"/>
          <w:szCs w:val="17"/>
          <w:i w:val="1"/>
          <w:iCs w:val="1"/>
          <w:color w:val="auto"/>
        </w:rPr>
        <w:t>ad valorem</w:t>
      </w:r>
      <w:r>
        <w:rPr>
          <w:rFonts w:ascii="Arial" w:cs="Arial" w:eastAsia="Arial" w:hAnsi="Arial"/>
          <w:sz w:val="17"/>
          <w:szCs w:val="17"/>
          <w:color w:val="auto"/>
        </w:rPr>
        <w:t xml:space="preserve"> taxes) for public improvements to or otherwise affecting the Plant, nor are there any contemplated improvements to the Plant that may reasonably be expected to result in such special or other assessments, in any case that would reasonably be expected to result in a Material Adverse Effect.</w:t>
      </w:r>
    </w:p>
    <w:p>
      <w:pPr>
        <w:spacing w:after="0" w:line="219" w:lineRule="exact"/>
        <w:rPr>
          <w:rFonts w:ascii="Arial" w:cs="Arial" w:eastAsia="Arial" w:hAnsi="Arial"/>
          <w:sz w:val="17"/>
          <w:szCs w:val="17"/>
          <w:color w:val="auto"/>
        </w:rPr>
      </w:pPr>
    </w:p>
    <w:p>
      <w:pPr>
        <w:ind w:left="2040" w:hanging="735"/>
        <w:spacing w:after="0"/>
        <w:tabs>
          <w:tab w:leader="none" w:pos="20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firstLine="1305"/>
        <w:spacing w:after="0" w:line="286" w:lineRule="auto"/>
        <w:tabs>
          <w:tab w:leader="none" w:pos="207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Other than exceptions to any of the following that could not, individually or in the aggregate, reasonably be expected to result in a Material Adverse Effect, (A) all approvals from Governmental Authorities having jurisdiction over the Plant, including, but not limited to, building permits, street openings or closings, zoning or use permits, variances or special exceptions, zoning reclassifications, setback requirements however established, and approvals of fire underwriters, have been obtained for the portion of the improvements that have been constructed, to the extent required under applicable Law, and to the extent so obtained, have not been withdrawn, (B) the construction of the Plant has been performed in conformity with all applicable Laws and the plans and specifications with respect thereto, (C) the plans and specifications with respect to the Plant, to the extent required by applicable Law, have been approved by all applicable Governmental Authorities and (D) all construction heretofore performed on the improvements with respect to the Plant has been performed within the perimeter of the land in accordance with the plans and specifications thereto and all applicable Requirements of Law, and in accordance with any restrictive covenants applicable thereto. Assuming completion of the work contemplated in the plans and specifications with respect to the Plant, there are no existing material structural defects in the improvements to the Plant and no material violation of any Requirements of Law exists with respect thereto. The anticipated use of the Plant complies with applicable zoning ordinances and all regulations affecting the Plant and all Requirements of Law for such use have been satisfied, to the extent required to be satisfied at such time, except to the extent such noncompliance or failure to satisfy government requirements would not reasonably be expected to result in a Material Adverse Effect.</w:t>
      </w:r>
    </w:p>
    <w:p>
      <w:pPr>
        <w:spacing w:after="0" w:line="228" w:lineRule="exact"/>
        <w:rPr>
          <w:rFonts w:ascii="Arial" w:cs="Arial" w:eastAsia="Arial" w:hAnsi="Arial"/>
          <w:sz w:val="16"/>
          <w:szCs w:val="16"/>
          <w:color w:val="auto"/>
        </w:rPr>
      </w:pPr>
    </w:p>
    <w:p>
      <w:pPr>
        <w:jc w:val="both"/>
        <w:ind w:right="240" w:firstLine="1305"/>
        <w:spacing w:after="0" w:line="264" w:lineRule="auto"/>
        <w:tabs>
          <w:tab w:leader="none" w:pos="20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There are no outstanding options to purchase or rights of first refusal or restrictions on transferability affecting the Plant (other than those restrictions on transfer set forth in, or otherwise permitted under, the Ground Lease or the Loan Documents, including, without limitation, Liens permitted by Section 6.3).</w:t>
      </w:r>
    </w:p>
    <w:p>
      <w:pPr>
        <w:spacing w:after="0" w:line="235" w:lineRule="exact"/>
        <w:rPr>
          <w:rFonts w:ascii="Arial" w:cs="Arial" w:eastAsia="Arial" w:hAnsi="Arial"/>
          <w:sz w:val="18"/>
          <w:szCs w:val="18"/>
          <w:color w:val="auto"/>
        </w:rPr>
      </w:pPr>
    </w:p>
    <w:p>
      <w:pPr>
        <w:ind w:right="60" w:firstLine="1305"/>
        <w:spacing w:after="0" w:line="288" w:lineRule="auto"/>
        <w:tabs>
          <w:tab w:leader="none" w:pos="204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Other than exceptions to any of the following that would not, individually or in the aggregate, reasonably be expected to result in a Material Adverse Effect, as of the Closing Date, prior to the Plant Completion Date, (i) all utility services necessary for the current state of construction of the Plant are available, including, without limitation, public sanitary sewer service and storm sewers, public water, electricity, gas and telephone service, and</w:t>
      </w:r>
    </w:p>
    <w:p>
      <w:pPr>
        <w:ind w:right="140" w:firstLine="8"/>
        <w:spacing w:after="0" w:line="271" w:lineRule="auto"/>
        <w:tabs>
          <w:tab w:leader="none" w:pos="2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all Permits and approvals have been obtained or are available so that the improvements may be hooked up to the public sanitary sewer service, which public sanitary sewer service shall be available to the full extent required for the current construction of and use and operation of the Plant and shall </w:t>
      </w:r>
      <w:r>
        <w:rPr>
          <w:rFonts w:ascii="Arial" w:cs="Arial" w:eastAsia="Arial" w:hAnsi="Arial"/>
          <w:sz w:val="19"/>
          <w:szCs w:val="19"/>
          <w:color w:val="auto"/>
        </w:rPr>
        <w:t>permit</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the discharge of sewage for the types and amounts anticipated to be produced from the construction, use and operation of the Plant. Other than exceptions to any of the following that would not, individually or in the aggregate, reasonably be expected to result in a Material Adverse Effect, after the Closing Date, the Borrower reasonably expects to have all utilities available, as and when necessary, to complete the construction of and use and operation of the Plant.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22" w:name="page223"/>
    <w:bookmarkEnd w:id="222"/>
    <w:p>
      <w:pPr>
        <w:ind w:left="-20" w:right="40" w:firstLine="1305"/>
        <w:spacing w:after="0" w:line="257" w:lineRule="auto"/>
        <w:tabs>
          <w:tab w:leader="none" w:pos="204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Other than exceptions to any of the following that would not, individually or in the aggregate, reasonably be expected to result in a Material Adverse Effect, the Borrower reasonably expects that as of the Plant Completion Date, all pipelines, public sanitary sewer service and storm sewers necessary for the full operation of the Plant will be available at the title lines of the land (or, if they pass through adjoining private land, in accordance with valid public or unencumbered private easements which inure to the benefit of Borrower and run with the land subject to the Ground Lease, copies of which have been delivered to the Administrative Agent).</w:t>
      </w:r>
    </w:p>
    <w:p>
      <w:pPr>
        <w:spacing w:after="0" w:line="242" w:lineRule="exact"/>
        <w:rPr>
          <w:rFonts w:ascii="Arial" w:cs="Arial" w:eastAsia="Arial" w:hAnsi="Arial"/>
          <w:sz w:val="18"/>
          <w:szCs w:val="18"/>
          <w:color w:val="auto"/>
        </w:rPr>
      </w:pPr>
    </w:p>
    <w:p>
      <w:pPr>
        <w:ind w:left="-20" w:right="280" w:firstLine="1305"/>
        <w:spacing w:after="0" w:line="257" w:lineRule="auto"/>
        <w:tabs>
          <w:tab w:leader="none" w:pos="204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and after the Plant Completion Date, the Plant has all hot and chilled water for purposes of heating and air conditioning, electricity, and gas services necessary for the operation of the Plant at the title lines of the land (or, if they pass through adjoining private or public land, in accordance with valid public or unencumbered private easements or licenses which inure to the benefit of Borrower and run with the land subject to the Ground Lease, copies of which have been delivered to the Administrative Agent), except where the failure to have such water would not reasonably be expected to have, individually or in the aggregate, a Material Adverse Effect.</w:t>
      </w:r>
    </w:p>
    <w:p>
      <w:pPr>
        <w:spacing w:after="0" w:line="242" w:lineRule="exact"/>
        <w:rPr>
          <w:rFonts w:ascii="Arial" w:cs="Arial" w:eastAsia="Arial" w:hAnsi="Arial"/>
          <w:sz w:val="18"/>
          <w:szCs w:val="18"/>
          <w:color w:val="auto"/>
        </w:rPr>
      </w:pPr>
    </w:p>
    <w:p>
      <w:pPr>
        <w:ind w:left="-20" w:right="60" w:firstLine="1305"/>
        <w:spacing w:after="0" w:line="342" w:lineRule="auto"/>
        <w:tabs>
          <w:tab w:leader="none" w:pos="202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All roads necessary for the utilization of the Plant provide adequate public access to the Plant for its current and intended purposes, except where the failure to have such access would not reasonably be expected to have, individually or in the aggregate, a Material Adverse Effect.</w:t>
      </w:r>
    </w:p>
    <w:p>
      <w:pPr>
        <w:spacing w:after="0" w:line="177" w:lineRule="exact"/>
        <w:rPr>
          <w:rFonts w:ascii="Arial" w:cs="Arial" w:eastAsia="Arial" w:hAnsi="Arial"/>
          <w:sz w:val="16"/>
          <w:szCs w:val="16"/>
          <w:color w:val="auto"/>
        </w:rPr>
      </w:pPr>
    </w:p>
    <w:p>
      <w:pPr>
        <w:ind w:left="-20" w:right="160" w:firstLine="1305"/>
        <w:spacing w:after="0" w:line="286" w:lineRule="auto"/>
        <w:tabs>
          <w:tab w:leader="none" w:pos="204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Material Adverse Effect, no building or structure with respect to the Plant or any appurtenance thereto or equipment thereon, or the use, operation or maintenance thereof, violates any restrictive covenant affecting the land subject to the Ground Lease or encroaches on any easement or on any property owned by others.</w:t>
      </w:r>
    </w:p>
    <w:p>
      <w:pPr>
        <w:spacing w:after="0" w:line="219" w:lineRule="exact"/>
        <w:rPr>
          <w:rFonts w:ascii="Arial" w:cs="Arial" w:eastAsia="Arial" w:hAnsi="Arial"/>
          <w:sz w:val="17"/>
          <w:szCs w:val="17"/>
          <w:color w:val="auto"/>
        </w:rPr>
      </w:pPr>
    </w:p>
    <w:p>
      <w:pPr>
        <w:ind w:left="-20" w:firstLine="1305"/>
        <w:spacing w:after="0" w:line="297" w:lineRule="auto"/>
        <w:tabs>
          <w:tab w:leader="none" w:pos="202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Budget for the construction of the Plant and all of the amounts set forth therein, present a true, full and complete statement in all material respects of all project costs reasonably anticipated by the Borrower to be incurred in connection with the development and completion of the Plant in accordance with this Agreement. The plans and specifications for the Plant (i) are based on reasonable assumptions as to all legal and factual matters material thereto, (ii) have been prepared in good faith and (iii) fairly represent the Borrower’s expectations as to the matters covered thereby. No material capital expenditures with respect to the Plant are being incurred or are to the Borrower’s knowledge reasonably necessary, except as specified in the Budget.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23" w:name="page224"/>
    <w:bookmarkEnd w:id="223"/>
    <w:p>
      <w:pPr>
        <w:ind w:left="1300"/>
        <w:spacing w:after="0"/>
        <w:tabs>
          <w:tab w:leader="none" w:pos="20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LNG Group Members owns, or is licensed or otherwise has the right to use, all Intellectual</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Property necessary for the conduct of its business as currently conducted except to the extent such failure could not reasonably be expected </w:t>
      </w:r>
      <w:r>
        <w:rPr>
          <w:rFonts w:ascii="Arial" w:cs="Arial" w:eastAsia="Arial" w:hAnsi="Arial"/>
          <w:sz w:val="21"/>
          <w:szCs w:val="21"/>
          <w:color w:val="auto"/>
        </w:rPr>
        <w:t>to have,</w:t>
      </w:r>
      <w:r>
        <w:rPr>
          <w:rFonts w:ascii="Arial" w:cs="Arial" w:eastAsia="Arial" w:hAnsi="Arial"/>
          <w:sz w:val="18"/>
          <w:szCs w:val="18"/>
          <w:color w:val="auto"/>
        </w:rPr>
        <w:t xml:space="preserve"> </w:t>
      </w:r>
      <w:r>
        <w:rPr>
          <w:rFonts w:ascii="Arial" w:cs="Arial" w:eastAsia="Arial" w:hAnsi="Arial"/>
          <w:sz w:val="21"/>
          <w:szCs w:val="21"/>
          <w:color w:val="auto"/>
        </w:rPr>
        <w:t>individually or in the aggregate, a Material Adverse Effect. No material claim has been asserted and is pending by any Person challenging or questioning the use of any Intellectual Property or the validity or effectiveness of any Intellectual Property, nor does Holdings or the Borrower know of any valid basis for any such claim, except to the extent that any such claim could not reasonably be expected to have, individually or in the aggregate, a Material Adverse Effect. To the knowledge of Holdings and the Borrower, the use of Intellectual Property by the LNG Group Members does not infringe on the Intellectual Property rights of any Person in any material respect, except for such infringements which could not reasonably be expected to have, individually or in the aggregate, a Material Adverse Effect.</w:t>
      </w:r>
    </w:p>
    <w:p>
      <w:pPr>
        <w:spacing w:after="0" w:line="243"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Taxes</w:t>
      </w:r>
      <w:r>
        <w:rPr>
          <w:rFonts w:ascii="Arial" w:cs="Arial" w:eastAsia="Arial" w:hAnsi="Arial"/>
          <w:sz w:val="17"/>
          <w:szCs w:val="17"/>
          <w:color w:val="auto"/>
        </w:rPr>
        <w:t>. Each of the LNG Group Members has filed or caused to be filed all tax returns that are required to be filed and has paid all taxes due and payable by it (includingin its capacity as a withholding agent) other than (i) any amount the validity of which is currently being contested in good faith by appropriate proceedings and with respect to which reserves in conformity with GAAP have been provided on the books of the relevant LNG Group Member or (ii) where the failure to make such filing, payment, deduction, withholding, collection or remittance could not reasonably be expected, individually or in the aggregate, to have a Material Adverse Effect; and no tax Lien has been filed (except to the extent permitted by Section 6.3), and, to the knowledge of Holdings and the Borrower, no claim is being asserted, with respect to any such tax, fee or other charge except, in each case, as could not reasonably be expected, individually or in the aggregate, to result in a Material Adverse Effect.</w:t>
      </w:r>
    </w:p>
    <w:p>
      <w:pPr>
        <w:spacing w:after="0" w:line="232"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Term Loans, and no other extensions of credit hereunder, will be used for any purpose that violates the provisions of Regulations T, U or X.</w:t>
      </w:r>
    </w:p>
    <w:p>
      <w:pPr>
        <w:spacing w:after="0" w:line="224"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strikes or other labor disputes against any LNG Group Member pending or, to the knowledge of Holdings or the Borrower, threatened that could reasonably be expected to have, individually or in the aggregate, a Material Adverse Effect. All material payments due from the LNG Group Members on account of employee health and welfare insurance have been paid or accrued as a liability on the books of the relevant LNG Group Member.</w:t>
      </w:r>
    </w:p>
    <w:p>
      <w:pPr>
        <w:spacing w:after="0" w:line="241"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ERISA</w:t>
      </w:r>
      <w:r>
        <w:rPr>
          <w:rFonts w:ascii="Arial" w:cs="Arial" w:eastAsia="Arial" w:hAnsi="Arial"/>
          <w:sz w:val="18"/>
          <w:szCs w:val="18"/>
          <w:color w:val="auto"/>
        </w:rPr>
        <w:t>. There are, and have been,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a Material Adverse Effect.</w:t>
      </w:r>
    </w:p>
    <w:p>
      <w:pPr>
        <w:spacing w:after="0" w:line="23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within the meaning of the Investment Company Act of 1940.</w:t>
      </w:r>
    </w:p>
    <w:p>
      <w:pPr>
        <w:spacing w:after="0" w:line="22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79" w:lineRule="exact"/>
        <w:rPr>
          <w:sz w:val="20"/>
          <w:szCs w:val="20"/>
          <w:color w:val="auto"/>
        </w:rPr>
      </w:pPr>
    </w:p>
    <w:p>
      <w:pPr>
        <w:ind w:right="200" w:firstLine="1305"/>
        <w:spacing w:after="0" w:line="265" w:lineRule="auto"/>
        <w:tabs>
          <w:tab w:leader="none" w:pos="203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As of the Closing Date, the only Subsidiary of Holdings is the Borrower, and the Borrower has no Subsidiaries. </w:t>
      </w:r>
      <w:r>
        <w:rPr>
          <w:rFonts w:ascii="Arial" w:cs="Arial" w:eastAsia="Arial" w:hAnsi="Arial"/>
          <w:sz w:val="17"/>
          <w:szCs w:val="17"/>
          <w:u w:val="single" w:color="auto"/>
          <w:color w:val="auto"/>
        </w:rPr>
        <w:t>Schedule 3.15</w:t>
      </w:r>
      <w:r>
        <w:rPr>
          <w:rFonts w:ascii="Arial" w:cs="Arial" w:eastAsia="Arial" w:hAnsi="Arial"/>
          <w:sz w:val="17"/>
          <w:szCs w:val="17"/>
          <w:color w:val="auto"/>
        </w:rPr>
        <w:t xml:space="preserve"> (as updated from time to time pursuant to </w:t>
      </w:r>
      <w:r>
        <w:rPr>
          <w:rFonts w:ascii="Arial" w:cs="Arial" w:eastAsia="Arial" w:hAnsi="Arial"/>
          <w:sz w:val="20"/>
          <w:szCs w:val="20"/>
          <w:color w:val="auto"/>
        </w:rPr>
        <w:t>Section 5.10(c)) sets forth the name and jurisdiction of incorporation or organization of</w:t>
      </w:r>
    </w:p>
    <w:p>
      <w:pPr>
        <w:spacing w:after="0"/>
        <w:rPr>
          <w:sz w:val="20"/>
          <w:szCs w:val="20"/>
          <w:color w:val="auto"/>
        </w:rPr>
      </w:pPr>
      <w:r>
        <w:rPr>
          <w:rFonts w:ascii="Arial" w:cs="Arial" w:eastAsia="Arial" w:hAnsi="Arial"/>
          <w:sz w:val="19"/>
          <w:szCs w:val="19"/>
          <w:color w:val="auto"/>
        </w:rPr>
        <w:t>Holdings and the Borrower and the percentage of each class of Capital Stock owned by the applicable LNG Group Member.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3" w:right="279" w:bottom="1440" w:gutter="0" w:footer="0" w:header="0"/>
        </w:sectPr>
      </w:pPr>
    </w:p>
    <w:bookmarkStart w:id="224" w:name="page225"/>
    <w:bookmarkEnd w:id="224"/>
    <w:p>
      <w:pPr>
        <w:ind w:right="80" w:firstLine="1305"/>
        <w:spacing w:after="0" w:line="297" w:lineRule="auto"/>
        <w:tabs>
          <w:tab w:leader="none" w:pos="20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(as updated from time to time pursuant to Section 5.10(c)), there are no outstanding subscriptions, options, warrants, calls, rights or other agreements or commitments granted to any Person other than Holdings, the Borrower or any Subsidiary of the Borrower (other than directors’ qualifying shares or other similar shares required pursuant to applicable Law) of any nature relating to any Capital Stock of Holdings or the Borrower or any Capital Stock of any Subsidiary owned directly or indirectly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non-Wholly Owned Subsidiary, its Capital Stock may be subject to customary rights of first refusal, tag-along, drag-along and other similar rights.</w:t>
      </w:r>
    </w:p>
    <w:p>
      <w:pPr>
        <w:spacing w:after="0" w:line="21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Term Loans shall be used for the purposes set forth in Section 2.7.</w:t>
      </w:r>
    </w:p>
    <w:p>
      <w:pPr>
        <w:spacing w:after="0" w:line="279"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Other than exceptions to any of the following that would not reasonably be expected to result in, individually or in the aggregate, a Material Adverse Effect:</w:t>
      </w:r>
    </w:p>
    <w:p>
      <w:pPr>
        <w:spacing w:after="0" w:line="224" w:lineRule="exact"/>
        <w:rPr>
          <w:sz w:val="20"/>
          <w:szCs w:val="20"/>
          <w:color w:val="auto"/>
        </w:rPr>
      </w:pPr>
    </w:p>
    <w:p>
      <w:pPr>
        <w:ind w:left="660" w:right="40" w:firstLine="645"/>
        <w:spacing w:after="0" w:line="273" w:lineRule="auto"/>
        <w:tabs>
          <w:tab w:leader="none" w:pos="204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Borrower and its Subsidiaries and each of their respective facilities: (i) are in compliance with all Environmental Laws; (ii) hold all Environmental Permits (each of which is in full force and effect) required for any of their current operations or for any property owned, leased, or otherwise operated by any of them, and have obtained, or expect to obtain in the ordinary course, all Environmental Permits required for any anticipated operations;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are reasonably be expected to be adversely amended or revoked.</w:t>
      </w:r>
    </w:p>
    <w:p>
      <w:pPr>
        <w:spacing w:after="0" w:line="232" w:lineRule="exact"/>
        <w:rPr>
          <w:rFonts w:ascii="Arial" w:cs="Arial" w:eastAsia="Arial" w:hAnsi="Arial"/>
          <w:sz w:val="17"/>
          <w:szCs w:val="17"/>
          <w:color w:val="auto"/>
        </w:rPr>
      </w:pPr>
    </w:p>
    <w:p>
      <w:pPr>
        <w:ind w:left="660" w:firstLine="645"/>
        <w:spacing w:after="0" w:line="297" w:lineRule="auto"/>
        <w:tabs>
          <w:tab w:leader="none" w:pos="205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Hazardous Materials are not present at, on, under, in, or emanating from any property now or, to the knowledge of the Borrower, formerly owned, leased or operated by the Borrower or any of its Subsidiaries, or, to the knowledge of the Borrower, at any other location (including, without limitation, any location to which Hazardous Materials have been sent for reuse or recycling or for treatment, storage, or disposal) which could reasonably be expected to (i) give rise to liability of the Borrower or any of its Subsidiaries under any Environmental Law or otherwise result in costs to the Borrower or any of its Subsidiaries, or (ii) interfere with the Borrower’s or any of its Subsidiaries’ continued operations.</w:t>
      </w:r>
    </w:p>
    <w:p>
      <w:pPr>
        <w:spacing w:after="0" w:line="212" w:lineRule="exact"/>
        <w:rPr>
          <w:rFonts w:ascii="Arial" w:cs="Arial" w:eastAsia="Arial" w:hAnsi="Arial"/>
          <w:sz w:val="16"/>
          <w:szCs w:val="16"/>
          <w:color w:val="auto"/>
        </w:rPr>
      </w:pPr>
    </w:p>
    <w:p>
      <w:pPr>
        <w:ind w:left="660" w:right="80" w:firstLine="645"/>
        <w:spacing w:after="0" w:line="259" w:lineRule="auto"/>
        <w:tabs>
          <w:tab w:leader="none" w:pos="20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is no Environmental Claim to which the Borrower or any of its Subsidiaries is, or to the knowledge of the Borrower or any of its Subsidiaries will be, named as a party that is pending or, to the knowledge of the Borrower or any of its Subsidiaries, threatened. To the knowledge of the Borrower or any of its Subsidiaries, there are no facts or circumstances that would reasonably be expected to give rise to any Environmental Claim.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5" w:name="page226"/>
    <w:bookmarkEnd w:id="225"/>
    <w:p>
      <w:pPr>
        <w:ind w:right="80" w:firstLine="1297"/>
        <w:spacing w:after="0" w:line="270"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Accuracy of Information, Etc</w:t>
      </w:r>
      <w:r>
        <w:rPr>
          <w:rFonts w:ascii="Arial" w:cs="Arial" w:eastAsia="Arial" w:hAnsi="Arial"/>
          <w:sz w:val="17"/>
          <w:szCs w:val="17"/>
          <w:color w:val="auto"/>
        </w:rPr>
        <w:t>. No statement or information contained in this Agreement, any other Loan Document, or any other document, certificate or written statement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23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68" w:lineRule="auto"/>
        <w:tabs>
          <w:tab w:leader="none" w:pos="203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each of the Security Documents (other than the Mortgages) is effective to create in favor of the Administrative Agent for the benefit of the Secured Parties, a legal, valid and enforceable security interest in the Collateral described therein and proceeds thereof. In the case of (i) any Pledged Equity as described in the Security Documents which is in certificated form, when any stock, membership or partnership unit certificates representing such Pledged Equity are delivered to, and in the possession of, the Administrative Agent, (ii) the Debt Service Reserve Account, when the Depositary Agreement is duly executed and delivered to the Administrative Agent, (iii) in the case of any Intellectual Property that is the subject of any application or registration in the United States Patent and Trademark Office and/or United States Copyright Office, when an Intellectual Property Security Agreement in appropriate form for filing is recorded in the United States Patent and Trademark Office and/or United States Copyright Office, as appropriate, and (iv) the other Collateral described in the Security Documents, when financing statements in appropriate form are filed in the offices specified on </w:t>
      </w:r>
      <w:r>
        <w:rPr>
          <w:rFonts w:ascii="Arial" w:cs="Arial" w:eastAsia="Arial" w:hAnsi="Arial"/>
          <w:sz w:val="17"/>
          <w:szCs w:val="17"/>
          <w:u w:val="single" w:color="auto"/>
          <w:color w:val="auto"/>
        </w:rPr>
        <w:t>Schedule 3.19(a)</w:t>
      </w:r>
      <w:r>
        <w:rPr>
          <w:rFonts w:ascii="Arial" w:cs="Arial" w:eastAsia="Arial" w:hAnsi="Arial"/>
          <w:sz w:val="17"/>
          <w:szCs w:val="17"/>
          <w:color w:val="auto"/>
        </w:rPr>
        <w:t>, the security interest created in favor of the Administrative Agent for the benefit of the Secured Parties in such Pledged Equity, Debt Service Reserve Account, Intellectual Property and other Collateral shall constitute a fully perfected Lien on, and security interest in, all right, title and interest of the Loan Parties in such Pledged Equity, Debt Service Reserve Account, Intellectual Property and other Collateral and the proceeds thereof, in which a security interest may be perfected by delivery to the Administrative Agent of such Pledged Equity, due execution and delivery of the Depositary Agreement to the Administrative Agent or by filing a financing statement in the United States, as security for the Obligations, in each case prior and superior in right to any other Person (other than Persons holdings Liens or other encumbrances or rights that are permitted by this Agreement to be incurred pursuant to Section 6.3).</w:t>
      </w:r>
    </w:p>
    <w:p>
      <w:pPr>
        <w:spacing w:after="0" w:line="237" w:lineRule="exact"/>
        <w:rPr>
          <w:rFonts w:ascii="Arial" w:cs="Arial" w:eastAsia="Arial" w:hAnsi="Arial"/>
          <w:sz w:val="17"/>
          <w:szCs w:val="17"/>
          <w:color w:val="auto"/>
        </w:rPr>
      </w:pPr>
    </w:p>
    <w:p>
      <w:pPr>
        <w:ind w:right="40" w:firstLine="1305"/>
        <w:spacing w:after="0" w:line="281" w:lineRule="auto"/>
        <w:tabs>
          <w:tab w:leader="none" w:pos="20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each of the Mortgages is effective to create in favor of the Administrative Agent for the benefit of the Secured Parties, a legal, valid and enforceable Lien on the Mortgaged Properties described therein and proceeds thereof; and when the Mortgages are filed or published in the offices specified on </w:t>
      </w:r>
      <w:r>
        <w:rPr>
          <w:rFonts w:ascii="Arial" w:cs="Arial" w:eastAsia="Arial" w:hAnsi="Arial"/>
          <w:sz w:val="16"/>
          <w:szCs w:val="16"/>
          <w:u w:val="single" w:color="auto"/>
          <w:color w:val="auto"/>
        </w:rPr>
        <w:t>Schedule 3.19(b)</w:t>
      </w:r>
      <w:r>
        <w:rPr>
          <w:rFonts w:ascii="Arial" w:cs="Arial" w:eastAsia="Arial" w:hAnsi="Arial"/>
          <w:sz w:val="16"/>
          <w:szCs w:val="16"/>
          <w:color w:val="auto"/>
        </w:rPr>
        <w:t xml:space="preserve"> (in the case of the Mortgages to be executed and delivered pursuant to Section 5.12) or in the recording office designated by the Borrower (in the case of any Mortgage to be executed and delivered pursuant to </w:t>
      </w:r>
      <w:r>
        <w:rPr>
          <w:rFonts w:ascii="Arial" w:cs="Arial" w:eastAsia="Arial" w:hAnsi="Arial"/>
          <w:sz w:val="19"/>
          <w:szCs w:val="19"/>
          <w:color w:val="auto"/>
        </w:rPr>
        <w:t>Section 5.10), each Mortgage shall</w:t>
      </w:r>
    </w:p>
    <w:p>
      <w:pPr>
        <w:ind w:right="40"/>
        <w:spacing w:after="0" w:line="233" w:lineRule="auto"/>
        <w:rPr>
          <w:sz w:val="20"/>
          <w:szCs w:val="20"/>
          <w:color w:val="auto"/>
        </w:rPr>
      </w:pPr>
      <w:r>
        <w:rPr>
          <w:rFonts w:ascii="Arial" w:cs="Arial" w:eastAsia="Arial" w:hAnsi="Arial"/>
          <w:sz w:val="22"/>
          <w:szCs w:val="22"/>
          <w:color w:val="auto"/>
        </w:rPr>
        <w:t>constitute a fully perfected Lien on, and security interest in, all right, title and interest of the applicable party to the Mortgage in the Mortgaged Properties described therein and the proceeds thereof, as security for the Obligations, in each case prior and superior in right to any other Person (other than Persons holding Liens or other encumbrances or rights permitted by this Agreement to be incurred pursuant to Section 6.3).</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26" w:name="page227"/>
    <w:bookmarkEnd w:id="226"/>
    <w:p>
      <w:pPr>
        <w:ind w:right="60" w:firstLine="1297"/>
        <w:spacing w:after="0" w:line="27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and each Credit Date, and after giving effect to the Transactions occurring on the Closing Date or such Credit Date or any extension of credit, as applicable, the LNG Group Members, on a consolidated basis, are Solvent.</w:t>
      </w:r>
    </w:p>
    <w:p>
      <w:pPr>
        <w:spacing w:after="0" w:line="224"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Flood Insurance</w:t>
      </w:r>
      <w:r>
        <w:rPr>
          <w:rFonts w:ascii="Arial" w:cs="Arial" w:eastAsia="Arial" w:hAnsi="Arial"/>
          <w:sz w:val="17"/>
          <w:szCs w:val="17"/>
          <w:color w:val="auto"/>
        </w:rPr>
        <w:t>. No Mortgage encumbers improved real Property which is located in an area that has been identified by the Director of the Federal Emergency Management Agency or any successor agency as an area having special flood hazards and in which flood insurance has been made available under Flood Insurance Laws (except any Mortgaged Properties as to which such flood insurance as required by Flood Insurance Laws has been obtained and is in full force and effect as required by this Agreement or the other Loan Documents).</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u w:val="single" w:color="auto"/>
          <w:color w:val="auto"/>
        </w:rPr>
        <w:t>PATRIOT Act; FCPA; OFAC</w:t>
      </w:r>
      <w:r>
        <w:rPr>
          <w:rFonts w:ascii="Arial" w:cs="Arial" w:eastAsia="Arial" w:hAnsi="Arial"/>
          <w:sz w:val="16"/>
          <w:szCs w:val="16"/>
          <w:color w:val="auto"/>
        </w:rPr>
        <w:t>.</w:t>
      </w:r>
    </w:p>
    <w:p>
      <w:pPr>
        <w:spacing w:after="0" w:line="279" w:lineRule="exact"/>
        <w:rPr>
          <w:sz w:val="20"/>
          <w:szCs w:val="20"/>
          <w:color w:val="auto"/>
        </w:rPr>
      </w:pPr>
    </w:p>
    <w:p>
      <w:pPr>
        <w:ind w:right="60" w:firstLine="1305"/>
        <w:spacing w:after="0" w:line="272" w:lineRule="auto"/>
        <w:tabs>
          <w:tab w:leader="none" w:pos="203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the extent applicable, each LNG Group Member (including any Unrestricted Subsidiary) is in compliance, in all material respects, with (i) the Trading with the Enemy Act and each of the foreign assets control regulations of the United States Treasury Department (31 C.F.R., Subtitle B, Chapter V) and any other enabling legislation or executive order relating thereto, and (ii) the PATRIOT Act. No part of the proceeds of the Term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Arial" w:cs="Arial" w:eastAsia="Arial" w:hAnsi="Arial"/>
          <w:sz w:val="17"/>
          <w:szCs w:val="17"/>
          <w:u w:val="single" w:color="auto"/>
          <w:color w:val="auto"/>
        </w:rPr>
        <w:t>FCPA</w:t>
      </w:r>
      <w:r>
        <w:rPr>
          <w:rFonts w:ascii="Arial" w:cs="Arial" w:eastAsia="Arial" w:hAnsi="Arial"/>
          <w:sz w:val="17"/>
          <w:szCs w:val="17"/>
          <w:color w:val="auto"/>
        </w:rPr>
        <w:t>”). The LNG Group Members, and to their knowledge their employees, officers, directors, affiliates and agents, are in compliance in all material respects with the FCPA.</w:t>
      </w:r>
    </w:p>
    <w:p>
      <w:pPr>
        <w:spacing w:after="0" w:line="231" w:lineRule="exact"/>
        <w:rPr>
          <w:rFonts w:ascii="Arial" w:cs="Arial" w:eastAsia="Arial" w:hAnsi="Arial"/>
          <w:sz w:val="17"/>
          <w:szCs w:val="17"/>
          <w:color w:val="auto"/>
        </w:rPr>
      </w:pPr>
    </w:p>
    <w:p>
      <w:pPr>
        <w:ind w:firstLine="1305"/>
        <w:spacing w:after="0" w:line="276" w:lineRule="auto"/>
        <w:tabs>
          <w:tab w:leader="none" w:pos="204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 LNG Group Member (including any Unrestricted Subsidiary) nor, to the knowledge of any LNG Group Member, any director, officer, agent, employee or Affiliate of any LNG Group Member, (i) is a person on the list of “Specially Designated Nationals and Blocked Persons” or (ii)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and the Borrower will not directly or indirectly use the proceeds of the Term Loans or otherwise knowingly make available such proceeds to any person, for the purpose of financing the activities of any person currently subject to any U.S. sanctions administered by OFAC.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7" w:name="page228"/>
    <w:bookmarkEnd w:id="227"/>
    <w:p>
      <w:pPr>
        <w:ind w:right="60" w:firstLine="1297"/>
        <w:spacing w:after="0" w:line="286"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Material Construction-Related Contracts and Permits</w:t>
      </w:r>
      <w:r>
        <w:rPr>
          <w:rFonts w:ascii="Arial" w:cs="Arial" w:eastAsia="Arial" w:hAnsi="Arial"/>
          <w:sz w:val="16"/>
          <w:szCs w:val="16"/>
          <w:color w:val="auto"/>
        </w:rPr>
        <w:t>. No default by any LNG Group Member under any Material Construction-Related Contracts has occurred and is continuing, and no Material Construction-Related Contract has been terminated by any counter-party thereto. No Requirement of Law or Contractual Obligation applicable to any Loan Party would, individually or in the aggregate, reasonably be expected to result in a</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Material Adverse </w:t>
      </w:r>
      <w:r>
        <w:rPr>
          <w:rFonts w:ascii="Arial" w:cs="Arial" w:eastAsia="Arial" w:hAnsi="Arial"/>
          <w:sz w:val="20"/>
          <w:szCs w:val="20"/>
          <w:color w:val="auto"/>
        </w:rPr>
        <w:t>Effect.</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3.24</w:t>
      </w:r>
      <w:r>
        <w:rPr>
          <w:rFonts w:ascii="Arial" w:cs="Arial" w:eastAsia="Arial" w:hAnsi="Arial"/>
          <w:sz w:val="17"/>
          <w:szCs w:val="17"/>
          <w:color w:val="auto"/>
        </w:rPr>
        <w:t xml:space="preserve"> </w:t>
      </w:r>
      <w:r>
        <w:rPr>
          <w:rFonts w:ascii="Arial" w:cs="Arial" w:eastAsia="Arial" w:hAnsi="Arial"/>
          <w:sz w:val="20"/>
          <w:szCs w:val="20"/>
          <w:color w:val="auto"/>
        </w:rPr>
        <w:t>accurately and completely lists all Material Construction-Related Contracts to which any Loan</w:t>
      </w:r>
      <w:r>
        <w:rPr>
          <w:rFonts w:ascii="Arial" w:cs="Arial" w:eastAsia="Arial" w:hAnsi="Arial"/>
          <w:sz w:val="17"/>
          <w:szCs w:val="17"/>
          <w:color w:val="auto"/>
        </w:rPr>
        <w:t xml:space="preserve"> </w:t>
      </w:r>
      <w:r>
        <w:rPr>
          <w:rFonts w:ascii="Arial" w:cs="Arial" w:eastAsia="Arial" w:hAnsi="Arial"/>
          <w:sz w:val="20"/>
          <w:szCs w:val="20"/>
          <w:color w:val="auto"/>
        </w:rPr>
        <w:t>Party is a party which are in effect on the Closing Date and thereafter, as of the date of delivery of the Compliance Certificate required to be delivered under Section 5.2(a) (the “</w:t>
      </w:r>
      <w:r>
        <w:rPr>
          <w:rFonts w:ascii="Arial" w:cs="Arial" w:eastAsia="Arial" w:hAnsi="Arial"/>
          <w:sz w:val="17"/>
          <w:szCs w:val="17"/>
          <w:u w:val="single" w:color="auto"/>
          <w:color w:val="auto"/>
        </w:rPr>
        <w:t>Delivery Date</w:t>
      </w:r>
      <w:r>
        <w:rPr>
          <w:rFonts w:ascii="Arial" w:cs="Arial" w:eastAsia="Arial" w:hAnsi="Arial"/>
          <w:sz w:val="20"/>
          <w:szCs w:val="20"/>
          <w:color w:val="auto"/>
        </w:rPr>
        <w:t xml:space="preserve">”), and the Borrower has delivered to the Administrative Agent complete and correct copies of all such Material Construction-Related Contracts as of the Closing Date (and thereafter, either copies or descriptions of all such Material Construction-Related Contracts as of the most recent Delivery Date), including any amendments, supplements or modifications with respect thereto entered into on or prior to the Closing Date (and thereafter, either copies or descriptions thereof as of the most recent Delivery Date), and all such Material Construction-Related Contracts are in full force and effect as of the Closing Date (and thereafter, as of the most recent Delivery Date). Other than exceptions set forth on </w:t>
      </w:r>
      <w:r>
        <w:rPr>
          <w:rFonts w:ascii="Arial" w:cs="Arial" w:eastAsia="Arial" w:hAnsi="Arial"/>
          <w:sz w:val="17"/>
          <w:szCs w:val="17"/>
          <w:u w:val="single" w:color="auto"/>
          <w:color w:val="auto"/>
        </w:rPr>
        <w:t>Schedule 3.24</w:t>
      </w:r>
      <w:r>
        <w:rPr>
          <w:rFonts w:ascii="Arial" w:cs="Arial" w:eastAsia="Arial" w:hAnsi="Arial"/>
          <w:sz w:val="17"/>
          <w:szCs w:val="17"/>
          <w:color w:val="auto"/>
        </w:rPr>
        <w:t xml:space="preserve"> </w:t>
      </w:r>
      <w:r>
        <w:rPr>
          <w:rFonts w:ascii="Arial" w:cs="Arial" w:eastAsia="Arial" w:hAnsi="Arial"/>
          <w:sz w:val="20"/>
          <w:szCs w:val="20"/>
          <w:color w:val="auto"/>
        </w:rPr>
        <w:t>and except as could not, individually or in the aggregate, reasonably be expected to have a Material Adverse Effect: (a)</w:t>
      </w:r>
      <w:r>
        <w:rPr>
          <w:rFonts w:ascii="Arial" w:cs="Arial" w:eastAsia="Arial" w:hAnsi="Arial"/>
          <w:sz w:val="17"/>
          <w:szCs w:val="17"/>
          <w:color w:val="auto"/>
        </w:rPr>
        <w:t xml:space="preserve"> </w:t>
      </w:r>
      <w:r>
        <w:rPr>
          <w:rFonts w:ascii="Arial" w:cs="Arial" w:eastAsia="Arial" w:hAnsi="Arial"/>
          <w:sz w:val="20"/>
          <w:szCs w:val="20"/>
          <w:color w:val="auto"/>
        </w:rPr>
        <w:t>each Loan Party has obtained and holds all Permits required for the current operation of its business and for the current stage of construction of the Plant at such date, (b) each Loan Party has performed and observed all requirements of such Permits (to the extent required to be performed by it) and (c) as of the Closing Date, no other Permits are required for the commencement of construction of the Plant.</w:t>
      </w:r>
    </w:p>
    <w:p>
      <w:pPr>
        <w:spacing w:after="0" w:line="24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Insurance</w:t>
      </w:r>
      <w:r>
        <w:rPr>
          <w:rFonts w:ascii="Arial" w:cs="Arial" w:eastAsia="Arial" w:hAnsi="Arial"/>
          <w:sz w:val="18"/>
          <w:szCs w:val="18"/>
          <w:color w:val="auto"/>
        </w:rPr>
        <w:t>. Each of the Loan Parties is insured by insurers of recognized financial responsibility (as of the date such insurance was purchased) against such losses and risks and in such amounts as are customary in the businesses in which it is engaged, for companies located in a similar geographic area, taking into account the activities and relative size (as compared to other similarly situated companies) of the Loan Parties and in any event in accordance with Section 5.5.</w:t>
      </w:r>
    </w:p>
    <w:p>
      <w:pPr>
        <w:spacing w:after="0" w:line="24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CONDITIONS PRECEDENT</w:t>
      </w:r>
    </w:p>
    <w:p>
      <w:pPr>
        <w:spacing w:after="0" w:line="27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Agreement and the Commitments and the agreement of each Lender to make the Term Loans requested to be made by it hereunder is subject to the satisfaction or waiver, prior to or concurrently with the making of such extension of credit on the Closing Date, of the following conditions precedent:</w:t>
      </w:r>
    </w:p>
    <w:p>
      <w:pPr>
        <w:spacing w:after="0" w:line="235" w:lineRule="exact"/>
        <w:rPr>
          <w:sz w:val="20"/>
          <w:szCs w:val="20"/>
          <w:color w:val="auto"/>
        </w:rPr>
      </w:pPr>
    </w:p>
    <w:p>
      <w:pPr>
        <w:ind w:left="660" w:right="40" w:firstLine="645"/>
        <w:spacing w:after="0" w:line="255" w:lineRule="auto"/>
        <w:tabs>
          <w:tab w:leader="none" w:pos="204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Administrative Agent shall have received (i) this Agreement, executed and delivered by a duly authorized officer or signatory of Holdings and the Borrower, (ii) the Pledge Agreement, dated as of the Closing Date, executed and delivered by a duly authorized officer or signatory of each Loan Party that is a party thereto, (iii) the Guarantee Agreement, dated as of the Closing Date, executed and delivered by a duly authorized officer or signatory of each Loan Party that is a party thereto, (iv) the Security Agreement, executed and delivered by a duly authorized officer or signatory of each Loan Party that is a party thereto, and (v) the Depositary Agreement, executed and delivered by a duly authorized officer or signatory of the Borrower and the Depositary.</w:t>
      </w:r>
    </w:p>
    <w:p>
      <w:pPr>
        <w:spacing w:after="0" w:line="247" w:lineRule="exact"/>
        <w:rPr>
          <w:rFonts w:ascii="Arial" w:cs="Arial" w:eastAsia="Arial" w:hAnsi="Arial"/>
          <w:sz w:val="18"/>
          <w:szCs w:val="18"/>
          <w:color w:val="auto"/>
        </w:rPr>
      </w:pPr>
    </w:p>
    <w:p>
      <w:pPr>
        <w:ind w:left="2060" w:hanging="755"/>
        <w:spacing w:after="0"/>
        <w:tabs>
          <w:tab w:leader="none" w:pos="20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28" w:name="page229"/>
    <w:bookmarkEnd w:id="228"/>
    <w:p>
      <w:pPr>
        <w:ind w:firstLine="645"/>
        <w:spacing w:after="0" w:line="280" w:lineRule="auto"/>
        <w:tabs>
          <w:tab w:leader="none" w:pos="1388"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Administrative Agent shall have received (i) the unaudited consolidated balance sheet of the Borrower as of September 30, 2014 and </w:t>
      </w:r>
      <w:r>
        <w:rPr>
          <w:rFonts w:ascii="Arial" w:cs="Arial" w:eastAsia="Arial" w:hAnsi="Arial"/>
          <w:sz w:val="19"/>
          <w:szCs w:val="19"/>
          <w:color w:val="auto"/>
        </w:rPr>
        <w:t>(ii) a pro forma unaudited consolidated balance sheet of the Borrower as of September 30,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giving pro forma effect to the Transactions occurring on the Closing Date.</w:t>
      </w:r>
    </w:p>
    <w:p>
      <w:pPr>
        <w:spacing w:after="0" w:line="249" w:lineRule="exact"/>
        <w:rPr>
          <w:sz w:val="20"/>
          <w:szCs w:val="20"/>
          <w:color w:val="auto"/>
        </w:rPr>
      </w:pPr>
    </w:p>
    <w:p>
      <w:pPr>
        <w:ind w:firstLine="645"/>
        <w:spacing w:after="0" w:line="291" w:lineRule="auto"/>
        <w:tabs>
          <w:tab w:leader="none" w:pos="139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Borrower shall have paid (or the initial Lenders and/or the Administrative Agent shall withhold from the proceeds of the initial Term Loans made on the Closing Date) all fees due and payable as of the Closing Date pursuant to Sections 2.12(b) and</w:t>
      </w: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2.12(c) to the Administrative Agent (for distribution, as appropriate, to the Lenders) and all expenses required to be paid pursuant to Section 9.5 for which reasonably detailed invoices have been presented prior to the Closing Date.</w:t>
      </w:r>
    </w:p>
    <w:p>
      <w:pPr>
        <w:spacing w:after="0" w:line="237" w:lineRule="exact"/>
        <w:rPr>
          <w:rFonts w:ascii="Arial" w:cs="Arial" w:eastAsia="Arial" w:hAnsi="Arial"/>
          <w:sz w:val="16"/>
          <w:szCs w:val="16"/>
          <w:color w:val="auto"/>
        </w:rPr>
      </w:pPr>
    </w:p>
    <w:p>
      <w:pPr>
        <w:ind w:right="60" w:firstLine="645"/>
        <w:spacing w:after="0" w:line="277" w:lineRule="auto"/>
        <w:tabs>
          <w:tab w:leader="none" w:pos="138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Administrative Agent shall have received a solvency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executed by a Responsible Officer of Holdings.</w:t>
      </w:r>
    </w:p>
    <w:p>
      <w:pPr>
        <w:spacing w:after="0" w:line="224" w:lineRule="exact"/>
        <w:rPr>
          <w:rFonts w:ascii="Arial" w:cs="Arial" w:eastAsia="Arial" w:hAnsi="Arial"/>
          <w:sz w:val="18"/>
          <w:szCs w:val="18"/>
          <w:color w:val="auto"/>
        </w:rPr>
      </w:pPr>
    </w:p>
    <w:p>
      <w:pPr>
        <w:jc w:val="both"/>
        <w:ind w:right="40" w:firstLine="645"/>
        <w:spacing w:after="0" w:line="259" w:lineRule="auto"/>
        <w:tabs>
          <w:tab w:leader="none" w:pos="142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xml:space="preserve">. The Administrative Agent shall have received the results of recent Uniform Commercial Code, tax and judgment lien searches in each relevant jurisdiction reasonably requested by the Administrative Agent with respect to each of the entities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4.1(f)</w:t>
      </w:r>
      <w:r>
        <w:rPr>
          <w:rFonts w:ascii="Arial" w:cs="Arial" w:eastAsia="Arial" w:hAnsi="Arial"/>
          <w:sz w:val="18"/>
          <w:szCs w:val="18"/>
          <w:color w:val="auto"/>
        </w:rPr>
        <w:t>; and such searches shall reveal no Liens on any of the Collateral except for Liens permitted by Section 6.3 or Liens to be discharged on or prior to the Closing Date.</w:t>
      </w:r>
    </w:p>
    <w:p>
      <w:pPr>
        <w:spacing w:after="0" w:line="240" w:lineRule="exact"/>
        <w:rPr>
          <w:rFonts w:ascii="Arial" w:cs="Arial" w:eastAsia="Arial" w:hAnsi="Arial"/>
          <w:sz w:val="18"/>
          <w:szCs w:val="18"/>
          <w:color w:val="auto"/>
        </w:rPr>
      </w:pPr>
    </w:p>
    <w:p>
      <w:pPr>
        <w:ind w:right="460" w:firstLine="645"/>
        <w:spacing w:after="0" w:line="277" w:lineRule="auto"/>
        <w:tabs>
          <w:tab w:leader="none" w:pos="139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The Administrative Agent shall have received a certificate of each Loan Party, dated the Closing Date,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with appropriate insertions and attachments.</w:t>
      </w:r>
    </w:p>
    <w:p>
      <w:pPr>
        <w:spacing w:after="0" w:line="224" w:lineRule="exact"/>
        <w:rPr>
          <w:rFonts w:ascii="Arial" w:cs="Arial" w:eastAsia="Arial" w:hAnsi="Arial"/>
          <w:sz w:val="18"/>
          <w:szCs w:val="18"/>
          <w:color w:val="auto"/>
        </w:rPr>
      </w:pPr>
    </w:p>
    <w:p>
      <w:pPr>
        <w:ind w:right="120" w:firstLine="645"/>
        <w:spacing w:after="0" w:line="264" w:lineRule="auto"/>
        <w:tabs>
          <w:tab w:leader="none" w:pos="139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in form and substance reasonably acceptable to the Administrative Agent and the Required Lenders, a legal opinion of Skadden, Arps, Slate, Meagher &amp; Flom LLP, counsel to Holdings, the Borrower and its Subsidiaries, dated the date hereof and addressed to the Administrative Agent and the Lenders.</w:t>
      </w:r>
    </w:p>
    <w:p>
      <w:pPr>
        <w:spacing w:after="0" w:line="235" w:lineRule="exact"/>
        <w:rPr>
          <w:rFonts w:ascii="Arial" w:cs="Arial" w:eastAsia="Arial" w:hAnsi="Arial"/>
          <w:sz w:val="18"/>
          <w:szCs w:val="18"/>
          <w:color w:val="auto"/>
        </w:rPr>
      </w:pPr>
    </w:p>
    <w:p>
      <w:pPr>
        <w:ind w:right="200" w:firstLine="645"/>
        <w:spacing w:after="0" w:line="257" w:lineRule="auto"/>
        <w:tabs>
          <w:tab w:leader="none" w:pos="141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Pledged Equity; Stock Powers; Pledged Notes</w:t>
      </w:r>
      <w:r>
        <w:rPr>
          <w:rFonts w:ascii="Arial" w:cs="Arial" w:eastAsia="Arial" w:hAnsi="Arial"/>
          <w:sz w:val="18"/>
          <w:szCs w:val="18"/>
          <w:color w:val="auto"/>
        </w:rPr>
        <w:t>. The Administrative Agent shall have received (i) the certificates, if any, representing the shares or membership or partnership units of Capital Stock pledged pursuant to the Security Documents, together with an undated stock power for each such certificate executed in blank by a duly authorized representative or officer of the pledgor thereof and (ii) any Pledged Notes (as defined in the Security Agreement), duly endorsed in blank, in each case, as required by the Security Documents to be delivered to the Administrative Agent on the Closing Date.</w:t>
      </w:r>
    </w:p>
    <w:p>
      <w:pPr>
        <w:spacing w:after="0" w:line="242" w:lineRule="exact"/>
        <w:rPr>
          <w:rFonts w:ascii="Arial" w:cs="Arial" w:eastAsia="Arial" w:hAnsi="Arial"/>
          <w:sz w:val="18"/>
          <w:szCs w:val="18"/>
          <w:color w:val="auto"/>
        </w:rPr>
      </w:pPr>
    </w:p>
    <w:p>
      <w:pPr>
        <w:ind w:right="20" w:firstLine="645"/>
        <w:spacing w:after="0" w:line="281" w:lineRule="auto"/>
        <w:tabs>
          <w:tab w:leader="none" w:pos="1412"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Each document (including, without limitation, any Uniform Commercial Code financing statement) required as of the Closing Date by the Security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6.3), shall have been filed, registered or recorded or shall have been delivered to the Administrative Agent in proper form for filing, regis</w:t>
      </w:r>
      <w:r>
        <w:rPr>
          <w:rFonts w:ascii="Arial" w:cs="Arial" w:eastAsia="Arial" w:hAnsi="Arial"/>
          <w:sz w:val="19"/>
          <w:szCs w:val="19"/>
          <w:color w:val="auto"/>
        </w:rPr>
        <w:t>tration or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-2338070</wp:posOffset>
            </wp:positionV>
            <wp:extent cx="285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240"/>
        <w:spacing w:after="0" w:line="237" w:lineRule="auto"/>
        <w:rPr>
          <w:sz w:val="20"/>
          <w:szCs w:val="20"/>
          <w:color w:val="auto"/>
        </w:rPr>
      </w:pPr>
      <w:r>
        <w:rPr>
          <w:rFonts w:ascii="Arial" w:cs="Arial" w:eastAsia="Arial" w:hAnsi="Arial"/>
          <w:sz w:val="22"/>
          <w:szCs w:val="22"/>
          <w:color w:val="auto"/>
        </w:rPr>
        <w:t>or arrangements reasonably satisfactory to the Administrative Agent for such filing, registration, recordation and/or filing shall have been made.</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152" w:right="259" w:bottom="1440" w:gutter="0" w:footer="0" w:header="0"/>
        </w:sectPr>
      </w:pPr>
    </w:p>
    <w:bookmarkStart w:id="229" w:name="page230"/>
    <w:bookmarkEnd w:id="229"/>
    <w:p>
      <w:pPr>
        <w:ind w:left="-540" w:right="320" w:firstLine="645"/>
        <w:spacing w:after="0" w:line="277" w:lineRule="auto"/>
        <w:tabs>
          <w:tab w:leader="none" w:pos="85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Subject to Section 5.12, the Administrative Agent shall have received insurance certificates and endorsements, as applicable, satisfying the requirements of Section 5.5.</w:t>
      </w:r>
    </w:p>
    <w:p>
      <w:pPr>
        <w:spacing w:after="0" w:line="224" w:lineRule="exact"/>
        <w:rPr>
          <w:rFonts w:ascii="Arial" w:cs="Arial" w:eastAsia="Arial" w:hAnsi="Arial"/>
          <w:sz w:val="18"/>
          <w:szCs w:val="18"/>
          <w:color w:val="auto"/>
        </w:rPr>
      </w:pPr>
    </w:p>
    <w:p>
      <w:pPr>
        <w:ind w:left="-540" w:right="220" w:firstLine="645"/>
        <w:spacing w:after="0" w:line="259" w:lineRule="auto"/>
        <w:tabs>
          <w:tab w:leader="none" w:pos="8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Business Days prior to the Closing Date, to the extent requested by any Lender sufficiently in advance thereof, all documentation and other information with respect to the Borrower required by bank regulatory authorities under applicable “know your customer” and anti-money laundering rules and regulations, including without limitation the PATRIOT Act.</w:t>
      </w:r>
    </w:p>
    <w:p>
      <w:pPr>
        <w:spacing w:after="0" w:line="240" w:lineRule="exact"/>
        <w:rPr>
          <w:rFonts w:ascii="Arial" w:cs="Arial" w:eastAsia="Arial" w:hAnsi="Arial"/>
          <w:sz w:val="18"/>
          <w:szCs w:val="18"/>
          <w:color w:val="auto"/>
        </w:rPr>
      </w:pPr>
    </w:p>
    <w:p>
      <w:pPr>
        <w:ind w:left="-540" w:firstLine="645"/>
        <w:spacing w:after="0" w:line="277" w:lineRule="auto"/>
        <w:tabs>
          <w:tab w:leader="none" w:pos="85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Funds Flow</w:t>
      </w:r>
      <w:r>
        <w:rPr>
          <w:rFonts w:ascii="Arial" w:cs="Arial" w:eastAsia="Arial" w:hAnsi="Arial"/>
          <w:sz w:val="18"/>
          <w:szCs w:val="18"/>
          <w:color w:val="auto"/>
        </w:rPr>
        <w:t>. The Administrative Agent shall have received from the Borrower a funds flow for the Transactions contemplated to occur on the Closing Date.</w:t>
      </w:r>
    </w:p>
    <w:p>
      <w:pPr>
        <w:spacing w:after="0" w:line="224" w:lineRule="exact"/>
        <w:rPr>
          <w:rFonts w:ascii="Arial" w:cs="Arial" w:eastAsia="Arial" w:hAnsi="Arial"/>
          <w:sz w:val="18"/>
          <w:szCs w:val="18"/>
          <w:color w:val="auto"/>
        </w:rPr>
      </w:pPr>
    </w:p>
    <w:p>
      <w:pPr>
        <w:ind w:left="-540" w:right="420" w:firstLine="645"/>
        <w:spacing w:after="0" w:line="259" w:lineRule="auto"/>
        <w:tabs>
          <w:tab w:leader="none" w:pos="85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Debt Service Reserve Account</w:t>
      </w:r>
      <w:r>
        <w:rPr>
          <w:rFonts w:ascii="Arial" w:cs="Arial" w:eastAsia="Arial" w:hAnsi="Arial"/>
          <w:sz w:val="18"/>
          <w:szCs w:val="18"/>
          <w:color w:val="auto"/>
        </w:rPr>
        <w:t>. The Debt Service Reserve Account shall have been established in accordance with the requirements of the Depositary Agreement and, concurrently with the funding of the initial Term Loans, funded in an amount equal to the Debt Service Reserve Requirement (as defined in the Depositary Agreement) in effect as of the Closing Date in accordance with the Depositary Agreement.</w:t>
      </w:r>
    </w:p>
    <w:p>
      <w:pPr>
        <w:spacing w:after="0" w:line="240" w:lineRule="exact"/>
        <w:rPr>
          <w:rFonts w:ascii="Arial" w:cs="Arial" w:eastAsia="Arial" w:hAnsi="Arial"/>
          <w:sz w:val="18"/>
          <w:szCs w:val="18"/>
          <w:color w:val="auto"/>
        </w:rPr>
      </w:pPr>
    </w:p>
    <w:p>
      <w:pPr>
        <w:ind w:left="-540" w:right="60" w:firstLine="645"/>
        <w:spacing w:after="0" w:line="297" w:lineRule="auto"/>
        <w:tabs>
          <w:tab w:leader="none" w:pos="858"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As of the Closing Date, the representations and warranties contained herein and in the other Loan Documents shall be true and correct in all material respects on and as of the Closing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such materiality qualifier shall not be applicable to any representations and warranties that already are qualified or modified by materiality in the text hereof.</w:t>
      </w:r>
    </w:p>
    <w:p>
      <w:pPr>
        <w:spacing w:after="0" w:line="212" w:lineRule="exact"/>
        <w:rPr>
          <w:rFonts w:ascii="Arial" w:cs="Arial" w:eastAsia="Arial" w:hAnsi="Arial"/>
          <w:sz w:val="16"/>
          <w:szCs w:val="16"/>
          <w:color w:val="auto"/>
        </w:rPr>
      </w:pPr>
    </w:p>
    <w:p>
      <w:pPr>
        <w:ind w:left="-540" w:right="420" w:firstLine="645"/>
        <w:spacing w:after="0" w:line="277" w:lineRule="auto"/>
        <w:tabs>
          <w:tab w:leader="none" w:pos="85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shall have occurred and be continuing or would result from the making of the initial Term Loans that would constitute an Event of Default or a Default.</w:t>
      </w:r>
    </w:p>
    <w:p>
      <w:pPr>
        <w:spacing w:after="0" w:line="224" w:lineRule="exact"/>
        <w:rPr>
          <w:rFonts w:ascii="Arial" w:cs="Arial" w:eastAsia="Arial" w:hAnsi="Arial"/>
          <w:sz w:val="18"/>
          <w:szCs w:val="18"/>
          <w:color w:val="auto"/>
        </w:rPr>
      </w:pPr>
    </w:p>
    <w:p>
      <w:pPr>
        <w:ind w:left="-540" w:right="120" w:firstLine="645"/>
        <w:spacing w:after="0" w:line="259" w:lineRule="auto"/>
        <w:tabs>
          <w:tab w:leader="none" w:pos="85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Equity Contribution</w:t>
      </w:r>
      <w:r>
        <w:rPr>
          <w:rFonts w:ascii="Arial" w:cs="Arial" w:eastAsia="Arial" w:hAnsi="Arial"/>
          <w:sz w:val="18"/>
          <w:szCs w:val="18"/>
          <w:color w:val="auto"/>
        </w:rPr>
        <w:t>. Prior to or substantially simultaneously with the funding of the initial Term Loans, the Initial Equity Contribution shall have been made, as evidenced by the pro forma unaudited consolidated balance sheet of the Borrower delivered to the Administrative Agent pursuant to Section 4.1(c) and certified to by a Responsible Officer of the Borrower in an officer’s certificate delivered to the Administrative Agent.</w:t>
      </w:r>
    </w:p>
    <w:p>
      <w:pPr>
        <w:spacing w:after="0" w:line="240" w:lineRule="exact"/>
        <w:rPr>
          <w:rFonts w:ascii="Arial" w:cs="Arial" w:eastAsia="Arial" w:hAnsi="Arial"/>
          <w:sz w:val="18"/>
          <w:szCs w:val="18"/>
          <w:color w:val="auto"/>
        </w:rPr>
      </w:pPr>
    </w:p>
    <w:p>
      <w:pPr>
        <w:ind w:left="-540" w:right="40" w:firstLine="645"/>
        <w:spacing w:after="0" w:line="342" w:lineRule="auto"/>
        <w:tabs>
          <w:tab w:leader="none" w:pos="882"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Budget, Plans and Specifications</w:t>
      </w:r>
      <w:r>
        <w:rPr>
          <w:rFonts w:ascii="Arial" w:cs="Arial" w:eastAsia="Arial" w:hAnsi="Arial"/>
          <w:sz w:val="16"/>
          <w:szCs w:val="16"/>
          <w:color w:val="auto"/>
        </w:rPr>
        <w:t>. The Administrative Agent shall have received the Budget and copies of the executed Material Construction-Related Contracts in effect on the Closing Date, the Ground Lease and the plans and specifications in respect of the Plant.</w:t>
      </w:r>
    </w:p>
    <w:p>
      <w:pPr>
        <w:spacing w:after="0" w:line="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152" w:right="279" w:bottom="1440" w:gutter="0" w:footer="0" w:header="0"/>
        </w:sectPr>
      </w:pPr>
    </w:p>
    <w:bookmarkStart w:id="230" w:name="page231"/>
    <w:bookmarkEnd w:id="230"/>
    <w:p>
      <w:pPr>
        <w:ind w:left="660" w:right="260" w:firstLine="645"/>
        <w:spacing w:after="0" w:line="259" w:lineRule="auto"/>
        <w:tabs>
          <w:tab w:leader="none" w:pos="209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Pursuant to Section 26.2 of the Design-Build Agreement, the Administrative Agent shall have received evidence in a manner reasonably satisfactory to the Administrative Agent that the Borrower shall have delivered (in electronic form or otherwise) notice to OnQuest, Inc. of the Borrower’s collateral assignment of such agreement to the Administrative Agent pursuant to the Security Agreement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41"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Conditions to the Making of any Term Loan After the Closing Date</w:t>
      </w:r>
      <w:r>
        <w:rPr>
          <w:rFonts w:ascii="Arial" w:cs="Arial" w:eastAsia="Arial" w:hAnsi="Arial"/>
          <w:sz w:val="17"/>
          <w:szCs w:val="17"/>
          <w:color w:val="auto"/>
        </w:rPr>
        <w:t>. The obligation of each Lender to make any Term Loan on any Credit Date after the Closing Date is subject to the satisfaction, or waiver in accordance with Section 9.1, of the following conditions precedent:</w:t>
      </w:r>
    </w:p>
    <w:p>
      <w:pPr>
        <w:spacing w:after="0" w:line="201" w:lineRule="exact"/>
        <w:rPr>
          <w:sz w:val="20"/>
          <w:szCs w:val="20"/>
          <w:color w:val="auto"/>
        </w:rPr>
      </w:pPr>
    </w:p>
    <w:p>
      <w:pPr>
        <w:ind w:left="2040" w:hanging="735"/>
        <w:spacing w:after="0"/>
        <w:tabs>
          <w:tab w:leader="none" w:pos="20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and delivered Funding Notice;</w:t>
      </w:r>
    </w:p>
    <w:p>
      <w:pPr>
        <w:spacing w:after="0" w:line="279" w:lineRule="exact"/>
        <w:rPr>
          <w:rFonts w:ascii="Arial" w:cs="Arial" w:eastAsia="Arial" w:hAnsi="Arial"/>
          <w:sz w:val="18"/>
          <w:szCs w:val="18"/>
          <w:color w:val="auto"/>
        </w:rPr>
      </w:pPr>
    </w:p>
    <w:p>
      <w:pPr>
        <w:ind w:left="660" w:right="260" w:firstLine="645"/>
        <w:spacing w:after="0" w:line="276" w:lineRule="auto"/>
        <w:tabs>
          <w:tab w:leader="none" w:pos="205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as of such Credit Date, the representations and warranties contained herein and in the other Loan Documents shall be true and correct in all material respects on and as of such Credit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such materiality qualifier shall not be applicable to any representations and warranties that already are qualified or modified by materiality in the text hereof;</w:t>
      </w:r>
    </w:p>
    <w:p>
      <w:pPr>
        <w:spacing w:after="0" w:line="226" w:lineRule="exact"/>
        <w:rPr>
          <w:rFonts w:ascii="Arial" w:cs="Arial" w:eastAsia="Arial" w:hAnsi="Arial"/>
          <w:sz w:val="17"/>
          <w:szCs w:val="17"/>
          <w:color w:val="auto"/>
        </w:rPr>
      </w:pPr>
    </w:p>
    <w:p>
      <w:pPr>
        <w:ind w:left="660" w:right="160" w:firstLine="645"/>
        <w:spacing w:after="0" w:line="277"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of such Credit Date, no event shall have occurred and be continuing or would result from the making of such Term Loan that would constitute an Event of Default or a Default;</w:t>
      </w:r>
    </w:p>
    <w:p>
      <w:pPr>
        <w:spacing w:after="0" w:line="224" w:lineRule="exact"/>
        <w:rPr>
          <w:rFonts w:ascii="Arial" w:cs="Arial" w:eastAsia="Arial" w:hAnsi="Arial"/>
          <w:sz w:val="18"/>
          <w:szCs w:val="18"/>
          <w:color w:val="auto"/>
        </w:rPr>
      </w:pPr>
    </w:p>
    <w:p>
      <w:pPr>
        <w:ind w:left="660" w:right="40" w:firstLine="645"/>
        <w:spacing w:after="0" w:line="277" w:lineRule="auto"/>
        <w:tabs>
          <w:tab w:leader="none" w:pos="20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prior to the Plant Completion Date, the Borrower shall be in compliance with the In-Balance Test after giving pro forma effect to the funding of the Term Loans to be made on such Credit Date;</w:t>
      </w:r>
    </w:p>
    <w:p>
      <w:pPr>
        <w:spacing w:after="0" w:line="224" w:lineRule="exact"/>
        <w:rPr>
          <w:rFonts w:ascii="Arial" w:cs="Arial" w:eastAsia="Arial" w:hAnsi="Arial"/>
          <w:sz w:val="18"/>
          <w:szCs w:val="18"/>
          <w:color w:val="auto"/>
        </w:rPr>
      </w:pPr>
    </w:p>
    <w:p>
      <w:pPr>
        <w:ind w:left="660" w:right="240" w:firstLine="645"/>
        <w:spacing w:after="0" w:line="264"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concurrently with the funding of the Term Loans to be made on such Credit Date, the Debt Service Reserve Account shall be funded in an amount equal to the Debt Service Reserve Requirement (as defined in the Depositary Agreement) in accordance with the Depositary Agreement;</w:t>
      </w:r>
    </w:p>
    <w:p>
      <w:pPr>
        <w:spacing w:after="0" w:line="235" w:lineRule="exact"/>
        <w:rPr>
          <w:rFonts w:ascii="Arial" w:cs="Arial" w:eastAsia="Arial" w:hAnsi="Arial"/>
          <w:sz w:val="18"/>
          <w:szCs w:val="18"/>
          <w:color w:val="auto"/>
        </w:rPr>
      </w:pPr>
    </w:p>
    <w:p>
      <w:pPr>
        <w:ind w:left="660" w:right="420" w:firstLine="645"/>
        <w:spacing w:after="0" w:line="342" w:lineRule="auto"/>
        <w:tabs>
          <w:tab w:leader="none" w:pos="208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of a title search from the title insurance company with respect to the Mortgaged Property identifying all Liens of record through a date not more than five (5) Business Days prior to the applicable Credit Date;</w:t>
      </w:r>
    </w:p>
    <w:p>
      <w:pPr>
        <w:spacing w:after="0" w:line="177" w:lineRule="exact"/>
        <w:rPr>
          <w:rFonts w:ascii="Arial" w:cs="Arial" w:eastAsia="Arial" w:hAnsi="Arial"/>
          <w:sz w:val="16"/>
          <w:szCs w:val="16"/>
          <w:color w:val="auto"/>
        </w:rPr>
      </w:pPr>
    </w:p>
    <w:p>
      <w:pPr>
        <w:ind w:left="660" w:firstLine="645"/>
        <w:spacing w:after="0" w:line="280" w:lineRule="auto"/>
        <w:tabs>
          <w:tab w:leader="none" w:pos="20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from the title insurance company a Florida Construction Loan Update Endorsement substantially in the form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reasonably acceptable to the Administrative Agent) showing that (i) since the last Credit Date, there has been no material and adverse change in the condition of title unless permitted by the Loan Documents, and (ii) </w:t>
      </w:r>
      <w:r>
        <w:rPr>
          <w:rFonts w:ascii="Arial" w:cs="Arial" w:eastAsia="Arial" w:hAnsi="Arial"/>
          <w:sz w:val="19"/>
          <w:szCs w:val="19"/>
          <w:color w:val="auto"/>
        </w:rPr>
        <w:t>there</w:t>
      </w:r>
    </w:p>
    <w:p>
      <w:pPr>
        <w:spacing w:after="0" w:line="2" w:lineRule="exact"/>
        <w:rPr>
          <w:sz w:val="20"/>
          <w:szCs w:val="20"/>
          <w:color w:val="auto"/>
        </w:rPr>
      </w:pPr>
    </w:p>
    <w:p>
      <w:pPr>
        <w:ind w:left="660" w:right="540"/>
        <w:spacing w:after="0" w:line="237" w:lineRule="auto"/>
        <w:rPr>
          <w:sz w:val="20"/>
          <w:szCs w:val="20"/>
          <w:color w:val="auto"/>
        </w:rPr>
      </w:pPr>
      <w:r>
        <w:rPr>
          <w:rFonts w:ascii="Arial" w:cs="Arial" w:eastAsia="Arial" w:hAnsi="Arial"/>
          <w:sz w:val="22"/>
          <w:szCs w:val="22"/>
          <w:color w:val="auto"/>
        </w:rPr>
        <w:t>are no intervening liens or encumbrances which take priority over the respective Liens of the Mortgage relating to the Mortgaged Property, other than Liens permitted by Section 6.3; and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31" w:name="page232"/>
    <w:bookmarkEnd w:id="231"/>
    <w:p>
      <w:pPr>
        <w:ind w:left="660" w:right="20" w:firstLine="645"/>
        <w:spacing w:after="0" w:line="286" w:lineRule="auto"/>
        <w:tabs>
          <w:tab w:leader="none" w:pos="20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Borrower shall have delivered to the Administrative Agent the unconditional Lien releases and waivers from each contractor that has timely filed a notice to owner or other notice sufficient to perfect such contractor’s right to a Lien in compliance with all Requirements of Law, to the extent the Borrower has received such Lien releases and waivers prior to such Credit Date.</w:t>
      </w:r>
    </w:p>
    <w:p>
      <w:pPr>
        <w:spacing w:after="0" w:line="19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For the avoidance of doubt, (i) prior to the Plant Encumbrance Date, no Term Loans shall be made if, after giving effect thereto, the outstanding principal amount of Term Loans would exceed the Initial Equity Contribution, (ii) on and after the Plant Encumbrance Date and prior to the satisfaction of the Equity Fulfillment Condition, no Term Loans shall be made if, after giving effect thereto, the outstanding principal amount of Term Loans would exceed the Aggregate Equity Contribution, and (iii) no Term Loans shall be made after the earlier of (1) the Plant Completion Date and (2) the second anniversary of the Closing Date.</w:t>
      </w:r>
    </w:p>
    <w:p>
      <w:pPr>
        <w:spacing w:after="0" w:line="24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AFFIRMATIVE COVENANTS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Holdings and the Borrower hereby jointly and severally agree that, so long as the Termination Conditions have not been satisfied, each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Holdings and the Borrower shall and shall cause each of its Subsidiaries to:</w:t>
      </w:r>
    </w:p>
    <w:p>
      <w:pPr>
        <w:spacing w:after="0" w:line="26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Furnish to the Administrative Agent for delivery to each Lender and take the following actions:</w:t>
      </w:r>
    </w:p>
    <w:p>
      <w:pPr>
        <w:spacing w:after="0" w:line="279" w:lineRule="exact"/>
        <w:rPr>
          <w:sz w:val="20"/>
          <w:szCs w:val="20"/>
          <w:color w:val="auto"/>
        </w:rPr>
      </w:pPr>
    </w:p>
    <w:p>
      <w:pPr>
        <w:jc w:val="both"/>
        <w:ind w:left="660" w:firstLine="645"/>
        <w:spacing w:after="0" w:line="302" w:lineRule="auto"/>
        <w:tabs>
          <w:tab w:leader="none" w:pos="204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the Borrower and its subsidiaries ending after the Plant Completion Date,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by Ernst &amp; Young LLP or any other independent certified public accountants of nationally recognized standing; and</w:t>
      </w:r>
    </w:p>
    <w:p>
      <w:pPr>
        <w:spacing w:after="0" w:line="208" w:lineRule="exact"/>
        <w:rPr>
          <w:rFonts w:ascii="Arial" w:cs="Arial" w:eastAsia="Arial" w:hAnsi="Arial"/>
          <w:sz w:val="16"/>
          <w:szCs w:val="16"/>
          <w:color w:val="auto"/>
        </w:rPr>
      </w:pPr>
    </w:p>
    <w:p>
      <w:pPr>
        <w:ind w:left="660" w:right="200" w:firstLine="645"/>
        <w:spacing w:after="0" w:line="291" w:lineRule="auto"/>
        <w:tabs>
          <w:tab w:leader="none" w:pos="20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 later than 45 days (or 60 days in the case of the fiscal quarters ending March 31, 2015, June 30, 2015, and September 30, 2015) after the end of each of the first three quarterly periods of each fiscal year of the Borrower and its subsidiaries, beginning (i) with the fiscal quarter ending March 31, 2015, the unaudited consolidated balance sheet of the Borrower and its consolidated subsidiaries as at the end of such quarter and, (ii) with respect to each fiscal quarter ending after the Plant Completion Date,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52" w:right="339" w:bottom="1440" w:gutter="0" w:footer="0" w:header="0"/>
        </w:sectPr>
      </w:pPr>
    </w:p>
    <w:bookmarkStart w:id="232" w:name="page233"/>
    <w:bookmarkEnd w:id="232"/>
    <w:p>
      <w:pPr>
        <w:ind w:firstLine="1297"/>
        <w:spacing w:after="0" w:line="286" w:lineRule="auto"/>
        <w:rPr>
          <w:sz w:val="20"/>
          <w:szCs w:val="20"/>
          <w:color w:val="auto"/>
        </w:rPr>
      </w:pPr>
      <w:r>
        <w:rPr>
          <w:rFonts w:ascii="Arial" w:cs="Arial" w:eastAsia="Arial" w:hAnsi="Arial"/>
          <w:sz w:val="16"/>
          <w:szCs w:val="16"/>
          <w:color w:val="auto"/>
        </w:rPr>
        <w:t>Financial statements and other information required to be delivered pursuant to this Section 5.1, Section 5.2 or Section 5.7 may be delivered electronically and if so delivered, shall be deemed to have been delivered on the date (i) on which the Borrower posts such information, or provides a link thereto, on the website of the Borrower; (ii) on which such information is posted on behalf of the Borrower on an Internet or intranet website, if any, to which each Lender and the Administrative Agent have access (whether a commercial or third-party website or whether sponsored by the Administrative Agent); or</w:t>
      </w:r>
    </w:p>
    <w:p>
      <w:pPr>
        <w:spacing w:after="0" w:line="2" w:lineRule="exact"/>
        <w:rPr>
          <w:sz w:val="20"/>
          <w:szCs w:val="20"/>
          <w:color w:val="auto"/>
        </w:rPr>
      </w:pPr>
    </w:p>
    <w:p>
      <w:pPr>
        <w:ind w:right="20" w:firstLine="8"/>
        <w:spacing w:after="0" w:line="252" w:lineRule="auto"/>
        <w:tabs>
          <w:tab w:leader="none" w:pos="3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to the extent such financial statements are set forth in the Borrower’s Form 10-K or 10-Q, as applicable, filed with the SEC, on which date such documents are filed for public availability on the SEC’s Electronic Data Gathering and Retrieval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deliver paper copies of such documents to the Administrative Agent upon its request to the Borrower to deliver such paper copies until a request to cease delivering paper copies is given by the Administrative Agent and (ii) the Borrower shall notify the Administrative Agent (by facsimile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for delivery, and each Lender shall be solely responsible for maintaining its copies of such documents.</w:t>
      </w:r>
    </w:p>
    <w:p>
      <w:pPr>
        <w:spacing w:after="0" w:line="246"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Lender, or, in the case of clause (e), to the relevant Lender:</w:t>
      </w:r>
    </w:p>
    <w:p>
      <w:pPr>
        <w:spacing w:after="0" w:line="224" w:lineRule="exact"/>
        <w:rPr>
          <w:sz w:val="20"/>
          <w:szCs w:val="20"/>
          <w:color w:val="auto"/>
        </w:rPr>
      </w:pPr>
    </w:p>
    <w:p>
      <w:pPr>
        <w:ind w:left="660" w:right="20" w:firstLine="645"/>
        <w:spacing w:after="0" w:line="268" w:lineRule="auto"/>
        <w:tabs>
          <w:tab w:leader="none" w:pos="204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any financial statements pursuant to Section 5.1, (i) a Compliance Certificate of the Borrower (the first such Compliance Certificate to be delivered for the fiscal year ending December 31, 2014) (A) containing all information, calculations and supporting schedules necessary for determining compliance by Holdings, the Borrower and their respective Subsidiaries with the provisions of this Agreement referred to therein as of the last day of the fiscal quarter or fiscal year then ended, and if such Compliance Certificate demonstrates an occurrence of (x) an Excess Cash Restriction Period or (y) an ECF Percentage equal to 100%, the Borrower may deliver within ten Business Days of the delivery of such Compliance Certificate notice of its intent to cure such event pursuant to Section 7.3, (B) setting forth the names of all Immaterial Subsidiaries (if any) and certify that each Subsidiary set forth on such list individually qualifies as an Immaterial Subsidiary and that, in the aggregate, all such Immaterial Subsidiaries had consolidated assets with a book value of less than $300,000 on the last day of such fiscal quarter or such fiscal year, as the case may be, and (C) a written update with respect to the Budget (if any), plans and specifications of the Plant (if any) or any Material Construction-Related Contracts entered into during such fiscal quarter or the last fiscal quarter of such fiscal year, as applicable, including an update to </w:t>
      </w:r>
      <w:r>
        <w:rPr>
          <w:rFonts w:ascii="Arial" w:cs="Arial" w:eastAsia="Arial" w:hAnsi="Arial"/>
          <w:sz w:val="17"/>
          <w:szCs w:val="17"/>
          <w:u w:val="single" w:color="auto"/>
          <w:color w:val="auto"/>
        </w:rPr>
        <w:t>Schedule 3.24</w:t>
      </w:r>
      <w:r>
        <w:rPr>
          <w:rFonts w:ascii="Arial" w:cs="Arial" w:eastAsia="Arial" w:hAnsi="Arial"/>
          <w:sz w:val="17"/>
          <w:szCs w:val="17"/>
          <w:color w:val="auto"/>
        </w:rPr>
        <w:t xml:space="preserve"> and copies thereof upon request of the Required Consent Parties, and (ii) with respect to the financial statements delivered pursuant to Section 5.1(a), to the extent not previously disclosed to the Administrative Agent, a listing of any material Intellectual Property acquired by any Loan Party since the date of the most recent list delivered pursuant to this clause (ii) (or, in the case of the first such list so delivered, since the Closing Date);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3" w:name="page234"/>
    <w:bookmarkEnd w:id="233"/>
    <w:p>
      <w:pPr>
        <w:ind w:left="660" w:right="40" w:firstLine="645"/>
        <w:spacing w:after="0" w:line="264" w:lineRule="auto"/>
        <w:tabs>
          <w:tab w:leader="none" w:pos="20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later than 60 days after the end of each fiscal year of the Borrower, a consolidated budget for the following fiscal year (including a consolidated statement of projected results of operations of the Borrower and its consolidated subsidiaries as of the end of the following fiscal year presented on a quarterly basis);</w:t>
      </w:r>
    </w:p>
    <w:p>
      <w:pPr>
        <w:spacing w:after="0" w:line="235" w:lineRule="exact"/>
        <w:rPr>
          <w:rFonts w:ascii="Arial" w:cs="Arial" w:eastAsia="Arial" w:hAnsi="Arial"/>
          <w:sz w:val="18"/>
          <w:szCs w:val="18"/>
          <w:color w:val="auto"/>
        </w:rPr>
      </w:pPr>
    </w:p>
    <w:p>
      <w:pPr>
        <w:ind w:left="660" w:right="60" w:firstLine="645"/>
        <w:spacing w:after="0" w:line="255" w:lineRule="auto"/>
        <w:tabs>
          <w:tab w:leader="none" w:pos="204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Section 5.1, (i)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 (ii) prior to the Plant Completion Date, (1) a written progress report in reasonable detail regarding the construction of the Plant and (2) use commercially reasonable efforts to deliver an executed certificate from the Contractor (as defined in the Design-Build Agreement) in the form attached hereto as Exhibit L or any other form reasonably satisfactory to the Administrative Agent;</w:t>
      </w:r>
    </w:p>
    <w:p>
      <w:pPr>
        <w:spacing w:after="0" w:line="247" w:lineRule="exact"/>
        <w:rPr>
          <w:rFonts w:ascii="Arial" w:cs="Arial" w:eastAsia="Arial" w:hAnsi="Arial"/>
          <w:sz w:val="18"/>
          <w:szCs w:val="18"/>
          <w:color w:val="auto"/>
        </w:rPr>
      </w:pPr>
    </w:p>
    <w:p>
      <w:pPr>
        <w:ind w:left="660" w:right="60" w:firstLine="645"/>
        <w:spacing w:after="0" w:line="264" w:lineRule="auto"/>
        <w:tabs>
          <w:tab w:leader="none" w:pos="20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promptly upon their becoming publicly available, copies of all periodic and other publicly available reports, proxy statements and, to the extent requested by the Administrative Agent on behalf of any Lender, other materials filed by any LNG Group Member with the SEC or sent or made available generally by Holdings to its security holders acting in such capacity;</w:t>
      </w:r>
    </w:p>
    <w:p>
      <w:pPr>
        <w:spacing w:after="0" w:line="235" w:lineRule="exact"/>
        <w:rPr>
          <w:rFonts w:ascii="Arial" w:cs="Arial" w:eastAsia="Arial" w:hAnsi="Arial"/>
          <w:sz w:val="18"/>
          <w:szCs w:val="18"/>
          <w:color w:val="auto"/>
        </w:rPr>
      </w:pPr>
    </w:p>
    <w:p>
      <w:pPr>
        <w:ind w:left="660" w:right="520" w:firstLine="645"/>
        <w:spacing w:after="0" w:line="308" w:lineRule="auto"/>
        <w:tabs>
          <w:tab w:leader="none" w:pos="204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promptly, such additional financial information or information about Material Construction-Related Contracts, the Plant or construction thereof as the Administrative Agent on behalf of any Lender may from time to time reasonably request; and</w:t>
      </w:r>
    </w:p>
    <w:p>
      <w:pPr>
        <w:spacing w:after="0" w:line="200" w:lineRule="exact"/>
        <w:rPr>
          <w:rFonts w:ascii="Arial" w:cs="Arial" w:eastAsia="Arial" w:hAnsi="Arial"/>
          <w:sz w:val="17"/>
          <w:szCs w:val="17"/>
          <w:color w:val="auto"/>
        </w:rPr>
      </w:pPr>
    </w:p>
    <w:p>
      <w:pPr>
        <w:ind w:left="660" w:right="360" w:firstLine="645"/>
        <w:spacing w:after="0" w:line="259" w:lineRule="auto"/>
        <w:tabs>
          <w:tab w:leader="none" w:pos="208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within ten (10) Business Days after the date the annual audited financial statements for each fiscal year ended on any Excess Cash Flow Determination Date are required to be delivered pursuant to Section 5.1(a), a certificate of a Responsible Officer of the Borrower certifying as to the calculation of Consolidated Excess Cash Flow as of such Excess Cash Flow Determination Date accompanied by supporting information in reasonable detail.</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its Affiliates and their respective securities (“</w:t>
      </w:r>
      <w:r>
        <w:rPr>
          <w:rFonts w:ascii="Arial" w:cs="Arial" w:eastAsia="Arial" w:hAnsi="Arial"/>
          <w:sz w:val="16"/>
          <w:szCs w:val="16"/>
          <w:u w:val="single" w:color="auto"/>
          <w:color w:val="auto"/>
        </w:rPr>
        <w:t>Private Side Information</w:t>
      </w:r>
      <w:r>
        <w:rPr>
          <w:rFonts w:ascii="Arial" w:cs="Arial" w:eastAsia="Arial" w:hAnsi="Arial"/>
          <w:sz w:val="16"/>
          <w:szCs w:val="16"/>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34" w:name="page235"/>
    <w:bookmarkEnd w:id="234"/>
    <w:p>
      <w:pPr>
        <w:ind w:right="60" w:firstLine="1297"/>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discharge or otherwise satisfy all taxes imposed upon it or any of its properties or assets or in respect of any of its income, businesses or franchises before any penalty or fine accrues thereon, except where (i) the amount or validity thereof is currently being contested in good faith by appropriate proceedings and reserves in conformity with GAAP with respect thereto have been provided on the books of Holdings, the Borrower or its Subsidiaries, as the case may be, or (ii) the failure could not reasonably be expected, individually or in the aggregate, to have a Material Adverse Effect.</w:t>
      </w:r>
    </w:p>
    <w:p>
      <w:pPr>
        <w:spacing w:after="0" w:line="24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Conduct of Business and Maintenance of Existence; Compliance with Law</w:t>
      </w:r>
      <w:r>
        <w:rPr>
          <w:rFonts w:ascii="Arial" w:cs="Arial" w:eastAsia="Arial" w:hAnsi="Arial"/>
          <w:sz w:val="18"/>
          <w:szCs w:val="18"/>
          <w:color w:val="auto"/>
        </w:rPr>
        <w:t>. (a) (i) Preserve, renew and keep in full force and effect its organizational existence and (ii) take all reasonable action, in all material respects, to maintain all Permits, rights, privileges and franchises necessary or desirable in the normal conduct of its business, except in each case, as otherwise permitted by Sections 6.4 or 6.5; and (b) comply, in all material respects, with all Requirements of Law (including, without limitation, the FCPA, any U.S. sanctions administered by the OFAC, the PATRIOT Act and other antiterrorism and anti-money laundering laws, except this shall not apply to tax, environmental or employee benefit matters, which in this respect are covered exclusively in Sections 5.3, 5.8 and 5.9, respectively).</w:t>
      </w:r>
    </w:p>
    <w:p>
      <w:pPr>
        <w:spacing w:after="0" w:line="247"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Maintenance of Property; Insurance</w:t>
      </w:r>
      <w:r>
        <w:rPr>
          <w:rFonts w:ascii="Arial" w:cs="Arial" w:eastAsia="Arial" w:hAnsi="Arial"/>
          <w:sz w:val="16"/>
          <w:szCs w:val="16"/>
          <w:color w:val="auto"/>
        </w:rPr>
        <w:t>. (a) Keep all real and tangible Property and systems used, useful, or necessary in its business and necessary to develop, construct, complete, own and operate the Plant, including the Mortgaged Property, in good working order and condition, ordinary wear and tear excepted, except to the extent the failure to do so could not reasonably be expected to have, individually or in the aggregate, a Material Adverse Effect, (b) maintain all insurance as required by the Ground Lease, and (c)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 All such insurance shall (i) to the extent the applicable insurer will agree based on the commercially reasonably efforts of the Borrower, provide that no cancellation, material reduction in amount or material change in coverage thereof shall be effective until at least 10 days (or, to the extent reasonably available, 30 days) after receipt by the Administrative Agent of written notice thereof (the Borrower shall deliver an insurance certificates and endorsements with respect thereto) and (ii) name the Administrative Agent as mortgagee and/or loss payee (in the case of property insurance) or additional insured (in the case of liability insurance) on behalf of the Secured Parties, as applicable. Maintain, as of a particular date, all rights of way, easements, grants, privileges, licenses, certificates and Permits necessary for the intended use by the Loan Parties of the Plant at such date, except any such item the loss of which, individually or in the aggregate, would not reasonably be expected to materially and adversely affect or interfere with the Plant. Comply with the terms of the Ground Lease or other grant of interest in real property, including</w:t>
      </w:r>
    </w:p>
    <w:p>
      <w:pPr>
        <w:spacing w:after="0" w:line="9"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color w:val="auto"/>
        </w:rPr>
        <w:t>easements, so as to not permit any material uncured default on its part to exist thereunder, except where noncom-</w:t>
      </w:r>
      <w:r>
        <w:rPr>
          <w:rFonts w:ascii="Arial" w:cs="Arial" w:eastAsia="Arial" w:hAnsi="Arial"/>
          <w:sz w:val="21"/>
          <w:szCs w:val="21"/>
          <w:color w:val="auto"/>
        </w:rPr>
        <w:t>pliance therewith would not</w:t>
      </w:r>
      <w:r>
        <w:rPr>
          <w:rFonts w:ascii="Arial" w:cs="Arial" w:eastAsia="Arial" w:hAnsi="Arial"/>
          <w:sz w:val="18"/>
          <w:szCs w:val="18"/>
          <w:color w:val="auto"/>
        </w:rPr>
        <w:t xml:space="preserve"> </w:t>
      </w:r>
      <w:r>
        <w:rPr>
          <w:rFonts w:ascii="Arial" w:cs="Arial" w:eastAsia="Arial" w:hAnsi="Arial"/>
          <w:sz w:val="21"/>
          <w:szCs w:val="21"/>
          <w:color w:val="auto"/>
        </w:rPr>
        <w:t>reasonably be expected to materially and adversely affect or interfere with the Plant.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5" w:name="page236"/>
    <w:bookmarkEnd w:id="235"/>
    <w:p>
      <w:pPr>
        <w:ind w:firstLine="1297"/>
        <w:spacing w:after="0" w:line="255" w:lineRule="auto"/>
        <w:rPr>
          <w:sz w:val="20"/>
          <w:szCs w:val="20"/>
          <w:color w:val="auto"/>
        </w:rPr>
      </w:pPr>
      <w:r>
        <w:rPr>
          <w:rFonts w:ascii="Arial" w:cs="Arial" w:eastAsia="Arial" w:hAnsi="Arial"/>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24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Consent Parties, participate in a meeting or conference call with the Administrative Agent or the Lenders at such times as may be agreed to by the Borrower and the Administrative Agent or the Required Consent Parties and (c) permit representatives of the Administrative Agent or the Required Consent Parties to visit and inspect any of its properties and examine and make abstracts from any of its books and records at any reasonable time during normal business hours and as often as may reasonably be desired (but, the Administrative Agent or the Required Consent Parties may not have more than one visit per any twelve month period except during an Event of Default), upon reasonable advance notice to the Borrower, and to discuss the business, operations, properties and financial and other condition of Holdings, the Borrower and their respective Subsidiaries with officers and employees of Holdings, the Borrower and their respective Subsidiaries and with their independent certified public accountants (and the Borrower will be given the opportunity to participate in any such discussions with such independent certified accountants). Any such inspection shall be at the Administrative Agent’s or the Required Consent Parties’, as applicable, sole cost and expense unless an Event of Default has occurred and is continuing at the time of such inspection, in which event the Borrower shall reimburse the Administrative Agent or the Required Consent Parties, as applicable for its or their reasonable, actual out-of-pocket costs and expenses. Notwithstanding anything to the contrary in this Section 5.6, none of Holdings, the Borrower and their respective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or (iii) is subject to attorney-client or similar privilege or constitutes attorney work product.</w:t>
      </w:r>
    </w:p>
    <w:p>
      <w:pPr>
        <w:spacing w:after="0" w:line="22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after obtaining knowledge of the same, give notice to the Administrative Agent of:</w:t>
      </w:r>
    </w:p>
    <w:p>
      <w:pPr>
        <w:spacing w:after="0" w:line="279" w:lineRule="exact"/>
        <w:rPr>
          <w:sz w:val="20"/>
          <w:szCs w:val="20"/>
          <w:color w:val="auto"/>
        </w:rPr>
      </w:pPr>
    </w:p>
    <w:p>
      <w:pPr>
        <w:ind w:left="2040" w:hanging="735"/>
        <w:spacing w:after="0"/>
        <w:tabs>
          <w:tab w:leader="none" w:pos="2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6" w:name="page237"/>
    <w:bookmarkEnd w:id="236"/>
    <w:p>
      <w:pPr>
        <w:ind w:left="660" w:right="140" w:firstLine="645"/>
        <w:spacing w:after="0" w:line="264" w:lineRule="auto"/>
        <w:tabs>
          <w:tab w:leader="none" w:pos="204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litigation or proceeding affecting Holdings, the Borrower or any of its Subsidiaries, or with respect to any of the Loan Documents or any of the transactions contemplated hereby or thereby, that could reasonably be expected to have, individually or in the aggregate, a Material Adverse Effect;</w:t>
      </w:r>
    </w:p>
    <w:p>
      <w:pPr>
        <w:spacing w:after="0" w:line="235" w:lineRule="exact"/>
        <w:rPr>
          <w:rFonts w:ascii="Arial" w:cs="Arial" w:eastAsia="Arial" w:hAnsi="Arial"/>
          <w:sz w:val="18"/>
          <w:szCs w:val="18"/>
          <w:color w:val="auto"/>
        </w:rPr>
      </w:pPr>
    </w:p>
    <w:p>
      <w:pPr>
        <w:ind w:left="660" w:firstLine="645"/>
        <w:spacing w:after="0" w:line="272" w:lineRule="auto"/>
        <w:tabs>
          <w:tab w:leader="none" w:pos="205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following events, as soon as possible and in any event within 30 days after any Borrower knows of same: (i) the occurrence of any Reportable Event with respect to any Pension Plan that is currently sponsored or maintained by or to which any Borrower or Commonly Controlled Entity is obligated to make contributions, a failure to make any required contribution to a Pension Plan that is not corrected within 30 days, the creation of any Lien in favor of the PBGC or a Pension Plan, any withdrawal from a Multiemployer Plan that is reasonably expected to result in the imposition of withdrawal liability, or the termination, Reorganization or Insolvency of, any Multiemployer Plan or (ii) the institution of proceedings or the taking of any other action by the PBGC or a Borrower or any Commonly Controlled Entity or any Multiemployer Plan with respect to the withdrawal from, or the termination, Reorganization or Insolvency of, any Multiemployer Plan;</w:t>
      </w:r>
    </w:p>
    <w:p>
      <w:pPr>
        <w:spacing w:after="0" w:line="231" w:lineRule="exact"/>
        <w:rPr>
          <w:rFonts w:ascii="Arial" w:cs="Arial" w:eastAsia="Arial" w:hAnsi="Arial"/>
          <w:sz w:val="17"/>
          <w:szCs w:val="17"/>
          <w:color w:val="auto"/>
        </w:rPr>
      </w:pPr>
    </w:p>
    <w:p>
      <w:pPr>
        <w:ind w:left="660" w:right="140" w:firstLine="645"/>
        <w:spacing w:after="0" w:line="342" w:lineRule="auto"/>
        <w:tabs>
          <w:tab w:leader="none" w:pos="204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of obtaining knowledge thereof any development, event, or condition that could reasonably be expected to result in the payment by the Borrowers and their respective Subsidiaries of a Material Environmental Amount; and</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2080" w:hanging="775"/>
        <w:spacing w:after="0"/>
        <w:tabs>
          <w:tab w:leader="none" w:pos="20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other development or event that has had or could reasonably be expected to have, individually or in the aggregate, a</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Material Adverse Effect.</w:t>
      </w:r>
    </w:p>
    <w:p>
      <w:pPr>
        <w:spacing w:after="0" w:line="23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Each notice pursuant to this Section 5.7 shall be accompanied by a statement of a Responsible Officer setting forth details of the occurrence referred to therein and stating what action Holdings, the Borrower or the relevant Subsidiary has taken or proposes to take with respect thereto.</w:t>
      </w:r>
    </w:p>
    <w:p>
      <w:pPr>
        <w:spacing w:after="0" w:line="20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79" w:lineRule="exact"/>
        <w:rPr>
          <w:sz w:val="20"/>
          <w:szCs w:val="20"/>
          <w:color w:val="auto"/>
        </w:rPr>
      </w:pPr>
    </w:p>
    <w:p>
      <w:pPr>
        <w:ind w:right="40" w:firstLine="1305"/>
        <w:spacing w:after="0" w:line="259" w:lineRule="auto"/>
        <w:tabs>
          <w:tab w:leader="none" w:pos="20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in each case to the extent the failure to do so would not reasonably be expected to have, individually or in the aggregate, a Material Adverse Effect,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Environmental Permits.</w:t>
      </w:r>
    </w:p>
    <w:p>
      <w:pPr>
        <w:spacing w:after="0" w:line="240" w:lineRule="exact"/>
        <w:rPr>
          <w:rFonts w:ascii="Arial" w:cs="Arial" w:eastAsia="Arial" w:hAnsi="Arial"/>
          <w:sz w:val="18"/>
          <w:szCs w:val="18"/>
          <w:color w:val="auto"/>
        </w:rPr>
      </w:pPr>
    </w:p>
    <w:p>
      <w:pPr>
        <w:ind w:right="40" w:firstLine="1305"/>
        <w:spacing w:after="0" w:line="259" w:lineRule="auto"/>
        <w:tabs>
          <w:tab w:leader="none" w:pos="20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in each case to the extent the failure to do so would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7" w:name="page238"/>
    <w:bookmarkEnd w:id="237"/>
    <w:p>
      <w:pPr>
        <w:ind w:firstLine="1297"/>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Plan Compliance</w:t>
      </w:r>
      <w:r>
        <w:rPr>
          <w:rFonts w:ascii="Arial" w:cs="Arial" w:eastAsia="Arial" w:hAnsi="Arial"/>
          <w:sz w:val="18"/>
          <w:szCs w:val="18"/>
          <w:color w:val="auto"/>
        </w:rPr>
        <w:t>. Except as could not reasonably be expected to result in a Material Adverse Effect, establish, maintain and operate any and all Pension Plans and Multiemployer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spacing w:after="0" w:line="24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Additional Collateral, etc.</w:t>
      </w:r>
      <w:r>
        <w:rPr>
          <w:rFonts w:ascii="Arial" w:cs="Arial" w:eastAsia="Arial" w:hAnsi="Arial"/>
          <w:sz w:val="16"/>
          <w:szCs w:val="16"/>
          <w:color w:val="auto"/>
        </w:rPr>
        <w:t>.</w:t>
      </w:r>
    </w:p>
    <w:p>
      <w:pPr>
        <w:spacing w:after="0" w:line="279" w:lineRule="exact"/>
        <w:rPr>
          <w:sz w:val="20"/>
          <w:szCs w:val="20"/>
          <w:color w:val="auto"/>
        </w:rPr>
      </w:pPr>
    </w:p>
    <w:p>
      <w:pPr>
        <w:ind w:left="2040" w:hanging="735"/>
        <w:spacing w:after="0"/>
        <w:tabs>
          <w:tab w:leader="none" w:pos="20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right="20" w:firstLine="1305"/>
        <w:spacing w:after="0" w:line="285" w:lineRule="auto"/>
        <w:tabs>
          <w:tab w:leader="none" w:pos="20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Subject to Sections 5.10(d) and (e), with respect to any fee interest or absolute right of ownership in any real or immoveable property having a fair market value (together with improvements thereof on the date such property is acquired) of at least $250,000 (as determined in good faith by a Responsible Officer) acquired after the Closing Date by any Loan Party (in each case, other than any such real property subject to any Contractual Obligation that includes negative pledge clauses permitted by Section 6.13, any Lien permitted pursuant to Section 6.3(j), 6.3(p) or 6.3(s) or any Requirement of Law that prohibits or restricts compliance with the terms and conditions of this Section 5.10) (which, for the purposes of this paragraph, shall include any owned real property of any Loan Party that ceases to be subject to the foregoing restrictions), promptly (i) execute and deliver a first priority Mortgage in favor of the Administrative Agent for the benefit of the Secured Parties, covering such real or immoveable property (to the extent such property is not already subject to a first priority Lien pursuant to a Security Document), (ii) if reasonably requested by the Administrative Agent, provide the Lenders with (x) title and extended coverage insurance covering such real property together with endorsements reasonably requested by the Administrative Agent, in an amount and form reasonably acceptable to the Administrative Agent and at least equal to the purchase price of such real property (or such other lesser amount as shall be reasonably specified by the Administrative Agent) as well as a current ALTA survey thereof, together with a surveyor’s certificate sufficient for the title insurance company to remove the standard survey exception and issue survey-related endorsements and (y) any estoppels reasonably deemed necessary or advisable by the Administrative Agent in connection with such Mortgage, each of the foregoing in form and substance reasonably satisfactory to the Administrative Agent, (iii) a completed “Life-of-Loan” Federal Emergency Management Agency flood hazard determination with respect to each Mortgaged Property (together with a notice about special flood hazard area status and flood disaster assistance duly executed by the Borrower and each Loan Party relating thereto) and, if such Mortgaged Property is located in a special flood hazard area, evidence of flood insurance in accordance with the terms of the Loan Documents and (iv)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238" w:name="page239"/>
    <w:bookmarkEnd w:id="238"/>
    <w:p>
      <w:pPr>
        <w:ind w:right="40" w:firstLine="1305"/>
        <w:spacing w:after="0" w:line="281" w:lineRule="auto"/>
        <w:tabs>
          <w:tab w:leader="none" w:pos="203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Subject to Sections 5.10(d), (e) and (g), upon (x) the formation or acquisition of any new direct or indirect Subsidiary (x) that is a Wholly Owned Subsidiary or (y) that is not a Wholly Owned Subsidiary and has consolidated assets with a book value of $500,000 or more (in each case, other than an Excluded Subsidiary or an Immaterial Subsidiary) by the Borrower or (y) any Excluded Subsidiary ceasing to constitute an Excluded Subsidiary, promptly (and in any event within sixty (60) days after such formation or acquisition or such Subsidiary so ceases to be an Excluded Subsidiary, or such longer period as the Required Consent Parties may </w:t>
      </w:r>
      <w:r>
        <w:rPr>
          <w:rFonts w:ascii="Arial" w:cs="Arial" w:eastAsia="Arial" w:hAnsi="Arial"/>
          <w:sz w:val="19"/>
          <w:szCs w:val="19"/>
          <w:color w:val="auto"/>
        </w:rPr>
        <w:t>agree in writing in their discretion) (i) cause such Subsidiary (A) to become a</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 xml:space="preserve">party to a Guarantee Agreement and appropriate Security Documents (or enter into amendments to an existing Guarantee Agreement or any existing Security Document as the Administrative Agent deems necessary or advisable) to grant to the Administrative Agent for the benefit of the Secured Parties, a perfected first priority (subject to Liens permitted pursuant to Section 6.3) security interest in the Capital Stock held by such Subsidiary and the other Collateral described in the relevant Security Document and to cause such Subsidiary to be a Guarantor and (B) to take such actions necessary or advisable to grant to the Administrative Agent for the benefit of the Secured Parties, a perfected first priority (subject to Liens permitted pursuant to Section 6.3) security interest in the Collateral described in the relevant Security Documents with respect to such Subsidiary, including, without limitation, the filing of Uniform Commercial Code financing statements, Intellectual Property Security Agreements or other similar filings in such jurisdictions as may be required by the Security Documents or by law or as may be requested by the Administrative Agent, (ii) deliver to the Administrative Agent the certificates, if any, representing the Capital Stock of such Subsidiary and all Capital Stock held by such Subsidiary required to be delivered to the Administrative Agent under the applicable Security Documents, together with undated stock powers, in blank, and all intercompany notes owing from such Subsidiary to any Loan Party and all other promissory notes held by such Subsidiary and required to be delivered to the Administrative Agent under the applicable Security Documents, together with instruments of transfer in blank, in each case executed and delivered by a duly authorized officer of the relevant Loan Party, as the case may be, (iii) deliver to the Administrative Agent an update to </w:t>
      </w:r>
      <w:r>
        <w:rPr>
          <w:rFonts w:ascii="Arial" w:cs="Arial" w:eastAsia="Arial" w:hAnsi="Arial"/>
          <w:sz w:val="16"/>
          <w:szCs w:val="16"/>
          <w:u w:val="single" w:color="auto"/>
          <w:color w:val="auto"/>
        </w:rPr>
        <w:t>Schedule 3.15</w:t>
      </w:r>
      <w:r>
        <w:rPr>
          <w:rFonts w:ascii="Arial" w:cs="Arial" w:eastAsia="Arial" w:hAnsi="Arial"/>
          <w:sz w:val="19"/>
          <w:szCs w:val="19"/>
          <w:color w:val="auto"/>
        </w:rPr>
        <w:t>, and (iv) if reasonably requested by the Administrative Agent, deliver to the Administrative Agent legal opinions (addressed to the Administrative Agent and the Lenders) relating to the matters described above, which opinions shall be in form and substance, and from counsel, reasonably satisfactory to the Administrative Agent.</w:t>
      </w:r>
    </w:p>
    <w:p>
      <w:pPr>
        <w:spacing w:after="0" w:line="200" w:lineRule="exact"/>
        <w:rPr>
          <w:sz w:val="20"/>
          <w:szCs w:val="20"/>
          <w:color w:val="auto"/>
        </w:rPr>
      </w:pPr>
    </w:p>
    <w:p>
      <w:pPr>
        <w:spacing w:after="0" w:line="272" w:lineRule="exact"/>
        <w:rPr>
          <w:sz w:val="20"/>
          <w:szCs w:val="20"/>
          <w:color w:val="auto"/>
        </w:rPr>
      </w:pPr>
    </w:p>
    <w:p>
      <w:pPr>
        <w:ind w:firstLine="1305"/>
        <w:spacing w:after="0" w:line="288" w:lineRule="auto"/>
        <w:tabs>
          <w:tab w:leader="none" w:pos="20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the event that the compliance by an LNG Group Member (including any non-Wholly Owned Subsidiary) with any of Section 5.10(b) or (c) would require the consent of any un-Affiliated third-party, such LNG Group Member shall use commercially reasonable efforts to obtain such consents or other deliveries. For the avoidance of doubt, (x) the use of commercially reasonable efforts, as contemplated by this Section 5.10, to obtain any consent or delivery shall not require the applicable LNG Group Member to pay to such un-Affiliated third-party a fee, premium or penalty or other consideration (other than expense reimbursement) and (y) in the event following the use of commercially reasonable efforts to obtain a consent or delivery, the applicable LNG Group Member is unable to obtain a necessary consent or delivery of the relevant un-Affiliated third-party, the Lenders hereby waive compliance by such LNG Group Member with the provisions of this Section 5.10 solely to the extent such consent or delivery is not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or delivery giving rise to the waiver as contemplated in clause (y) shall have been required pursuant to a Contractual Obligation permitted hereunder that is binding on such Subsidiary or governing such assets, as applicable, and existing on the date such Subsidiary or assets, as applicable, were acquired (and not entered into in contemplation hereof).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39" w:name="page240"/>
    <w:bookmarkEnd w:id="239"/>
    <w:p>
      <w:pPr>
        <w:ind w:right="160" w:firstLine="1305"/>
        <w:spacing w:after="0" w:line="280" w:lineRule="auto"/>
        <w:tabs>
          <w:tab w:leader="none" w:pos="20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with respect to any Property of any LNG Group Member that would otherwise be required to be mortgaged or pledged in favor of the Secured Parties in accordance with this Section 5.10 (each such Property, an “</w:t>
      </w:r>
      <w:r>
        <w:rPr>
          <w:rFonts w:ascii="Arial" w:cs="Arial" w:eastAsia="Arial" w:hAnsi="Arial"/>
          <w:sz w:val="16"/>
          <w:szCs w:val="16"/>
          <w:u w:val="single" w:color="auto"/>
          <w:color w:val="auto"/>
        </w:rPr>
        <w:t>Eligible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Collateral Property</w:t>
      </w:r>
      <w:r>
        <w:rPr>
          <w:rFonts w:ascii="Arial" w:cs="Arial" w:eastAsia="Arial" w:hAnsi="Arial"/>
          <w:sz w:val="16"/>
          <w:szCs w:val="16"/>
          <w:color w:val="auto"/>
        </w:rPr>
        <w:t>”), in no event shall any LNG Group Member have any obliga</w:t>
      </w:r>
      <w:r>
        <w:rPr>
          <w:rFonts w:ascii="Arial" w:cs="Arial" w:eastAsia="Arial" w:hAnsi="Arial"/>
          <w:sz w:val="19"/>
          <w:szCs w:val="19"/>
          <w:color w:val="auto"/>
        </w:rPr>
        <w:t>tion to mortgage or pledge such Property in favor of the</w:t>
      </w:r>
    </w:p>
    <w:p>
      <w:pPr>
        <w:spacing w:after="0" w:line="2"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 xml:space="preserve">Administrative Agent for the benefit of the Secured Parties if such Property is to be used to secure any Indebtedness permitted by Section 6.2(c) within 90 days of the date such Property first qualifies as an Eligible Collateral Property; </w:t>
      </w:r>
      <w:r>
        <w:rPr>
          <w:rFonts w:ascii="Arial" w:cs="Arial" w:eastAsia="Arial" w:hAnsi="Arial"/>
          <w:sz w:val="18"/>
          <w:szCs w:val="18"/>
          <w:u w:val="single" w:color="auto"/>
          <w:color w:val="auto"/>
        </w:rPr>
        <w:t>provided</w:t>
      </w:r>
      <w:r>
        <w:rPr>
          <w:rFonts w:ascii="Arial" w:cs="Arial" w:eastAsia="Arial" w:hAnsi="Arial"/>
          <w:sz w:val="22"/>
          <w:szCs w:val="22"/>
          <w:color w:val="auto"/>
        </w:rPr>
        <w:t xml:space="preserve"> that if such Eligible Collateral Property does not actually secure such Indebtedness within such 90-day period then such Eligible Collateral Property shall be subject to the requirements of this Section 5.10 upon the expiration of such 90-day period relating to such Eligible Collateral Property.</w:t>
      </w:r>
    </w:p>
    <w:p>
      <w:pPr>
        <w:spacing w:after="0" w:line="247" w:lineRule="exact"/>
        <w:rPr>
          <w:sz w:val="20"/>
          <w:szCs w:val="20"/>
          <w:color w:val="auto"/>
        </w:rPr>
      </w:pPr>
    </w:p>
    <w:p>
      <w:pPr>
        <w:ind w:right="100" w:firstLine="1305"/>
        <w:spacing w:after="0" w:line="277" w:lineRule="auto"/>
        <w:tabs>
          <w:tab w:leader="none" w:pos="201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Borrower shall be permitted at any time and from time to time to add any of its Subsidiaries as an additional Subsidiary Guarantor in accordance with this Section 5.10.</w:t>
      </w:r>
    </w:p>
    <w:p>
      <w:pPr>
        <w:spacing w:after="0" w:line="224" w:lineRule="exact"/>
        <w:rPr>
          <w:rFonts w:ascii="Arial" w:cs="Arial" w:eastAsia="Arial" w:hAnsi="Arial"/>
          <w:sz w:val="18"/>
          <w:szCs w:val="18"/>
          <w:color w:val="auto"/>
        </w:rPr>
      </w:pPr>
    </w:p>
    <w:p>
      <w:pPr>
        <w:ind w:right="300" w:firstLine="1305"/>
        <w:spacing w:after="0" w:line="257" w:lineRule="auto"/>
        <w:tabs>
          <w:tab w:leader="none" w:pos="20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at any time and from time to time after the Closing Date, Immaterial Subsidiaries have in the aggregate consolidated assets with a book value in excess of $300,000 on the last day of any fiscal quarter of Holdings, cause, not later than 30 days after the date by which financial statements for such quarter are required to be delivered pursuant to this Agreement, one or more of such Immaterial Subsidiaries to become additional Subsidiary Guarantors (notwithstanding that such Subsidiaries are, individually, Immaterial Subsidiaries) and to comply with the requirements of Section 5.10(c) such that the foregoing condition ceases to be true.</w:t>
      </w:r>
    </w:p>
    <w:p>
      <w:pPr>
        <w:spacing w:after="0" w:line="242"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execute and deliver, or cause to be executed and delivered, such additional instruments, certificates, title endorsements, opinions (with respect to any amendment of any Mortgage) or documents, and take such actions, as the Administrative Agent may reasonably request for the purposes of more fully creating, maintaining, preserving, perfecting or renewing the Liens granted in favor of (together with the other rights of) the Administrative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Administrative Agent or any Secured Party of any power, right, privilege or remedy pursuant to this Agreement, the other Loan Documents, any Secured Hedge Agreement which requires any consent, approval, recording, qualification or authorization of any Governmental Authority, Holdings and the Borrower will execute and deliver, or will cause the execution and delivery of, all applications, certifications, instruments and other documents and papers that the Administrative Agent or such Secured Party may be reasonably required to obtain from any LNG Group Member or any of their Subsidiaries for such governmental consent, approval, recording, qualification or authorization. If a Governmental Authority determines that, in connection with the Term Loan Facility pursuant to FIRREA, an appraisal is required to be prepared in respect of the Plant, provide all information, cooperation and access reasonably necessary in order for the Administrative Agent to obtain, at the sole reasonable cost and expense of the Borrower, appraisals that satisfy the applicable requirements of FIRREA.</w:t>
      </w:r>
    </w:p>
    <w:p>
      <w:pPr>
        <w:spacing w:after="0" w:line="22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Post-Closing Covenants</w:t>
      </w:r>
      <w:r>
        <w:rPr>
          <w:rFonts w:ascii="Arial" w:cs="Arial" w:eastAsia="Arial" w:hAnsi="Arial"/>
          <w:sz w:val="16"/>
          <w:szCs w:val="16"/>
          <w:color w:val="auto"/>
        </w:rPr>
        <w:t>.</w:t>
      </w:r>
    </w:p>
    <w:p>
      <w:pPr>
        <w:spacing w:after="0" w:line="279" w:lineRule="exact"/>
        <w:rPr>
          <w:sz w:val="20"/>
          <w:szCs w:val="20"/>
          <w:color w:val="auto"/>
        </w:rPr>
      </w:pPr>
    </w:p>
    <w:p>
      <w:pPr>
        <w:ind w:left="5620" w:right="3280" w:hanging="4315"/>
        <w:spacing w:after="0" w:line="512" w:lineRule="auto"/>
        <w:tabs>
          <w:tab w:leader="none" w:pos="204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Take the actions set forth on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within the time periods specified therein.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0" w:name="page241"/>
    <w:bookmarkEnd w:id="240"/>
    <w:p>
      <w:pPr>
        <w:ind w:firstLine="645"/>
        <w:spacing w:after="0" w:line="277" w:lineRule="auto"/>
        <w:tabs>
          <w:tab w:leader="none" w:pos="13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deliver to the Administrative Agent a collateral assignment of the Borrower’s rights under the Design-Build Agreement acknowledged by OnQuest, Inc.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140" w:firstLine="645"/>
        <w:spacing w:after="0" w:line="259" w:lineRule="auto"/>
        <w:tabs>
          <w:tab w:leader="none" w:pos="138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Within 30 days following the Closing Date, the Administrative Agent shall have received any required insurance endorsements pursuant to Section 4.1(k) of the Credit Agreement not yet delivered by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complete such delivery by the applicable date specified hereof shall not constitute a Default or an Event of Default under this Credit Agreement so long as the Borrower is diligently pursuing the completion of such action.</w:t>
      </w:r>
    </w:p>
    <w:p>
      <w:pPr>
        <w:spacing w:after="0" w:line="24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Plant Completion Date</w:t>
      </w:r>
      <w:r>
        <w:rPr>
          <w:rFonts w:ascii="Arial" w:cs="Arial" w:eastAsia="Arial" w:hAnsi="Arial"/>
          <w:sz w:val="16"/>
          <w:szCs w:val="16"/>
          <w:color w:val="auto"/>
        </w:rPr>
        <w:t>. Deliver to the Administrative Agent within 45 days after the Plant Completion Date the following:</w:t>
      </w:r>
    </w:p>
    <w:p>
      <w:pPr>
        <w:spacing w:after="0" w:line="279" w:lineRule="exact"/>
        <w:rPr>
          <w:sz w:val="20"/>
          <w:szCs w:val="20"/>
          <w:color w:val="auto"/>
        </w:rPr>
      </w:pPr>
    </w:p>
    <w:p>
      <w:pPr>
        <w:ind w:right="20" w:firstLine="645"/>
        <w:spacing w:after="0" w:line="273" w:lineRule="auto"/>
        <w:tabs>
          <w:tab w:leader="none" w:pos="141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final payment affidavit(s) from contractors seeking final payment, as required under Sections 713.05 and 713.06(3)(d), Florida Statutes, or evidence reasonably satisfactory to the Administrative Agent that the statutory period for filing mechanics liens under Section 713.08, Florida Statutes, with respect to the work which is the subject of such contract(s) for which final payment is sought shall have expired, to the extent the Borrower has received such payment affidavit(s) prior to the date that is 45 days after the Plant Completion Date; provided that if any such affidavits have not been delivered as of the date that is 45 days after the Plant Completion Date, the Borrower shall use commercially reasonable efforts to provide such affidavits as soon as practicable thereafter;</w:t>
      </w:r>
    </w:p>
    <w:p>
      <w:pPr>
        <w:spacing w:after="0" w:line="232" w:lineRule="exact"/>
        <w:rPr>
          <w:rFonts w:ascii="Arial" w:cs="Arial" w:eastAsia="Arial" w:hAnsi="Arial"/>
          <w:sz w:val="17"/>
          <w:szCs w:val="17"/>
          <w:color w:val="auto"/>
        </w:rPr>
      </w:pPr>
    </w:p>
    <w:p>
      <w:pPr>
        <w:jc w:val="both"/>
        <w:ind w:right="140" w:firstLine="645"/>
        <w:spacing w:after="0" w:line="264" w:lineRule="auto"/>
        <w:tabs>
          <w:tab w:leader="none" w:pos="14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unconditional Lien releases and waivers from each contractor that has timely filed a notice to owner or other notice sufficient to perfect such contractor’s right to a lien in compliance with all Requirements of Law, to the extent the Borrower has received such Lien releases and waivers prior to the date that is 45 days after the Plant Completion Date;</w:t>
      </w:r>
    </w:p>
    <w:p>
      <w:pPr>
        <w:spacing w:after="0" w:line="235" w:lineRule="exact"/>
        <w:rPr>
          <w:rFonts w:ascii="Arial" w:cs="Arial" w:eastAsia="Arial" w:hAnsi="Arial"/>
          <w:sz w:val="18"/>
          <w:szCs w:val="18"/>
          <w:color w:val="auto"/>
        </w:rPr>
      </w:pPr>
    </w:p>
    <w:p>
      <w:pPr>
        <w:ind w:left="1400" w:hanging="755"/>
        <w:spacing w:after="0"/>
        <w:tabs>
          <w:tab w:leader="none" w:pos="14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evidence of a title search from the title insurance company with respect to the Mortgaged Property identifying all Liens of record;</w:t>
      </w:r>
    </w:p>
    <w:p>
      <w:pPr>
        <w:spacing w:after="0" w:line="302" w:lineRule="exact"/>
        <w:rPr>
          <w:rFonts w:ascii="Arial" w:cs="Arial" w:eastAsia="Arial" w:hAnsi="Arial"/>
          <w:sz w:val="16"/>
          <w:szCs w:val="16"/>
          <w:color w:val="auto"/>
        </w:rPr>
      </w:pPr>
    </w:p>
    <w:p>
      <w:pPr>
        <w:ind w:right="220" w:firstLine="645"/>
        <w:spacing w:after="0" w:line="257" w:lineRule="auto"/>
        <w:tabs>
          <w:tab w:leader="none" w:pos="139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 Florida Construction Loan Update Endorsement from the title insurance company substantially in the form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such other form reasonably acceptable to the Administrative Agent) showing that (i) since the last Credit Date, there has been no material and adverse change in the condition of title unless permitted by the Loan Documents, and (ii) there are no intervening liens or encumbrances which take priority over the respective Liens of the Mortgage relating to the Mortgaged Property, other than Liens described in Section 6.3; and</w:t>
      </w:r>
    </w:p>
    <w:p>
      <w:pPr>
        <w:spacing w:after="0" w:line="242" w:lineRule="exact"/>
        <w:rPr>
          <w:rFonts w:ascii="Arial" w:cs="Arial" w:eastAsia="Arial" w:hAnsi="Arial"/>
          <w:sz w:val="18"/>
          <w:szCs w:val="18"/>
          <w:color w:val="auto"/>
        </w:rPr>
      </w:pPr>
    </w:p>
    <w:p>
      <w:pPr>
        <w:ind w:right="300" w:firstLine="645"/>
        <w:spacing w:after="0" w:line="286" w:lineRule="auto"/>
        <w:tabs>
          <w:tab w:leader="none" w:pos="139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(x) the “as-built” plans and specifications in CAD format showing the final specifications of all improvements comprising the Plant; (y) an ALTA as-built survey of the Plant; and (z) to the extent required to correct the description of the Mortgaged Property under the Mortgage to cover all improvements comprising the Plant, (A) an amendment to the Mortgage duly authorized, executed and acknowledged, in</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recordable form and otherwise in form and substance reasonably acceptable to the Administrative </w:t>
      </w:r>
      <w:r>
        <w:rPr>
          <w:rFonts w:ascii="Arial" w:cs="Arial" w:eastAsia="Arial" w:hAnsi="Arial"/>
          <w:sz w:val="21"/>
          <w:szCs w:val="21"/>
          <w:color w:val="auto"/>
        </w:rPr>
        <w:t>Agent, (B) such supplemental local</w:t>
      </w:r>
      <w:r>
        <w:rPr>
          <w:rFonts w:ascii="Arial" w:cs="Arial" w:eastAsia="Arial" w:hAnsi="Arial"/>
          <w:sz w:val="18"/>
          <w:szCs w:val="18"/>
          <w:color w:val="auto"/>
        </w:rPr>
        <w:t xml:space="preserve"> </w:t>
      </w:r>
      <w:r>
        <w:rPr>
          <w:rFonts w:ascii="Arial" w:cs="Arial" w:eastAsia="Arial" w:hAnsi="Arial"/>
          <w:sz w:val="21"/>
          <w:szCs w:val="21"/>
          <w:color w:val="auto"/>
        </w:rPr>
        <w:t>counsel opinions as the Administrative Agent may reasonably request in connection with such amendment to the Mortgage and (C) an amendment or endorsement to the title insurance policy with respect to such Mortgage, insuring the continuing priority thereof as so amended, in a form available in the state of Florida and otherwise reasonably acceptable to the Administrative Agent.</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241" w:name="page242"/>
    <w:bookmarkEnd w:id="241"/>
    <w:p>
      <w:pPr>
        <w:ind w:right="200" w:firstLine="1297"/>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Compliance with Material Construction-Related Contracts</w:t>
      </w:r>
      <w:r>
        <w:rPr>
          <w:rFonts w:ascii="Arial" w:cs="Arial" w:eastAsia="Arial" w:hAnsi="Arial"/>
          <w:sz w:val="18"/>
          <w:szCs w:val="18"/>
          <w:color w:val="auto"/>
        </w:rPr>
        <w:t>. Comply in all material respects with its respective obligations, and enforce in all material respects all of its respective rights, under all Material Construction-Related Contracts.</w:t>
      </w:r>
    </w:p>
    <w:p>
      <w:pPr>
        <w:spacing w:after="0" w:line="224"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Unrestricted Subsidiaries</w:t>
      </w:r>
      <w:r>
        <w:rPr>
          <w:rFonts w:ascii="Arial" w:cs="Arial" w:eastAsia="Arial" w:hAnsi="Arial"/>
          <w:sz w:val="16"/>
          <w:szCs w:val="16"/>
          <w:color w:val="auto"/>
        </w:rPr>
        <w:t xml:space="preserve">. Prior to the Plant Completion Date, no subsidiaries of the Borrower shall be Unrestricted Subsidiaries. The Borrower may at any time after the Plant Completion Date designate any of its Subsidiaries as an Unrestricted Subsidiary or any Unrestricted Subsidiary as a Subsidiary that is not an Unrestricted Subsidiary by written notice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before and after such designation, no Event of Default shall have occurred and be continuing, (ii) immediately after giving effect to such designation, the Total Secured Debt Leverage Ratio (calculated on a Pro Forma Basis) as of the end of the most recent Test Period shall be less than or equal to 2.50 to 1.00, (iii) no Subsidiary may be designated as an Unrestricted Subsidiary if it is restricted by and subject to the covenants contained in the documents governing Indebtedness expressly subordinated to the Obligations, (iv) the LNG Group Members shall have sufficient Investment capacity hereunder (determined in accordance with the following sentence) in respect of such designation, and (v) for the avoidance of doubt, the Borrower shall not be designated as an Unrestricted Subsidiary. The designation of any Subsidiary of the Borrower as an Unrestricted Subsidiary after the Closing Date shall constitute an Investment by the LNG Group Members therein at the date of designation in an amount equal to the fair market value (as determined in good faith by a Responsible Officer) of the LNG Group Members’ investment therein. The designation of any Unrestricted Subsidiary as a Subsidiary of the Borrower that is not an Unrestricted Subsidiary shall constitute the incurrence at the time of designation of any Indebtedness or Liens of such Subsidiary existing at such time. Notwithstanding anything in this Agreement to the contrary, any LNG Group Member designated as an Unrestricted Subsidiary shall not be deemed to be an LNG Group Member for any purposes of this Agreement, including without limitation for purposes of financial definitions and financial calculations contained herein.</w:t>
      </w:r>
    </w:p>
    <w:p>
      <w:pPr>
        <w:spacing w:after="0" w:line="22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NEGATIVE COVENANTS</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Holdings and the Borrower hereby jointly and severally agree that, so long as the Termination Conditions are not satisfied, each of Holdings and the Borrower shall not, and shall not permit any of its Subsidiaries to, directly or indirectly:</w:t>
      </w:r>
    </w:p>
    <w:p>
      <w:pPr>
        <w:spacing w:after="0" w:line="22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Limitation on Indebtedness</w:t>
      </w:r>
      <w:r>
        <w:rPr>
          <w:rFonts w:ascii="Arial" w:cs="Arial" w:eastAsia="Arial" w:hAnsi="Arial"/>
          <w:sz w:val="16"/>
          <w:szCs w:val="16"/>
          <w:color w:val="auto"/>
        </w:rPr>
        <w:t>. Create, incur or assume any Indebtedness, except:</w:t>
      </w:r>
    </w:p>
    <w:p>
      <w:pPr>
        <w:spacing w:after="0" w:line="279" w:lineRule="exact"/>
        <w:rPr>
          <w:sz w:val="20"/>
          <w:szCs w:val="20"/>
          <w:color w:val="auto"/>
        </w:rPr>
      </w:pPr>
    </w:p>
    <w:p>
      <w:pPr>
        <w:ind w:left="5620" w:right="4440" w:hanging="4315"/>
        <w:spacing w:after="0" w:line="512" w:lineRule="auto"/>
        <w:tabs>
          <w:tab w:leader="none" w:pos="204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Indebtedness of any Loan Party pursuant to any Loan Document;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42" w:name="page243"/>
    <w:bookmarkEnd w:id="242"/>
    <w:p>
      <w:pPr>
        <w:ind w:right="60" w:firstLine="645"/>
        <w:spacing w:after="0" w:line="273" w:lineRule="auto"/>
        <w:tabs>
          <w:tab w:leader="none" w:pos="139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after the Plant Completion Date, indebtedness of any LNG Group Member to any other LNG Group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Indebtedness (A) of Holdings, the Borrower or a Subsidiary Guarantor owing to any Non-Guarantor Subsidiary shall be subject to an Intercompany Debt Subordination Agreement, and (B) of a Non-Guarantor Subsidiary owing to any Subsidiary Guarantor or the Borrower shall not exceed $1,000,000 in aggregate principal amount at any one time outstanding;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any such indebtedness is incurred by Holdings, the Borrower shall make a pro forma adjustment for the purpose of calculating the Total Debt Leverage Ratio or the Total Secured Debt Leverage Ratio as of any date to remove the effect of such indebtedness on such calculations;</w:t>
      </w:r>
    </w:p>
    <w:p>
      <w:pPr>
        <w:spacing w:after="0" w:line="232" w:lineRule="exact"/>
        <w:rPr>
          <w:rFonts w:ascii="Arial" w:cs="Arial" w:eastAsia="Arial" w:hAnsi="Arial"/>
          <w:sz w:val="17"/>
          <w:szCs w:val="17"/>
          <w:color w:val="auto"/>
        </w:rPr>
      </w:pPr>
    </w:p>
    <w:p>
      <w:pPr>
        <w:ind w:left="1380" w:hanging="735"/>
        <w:spacing w:after="0"/>
        <w:tabs>
          <w:tab w:leader="none" w:pos="13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Indebtedness (including Capital Lease Obligations) of the Borrower or any Subsidiary secured by Liens pursuant to Section</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6.3(p) incurred to finance the acquisition (including pursuant to a sale and leaseback transaction), construction, repair, replacement or improvement of Property (real or personal), equipment or other assets used or useful in the business in an aggregate principal amount not to exceed $7,500,000 at any one time outstanding;</w:t>
      </w:r>
    </w:p>
    <w:p>
      <w:pPr>
        <w:spacing w:after="0" w:line="244" w:lineRule="exact"/>
        <w:rPr>
          <w:sz w:val="20"/>
          <w:szCs w:val="20"/>
          <w:color w:val="auto"/>
        </w:rPr>
      </w:pPr>
    </w:p>
    <w:p>
      <w:pPr>
        <w:ind w:right="180" w:firstLine="645"/>
        <w:spacing w:after="0" w:line="264" w:lineRule="auto"/>
        <w:tabs>
          <w:tab w:leader="none" w:pos="13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(or future advances or Indebtedness contemplated by the existing documentation evidencing such Indebtedness (including any commitment with respect thereto)) and listed and identified by type on </w:t>
      </w:r>
      <w:r>
        <w:rPr>
          <w:rFonts w:ascii="Arial" w:cs="Arial" w:eastAsia="Arial" w:hAnsi="Arial"/>
          <w:sz w:val="18"/>
          <w:szCs w:val="18"/>
          <w:u w:val="single" w:color="auto"/>
          <w:color w:val="auto"/>
        </w:rPr>
        <w:t>Schedule 6.2(d)</w:t>
      </w:r>
      <w:r>
        <w:rPr>
          <w:rFonts w:ascii="Arial" w:cs="Arial" w:eastAsia="Arial" w:hAnsi="Arial"/>
          <w:sz w:val="18"/>
          <w:szCs w:val="18"/>
          <w:color w:val="auto"/>
        </w:rPr>
        <w:t xml:space="preserve"> and any Indebtedness that is Refinancing Indebtedness with respect thereto;</w:t>
      </w:r>
    </w:p>
    <w:p>
      <w:pPr>
        <w:spacing w:after="0" w:line="235" w:lineRule="exact"/>
        <w:rPr>
          <w:rFonts w:ascii="Arial" w:cs="Arial" w:eastAsia="Arial" w:hAnsi="Arial"/>
          <w:sz w:val="18"/>
          <w:szCs w:val="18"/>
          <w:color w:val="auto"/>
        </w:rPr>
      </w:pPr>
    </w:p>
    <w:p>
      <w:pPr>
        <w:ind w:firstLine="645"/>
        <w:spacing w:after="0" w:line="268" w:lineRule="auto"/>
        <w:tabs>
          <w:tab w:leader="none" w:pos="138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after the Plant Completion Date, (i) Indebtedness assumed by the Borrower or any Subsidiary in connection with any Acquisition or of any Person at the time such Person becomes a Subsidiary in connection with any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existed at the time of such Acquisition or the time such Person becomes a Subsidiary and was not created in connection therewith or in contemplation thereof) that is either unsecured or secured only by the assets or business acquired in such Acquisition or the assets or business of such Person who becomes a Subsidiary (including any acquired Capital Stock), so long as, after giving effect to the assumption of such Indebtedness, the Borrower shall be in Pro Forma Compliance with a Total Secured Debt Leverage Ratio of not greater than 2.50:1.00 (treating any unsecured Indebtedness incurred under this Section 6.2(e)(i) as secured Indebtedness for purposes of calculating the Total Secured Debt Leverage Ratio), and (ii) Indebtedness incurred to finance an Acquisition that is unsecured or secured only by the assets or business acquired in such Acquisition (including any acquired Capital Stock), and, in each case, any Refinancing Indebtedness in respect thereof so long as, before and after giving effect to such Indebtedness, the Borrower shall be in Pro Forma Compliance with a Total Secured Debt Leverage Ratio of not greater than 2.50:1.00 (treating any unsecured Indebtedness incurred under this Section 6.2(e)(ii) as secured Indebtedness for purposes of calculating the Total Secured Debt Leverage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Indebtedness incurred by a Non-Guarantor Subsidiary under this clause 6.2(e)(ii) shall not exceed $1,000,000 at any one time outstanding;</w:t>
      </w:r>
    </w:p>
    <w:p>
      <w:pPr>
        <w:spacing w:after="0" w:line="241" w:lineRule="exact"/>
        <w:rPr>
          <w:rFonts w:ascii="Arial" w:cs="Arial" w:eastAsia="Arial" w:hAnsi="Arial"/>
          <w:sz w:val="17"/>
          <w:szCs w:val="17"/>
          <w:color w:val="auto"/>
        </w:rPr>
      </w:pPr>
    </w:p>
    <w:p>
      <w:pPr>
        <w:ind w:left="1360" w:hanging="715"/>
        <w:spacing w:after="0"/>
        <w:tabs>
          <w:tab w:leader="none" w:pos="13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153" w:right="279" w:bottom="1440" w:gutter="0" w:footer="0" w:header="0"/>
        </w:sectPr>
      </w:pPr>
    </w:p>
    <w:bookmarkStart w:id="243" w:name="page244"/>
    <w:bookmarkEnd w:id="243"/>
    <w:p>
      <w:pPr>
        <w:jc w:val="both"/>
        <w:ind w:left="-540" w:right="140" w:firstLine="645"/>
        <w:spacing w:after="0" w:line="264" w:lineRule="auto"/>
        <w:tabs>
          <w:tab w:leader="none" w:pos="8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Guarantee Obligations of (x) Indebtedness otherwise permitted to be incurred pursuant to this Section 6.2 and (y) after the Plant Completion Date, Indebtedness of Unrestricted Subsidiaries and joint ventures in an aggregate principal amount, when combined with Investments made pursuant to Section 6.8(o), not to exceed $5,000,000 at any one time outstanding;</w:t>
      </w:r>
    </w:p>
    <w:p>
      <w:pPr>
        <w:spacing w:after="0" w:line="235" w:lineRule="exact"/>
        <w:rPr>
          <w:rFonts w:ascii="Arial" w:cs="Arial" w:eastAsia="Arial" w:hAnsi="Arial"/>
          <w:sz w:val="18"/>
          <w:szCs w:val="18"/>
          <w:color w:val="auto"/>
        </w:rPr>
      </w:pPr>
    </w:p>
    <w:p>
      <w:pPr>
        <w:ind w:left="-540" w:right="260" w:firstLine="645"/>
        <w:spacing w:after="0" w:line="257" w:lineRule="auto"/>
        <w:tabs>
          <w:tab w:leader="none" w:pos="8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Indebtedness arising under or in respect of any surety, performance, bid or appeal bonds and performance and completion guarantees provided by the Borrower or any Subsidiary of the Borrower, or obligations in respect of letters of credit, bank guarantees, bankers’ acceptances or similar instruments related thereto, in the ordinary course of its business, and (ii) Indebtedness in respect of customary agreements providing for indemnification, purchase price adjustments or similar obligations incurred in connection with any Investment, Disposition or Acquisition;</w:t>
      </w:r>
    </w:p>
    <w:p>
      <w:pPr>
        <w:spacing w:after="0" w:line="242" w:lineRule="exact"/>
        <w:rPr>
          <w:rFonts w:ascii="Arial" w:cs="Arial" w:eastAsia="Arial" w:hAnsi="Arial"/>
          <w:sz w:val="18"/>
          <w:szCs w:val="18"/>
          <w:color w:val="auto"/>
        </w:rPr>
      </w:pPr>
    </w:p>
    <w:p>
      <w:pPr>
        <w:ind w:left="-540" w:right="240" w:firstLine="645"/>
        <w:spacing w:after="0" w:line="286" w:lineRule="auto"/>
        <w:tabs>
          <w:tab w:leader="none" w:pos="872"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letters of credit and the related guarantees thereof incurred in the ordinary course of business in an aggregate principal amount not to exceed $2,000,000 at any one time outstanding, which Indebtedness may be secured by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drawing of any such letters of credit, such obligations are reimbursed within 30 days following such drawing or incurrence;</w:t>
      </w:r>
    </w:p>
    <w:p>
      <w:pPr>
        <w:spacing w:after="0" w:line="219" w:lineRule="exact"/>
        <w:rPr>
          <w:rFonts w:ascii="Arial" w:cs="Arial" w:eastAsia="Arial" w:hAnsi="Arial"/>
          <w:sz w:val="17"/>
          <w:szCs w:val="17"/>
          <w:color w:val="auto"/>
        </w:rPr>
      </w:pPr>
    </w:p>
    <w:p>
      <w:pPr>
        <w:ind w:left="-540" w:right="420" w:firstLine="645"/>
        <w:spacing w:after="0" w:line="277" w:lineRule="auto"/>
        <w:tabs>
          <w:tab w:leader="none" w:pos="8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additional unsecured Indebtedness (including, without limitation, Guarantee Obligations) of any Loan Party in an aggregate principal amount (for all LNG Group Members) not to exceed $5,000,000 at any one time outstanding;</w:t>
      </w:r>
    </w:p>
    <w:p>
      <w:pPr>
        <w:spacing w:after="0" w:line="224" w:lineRule="exact"/>
        <w:rPr>
          <w:rFonts w:ascii="Arial" w:cs="Arial" w:eastAsia="Arial" w:hAnsi="Arial"/>
          <w:sz w:val="18"/>
          <w:szCs w:val="18"/>
          <w:color w:val="auto"/>
        </w:rPr>
      </w:pPr>
    </w:p>
    <w:p>
      <w:pPr>
        <w:ind w:left="-540" w:firstLine="645"/>
        <w:spacing w:after="0" w:line="257" w:lineRule="auto"/>
        <w:tabs>
          <w:tab w:leader="none" w:pos="8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Indebtedness of any Loan Party under working capital facilities or lines of credit (including letters of credit) in an aggregate amount not to exceed $3,000,000 at any one time outstanding, which working capital facilities or lines of credit may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 Facility and may be provided by any direct or indirect parent company of the Borrower or by Fortress or its affiliated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working capital facilities or lines of credit, if secured by any of the Collateral, shall be subject to a customary intercreditor reasonably satisfactory to the Required Consent Parties;</w:t>
      </w:r>
    </w:p>
    <w:p>
      <w:pPr>
        <w:spacing w:after="0" w:line="242" w:lineRule="exact"/>
        <w:rPr>
          <w:rFonts w:ascii="Arial" w:cs="Arial" w:eastAsia="Arial" w:hAnsi="Arial"/>
          <w:sz w:val="18"/>
          <w:szCs w:val="18"/>
          <w:color w:val="auto"/>
        </w:rPr>
      </w:pPr>
    </w:p>
    <w:p>
      <w:pPr>
        <w:ind w:left="860" w:hanging="755"/>
        <w:spacing w:after="0"/>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540" w:right="60" w:firstLine="645"/>
        <w:spacing w:after="0" w:line="277" w:lineRule="auto"/>
        <w:tabs>
          <w:tab w:leader="none" w:pos="8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unsecured guarantees of the obligations of the Borrower and its Subsidiaries in connection with any Disposition that is a sale and leaseback arrangement permitted by Section 6.11;</w:t>
      </w:r>
    </w:p>
    <w:p>
      <w:pPr>
        <w:spacing w:after="0" w:line="224" w:lineRule="exact"/>
        <w:rPr>
          <w:rFonts w:ascii="Arial" w:cs="Arial" w:eastAsia="Arial" w:hAnsi="Arial"/>
          <w:sz w:val="18"/>
          <w:szCs w:val="18"/>
          <w:color w:val="auto"/>
        </w:rPr>
      </w:pPr>
    </w:p>
    <w:p>
      <w:pPr>
        <w:ind w:left="860" w:hanging="755"/>
        <w:spacing w:after="0"/>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52" w:right="259" w:bottom="1440" w:gutter="0" w:footer="0" w:header="0"/>
        </w:sectPr>
      </w:pPr>
    </w:p>
    <w:bookmarkStart w:id="244" w:name="page245"/>
    <w:bookmarkEnd w:id="244"/>
    <w:p>
      <w:pPr>
        <w:ind w:left="660" w:firstLine="645"/>
        <w:spacing w:after="0" w:line="277" w:lineRule="auto"/>
        <w:tabs>
          <w:tab w:leader="none" w:pos="208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Indebtedness consisting of cash management obligations, netting services, overdraft protection and similar arrangements incurred in the ordinary course of business;</w:t>
      </w:r>
    </w:p>
    <w:p>
      <w:pPr>
        <w:spacing w:after="0" w:line="224" w:lineRule="exact"/>
        <w:rPr>
          <w:rFonts w:ascii="Arial" w:cs="Arial" w:eastAsia="Arial" w:hAnsi="Arial"/>
          <w:sz w:val="18"/>
          <w:szCs w:val="18"/>
          <w:color w:val="auto"/>
        </w:rPr>
      </w:pPr>
    </w:p>
    <w:p>
      <w:pPr>
        <w:ind w:left="660" w:right="340" w:firstLine="645"/>
        <w:spacing w:after="0" w:line="277" w:lineRule="auto"/>
        <w:tabs>
          <w:tab w:leader="none" w:pos="203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or take-or-pay obligations contained in supply agreements, in each case incurred in the ordinary course of business;</w:t>
      </w:r>
    </w:p>
    <w:p>
      <w:pPr>
        <w:spacing w:after="0" w:line="224" w:lineRule="exact"/>
        <w:rPr>
          <w:rFonts w:ascii="Arial" w:cs="Arial" w:eastAsia="Arial" w:hAnsi="Arial"/>
          <w:sz w:val="18"/>
          <w:szCs w:val="18"/>
          <w:color w:val="auto"/>
        </w:rPr>
      </w:pPr>
    </w:p>
    <w:p>
      <w:pPr>
        <w:jc w:val="both"/>
        <w:ind w:left="660" w:right="480" w:firstLine="645"/>
        <w:spacing w:after="0" w:line="342" w:lineRule="auto"/>
        <w:tabs>
          <w:tab w:leader="none" w:pos="2072"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Indebtedness incurred in respect of letters of credit, bank guarantees, bankers’ acceptances or similar instruments issued or created in the ordinary course of business in respect of workers’ compensation claims and health, disability, retiree or other employee benefits;</w:t>
      </w:r>
    </w:p>
    <w:p>
      <w:pPr>
        <w:spacing w:after="0" w:line="177" w:lineRule="exact"/>
        <w:rPr>
          <w:rFonts w:ascii="Arial" w:cs="Arial" w:eastAsia="Arial" w:hAnsi="Arial"/>
          <w:sz w:val="16"/>
          <w:szCs w:val="16"/>
          <w:color w:val="auto"/>
        </w:rPr>
      </w:pPr>
    </w:p>
    <w:p>
      <w:pPr>
        <w:ind w:left="660" w:right="200" w:firstLine="645"/>
        <w:spacing w:after="0" w:line="302" w:lineRule="auto"/>
        <w:tabs>
          <w:tab w:leader="none" w:pos="205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Indebtedness of any Loan Party owing to, or guaranteed by, a governmental agency incurred for Investment in, or the purchase, lease, development, construction, maintenance or improvement of Property (real or personal) or equipment that is used or useful in, a Similar Business in an aggregate principal amount not to exceed $20,000,000 at any one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has a maturity date at the time such Indebtedness is incurred which is not earlier than the fifth anniversary of the Closing Date; and</w:t>
      </w:r>
    </w:p>
    <w:p>
      <w:pPr>
        <w:spacing w:after="0" w:line="208" w:lineRule="exact"/>
        <w:rPr>
          <w:rFonts w:ascii="Arial" w:cs="Arial" w:eastAsia="Arial" w:hAnsi="Arial"/>
          <w:sz w:val="16"/>
          <w:szCs w:val="16"/>
          <w:color w:val="auto"/>
        </w:rPr>
      </w:pPr>
    </w:p>
    <w:p>
      <w:pPr>
        <w:ind w:left="660" w:right="60" w:firstLine="645"/>
        <w:spacing w:after="0" w:line="255" w:lineRule="auto"/>
        <w:tabs>
          <w:tab w:leader="none" w:pos="205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after the Plant Completion Date, unsecured Indebtedness of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matures after, and has no amortization in excess of 1% per year or other mandatory principal payments, repurchase, repayment or similar requirements prior to the fifth anniversary of the Closing Date (except as a result of a Fundamental Change so long as any rights of the holders thereof upon the occurrence of such Fundamental Change shall be subject to the satisfaction of the Termination Conditions) and (ii) before and after giving effect to such Indebtedness, (A) no Default or Event of Default shall be continuing and (B) the Borrower shall be in Pro Forma Compliance with a Total Debt Leverage Ratio of not greater than 3.00:1.00.</w:t>
      </w:r>
    </w:p>
    <w:p>
      <w:pPr>
        <w:spacing w:after="0" w:line="24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whether now owned or hereafter acquired, except for:</w:t>
      </w:r>
    </w:p>
    <w:p>
      <w:pPr>
        <w:spacing w:after="0" w:line="224" w:lineRule="exact"/>
        <w:rPr>
          <w:sz w:val="20"/>
          <w:szCs w:val="20"/>
          <w:color w:val="auto"/>
        </w:rPr>
      </w:pPr>
    </w:p>
    <w:p>
      <w:pPr>
        <w:ind w:left="660" w:right="20" w:firstLine="645"/>
        <w:spacing w:after="0" w:line="273" w:lineRule="auto"/>
        <w:tabs>
          <w:tab w:leader="none" w:pos="204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Liens for taxes not overdue by more than 30 days, Liens for taxes not required to be discharged pursuant to Section 5.3 or Liens with respect to taxes, assessments or other governmental charges or levies that are being contested in good faith by appropriate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Liens with respect to contested taxes, assessments or other governmental charges or levies, adequate reserves with respect thereto are maintained on the books of the Borrower or its Subsidiaries, as the case may be, in conformity with GAAP, and Liens for property taxes on property that the Borrower or any of its Subsidiaries has determined to abandon (so long as such abandonment is not prohibited by this Agreement or any of the other Loan Documents), if the sole recourse for such tax is to such property;</w:t>
      </w:r>
    </w:p>
    <w:p>
      <w:pPr>
        <w:spacing w:after="0" w:line="232" w:lineRule="exact"/>
        <w:rPr>
          <w:rFonts w:ascii="Arial" w:cs="Arial" w:eastAsia="Arial" w:hAnsi="Arial"/>
          <w:sz w:val="17"/>
          <w:szCs w:val="17"/>
          <w:color w:val="auto"/>
        </w:rPr>
      </w:pPr>
    </w:p>
    <w:p>
      <w:pPr>
        <w:ind w:left="2060" w:hanging="755"/>
        <w:spacing w:after="0"/>
        <w:tabs>
          <w:tab w:leader="none" w:pos="2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Default under Section 7.1(i);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5" w:name="page246"/>
    <w:bookmarkEnd w:id="245"/>
    <w:p>
      <w:pPr>
        <w:ind w:right="20" w:firstLine="645"/>
        <w:spacing w:after="0" w:line="257" w:lineRule="auto"/>
        <w:tabs>
          <w:tab w:leader="none" w:pos="138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carriers’, warehousemen’s, mechanics’, materialmen’s, repairmen’s, landlord’s, contractor’s or other like Liens arising in the ordinary course of business securing obligations that are not overdue for a period of more than 30 days, or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adequate reserves with respect thereto are maintained on the books of the Borrower or its Subsidiaries, as the case may be, in conformity with GAAP or (ii) a bond or other security reasonably acceptable to the Required Consent Parties in an amount equal to 100.0% of such obligations is procured;</w:t>
      </w:r>
    </w:p>
    <w:p>
      <w:pPr>
        <w:spacing w:after="0" w:line="242" w:lineRule="exact"/>
        <w:rPr>
          <w:rFonts w:ascii="Arial" w:cs="Arial" w:eastAsia="Arial" w:hAnsi="Arial"/>
          <w:sz w:val="18"/>
          <w:szCs w:val="18"/>
          <w:color w:val="auto"/>
        </w:rPr>
      </w:pPr>
    </w:p>
    <w:p>
      <w:pPr>
        <w:ind w:left="1400" w:hanging="755"/>
        <w:spacing w:after="0"/>
        <w:tabs>
          <w:tab w:leader="none" w:pos="14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undetermined or inchoate Liens incidental to current operations which have not at such time been filed and which do not secure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Indebtedness;</w:t>
      </w:r>
    </w:p>
    <w:p>
      <w:pPr>
        <w:spacing w:after="0" w:line="264" w:lineRule="exact"/>
        <w:rPr>
          <w:rFonts w:ascii="Arial" w:cs="Arial" w:eastAsia="Arial" w:hAnsi="Arial"/>
          <w:sz w:val="16"/>
          <w:szCs w:val="16"/>
          <w:color w:val="auto"/>
        </w:rPr>
      </w:pPr>
    </w:p>
    <w:p>
      <w:pPr>
        <w:ind w:left="1380" w:hanging="735"/>
        <w:spacing w:after="0"/>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pledges or deposits in connection with workers’ compensation, unemployment insurance and other social security legislation;</w:t>
      </w:r>
    </w:p>
    <w:p>
      <w:pPr>
        <w:spacing w:after="0" w:line="302" w:lineRule="exact"/>
        <w:rPr>
          <w:rFonts w:ascii="Arial" w:cs="Arial" w:eastAsia="Arial" w:hAnsi="Arial"/>
          <w:sz w:val="16"/>
          <w:szCs w:val="16"/>
          <w:color w:val="auto"/>
        </w:rPr>
      </w:pPr>
    </w:p>
    <w:p>
      <w:pPr>
        <w:ind w:right="100" w:firstLine="645"/>
        <w:spacing w:after="0" w:line="259" w:lineRule="auto"/>
        <w:tabs>
          <w:tab w:leader="none" w:pos="136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pledges or deposits to secure the performance of bids, trade contracts (other than for borrowed money), leases, concessions, statutory obligations, surety and appeal bonds, performance bonds and other obligations of a like nature incurred in the ordinary course of business, or deposits to secure letters of credit, bank guarantees, bankers’ acceptances, cash management obligations (including credit card processing obligations) or similar instruments related thereto;</w:t>
      </w:r>
    </w:p>
    <w:p>
      <w:pPr>
        <w:spacing w:after="0" w:line="240" w:lineRule="exact"/>
        <w:rPr>
          <w:rFonts w:ascii="Arial" w:cs="Arial" w:eastAsia="Arial" w:hAnsi="Arial"/>
          <w:sz w:val="18"/>
          <w:szCs w:val="18"/>
          <w:color w:val="auto"/>
        </w:rPr>
      </w:pPr>
    </w:p>
    <w:p>
      <w:pPr>
        <w:ind w:right="40" w:firstLine="645"/>
        <w:spacing w:after="0" w:line="255" w:lineRule="auto"/>
        <w:tabs>
          <w:tab w:leader="none" w:pos="139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restrictions, covenants, land use contracts, rent charges, building schemes, declarations of covenants, conditions and restrictions, servicing agreements in favor of any Governmental Authority, easements, rights-of-way, servitudes or other similar rights in or with respect to real property (including open space and conservation easements, restrictions or similar agreements and rights of way and servitudes for railways, water, sewer, drainage, gas and oil pipelines, electricity, light, power, telephone, telegraph, internet or cable television services and utilities) granted to or reserved by other Persons or properties, incurred in the ordinary course of business, which in the aggregate do not materially impair the use of or the operation of the business of such Person or the property subject thereto and any exception on the final title policies issued in connection with the Mortgages;</w:t>
      </w:r>
    </w:p>
    <w:p>
      <w:pPr>
        <w:spacing w:after="0" w:line="243" w:lineRule="exact"/>
        <w:rPr>
          <w:rFonts w:ascii="Arial" w:cs="Arial" w:eastAsia="Arial" w:hAnsi="Arial"/>
          <w:sz w:val="18"/>
          <w:szCs w:val="18"/>
          <w:color w:val="auto"/>
        </w:rPr>
      </w:pPr>
    </w:p>
    <w:p>
      <w:pPr>
        <w:ind w:right="360" w:firstLine="645"/>
        <w:spacing w:after="0" w:line="308" w:lineRule="auto"/>
        <w:tabs>
          <w:tab w:leader="none" w:pos="139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right reserved to or vested in any Governmental Authority, by the terms of any Permit acquired by such Person or by any Law, to terminate any such Permit or to require annual or other payments as a condition to the continuance thereof;</w:t>
      </w:r>
    </w:p>
    <w:p>
      <w:pPr>
        <w:spacing w:after="0" w:line="200" w:lineRule="exact"/>
        <w:rPr>
          <w:rFonts w:ascii="Arial" w:cs="Arial" w:eastAsia="Arial" w:hAnsi="Arial"/>
          <w:sz w:val="17"/>
          <w:szCs w:val="17"/>
          <w:color w:val="auto"/>
        </w:rPr>
      </w:pPr>
    </w:p>
    <w:p>
      <w:pPr>
        <w:ind w:firstLine="645"/>
        <w:spacing w:after="0" w:line="276" w:lineRule="auto"/>
        <w:tabs>
          <w:tab w:leader="none" w:pos="141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Lien resulting from the deposit of cash or securities in connection with any of the Liens permitted by Sections 6.3(a), (b) or (c), or in connection with contracts, tenders, leases or expropriation proceedings, or to secure workers’ compensation, surety or appeal bonds, costs of litigation when required by Law and public and statutory obligations, and any right of refund, set-off or charge-back, or Liens of a collection bank on items in the course of collection, available to any bank or financial institution, including under the general terms and conditions of such bank or financial institution and/or its bank account opening documents or arising as a matter of Law;</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152" w:right="279" w:bottom="1440" w:gutter="0" w:footer="0" w:header="0"/>
        </w:sectPr>
      </w:pPr>
    </w:p>
    <w:bookmarkStart w:id="246" w:name="page247"/>
    <w:bookmarkEnd w:id="246"/>
    <w:p>
      <w:pPr>
        <w:ind w:right="240" w:firstLine="645"/>
        <w:spacing w:after="0" w:line="308" w:lineRule="auto"/>
        <w:tabs>
          <w:tab w:leader="none" w:pos="141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any security given to a public authority or other service provider or any other Governmental Authority when required by such utility or other Governmental Authority in connection with the operations of such person in the ordinary course of its business;</w:t>
      </w:r>
    </w:p>
    <w:p>
      <w:pPr>
        <w:spacing w:after="0" w:line="200" w:lineRule="exact"/>
        <w:rPr>
          <w:rFonts w:ascii="Arial" w:cs="Arial" w:eastAsia="Arial" w:hAnsi="Arial"/>
          <w:sz w:val="17"/>
          <w:szCs w:val="17"/>
          <w:color w:val="auto"/>
        </w:rPr>
      </w:pPr>
    </w:p>
    <w:p>
      <w:pPr>
        <w:ind w:right="40" w:firstLine="645"/>
        <w:spacing w:after="0" w:line="308" w:lineRule="auto"/>
        <w:tabs>
          <w:tab w:leader="none" w:pos="139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any agreement or option to lease, license, sub-lease or sub-license (as lessee, lessor, licensee or licensor) any Property or right of use or occupancy assumed or entered by or on behalf of any LNG Group Member in the ordinary course of its business;</w:t>
      </w:r>
    </w:p>
    <w:p>
      <w:pPr>
        <w:spacing w:after="0" w:line="200" w:lineRule="exact"/>
        <w:rPr>
          <w:rFonts w:ascii="Arial" w:cs="Arial" w:eastAsia="Arial" w:hAnsi="Arial"/>
          <w:sz w:val="17"/>
          <w:szCs w:val="17"/>
          <w:color w:val="auto"/>
        </w:rPr>
      </w:pPr>
    </w:p>
    <w:p>
      <w:pPr>
        <w:ind w:left="1400" w:hanging="755"/>
        <w:spacing w:after="0"/>
        <w:tabs>
          <w:tab w:leader="none" w:pos="14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reservations, limitations, provisos and conditions, if any, expressed in any grants from any Governmental Authority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authority;</w:t>
      </w:r>
    </w:p>
    <w:p>
      <w:pPr>
        <w:spacing w:after="0" w:line="264" w:lineRule="exact"/>
        <w:rPr>
          <w:rFonts w:ascii="Arial" w:cs="Arial" w:eastAsia="Arial" w:hAnsi="Arial"/>
          <w:sz w:val="16"/>
          <w:szCs w:val="16"/>
          <w:color w:val="auto"/>
        </w:rPr>
      </w:pPr>
    </w:p>
    <w:p>
      <w:pPr>
        <w:ind w:right="160" w:firstLine="645"/>
        <w:spacing w:after="0" w:line="277" w:lineRule="auto"/>
        <w:tabs>
          <w:tab w:leader="none" w:pos="144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title defects or irregularities which are of a minor nature and in the aggregate will not materially impair the use of the Property for the purposes for which it is held by the Borrower or any of its Subsidiaries;</w:t>
      </w:r>
    </w:p>
    <w:p>
      <w:pPr>
        <w:spacing w:after="0" w:line="224" w:lineRule="exact"/>
        <w:rPr>
          <w:rFonts w:ascii="Arial" w:cs="Arial" w:eastAsia="Arial" w:hAnsi="Arial"/>
          <w:sz w:val="18"/>
          <w:szCs w:val="18"/>
          <w:color w:val="auto"/>
        </w:rPr>
      </w:pPr>
    </w:p>
    <w:p>
      <w:pPr>
        <w:ind w:left="1400" w:hanging="755"/>
        <w:spacing w:after="0"/>
        <w:tabs>
          <w:tab w:leader="none" w:pos="14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junior priority Liens securing Indebtedness incurred pursuant to Section 6.2(u);</w:t>
      </w:r>
    </w:p>
    <w:p>
      <w:pPr>
        <w:spacing w:after="0" w:line="279" w:lineRule="exact"/>
        <w:rPr>
          <w:rFonts w:ascii="Arial" w:cs="Arial" w:eastAsia="Arial" w:hAnsi="Arial"/>
          <w:sz w:val="18"/>
          <w:szCs w:val="18"/>
          <w:color w:val="auto"/>
        </w:rPr>
      </w:pPr>
    </w:p>
    <w:p>
      <w:pPr>
        <w:ind w:right="80" w:firstLine="645"/>
        <w:spacing w:after="0" w:line="255" w:lineRule="auto"/>
        <w:tabs>
          <w:tab w:leader="none" w:pos="13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listed on </w:t>
      </w:r>
      <w:r>
        <w:rPr>
          <w:rFonts w:ascii="Arial" w:cs="Arial" w:eastAsia="Arial" w:hAnsi="Arial"/>
          <w:sz w:val="18"/>
          <w:szCs w:val="18"/>
          <w:u w:val="single" w:color="auto"/>
          <w:color w:val="auto"/>
        </w:rPr>
        <w:t>Schedule 6.3(o)</w:t>
      </w:r>
      <w:r>
        <w:rPr>
          <w:rFonts w:ascii="Arial" w:cs="Arial" w:eastAsia="Arial" w:hAnsi="Arial"/>
          <w:sz w:val="18"/>
          <w:szCs w:val="18"/>
          <w:color w:val="auto"/>
        </w:rPr>
        <w:t xml:space="preserve">, securing Indebtedness permitted by Section 6.2,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is spread to cover any additional Property after the Closing Date (other than (i) afteracquired Property that is affixed or incorporated into the Property covered by such Lien or financed by Indebtedness permitted to be incurred under Section 6.2 and (ii) proceeds and products thereof) and that the principal amount of Indebtedness secured thereby is not increased (other than capitalized amounts related to fees and expenses incurred with respect thereto and unpaid accrued interest and premiums thereon);</w:t>
      </w:r>
    </w:p>
    <w:p>
      <w:pPr>
        <w:spacing w:after="0" w:line="247" w:lineRule="exact"/>
        <w:rPr>
          <w:rFonts w:ascii="Arial" w:cs="Arial" w:eastAsia="Arial" w:hAnsi="Arial"/>
          <w:sz w:val="18"/>
          <w:szCs w:val="18"/>
          <w:color w:val="auto"/>
        </w:rPr>
      </w:pPr>
    </w:p>
    <w:p>
      <w:pPr>
        <w:ind w:firstLine="645"/>
        <w:spacing w:after="0" w:line="271" w:lineRule="auto"/>
        <w:tabs>
          <w:tab w:leader="none" w:pos="139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Liens securing Indebtedness of the Borrower or any Subsidiary incurred pursuant to Section 6.2(c) to finance the acquisition (including pursuant to a sale and leaseback transaction), construction, repair, replacement or improvement of Property (real or personal), equipment or other assets used or useful in the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shall be created within 365 days of the acquisition (including pursuant to a sale and leaseback transaction), construction, repair, replacement or improvement, as applicable, of such Property, equipment or other assets, and (ii) such Liens do not at any time encumber any Property, equipment or other assets other than the Property, equipment or other assets financed by such Indebtedness, replacements thereof, additions and accessions to such property, proceeds and products thereof and customary security deposits (except that individual financings of Property, equipment or other assets provided by one lender may be cross-collateralized to other financings of Property, equipment or other assets provided by such lender);</w:t>
      </w:r>
    </w:p>
    <w:p>
      <w:pPr>
        <w:spacing w:after="0" w:line="232" w:lineRule="exact"/>
        <w:rPr>
          <w:rFonts w:ascii="Arial" w:cs="Arial" w:eastAsia="Arial" w:hAnsi="Arial"/>
          <w:sz w:val="17"/>
          <w:szCs w:val="17"/>
          <w:color w:val="auto"/>
        </w:rPr>
      </w:pPr>
    </w:p>
    <w:p>
      <w:pPr>
        <w:ind w:left="1400" w:hanging="755"/>
        <w:spacing w:after="0"/>
        <w:tabs>
          <w:tab w:leader="none" w:pos="14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created pursuant to the Loan Documents;</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900" w:top="152" w:right="299" w:bottom="1440" w:gutter="0" w:footer="0" w:header="0"/>
        </w:sectPr>
      </w:pPr>
    </w:p>
    <w:bookmarkStart w:id="247" w:name="page248"/>
    <w:bookmarkEnd w:id="247"/>
    <w:p>
      <w:pPr>
        <w:ind w:left="-540" w:right="20" w:firstLine="645"/>
        <w:spacing w:after="0" w:line="277" w:lineRule="auto"/>
        <w:tabs>
          <w:tab w:leader="none" w:pos="88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created in favor of Chart Energy &amp; Chemicals Inc. pursuant to the Chart Energy Purchase Order as in effect on the Closing Date, which Liens are expressly subordinated or junior to the Liens securing the Obligations;</w:t>
      </w:r>
    </w:p>
    <w:p>
      <w:pPr>
        <w:spacing w:after="0" w:line="224" w:lineRule="exact"/>
        <w:rPr>
          <w:rFonts w:ascii="Arial" w:cs="Arial" w:eastAsia="Arial" w:hAnsi="Arial"/>
          <w:sz w:val="18"/>
          <w:szCs w:val="18"/>
          <w:color w:val="auto"/>
        </w:rPr>
      </w:pPr>
    </w:p>
    <w:p>
      <w:pPr>
        <w:ind w:left="-540" w:right="120" w:firstLine="645"/>
        <w:spacing w:after="0" w:line="257" w:lineRule="auto"/>
        <w:tabs>
          <w:tab w:leader="none" w:pos="83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Liens securing Indebtedness of any LNG Group Member incurred pursuant to Section 6.2(e);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(including Capital Stock of any entity acquired and any of its Subsidiaries) acquired in such Acquisition and (ii) in the case of Indebtedness incurred pursuant to Section 6.2(e)(ii), the amount of such Indebtedness initially secured thereby is not more than 100% of the aggregate consideration paid in connection with such Acquisitions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fees and expenses incurred in connection therewith;</w:t>
      </w:r>
    </w:p>
    <w:p>
      <w:pPr>
        <w:spacing w:after="0" w:line="242" w:lineRule="exact"/>
        <w:rPr>
          <w:rFonts w:ascii="Arial" w:cs="Arial" w:eastAsia="Arial" w:hAnsi="Arial"/>
          <w:sz w:val="18"/>
          <w:szCs w:val="18"/>
          <w:color w:val="auto"/>
        </w:rPr>
      </w:pPr>
    </w:p>
    <w:p>
      <w:pPr>
        <w:ind w:left="-540" w:right="660" w:firstLine="645"/>
        <w:spacing w:after="0" w:line="277" w:lineRule="auto"/>
        <w:tabs>
          <w:tab w:leader="none" w:pos="87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right of set-off, refund or charge-back available to any bank or other financial institution or any other Lien arising in connection therewith;</w:t>
      </w:r>
    </w:p>
    <w:p>
      <w:pPr>
        <w:spacing w:after="0" w:line="224" w:lineRule="exact"/>
        <w:rPr>
          <w:rFonts w:ascii="Arial" w:cs="Arial" w:eastAsia="Arial" w:hAnsi="Arial"/>
          <w:sz w:val="18"/>
          <w:szCs w:val="18"/>
          <w:color w:val="auto"/>
        </w:rPr>
      </w:pPr>
    </w:p>
    <w:p>
      <w:pPr>
        <w:ind w:left="860" w:hanging="755"/>
        <w:spacing w:after="0"/>
        <w:tabs>
          <w:tab w:leader="none" w:pos="8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6.2(k);</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40" w:hanging="735"/>
        <w:spacing w:after="0"/>
        <w:tabs>
          <w:tab w:leader="none" w:pos="8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540" w:right="20" w:firstLine="645"/>
        <w:spacing w:after="0" w:line="264"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on cash collateral to secure (i) Hedge Agreements permitted by Section 6.8(n), in an aggregate amount of such cash collateral not to exceed $1,000,000 plus, so long as no Excess Cash Restriction Period shall be continuing, the Available Amount as of such date and Not Otherwise Applied, or (ii) letters of credit permitted by Section 6.2(i);</w:t>
      </w:r>
    </w:p>
    <w:p>
      <w:pPr>
        <w:spacing w:after="0" w:line="235" w:lineRule="exact"/>
        <w:rPr>
          <w:rFonts w:ascii="Arial" w:cs="Arial" w:eastAsia="Arial" w:hAnsi="Arial"/>
          <w:sz w:val="18"/>
          <w:szCs w:val="18"/>
          <w:color w:val="auto"/>
        </w:rPr>
      </w:pPr>
    </w:p>
    <w:p>
      <w:pPr>
        <w:ind w:left="-540" w:right="200" w:firstLine="645"/>
        <w:spacing w:after="0" w:line="277" w:lineRule="auto"/>
        <w:tabs>
          <w:tab w:leader="none" w:pos="84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224" w:lineRule="exact"/>
        <w:rPr>
          <w:sz w:val="20"/>
          <w:szCs w:val="20"/>
          <w:color w:val="auto"/>
        </w:rPr>
      </w:pPr>
    </w:p>
    <w:p>
      <w:pPr>
        <w:ind w:left="820" w:hanging="715"/>
        <w:spacing w:after="0"/>
        <w:tabs>
          <w:tab w:leader="none" w:pos="8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Liens on Property subject to an agreement to Dispose of such Property in a transaction permitted under Section 6.5;</w:t>
      </w:r>
    </w:p>
    <w:p>
      <w:pPr>
        <w:spacing w:after="0" w:line="279" w:lineRule="exact"/>
        <w:rPr>
          <w:rFonts w:ascii="Arial" w:cs="Arial" w:eastAsia="Arial" w:hAnsi="Arial"/>
          <w:sz w:val="18"/>
          <w:szCs w:val="18"/>
          <w:color w:val="auto"/>
        </w:rPr>
      </w:pPr>
    </w:p>
    <w:p>
      <w:pPr>
        <w:ind w:left="-540" w:right="20" w:firstLine="645"/>
        <w:spacing w:after="0" w:line="277" w:lineRule="auto"/>
        <w:tabs>
          <w:tab w:leader="none" w:pos="8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any LNG Group Member (other than Holdings) in the ordinary course of business;</w:t>
      </w:r>
    </w:p>
    <w:p>
      <w:pPr>
        <w:spacing w:after="0" w:line="224" w:lineRule="exact"/>
        <w:rPr>
          <w:rFonts w:ascii="Arial" w:cs="Arial" w:eastAsia="Arial" w:hAnsi="Arial"/>
          <w:sz w:val="18"/>
          <w:szCs w:val="18"/>
          <w:color w:val="auto"/>
        </w:rPr>
      </w:pPr>
    </w:p>
    <w:p>
      <w:pPr>
        <w:ind w:left="820" w:hanging="715"/>
        <w:spacing w:after="0"/>
        <w:tabs>
          <w:tab w:leader="none" w:pos="8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 and</w:t>
      </w:r>
    </w:p>
    <w:p>
      <w:pPr>
        <w:spacing w:after="0" w:line="279" w:lineRule="exact"/>
        <w:rPr>
          <w:rFonts w:ascii="Arial" w:cs="Arial" w:eastAsia="Arial" w:hAnsi="Arial"/>
          <w:sz w:val="18"/>
          <w:szCs w:val="18"/>
          <w:color w:val="auto"/>
        </w:rPr>
      </w:pPr>
    </w:p>
    <w:p>
      <w:pPr>
        <w:ind w:left="-540" w:firstLine="645"/>
        <w:spacing w:after="0" w:line="342" w:lineRule="auto"/>
        <w:tabs>
          <w:tab w:leader="none" w:pos="78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other Liens of any LNG Group Member (other than Holdings) securing Indebtedness or other obligations in an aggregate principal amount at any time outstanding not to exceed $750,000, determined at the time of incurrence of such Indebtedness or other obligations.</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52" w:right="259" w:bottom="1440" w:gutter="0" w:footer="0" w:header="0"/>
        </w:sectPr>
      </w:pPr>
    </w:p>
    <w:bookmarkStart w:id="248" w:name="page249"/>
    <w:bookmarkEnd w:id="248"/>
    <w:p>
      <w:pPr>
        <w:ind w:right="140" w:firstLine="1297"/>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Merge, consolidate or amalgamate, or liquidate, wind up or dissolve itself (or suffer any liquidation or dissolution), or Dispose of (other than in connection with any Lien permitted by Section 6.3) all or substantially all of its Property or business, except:</w:t>
      </w:r>
    </w:p>
    <w:p>
      <w:pPr>
        <w:spacing w:after="0" w:line="235" w:lineRule="exact"/>
        <w:rPr>
          <w:sz w:val="20"/>
          <w:szCs w:val="20"/>
          <w:color w:val="auto"/>
        </w:rPr>
      </w:pPr>
    </w:p>
    <w:p>
      <w:pPr>
        <w:ind w:left="660" w:firstLine="645"/>
        <w:spacing w:after="0" w:line="285" w:lineRule="auto"/>
        <w:tabs>
          <w:tab w:leader="none" w:pos="204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that any Person (including, without limitation, any Subsidiary of the Borrower) may be merged, amalgamated or consolidated (i) with or into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shall be the continuing or surviving entity or (y) if the Person formed by or surviving any such merger, amalgamation or consolidation is not the Borrower (any such Person, a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(A) the Successor Borrower shall be an entity organized or existing under the laws of any state of the United States, (B) the Successor Borrower shall expressly assume all the obligations of the Borrower under this Agreement and the other Loan Documents to which the Borrower is a party pursuant to a supplement hereto or thereto in form reasonably satisfactory to the Required Consent Parties, and (C) each Guarantor, unless it is the other party to such merger, amalgamation or consolidation, shall have by a supplement to the applicable Guarantee Agreement confirmed that its guarantee thereunder shall apply to the Successor Borrower’s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foregoing are satisfied, the Successor Borrower will succeed to, and be substituted for, the Borrower under this Agreement); (ii) with or into any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such Subsidiary Guarantor shall be the continuing or surviving entity or (y) simultaneously with, or promptly after the consummation of, such transaction, the continuing or surviving entity shall become a Subsidiary Guarantor); (iii) unless such Person is the Borrower or a Subsidiary Guarantor, with or into any Subsidiary of the Borrower (other than a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transaction the continuing or surviving entity shall remain a Subsidiary of the Borrower); or (iv) with or into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Holdings shall be the continuing or surviving entity or (y) if the Person formed by or surviving any such merger, amalgamation or consolidation is not Holdings (any such Person, a “</w:t>
      </w:r>
      <w:r>
        <w:rPr>
          <w:rFonts w:ascii="Arial" w:cs="Arial" w:eastAsia="Arial" w:hAnsi="Arial"/>
          <w:sz w:val="16"/>
          <w:szCs w:val="16"/>
          <w:u w:val="single" w:color="auto"/>
          <w:color w:val="auto"/>
        </w:rPr>
        <w:t>Successor Holdings</w:t>
      </w:r>
      <w:r>
        <w:rPr>
          <w:rFonts w:ascii="Arial" w:cs="Arial" w:eastAsia="Arial" w:hAnsi="Arial"/>
          <w:sz w:val="16"/>
          <w:szCs w:val="16"/>
          <w:color w:val="auto"/>
        </w:rPr>
        <w:t xml:space="preserve">”), (A) Successor Holdings shall be an entity organized or existing under the laws of any state of the United States, and (B) Successor Holdings shall expressly assume all the obligations of Holdings under this Agreement and the other Loan Documents to which Holdings is a party pursuant to a supplement hereto or thereto in form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foregoing are satisfied, Successor Holdings will succeed to, and be substituted for, Holdings under this Agreement);</w:t>
      </w:r>
    </w:p>
    <w:p>
      <w:pPr>
        <w:spacing w:after="0" w:line="226" w:lineRule="exact"/>
        <w:rPr>
          <w:rFonts w:ascii="Arial" w:cs="Arial" w:eastAsia="Arial" w:hAnsi="Arial"/>
          <w:sz w:val="16"/>
          <w:szCs w:val="16"/>
          <w:color w:val="auto"/>
        </w:rPr>
      </w:pPr>
    </w:p>
    <w:p>
      <w:pPr>
        <w:ind w:left="660" w:firstLine="645"/>
        <w:spacing w:after="0" w:line="259" w:lineRule="auto"/>
        <w:tabs>
          <w:tab w:leader="none" w:pos="205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(i) any Subsidiary Guarantor may Dispose of any or all of its assets (upon voluntary liquidation or otherwise) to the Borrower or any Subsidiary Guarantor (or to a Subsidiary that becomes a Subsidiary Guarantor simultaneously with, or promptly after the consummation of, such transaction) and (ii) any Subsidiary (other than a Subsidiary Guarantor) of the Borrower may Dispose of any or all of its assets (upon voluntary liquidation or otherwise) to the Borrower or any other Subsidiary;</w:t>
      </w:r>
    </w:p>
    <w:p>
      <w:pPr>
        <w:spacing w:after="0" w:line="240" w:lineRule="exact"/>
        <w:rPr>
          <w:rFonts w:ascii="Arial" w:cs="Arial" w:eastAsia="Arial" w:hAnsi="Arial"/>
          <w:sz w:val="18"/>
          <w:szCs w:val="18"/>
          <w:color w:val="auto"/>
        </w:rPr>
      </w:pPr>
    </w:p>
    <w:p>
      <w:pPr>
        <w:ind w:left="660" w:right="120" w:firstLine="645"/>
        <w:spacing w:after="0" w:line="342" w:lineRule="auto"/>
        <w:tabs>
          <w:tab w:leader="none" w:pos="204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that any single purpose Non-Guarantor Subsidiary or Immaterial Subsidiary may Dispose of all or any portion of its assets in the ordinary course of business and any Non-Guarantor Subsidiary or Immaterial Subsidiary may otherwise liquidate, wind up or be dissolved;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9" w:name="page250"/>
    <w:bookmarkEnd w:id="249"/>
    <w:p>
      <w:pPr>
        <w:ind w:left="2060" w:hanging="755"/>
        <w:spacing w:after="0"/>
        <w:tabs>
          <w:tab w:leader="none" w:pos="20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79" w:lineRule="exact"/>
        <w:rPr>
          <w:rFonts w:ascii="Arial" w:cs="Arial" w:eastAsia="Arial" w:hAnsi="Arial"/>
          <w:sz w:val="18"/>
          <w:szCs w:val="18"/>
          <w:color w:val="auto"/>
        </w:rPr>
      </w:pPr>
    </w:p>
    <w:p>
      <w:pPr>
        <w:ind w:left="2040" w:hanging="735"/>
        <w:spacing w:after="0"/>
        <w:tabs>
          <w:tab w:leader="none" w:pos="20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connection with any Disposition permitted by Section 6.5.</w:t>
      </w:r>
    </w:p>
    <w:p>
      <w:pPr>
        <w:spacing w:after="0" w:line="279"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Limitation on Disposition of Property</w:t>
      </w:r>
      <w:r>
        <w:rPr>
          <w:rFonts w:ascii="Arial" w:cs="Arial" w:eastAsia="Arial" w:hAnsi="Arial"/>
          <w:sz w:val="18"/>
          <w:szCs w:val="18"/>
          <w:color w:val="auto"/>
        </w:rPr>
        <w:t>. Dispose of any of its Property (including, without limitation, receivables and leasehold interests), whether now owned or hereafter acquired, or, in the case of any Subsidiary, issue or sell any shares of such Subsidiary’s Capital Stock to any Person, except:</w:t>
      </w:r>
    </w:p>
    <w:p>
      <w:pPr>
        <w:spacing w:after="0" w:line="235" w:lineRule="exact"/>
        <w:rPr>
          <w:sz w:val="20"/>
          <w:szCs w:val="20"/>
          <w:color w:val="auto"/>
        </w:rPr>
      </w:pPr>
    </w:p>
    <w:p>
      <w:pPr>
        <w:ind w:left="660" w:right="400" w:firstLine="645"/>
        <w:spacing w:after="0" w:line="277" w:lineRule="auto"/>
        <w:tabs>
          <w:tab w:leader="none" w:pos="204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Disposition of obsolete, worn out or surplus Property or Property no longer used or useful in the business other than the Ground Lease and Plant;</w:t>
      </w:r>
    </w:p>
    <w:p>
      <w:pPr>
        <w:spacing w:after="0" w:line="224" w:lineRule="exact"/>
        <w:rPr>
          <w:rFonts w:ascii="Arial" w:cs="Arial" w:eastAsia="Arial" w:hAnsi="Arial"/>
          <w:sz w:val="18"/>
          <w:szCs w:val="18"/>
          <w:color w:val="auto"/>
        </w:rPr>
      </w:pPr>
    </w:p>
    <w:p>
      <w:pPr>
        <w:ind w:left="660" w:right="300" w:firstLine="645"/>
        <w:spacing w:after="0" w:line="277" w:lineRule="auto"/>
        <w:tabs>
          <w:tab w:leader="none" w:pos="20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constituting Dispositions, transactions permitted by Sections 6.3, 6.4 (other than Section 6.4(e)), 6.6 (other than Section 6.6(f)) or 6.8;</w:t>
      </w:r>
    </w:p>
    <w:p>
      <w:pPr>
        <w:spacing w:after="0" w:line="224" w:lineRule="exact"/>
        <w:rPr>
          <w:rFonts w:ascii="Arial" w:cs="Arial" w:eastAsia="Arial" w:hAnsi="Arial"/>
          <w:sz w:val="18"/>
          <w:szCs w:val="18"/>
          <w:color w:val="auto"/>
        </w:rPr>
      </w:pPr>
    </w:p>
    <w:p>
      <w:pPr>
        <w:ind w:left="2040" w:hanging="735"/>
        <w:spacing w:after="0"/>
        <w:tabs>
          <w:tab w:leader="none" w:pos="20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sale or issuance of any Subsidiary’s Capital Stock to the Borrower or any Subsidiary Guarantor;</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sale or issuance of any Capital Stock of any Subsidiary of the Borrower (other than a Subsidiary Guarantor) to any 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64" w:lineRule="exact"/>
        <w:rPr>
          <w:rFonts w:ascii="Arial" w:cs="Arial" w:eastAsia="Arial" w:hAnsi="Arial"/>
          <w:sz w:val="16"/>
          <w:szCs w:val="16"/>
          <w:color w:val="auto"/>
        </w:rPr>
      </w:pPr>
    </w:p>
    <w:p>
      <w:pPr>
        <w:ind w:left="2040" w:hanging="735"/>
        <w:spacing w:after="0"/>
        <w:tabs>
          <w:tab w:leader="none" w:pos="20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any Recovery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of Section 2.15(b), if applicable, are complied with in connection therewith;</w:t>
      </w:r>
    </w:p>
    <w:p>
      <w:pPr>
        <w:spacing w:after="0" w:line="302" w:lineRule="exact"/>
        <w:rPr>
          <w:rFonts w:ascii="Arial" w:cs="Arial" w:eastAsia="Arial" w:hAnsi="Arial"/>
          <w:sz w:val="16"/>
          <w:szCs w:val="16"/>
          <w:color w:val="auto"/>
        </w:rPr>
      </w:pPr>
    </w:p>
    <w:p>
      <w:pPr>
        <w:ind w:left="2080" w:hanging="775"/>
        <w:spacing w:after="0"/>
        <w:tabs>
          <w:tab w:leader="none" w:pos="2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sale or other Disposition of inventory and the lease of assets, in each case in the ordinary course of business other than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Ground Lease;</w:t>
      </w:r>
    </w:p>
    <w:p>
      <w:pPr>
        <w:spacing w:after="0" w:line="264" w:lineRule="exact"/>
        <w:rPr>
          <w:rFonts w:ascii="Arial" w:cs="Arial" w:eastAsia="Arial" w:hAnsi="Arial"/>
          <w:sz w:val="16"/>
          <w:szCs w:val="16"/>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660" w:right="120" w:firstLine="645"/>
        <w:spacing w:after="0" w:line="277" w:lineRule="auto"/>
        <w:tabs>
          <w:tab w:leader="none" w:pos="20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Dispositions of Investments received in connection with the bankruptcy or reorganization of account debtors and obligors or in settlement of delinquent obligations of, or other disputes with, account debtors and obligors;</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660" w:right="200" w:firstLine="645"/>
        <w:spacing w:after="0" w:line="342" w:lineRule="auto"/>
        <w:tabs>
          <w:tab w:leader="none" w:pos="205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 leases, subleases, licenses, sublicenses or charters of Property in the ordinary course of business other than the Plant and Ground Lease related thereto and (ii) Dispositions of Intellectual Property that is no longer material to the business of such LNG Group Member;</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52" w:right="339" w:bottom="1440" w:gutter="0" w:footer="0" w:header="0"/>
        </w:sectPr>
      </w:pPr>
    </w:p>
    <w:bookmarkStart w:id="250" w:name="page251"/>
    <w:bookmarkEnd w:id="250"/>
    <w:p>
      <w:pPr>
        <w:ind w:left="-540" w:right="120" w:firstLine="645"/>
        <w:spacing w:after="0" w:line="264" w:lineRule="auto"/>
        <w:tabs>
          <w:tab w:leader="none" w:pos="8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Dispositions by any LNG Group Member to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gross proceeds from all Dispositions made by any Loan Party to any Non-Guarantor Subsidiary pursuant to this clause (p) shall not exceed $250,000 during the term of this Agreement;</w:t>
      </w:r>
    </w:p>
    <w:p>
      <w:pPr>
        <w:spacing w:after="0" w:line="235" w:lineRule="exact"/>
        <w:rPr>
          <w:rFonts w:ascii="Arial" w:cs="Arial" w:eastAsia="Arial" w:hAnsi="Arial"/>
          <w:sz w:val="18"/>
          <w:szCs w:val="18"/>
          <w:color w:val="auto"/>
        </w:rPr>
      </w:pPr>
    </w:p>
    <w:p>
      <w:pPr>
        <w:ind w:left="-540" w:right="40" w:firstLine="645"/>
        <w:spacing w:after="0" w:line="264" w:lineRule="auto"/>
        <w:tabs>
          <w:tab w:leader="none" w:pos="8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Dispositions of Property other than the Plant and Ground Lease to the extent that (i) such Property is exchanged for credit against the purchase price of similar replacement Property or other Property used or useful in the business of the Borrower and its Subsidiaries or (ii) the proceeds of such Disposition are promptly applied to the purchase price of such replacement Property;</w:t>
      </w:r>
    </w:p>
    <w:p>
      <w:pPr>
        <w:spacing w:after="0" w:line="235" w:lineRule="exact"/>
        <w:rPr>
          <w:rFonts w:ascii="Arial" w:cs="Arial" w:eastAsia="Arial" w:hAnsi="Arial"/>
          <w:sz w:val="18"/>
          <w:szCs w:val="18"/>
          <w:color w:val="auto"/>
        </w:rPr>
      </w:pPr>
    </w:p>
    <w:p>
      <w:pPr>
        <w:ind w:left="-540" w:right="380" w:firstLine="645"/>
        <w:spacing w:after="0" w:line="277" w:lineRule="auto"/>
        <w:tabs>
          <w:tab w:leader="none" w:pos="8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224" w:lineRule="exact"/>
        <w:rPr>
          <w:rFonts w:ascii="Arial" w:cs="Arial" w:eastAsia="Arial" w:hAnsi="Arial"/>
          <w:sz w:val="18"/>
          <w:szCs w:val="18"/>
          <w:color w:val="auto"/>
        </w:rPr>
      </w:pPr>
    </w:p>
    <w:p>
      <w:pPr>
        <w:ind w:left="840" w:hanging="735"/>
        <w:spacing w:after="0"/>
        <w:tabs>
          <w:tab w:leader="none" w:pos="8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Dispositions of cash and Cash Equivalents;</w:t>
      </w:r>
    </w:p>
    <w:p>
      <w:pPr>
        <w:spacing w:after="0" w:line="279" w:lineRule="exact"/>
        <w:rPr>
          <w:rFonts w:ascii="Arial" w:cs="Arial" w:eastAsia="Arial" w:hAnsi="Arial"/>
          <w:sz w:val="18"/>
          <w:szCs w:val="18"/>
          <w:color w:val="auto"/>
        </w:rPr>
      </w:pPr>
    </w:p>
    <w:p>
      <w:pPr>
        <w:ind w:left="860" w:hanging="755"/>
        <w:spacing w:after="0"/>
        <w:tabs>
          <w:tab w:leader="none" w:pos="8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Dispositions of Investments received in consideration of Dispositions permitted under this Section 6.5;</w:t>
      </w:r>
    </w:p>
    <w:p>
      <w:pPr>
        <w:spacing w:after="0" w:line="279" w:lineRule="exact"/>
        <w:rPr>
          <w:rFonts w:ascii="Arial" w:cs="Arial" w:eastAsia="Arial" w:hAnsi="Arial"/>
          <w:sz w:val="18"/>
          <w:szCs w:val="18"/>
          <w:color w:val="auto"/>
        </w:rPr>
      </w:pPr>
    </w:p>
    <w:p>
      <w:pPr>
        <w:ind w:left="-540" w:right="240" w:firstLine="645"/>
        <w:spacing w:after="0" w:line="277" w:lineRule="auto"/>
        <w:tabs>
          <w:tab w:leader="none" w:pos="8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Dispositions by the Borrower or any Subsidiary the gross proceeds of which do not exceed an aggregate amount of $1,000,000 during the term of this Agreement; and</w:t>
      </w:r>
    </w:p>
    <w:p>
      <w:pPr>
        <w:spacing w:after="0" w:line="224" w:lineRule="exact"/>
        <w:rPr>
          <w:rFonts w:ascii="Arial" w:cs="Arial" w:eastAsia="Arial" w:hAnsi="Arial"/>
          <w:sz w:val="18"/>
          <w:szCs w:val="18"/>
          <w:color w:val="auto"/>
        </w:rPr>
      </w:pPr>
    </w:p>
    <w:p>
      <w:pPr>
        <w:ind w:left="-540" w:firstLine="645"/>
        <w:spacing w:after="0" w:line="268" w:lineRule="auto"/>
        <w:tabs>
          <w:tab w:leader="none" w:pos="85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any other Disposition of Property or assets by the Borrower or any Subsidiary other than the Plant and Ground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such Disposition (other than any such Disposition made pursuant to a binding commitment entered into at a time when no Default or Event of Default exists), no Default or Event of Default shall exist or would result from such Disposition, (ii) the consideration for such Disposition shall be at least equal to the fair market value of such Property or assets at the time of such Disposition (or at the time such binding commitment is entered into) and (iii) at least 75% of such consideration shall be in cash, Cash Equivalents or the assumption of Indebtedness and other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clause (iii), (A) any notes or other obligations or other securities or assets received by any LNG Group Member in such Disposition that are converted into cash within 180 days of the receipt thereof (to the extent of the cash received) and (B) any Designated Non-Cash Consideration received by the Borrower or any Subsidiary in such Disposition having an aggregate fair market value (as determined in good faith by the Borrower), taken together with all other Designated Non-Cash Consideration received pursuant to this clause (iii) that is at the time outstanding, not to exceed, at the time of receipt of such consideration, 1.0% of Total Assets as of the end of the fiscal quarter immediately prior to the date of such receipt for which financial statements have been delivered pursuant to Section 5.1 (with the fair market value of each item of Designated Non-Cash Consideration being measured at the time received and without giving effect to subsequent changes in value), shall be deemed to be cash.</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251" w:name="page252"/>
    <w:bookmarkEnd w:id="251"/>
    <w:p>
      <w:pPr>
        <w:ind w:right="40" w:firstLine="1297"/>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Limitation on Restricted Payments</w:t>
      </w:r>
      <w:r>
        <w:rPr>
          <w:rFonts w:ascii="Arial" w:cs="Arial" w:eastAsia="Arial" w:hAnsi="Arial"/>
          <w:sz w:val="17"/>
          <w:szCs w:val="17"/>
          <w:color w:val="auto"/>
        </w:rPr>
        <w:t>. Declare or pay any dividend on, or make any payment on account of, or set apart assets for a sinking or other analogous fund for, the purchase, redemption, defeasance, retirement or other acquisition of, any Capital Stock of Holdings, the Borrower or any Subsidiary, whether now or hereafter outstanding, or make any other distribution in respect thereof, either directly or indirectly, whether in cash or property or in obligations of Holdings, the Borrower or any Subsidiary (collectively,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except that:</w:t>
      </w:r>
    </w:p>
    <w:p>
      <w:pPr>
        <w:spacing w:after="0" w:line="225" w:lineRule="exact"/>
        <w:rPr>
          <w:sz w:val="20"/>
          <w:szCs w:val="20"/>
          <w:color w:val="auto"/>
        </w:rPr>
      </w:pPr>
    </w:p>
    <w:p>
      <w:pPr>
        <w:ind w:left="660" w:firstLine="645"/>
        <w:spacing w:after="0" w:line="259" w:lineRule="auto"/>
        <w:tabs>
          <w:tab w:leader="none" w:pos="21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Subsidiary or the Borrower may make Restricted Payments to any of Holdings, the Borrower or any Subsidiary which owns the Capital Stock of such Subsidiary (so long as, with respect to any Restricted Payment made by a non-Wholly Owned Subsidiary, such Restricted Payment is made to Holdings, the Borrower or any Subsidiary and to each other owner of Capital Stock of such non-Wholly Owned Subsidiary based on their relative ownership interests of the relevant class of Capital Stock);</w:t>
      </w:r>
    </w:p>
    <w:p>
      <w:pPr>
        <w:spacing w:after="0" w:line="240" w:lineRule="exact"/>
        <w:rPr>
          <w:rFonts w:ascii="Arial" w:cs="Arial" w:eastAsia="Arial" w:hAnsi="Arial"/>
          <w:sz w:val="18"/>
          <w:szCs w:val="18"/>
          <w:color w:val="auto"/>
        </w:rPr>
      </w:pPr>
    </w:p>
    <w:p>
      <w:pPr>
        <w:ind w:left="660" w:right="60" w:firstLine="645"/>
        <w:spacing w:after="0" w:line="264" w:lineRule="auto"/>
        <w:tabs>
          <w:tab w:leader="none" w:pos="211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 long as no Excess Cash Restriction Period is continuing, any LNG Group Member may make Restricted Payments (x) payable in the Capital Stock (other than Disqualified Capital Stock not otherwise permitted by Section 6.2) of such Person and (y) in cash in lieu of fractional shares of such Capital Stock;</w:t>
      </w:r>
    </w:p>
    <w:p>
      <w:pPr>
        <w:spacing w:after="0" w:line="235" w:lineRule="exact"/>
        <w:rPr>
          <w:rFonts w:ascii="Arial" w:cs="Arial" w:eastAsia="Arial" w:hAnsi="Arial"/>
          <w:sz w:val="18"/>
          <w:szCs w:val="18"/>
          <w:color w:val="auto"/>
        </w:rPr>
      </w:pPr>
    </w:p>
    <w:p>
      <w:pPr>
        <w:ind w:left="660" w:right="20" w:firstLine="645"/>
        <w:spacing w:after="0" w:line="264" w:lineRule="auto"/>
        <w:tabs>
          <w:tab w:leader="none" w:pos="21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LNG Group Member may make Restricted Payments to any other LNG Group Member for the purpose of facilitating the application of all or any portion of any Net Cash Proceeds in connection with a reinvestment of such Net Cash Proceeds pursuant to Section 2.15 by any LNG Group Member;</w:t>
      </w:r>
    </w:p>
    <w:p>
      <w:pPr>
        <w:spacing w:after="0" w:line="235" w:lineRule="exact"/>
        <w:rPr>
          <w:rFonts w:ascii="Arial" w:cs="Arial" w:eastAsia="Arial" w:hAnsi="Arial"/>
          <w:sz w:val="18"/>
          <w:szCs w:val="18"/>
          <w:color w:val="auto"/>
        </w:rPr>
      </w:pPr>
    </w:p>
    <w:p>
      <w:pPr>
        <w:ind w:left="660" w:right="100" w:firstLine="645"/>
        <w:spacing w:after="0" w:line="259" w:lineRule="auto"/>
        <w:tabs>
          <w:tab w:leader="none" w:pos="211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non-Wholly Owned Subsidiary may make distributions to its partners or other equity holders in accordance with its partnership agreements, articles of incorporation or shareholder agreement, in each case, to the extent that such distributions are made on a pro rata basis to the LNG Group Members (based upon the percentage interests held) and each of the other partners or other equity holders of such Subsidiary;</w:t>
      </w:r>
    </w:p>
    <w:p>
      <w:pPr>
        <w:spacing w:after="0" w:line="240" w:lineRule="exact"/>
        <w:rPr>
          <w:rFonts w:ascii="Arial" w:cs="Arial" w:eastAsia="Arial" w:hAnsi="Arial"/>
          <w:sz w:val="18"/>
          <w:szCs w:val="18"/>
          <w:color w:val="auto"/>
        </w:rPr>
      </w:pPr>
    </w:p>
    <w:p>
      <w:pPr>
        <w:ind w:left="2100" w:hanging="795"/>
        <w:spacing w:after="0"/>
        <w:tabs>
          <w:tab w:leader="none" w:pos="21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660" w:right="20" w:firstLine="645"/>
        <w:spacing w:after="0" w:line="277" w:lineRule="auto"/>
        <w:tabs>
          <w:tab w:leader="none" w:pos="208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constituting Restricted Payments, the LNG Group Members may enter into and consummate transactions permitted by any provision of Section 6.4, 6.5 (other than Section 6.5(b)), 6.8 or 6.9;</w:t>
      </w:r>
    </w:p>
    <w:p>
      <w:pPr>
        <w:spacing w:after="0" w:line="224" w:lineRule="exact"/>
        <w:rPr>
          <w:rFonts w:ascii="Arial" w:cs="Arial" w:eastAsia="Arial" w:hAnsi="Arial"/>
          <w:sz w:val="18"/>
          <w:szCs w:val="18"/>
          <w:color w:val="auto"/>
        </w:rPr>
      </w:pPr>
    </w:p>
    <w:p>
      <w:pPr>
        <w:ind w:left="2100" w:hanging="795"/>
        <w:spacing w:after="0"/>
        <w:tabs>
          <w:tab w:leader="none" w:pos="21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without duplication, Holdings 1 and/or Holdings 2 may make Restricted Payments:</w:t>
      </w:r>
    </w:p>
    <w:p>
      <w:pPr>
        <w:spacing w:after="0" w:line="279" w:lineRule="exact"/>
        <w:rPr>
          <w:rFonts w:ascii="Arial" w:cs="Arial" w:eastAsia="Arial" w:hAnsi="Arial"/>
          <w:sz w:val="18"/>
          <w:szCs w:val="18"/>
          <w:color w:val="auto"/>
        </w:rPr>
      </w:pPr>
    </w:p>
    <w:p>
      <w:pPr>
        <w:ind w:left="1300" w:right="40" w:firstLine="653"/>
        <w:spacing w:after="0" w:line="281" w:lineRule="auto"/>
        <w:tabs>
          <w:tab w:leader="none" w:pos="265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to pay the operating costs and expenses of Parent incurred in the ordinary course of business and other corporate overhead costs and expenses of Parent (including administrative, legal, accounting and similar expenses provided by third parties), in each case which are reasonable and customary and incurred in the ordinary course of business and attributable to the ownership or operations of Holdings, the Borrower and its Subsidiaries (including Unrestricted Subsidiaries) and any directors and officers liability insurance and reasonable and customary </w:t>
      </w:r>
      <w:r>
        <w:rPr>
          <w:rFonts w:ascii="Arial" w:cs="Arial" w:eastAsia="Arial" w:hAnsi="Arial"/>
          <w:sz w:val="19"/>
          <w:szCs w:val="19"/>
          <w:color w:val="auto"/>
        </w:rPr>
        <w:t>indemnification claims made by directors, managers or officers of Parent, in each case which</w:t>
      </w:r>
    </w:p>
    <w:p>
      <w:pPr>
        <w:spacing w:after="0" w:line="1" w:lineRule="exact"/>
        <w:rPr>
          <w:sz w:val="20"/>
          <w:szCs w:val="20"/>
          <w:color w:val="auto"/>
        </w:rPr>
      </w:pPr>
    </w:p>
    <w:p>
      <w:pPr>
        <w:ind w:left="1300" w:right="1040"/>
        <w:spacing w:after="0" w:line="237" w:lineRule="auto"/>
        <w:rPr>
          <w:sz w:val="20"/>
          <w:szCs w:val="20"/>
          <w:color w:val="auto"/>
        </w:rPr>
      </w:pPr>
      <w:r>
        <w:rPr>
          <w:rFonts w:ascii="Arial" w:cs="Arial" w:eastAsia="Arial" w:hAnsi="Arial"/>
          <w:sz w:val="22"/>
          <w:szCs w:val="22"/>
          <w:color w:val="auto"/>
        </w:rPr>
        <w:t>are attributable to the ownership or operations of Holdings, the Borrower and its Subsidiaries (including Unrestricted Subsidiaries);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52" w:right="319" w:bottom="1440" w:gutter="0" w:footer="0" w:header="0"/>
        </w:sectPr>
      </w:pPr>
    </w:p>
    <w:bookmarkStart w:id="252" w:name="page253"/>
    <w:bookmarkEnd w:id="252"/>
    <w:p>
      <w:pPr>
        <w:ind w:left="100" w:right="20" w:firstLine="653"/>
        <w:spacing w:after="0" w:line="285" w:lineRule="auto"/>
        <w:tabs>
          <w:tab w:leader="none" w:pos="145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to its equity holders with respect to any taxable period ending after the Closing Date for which Holdings 1 or Holdings 2, as applicable, is treated as a partnership or disregarded entity for U.S. federal income tax purposes, in an aggregate amount equal to the product of (A) the taxable income of Holdings 1 or Holdings 2, as applicable, for such taxable period (determined, for any taxable period with respect to which Holdings 1 or Holdings 2, as applicable, is a disregarded entity, as if such entity were a partnership), reduced by any cumulative net taxable loss with respect to all prior taxable periods ending after the Closing Date (determined as if all such taxable periods were one taxable period and determined, for any taxable period with respect to which Holdings 1 or Holdings 2, as applicable, is a disregarded entity, as if such entity were a partnership) to the extent such cumulative net taxable loss is of a character that would permit such loss to be deducted against the current period taxable income, taking into account any applicable limitations to which such cumulative net taxable losses are subject, as reasonably determined by Holdings 1 or Holdings 2, as applicable, and (B) the highest combined marginal U.S. federal, state and local income tax rate applicable to any direct or indirect equity owner of Holdings 1 or Holdings 2, as applicable, for such taxable period (taking into account the character of the taxable income in question (ordinary income, long-term capital gain, qualified dividend income, etc.) and the deductibility of state and local income taxes for U.S. federal income tax purposes (and any applicable limitations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distributions permitted under this clause (ii) in respect of the taxable period beginning prior to the Closing Date shall be reduced by the amount of estimated tax payments that should have been made by the direct or indirect equity owners of Holdings 1 or Holdings 2, as applicable, prior to the Closing Date (based on the assumptions used in this clause (ii)). Any distributions under this clause (ii) with respect to any taxable period may be made in quarterly installments during the course of such period using reasonable estimates of the anticipated aggregate amount of such distributions under this clause (ii) for such period, with any excess of aggregate installments with respect to any such period over the actual amount of such distributions permitted under this clause (ii) for such period reducing the amount of distributions permitted under this clause (ii) with respect to the immediately subsequent period (and, to the extent such excess is not fully absorbed in the immediately subsequent period, the following period(s));</w:t>
      </w:r>
    </w:p>
    <w:p>
      <w:pPr>
        <w:spacing w:after="0" w:line="222" w:lineRule="exact"/>
        <w:rPr>
          <w:rFonts w:ascii="Arial" w:cs="Arial" w:eastAsia="Arial" w:hAnsi="Arial"/>
          <w:sz w:val="16"/>
          <w:szCs w:val="16"/>
          <w:color w:val="auto"/>
        </w:rPr>
      </w:pPr>
    </w:p>
    <w:p>
      <w:pPr>
        <w:ind w:left="100" w:firstLine="653"/>
        <w:spacing w:after="0" w:line="253" w:lineRule="auto"/>
        <w:tabs>
          <w:tab w:leader="none" w:pos="15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to finance any Investment that would be permitted to be made pursuant to Section 6.8 if Parent were subject to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Restricted Payment shall be made substantially concurrently with the closing of such Investment and (B) Parent shall, immediately following the closing thereof, cause (1) all property acquired (whether Property or Capital Stock) to be contributed to the Borrower or any Subsidiary Guarantor or (2) the merger (to the extent permitted in Section 6.4) of the Person formed or acquired into Holdings, the Borrower or any of its Subsidiaries in order to consummate such Permitted Acquisition or </w:t>
      </w:r>
      <w:r>
        <w:rPr>
          <w:rFonts w:ascii="Arial" w:cs="Arial" w:eastAsia="Arial" w:hAnsi="Arial"/>
          <w:sz w:val="21"/>
          <w:szCs w:val="21"/>
          <w:color w:val="auto"/>
        </w:rPr>
        <w:t>Investment</w:t>
      </w:r>
      <w:r>
        <w:rPr>
          <w:rFonts w:ascii="Arial" w:cs="Arial" w:eastAsia="Arial" w:hAnsi="Arial"/>
          <w:sz w:val="18"/>
          <w:szCs w:val="18"/>
          <w:color w:val="auto"/>
        </w:rPr>
        <w:t>, in each case, in accordance with the requirements of Section 5.10;</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52" w:right="259" w:bottom="1440" w:gutter="0" w:footer="0" w:header="0"/>
        </w:sectPr>
      </w:pPr>
    </w:p>
    <w:bookmarkStart w:id="253" w:name="page254"/>
    <w:bookmarkEnd w:id="253"/>
    <w:p>
      <w:pPr>
        <w:ind w:left="1300" w:firstLine="653"/>
        <w:spacing w:after="0" w:line="259" w:lineRule="auto"/>
        <w:tabs>
          <w:tab w:leader="none" w:pos="274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and other benefits payable to officers and employees of Parent or any other direct or indirect parent company of Holdings 1 or Holdings 2, as applicable, to the extent such salaries, bonuses and other benefits are attributable to the ownership or operation of Holdings, the Borrower and the Subsidiaries (including Unrestricted Subsidiaries); and</w:t>
      </w:r>
    </w:p>
    <w:p>
      <w:pPr>
        <w:spacing w:after="0" w:line="240" w:lineRule="exact"/>
        <w:rPr>
          <w:rFonts w:ascii="Arial" w:cs="Arial" w:eastAsia="Arial" w:hAnsi="Arial"/>
          <w:sz w:val="18"/>
          <w:szCs w:val="18"/>
          <w:color w:val="auto"/>
        </w:rPr>
      </w:pPr>
    </w:p>
    <w:p>
      <w:pPr>
        <w:ind w:left="1300" w:right="40" w:firstLine="653"/>
        <w:spacing w:after="0" w:line="259" w:lineRule="auto"/>
        <w:tabs>
          <w:tab w:leader="none" w:pos="269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after the Plant Completion Date and so long as no Excess Cash Restriction Period shall be continuing, the proceeds of which shall be used by Parent to pay (or to make dividends or distributions to allow any direct or indirect parent thereof to pay) fees and expenses related to any unsuccessful equity or debt offering by Parent (or any direct or indirect parent thereof) that is directly attributable to the operations of Holdings, the Borrower and its Subsidiaries.</w:t>
      </w:r>
    </w:p>
    <w:p>
      <w:pPr>
        <w:spacing w:after="0" w:line="240" w:lineRule="exact"/>
        <w:rPr>
          <w:rFonts w:ascii="Arial" w:cs="Arial" w:eastAsia="Arial" w:hAnsi="Arial"/>
          <w:sz w:val="18"/>
          <w:szCs w:val="18"/>
          <w:color w:val="auto"/>
        </w:rPr>
      </w:pPr>
    </w:p>
    <w:p>
      <w:pPr>
        <w:ind w:left="660" w:right="360" w:firstLine="645"/>
        <w:spacing w:after="0" w:line="308" w:lineRule="auto"/>
        <w:tabs>
          <w:tab w:leader="none" w:pos="211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so long as no Excess Cash Restriction Period shall be continuing, Holdings, the Borrower or any of its Subsidiaries may pay cash in lieu of fractional Capital Stock in connection with any dividend, split or combination thereof or any Permitted Acquisition;</w:t>
      </w:r>
    </w:p>
    <w:p>
      <w:pPr>
        <w:spacing w:after="0" w:line="200" w:lineRule="exact"/>
        <w:rPr>
          <w:rFonts w:ascii="Arial" w:cs="Arial" w:eastAsia="Arial" w:hAnsi="Arial"/>
          <w:sz w:val="17"/>
          <w:szCs w:val="17"/>
          <w:color w:val="auto"/>
        </w:rPr>
      </w:pPr>
    </w:p>
    <w:p>
      <w:pPr>
        <w:ind w:left="660" w:right="80" w:firstLine="645"/>
        <w:spacing w:after="0" w:line="286" w:lineRule="auto"/>
        <w:tabs>
          <w:tab w:leader="none" w:pos="212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after the Plant Completion Date and so long as no Excess Cash Restriction Period shall be continuing, any LNG Group Member may make Restricted Payments in an aggregate amount not to exceed the Available Amount as of such date and Not Otherwise Applied;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and immediately following, such Restricted Payment, no Default or Event of Default shall exist; and</w:t>
      </w:r>
    </w:p>
    <w:p>
      <w:pPr>
        <w:spacing w:after="0" w:line="219" w:lineRule="exact"/>
        <w:rPr>
          <w:rFonts w:ascii="Arial" w:cs="Arial" w:eastAsia="Arial" w:hAnsi="Arial"/>
          <w:sz w:val="17"/>
          <w:szCs w:val="17"/>
          <w:color w:val="auto"/>
        </w:rPr>
      </w:pPr>
    </w:p>
    <w:p>
      <w:pPr>
        <w:ind w:left="660" w:firstLine="645"/>
        <w:spacing w:after="0" w:line="342" w:lineRule="auto"/>
        <w:tabs>
          <w:tab w:leader="none" w:pos="212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so long as no Excess Cash Restriction Period shall be continuing, any LNG Group Member may make Restricted Payments from the proceeds of dividends or distributions received, directly or indirectly, by such LNG Group Member from an Unrestricted Subsidiary.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jc w:val="right"/>
              <w:ind w:right="510"/>
              <w:spacing w:after="0"/>
              <w:rPr>
                <w:sz w:val="20"/>
                <w:szCs w:val="20"/>
                <w:color w:val="auto"/>
              </w:rPr>
            </w:pPr>
            <w:r>
              <w:rPr>
                <w:rFonts w:ascii="Arial" w:cs="Arial" w:eastAsia="Arial" w:hAnsi="Arial"/>
                <w:sz w:val="18"/>
                <w:szCs w:val="18"/>
                <w:color w:val="auto"/>
              </w:rPr>
              <w:t>6.7</w:t>
            </w:r>
          </w:p>
        </w:tc>
        <w:tc>
          <w:tcPr>
            <w:tcW w:w="8980" w:type="dxa"/>
            <w:vAlign w:val="bottom"/>
            <w:gridSpan w:val="3"/>
          </w:tcPr>
          <w:p>
            <w:pPr>
              <w:spacing w:after="0"/>
              <w:rPr>
                <w:sz w:val="20"/>
                <w:szCs w:val="20"/>
                <w:color w:val="auto"/>
              </w:rPr>
            </w:pPr>
            <w:r>
              <w:rPr>
                <w:rFonts w:ascii="Arial" w:cs="Arial" w:eastAsia="Arial" w:hAnsi="Arial"/>
                <w:sz w:val="18"/>
                <w:szCs w:val="18"/>
                <w:color w:val="auto"/>
                <w:w w:val="90"/>
              </w:rPr>
              <w:t>Nature of Business. Engage in any material line of business substantially different from those lines of business conducted or</w:t>
            </w:r>
          </w:p>
        </w:tc>
      </w:tr>
      <w:tr>
        <w:trPr>
          <w:trHeight w:val="20"/>
        </w:trPr>
        <w:tc>
          <w:tcPr>
            <w:tcW w:w="2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7"/>
        </w:trPr>
        <w:tc>
          <w:tcPr>
            <w:tcW w:w="11100" w:type="dxa"/>
            <w:vAlign w:val="bottom"/>
            <w:gridSpan w:val="4"/>
          </w:tcPr>
          <w:p>
            <w:pPr>
              <w:spacing w:after="0"/>
              <w:rPr>
                <w:sz w:val="20"/>
                <w:szCs w:val="20"/>
                <w:color w:val="auto"/>
              </w:rPr>
            </w:pPr>
            <w:r>
              <w:rPr>
                <w:rFonts w:ascii="Arial" w:cs="Arial" w:eastAsia="Arial" w:hAnsi="Arial"/>
                <w:sz w:val="18"/>
                <w:szCs w:val="18"/>
                <w:color w:val="auto"/>
              </w:rPr>
              <w:t>proposed to be conducted by the LNG Group Members on the Closing Date or any Similar Business.</w:t>
            </w:r>
          </w:p>
        </w:tc>
      </w:tr>
      <w:tr>
        <w:trPr>
          <w:trHeight w:val="446"/>
        </w:trPr>
        <w:tc>
          <w:tcPr>
            <w:tcW w:w="2120" w:type="dxa"/>
            <w:vAlign w:val="bottom"/>
          </w:tcPr>
          <w:p>
            <w:pPr>
              <w:jc w:val="right"/>
              <w:ind w:right="510"/>
              <w:spacing w:after="0"/>
              <w:rPr>
                <w:sz w:val="20"/>
                <w:szCs w:val="20"/>
                <w:color w:val="auto"/>
              </w:rPr>
            </w:pPr>
            <w:r>
              <w:rPr>
                <w:rFonts w:ascii="Arial" w:cs="Arial" w:eastAsia="Arial" w:hAnsi="Arial"/>
                <w:sz w:val="18"/>
                <w:szCs w:val="18"/>
                <w:color w:val="auto"/>
              </w:rPr>
              <w:t>6.8</w:t>
            </w:r>
          </w:p>
        </w:tc>
        <w:tc>
          <w:tcPr>
            <w:tcW w:w="8980" w:type="dxa"/>
            <w:vAlign w:val="bottom"/>
            <w:gridSpan w:val="3"/>
          </w:tcPr>
          <w:p>
            <w:pPr>
              <w:spacing w:after="0"/>
              <w:rPr>
                <w:sz w:val="20"/>
                <w:szCs w:val="20"/>
                <w:color w:val="auto"/>
              </w:rPr>
            </w:pPr>
            <w:r>
              <w:rPr>
                <w:rFonts w:ascii="Arial" w:cs="Arial" w:eastAsia="Arial" w:hAnsi="Arial"/>
                <w:sz w:val="18"/>
                <w:szCs w:val="18"/>
                <w:color w:val="auto"/>
              </w:rPr>
              <w:t>Limitation on Investments. Make or hold any Investment, except:</w:t>
            </w:r>
          </w:p>
        </w:tc>
      </w:tr>
      <w:tr>
        <w:trPr>
          <w:trHeight w:val="20"/>
        </w:trPr>
        <w:tc>
          <w:tcPr>
            <w:tcW w:w="2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right="180" w:firstLine="645"/>
        <w:spacing w:after="0" w:line="279" w:lineRule="auto"/>
        <w:tabs>
          <w:tab w:leader="none" w:pos="210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extensions of trade credit (or notes receivable arising from such grant) and deposits, prepayments and other credits to suppliers made in the ordinary course of business, and Investments received in satisfaction or partial satisfaction thereof from financially troubled account debtors or in connection with the bankruptcy or reorganization of suppliers or customers or in settlement of delinquent obligations of, or other disputes with, suppliers and customers, and other credits to suppliers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4" w:name="page255"/>
    <w:bookmarkEnd w:id="254"/>
    <w:p>
      <w:pPr>
        <w:ind w:left="860" w:hanging="755"/>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in assets that were Cash Equivalents at the time such Investments were made;</w:t>
      </w:r>
    </w:p>
    <w:p>
      <w:pPr>
        <w:spacing w:after="0" w:line="279" w:lineRule="exact"/>
        <w:rPr>
          <w:rFonts w:ascii="Arial" w:cs="Arial" w:eastAsia="Arial" w:hAnsi="Arial"/>
          <w:sz w:val="18"/>
          <w:szCs w:val="18"/>
          <w:color w:val="auto"/>
        </w:rPr>
      </w:pPr>
    </w:p>
    <w:p>
      <w:pPr>
        <w:ind w:left="-540" w:firstLine="645"/>
        <w:spacing w:after="0" w:line="264" w:lineRule="auto"/>
        <w:tabs>
          <w:tab w:leader="none" w:pos="84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arising in connection with the incurrence of Indebtedness, Liens, fundamental changes, Dispositions, Restricted Payments and sale/leaseback transactions permitted by Sections 6.2, 6.3, 6.4, 6.5 (other than Section 6.5(b)), 6.6 (other than Section 6.6(f)) and 6.11, respectively;</w:t>
      </w:r>
    </w:p>
    <w:p>
      <w:pPr>
        <w:spacing w:after="0" w:line="235" w:lineRule="exact"/>
        <w:rPr>
          <w:rFonts w:ascii="Arial" w:cs="Arial" w:eastAsia="Arial" w:hAnsi="Arial"/>
          <w:sz w:val="18"/>
          <w:szCs w:val="18"/>
          <w:color w:val="auto"/>
        </w:rPr>
      </w:pPr>
    </w:p>
    <w:p>
      <w:pPr>
        <w:ind w:left="-540" w:right="20" w:firstLine="645"/>
        <w:spacing w:after="0" w:line="286" w:lineRule="auto"/>
        <w:tabs>
          <w:tab w:leader="none" w:pos="85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Investments (other than those relating to the incurrence of Indebtedness permitted by Section 6.8(c)) by (i) any LNG Group Member in the Borrower or any Person that, at the time of, prior to or immediately following the consummation of, such Investment, is a Subsidiary Guarantor, and (ii) any Subsidiary (other than a Subsidiary Guarantor) in any other Subsidiary (other than a Subsidiary Guarantor);</w:t>
      </w:r>
    </w:p>
    <w:p>
      <w:pPr>
        <w:spacing w:after="0" w:line="219" w:lineRule="exact"/>
        <w:rPr>
          <w:rFonts w:ascii="Arial" w:cs="Arial" w:eastAsia="Arial" w:hAnsi="Arial"/>
          <w:sz w:val="17"/>
          <w:szCs w:val="17"/>
          <w:color w:val="auto"/>
        </w:rPr>
      </w:pPr>
    </w:p>
    <w:p>
      <w:pPr>
        <w:ind w:left="-540" w:right="360" w:firstLine="645"/>
        <w:spacing w:after="0" w:line="342" w:lineRule="auto"/>
        <w:tabs>
          <w:tab w:leader="none" w:pos="84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Investments (other than those relating to the incurrence of Indebtedness permitted by Section 6.8(c)) by the Borrower or any Subsidiary Guarantor in any other Subsidiary (other than a Subsidiary Guarantor) (i) not to exceed $750,000 at any time outstanding;</w:t>
      </w:r>
    </w:p>
    <w:p>
      <w:pPr>
        <w:spacing w:after="0" w:line="177" w:lineRule="exact"/>
        <w:rPr>
          <w:rFonts w:ascii="Arial" w:cs="Arial" w:eastAsia="Arial" w:hAnsi="Arial"/>
          <w:sz w:val="16"/>
          <w:szCs w:val="16"/>
          <w:color w:val="auto"/>
        </w:rPr>
      </w:pPr>
    </w:p>
    <w:p>
      <w:pPr>
        <w:ind w:left="820" w:hanging="715"/>
        <w:spacing w:after="0"/>
        <w:tabs>
          <w:tab w:leader="none" w:pos="8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540" w:right="60" w:firstLine="645"/>
        <w:spacing w:after="0" w:line="277" w:lineRule="auto"/>
        <w:tabs>
          <w:tab w:leader="none" w:pos="8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so long as no Excess Cash Restriction Period shall be continuing, loans to any employee of the Borrower and/or its Subsidiaries, not to exceed an aggregate principal amount of $250,000 at any one time outstanding;</w:t>
      </w:r>
    </w:p>
    <w:p>
      <w:pPr>
        <w:spacing w:after="0" w:line="224" w:lineRule="exact"/>
        <w:rPr>
          <w:rFonts w:ascii="Arial" w:cs="Arial" w:eastAsia="Arial" w:hAnsi="Arial"/>
          <w:sz w:val="18"/>
          <w:szCs w:val="18"/>
          <w:color w:val="auto"/>
        </w:rPr>
      </w:pPr>
    </w:p>
    <w:p>
      <w:pPr>
        <w:ind w:left="860" w:hanging="755"/>
        <w:spacing w:after="0"/>
        <w:tabs>
          <w:tab w:leader="none" w:pos="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540" w:right="220" w:firstLine="645"/>
        <w:spacing w:after="0" w:line="302" w:lineRule="auto"/>
        <w:tabs>
          <w:tab w:leader="none" w:pos="87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Investments existing or contemplated on the Closing Date and set forth on </w:t>
      </w:r>
      <w:r>
        <w:rPr>
          <w:rFonts w:ascii="Arial" w:cs="Arial" w:eastAsia="Arial" w:hAnsi="Arial"/>
          <w:sz w:val="16"/>
          <w:szCs w:val="16"/>
          <w:u w:val="single" w:color="auto"/>
          <w:color w:val="auto"/>
        </w:rPr>
        <w:t>Schedule 6.8(i)</w:t>
      </w:r>
      <w:r>
        <w:rPr>
          <w:rFonts w:ascii="Arial" w:cs="Arial" w:eastAsia="Arial" w:hAnsi="Arial"/>
          <w:sz w:val="16"/>
          <w:szCs w:val="16"/>
          <w:color w:val="auto"/>
        </w:rPr>
        <w:t xml:space="preserve"> and any modification, replacement, renewal, reinvestment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Investment permitted pursuant to this Section 6.8(i) is not increased from the amount of such Investment on the Closing Date except (A) by capitalized amounts related to unpaid accrued interest and premium, (B) pursuant to the terms of such Investment as of the Closing Date or (C) as otherwise permitted by this Section 6.8;</w:t>
      </w:r>
    </w:p>
    <w:p>
      <w:pPr>
        <w:spacing w:after="0" w:line="208" w:lineRule="exact"/>
        <w:rPr>
          <w:rFonts w:ascii="Arial" w:cs="Arial" w:eastAsia="Arial" w:hAnsi="Arial"/>
          <w:sz w:val="16"/>
          <w:szCs w:val="16"/>
          <w:color w:val="auto"/>
        </w:rPr>
      </w:pPr>
    </w:p>
    <w:p>
      <w:pPr>
        <w:ind w:left="860" w:hanging="755"/>
        <w:spacing w:after="0"/>
        <w:tabs>
          <w:tab w:leader="none" w:pos="8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promissory notes and other non-cash consideration received in connection with Dispositions permitted by Section 6.5;</w:t>
      </w:r>
    </w:p>
    <w:p>
      <w:pPr>
        <w:spacing w:after="0" w:line="290" w:lineRule="exact"/>
        <w:rPr>
          <w:rFonts w:ascii="Arial" w:cs="Arial" w:eastAsia="Arial" w:hAnsi="Arial"/>
          <w:sz w:val="17"/>
          <w:szCs w:val="17"/>
          <w:color w:val="auto"/>
        </w:rPr>
      </w:pPr>
    </w:p>
    <w:p>
      <w:pPr>
        <w:ind w:left="860" w:hanging="755"/>
        <w:spacing w:after="0"/>
        <w:tabs>
          <w:tab w:leader="none" w:pos="8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after the Plant Completion Date and so long as no Excess Cash Restriction Period shall be continuing, Permitted Acquisitions;</w:t>
      </w:r>
    </w:p>
    <w:p>
      <w:pPr>
        <w:spacing w:after="0" w:line="302" w:lineRule="exact"/>
        <w:rPr>
          <w:rFonts w:ascii="Arial" w:cs="Arial" w:eastAsia="Arial" w:hAnsi="Arial"/>
          <w:sz w:val="16"/>
          <w:szCs w:val="16"/>
          <w:color w:val="auto"/>
        </w:rPr>
      </w:pPr>
    </w:p>
    <w:p>
      <w:pPr>
        <w:ind w:left="-540" w:right="220" w:firstLine="645"/>
        <w:spacing w:after="0" w:line="259" w:lineRule="auto"/>
        <w:tabs>
          <w:tab w:leader="none" w:pos="87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held by a Subsidiary acquired after the Closing Date or of a Person merged, amalgamated or consolidated with or into the Borrower or any Subsidiary in accordance with Section 6.4 to the extent that such Investments were not made in contemplation of or in connection with such acquisition, merger, amalgamation or consolidation and were in existence on the date of such acquisition, merger, amalgamation or consolidation;</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152" w:right="299" w:bottom="1440" w:gutter="0" w:footer="0" w:header="0"/>
        </w:sectPr>
      </w:pPr>
    </w:p>
    <w:bookmarkStart w:id="255" w:name="page256"/>
    <w:bookmarkEnd w:id="255"/>
    <w:p>
      <w:pPr>
        <w:ind w:left="660" w:right="640" w:firstLine="645"/>
        <w:spacing w:after="0" w:line="277" w:lineRule="auto"/>
        <w:tabs>
          <w:tab w:leader="none" w:pos="21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Guaranties by any LNG Group Member of leases (other than Capital Leases) or other obligations that do not constitute Indebtedness, in each case entered into in the ordinary course of business;</w:t>
      </w:r>
    </w:p>
    <w:p>
      <w:pPr>
        <w:spacing w:after="0" w:line="224" w:lineRule="exact"/>
        <w:rPr>
          <w:rFonts w:ascii="Arial" w:cs="Arial" w:eastAsia="Arial" w:hAnsi="Arial"/>
          <w:sz w:val="18"/>
          <w:szCs w:val="18"/>
          <w:color w:val="auto"/>
        </w:rPr>
      </w:pPr>
    </w:p>
    <w:p>
      <w:pPr>
        <w:ind w:left="660" w:right="60" w:firstLine="645"/>
        <w:spacing w:after="0" w:line="308" w:lineRule="auto"/>
        <w:tabs>
          <w:tab w:leader="none" w:pos="205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Investments consisting of Hedge Agreements not entered into for speculative purposes but to protect against changes in interest rates, commodity prices, foreign exchange rates, volumes or quantities in accordance with prudent industry practice;</w:t>
      </w:r>
    </w:p>
    <w:p>
      <w:pPr>
        <w:spacing w:after="0" w:line="200" w:lineRule="exact"/>
        <w:rPr>
          <w:rFonts w:ascii="Arial" w:cs="Arial" w:eastAsia="Arial" w:hAnsi="Arial"/>
          <w:sz w:val="17"/>
          <w:szCs w:val="17"/>
          <w:color w:val="auto"/>
        </w:rPr>
      </w:pPr>
    </w:p>
    <w:p>
      <w:pPr>
        <w:ind w:left="660" w:right="800" w:firstLine="645"/>
        <w:spacing w:after="0" w:line="308" w:lineRule="auto"/>
        <w:tabs>
          <w:tab w:leader="none" w:pos="205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after the Plant Completion Date and so long as no Excess Cash Restriction Period shall be continuing, Investments in Unrestricted Subsidiaries and joint ventures in an amount not to exceed $5,000,000 at any one time outstanding;</w:t>
      </w:r>
    </w:p>
    <w:p>
      <w:pPr>
        <w:spacing w:after="0" w:line="200" w:lineRule="exact"/>
        <w:rPr>
          <w:rFonts w:ascii="Arial" w:cs="Arial" w:eastAsia="Arial" w:hAnsi="Arial"/>
          <w:sz w:val="17"/>
          <w:szCs w:val="17"/>
          <w:color w:val="auto"/>
        </w:rPr>
      </w:pPr>
    </w:p>
    <w:p>
      <w:pPr>
        <w:jc w:val="both"/>
        <w:ind w:left="660" w:right="560" w:firstLine="645"/>
        <w:spacing w:after="0" w:line="264" w:lineRule="auto"/>
        <w:tabs>
          <w:tab w:leader="none" w:pos="20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after the Plant Completion Date and so long as no Excess Cash Restriction Period shall be continuing, Investments in an aggregate amount not to exceed the Available Amount as of such date to the extent Not Otherwise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immediately following, such Investment, no Default or Event of Default shall exist; and</w:t>
      </w:r>
    </w:p>
    <w:p>
      <w:pPr>
        <w:spacing w:after="0" w:line="235" w:lineRule="exact"/>
        <w:rPr>
          <w:rFonts w:ascii="Arial" w:cs="Arial" w:eastAsia="Arial" w:hAnsi="Arial"/>
          <w:sz w:val="18"/>
          <w:szCs w:val="18"/>
          <w:color w:val="auto"/>
        </w:rPr>
      </w:pPr>
    </w:p>
    <w:p>
      <w:pPr>
        <w:ind w:left="660" w:right="120" w:firstLine="645"/>
        <w:spacing w:after="0" w:line="277" w:lineRule="auto"/>
        <w:tabs>
          <w:tab w:leader="none" w:pos="20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so long as no Excess Cash Restriction Period shall be continuing, other Investments by any LNG Group Member in an amount not to exceed 1.0% of Total Assets, determined at the time such Investment is made, at any time outstanding.</w:t>
      </w:r>
    </w:p>
    <w:p>
      <w:pPr>
        <w:spacing w:after="0" w:line="224"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Limitation on Optional Payments and Modifications of Subordinated Debt Instruments and Certain Other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 on Modifications of Organizational Documents or Material Construction-Related Contracts</w:t>
      </w:r>
      <w:r>
        <w:rPr>
          <w:rFonts w:ascii="Arial" w:cs="Arial" w:eastAsia="Arial" w:hAnsi="Arial"/>
          <w:sz w:val="16"/>
          <w:szCs w:val="16"/>
          <w:color w:val="auto"/>
        </w:rPr>
        <w:t>. (a) Make any optional or voluntary payment, prepayment, repurchase or redemption of, or otherwise voluntarily or optionally defease, any Indebtedness that is secured by a Lien ranking junior to those securing the Obligations, expressly subordinated to the Obligations (collectively, “</w:t>
      </w:r>
      <w:r>
        <w:rPr>
          <w:rFonts w:ascii="Arial" w:cs="Arial" w:eastAsia="Arial" w:hAnsi="Arial"/>
          <w:sz w:val="16"/>
          <w:szCs w:val="16"/>
          <w:u w:val="single" w:color="auto"/>
          <w:color w:val="auto"/>
        </w:rPr>
        <w:t>Junior Debt</w:t>
      </w:r>
      <w:r>
        <w:rPr>
          <w:rFonts w:ascii="Arial" w:cs="Arial" w:eastAsia="Arial" w:hAnsi="Arial"/>
          <w:sz w:val="16"/>
          <w:szCs w:val="16"/>
          <w:color w:val="auto"/>
        </w:rPr>
        <w:t>”) or any unsecured Indebtedness for borrowed money, or segregate funds for any such payment, prepayment, repurchase, redemption or defeasance (each such payment, a “</w:t>
      </w:r>
      <w:r>
        <w:rPr>
          <w:rFonts w:ascii="Arial" w:cs="Arial" w:eastAsia="Arial" w:hAnsi="Arial"/>
          <w:sz w:val="16"/>
          <w:szCs w:val="16"/>
          <w:u w:val="single" w:color="auto"/>
          <w:color w:val="auto"/>
        </w:rPr>
        <w:t>Voluntary Prepayment</w:t>
      </w:r>
      <w:r>
        <w:rPr>
          <w:rFonts w:ascii="Arial" w:cs="Arial" w:eastAsia="Arial" w:hAnsi="Arial"/>
          <w:sz w:val="16"/>
          <w:szCs w:val="16"/>
          <w:color w:val="auto"/>
        </w:rPr>
        <w:t xml:space="preserve">”), other than, so long as no Excess Cash Restriction Period shall be continuing, (i) after the Plant Completion Date, Voluntary Prepayments in an aggregate amount not to exceed the Available Amount as of such date to the extent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and immediately following, such Voluntary Prepayments, no Default or Event of Default shall exist, (ii) Voluntary Prepayments payable in Capital Stock (other than Disqualified Capital Stock), (iii) Voluntary Prepayments payable in cash in lieu of fractional shares of such Capital Stock, (iv) Voluntary Prepayments made to any Loan Party or by a Non-Guarantor Subsidiary to another Non-Guarantor Subsidiary, (v) any other Voluntary Prepayment so long as, before and after giving effect to such Voluntary Prepayment, the Borrower is in Pro Forma Compliance with a Total Secured Debt Leverage Ratio of 3.00:1.00, (vi) any Voluntary Prepayment funded with the proceeds of any Indebtedness incurred in accordance with Section 6.2 and (vii) any other Voluntary Prepayment permitted under any Intercompany Debt Subordination Agreement; (b) amend, modify or otherwise change, or consent or agree to any amendment, modification, waiver or other change to, any term of any agreement governing or related to Junior Debt or Indebtedness permitted under Section 6.2(v) in a manner (1) that is not permitted by the applicable intercreditor or subordination agreement with respect thereto for the benefit of the Administrative Agent or the Lenders with respect to the Obligations or (2)</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that is materially adverse to the Lenders; or (c) </w:t>
      </w:r>
      <w:r>
        <w:rPr>
          <w:rFonts w:ascii="Arial" w:cs="Arial" w:eastAsia="Arial" w:hAnsi="Arial"/>
          <w:sz w:val="21"/>
          <w:szCs w:val="21"/>
          <w:color w:val="auto"/>
        </w:rPr>
        <w:t>amend its certificate of incorporation or other organizational documents or any Material</w:t>
      </w:r>
      <w:r>
        <w:rPr>
          <w:rFonts w:ascii="Arial" w:cs="Arial" w:eastAsia="Arial" w:hAnsi="Arial"/>
          <w:sz w:val="18"/>
          <w:szCs w:val="18"/>
          <w:color w:val="auto"/>
        </w:rPr>
        <w:t xml:space="preserve"> </w:t>
      </w:r>
      <w:r>
        <w:rPr>
          <w:rFonts w:ascii="Arial" w:cs="Arial" w:eastAsia="Arial" w:hAnsi="Arial"/>
          <w:sz w:val="21"/>
          <w:szCs w:val="21"/>
          <w:color w:val="auto"/>
        </w:rPr>
        <w:t>Construction-Related Contract in any manner that is materially adverse to the Lenders.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52" w:right="359" w:bottom="1440" w:gutter="0" w:footer="0" w:header="0"/>
        </w:sectPr>
      </w:pPr>
    </w:p>
    <w:bookmarkStart w:id="256" w:name="page257"/>
    <w:bookmarkEnd w:id="256"/>
    <w:p>
      <w:pPr>
        <w:ind w:firstLine="1297"/>
        <w:spacing w:after="0" w:line="270"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Limitation on Transactions with Affiliates</w:t>
      </w:r>
      <w:r>
        <w:rPr>
          <w:rFonts w:ascii="Arial" w:cs="Arial" w:eastAsia="Arial" w:hAnsi="Arial"/>
          <w:sz w:val="17"/>
          <w:szCs w:val="17"/>
          <w:color w:val="auto"/>
        </w:rPr>
        <w:t xml:space="preserve">. Enter into any transaction involving payments in excess of $200,000 (other than the issuance, repurchase, retirement or acquisition of employment and severance arrangements with officers and employees in the ordinary course of business and transactions pursuant to stock option plans and employee benefit plans and arrangements), including, without limitation, any purchase, sale, lease or exchange of Property, the rendering of any service or the payment of any management, advisory or similar fees, with any Affiliate (other than Holdings, the Borrower or any Subsidiary, or any entity that becomes a Subsidiary as a result of such transaction), unless such transaction (or, if applicable, the series of related transactions to which such transaction is related) is upon terms no less favorable to Holdings, the Borrower or such Subsidiary, as the case may be, than it would obtain in a comparable arm’s-length transaction with a Person that is not an Affiliate, other than (i) the payment of customary fees and reasonable out-of-pocket costs to, and indemnities provided on behalf of, directors, officers, employees and consultants (including those with respect to the Parent) in the ordinary course of business, (ii) Indebtedness permitted under Section 6.2, Restricted Payments permitted under Section 6.6 and Investments permitted under Section 6.8, (iii) the Transactions and (iv) the transactions set forth on </w:t>
      </w:r>
      <w:r>
        <w:rPr>
          <w:rFonts w:ascii="Arial" w:cs="Arial" w:eastAsia="Arial" w:hAnsi="Arial"/>
          <w:sz w:val="17"/>
          <w:szCs w:val="17"/>
          <w:u w:val="single" w:color="auto"/>
          <w:color w:val="auto"/>
        </w:rPr>
        <w:t>Schedule 6.10</w:t>
      </w:r>
      <w:r>
        <w:rPr>
          <w:rFonts w:ascii="Arial" w:cs="Arial" w:eastAsia="Arial" w:hAnsi="Arial"/>
          <w:sz w:val="17"/>
          <w:szCs w:val="17"/>
          <w:color w:val="auto"/>
        </w:rPr>
        <w:t>.</w:t>
      </w:r>
    </w:p>
    <w:p>
      <w:pPr>
        <w:spacing w:after="0" w:line="232"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Limitation on Sales and Leasebacks</w:t>
      </w:r>
      <w:r>
        <w:rPr>
          <w:rFonts w:ascii="Arial" w:cs="Arial" w:eastAsia="Arial" w:hAnsi="Arial"/>
          <w:sz w:val="16"/>
          <w:szCs w:val="16"/>
          <w:color w:val="auto"/>
        </w:rPr>
        <w:t>. Enter into any arrangement with any Person providing for the leasing by the Borrower or any Subsidiary of real or personal property which has been or is to be sold or transferred by the Borrower or such Subsidiary to such Person or to any other Person to whom funds have been or are to be advanced by such Person on the security of such property or rental obligations of the Borrower or such Subsidiary, other than any such arrangement whereupon such sale is permitted under Section 6.5 and is made for cash consideration in an amount at least equal to the fair market value of such property, and, if any Capital Lease Obligations are incurred therewith, such Indebtedness is permitted under Section 6.2.</w:t>
      </w:r>
    </w:p>
    <w:p>
      <w:pPr>
        <w:spacing w:after="0" w:line="212"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Limitation on Changes in Fiscal Periods</w:t>
      </w:r>
      <w:r>
        <w:rPr>
          <w:rFonts w:ascii="Arial" w:cs="Arial" w:eastAsia="Arial" w:hAnsi="Arial"/>
          <w:sz w:val="18"/>
          <w:szCs w:val="18"/>
          <w:color w:val="auto"/>
        </w:rPr>
        <w:t>. Permit the fiscal year of Holdings or the Borrower to end on a day other than December 31 or change any such Person’s method of determining fiscal quarters.</w:t>
      </w:r>
    </w:p>
    <w:p>
      <w:pPr>
        <w:spacing w:after="0" w:line="224" w:lineRule="exact"/>
        <w:rPr>
          <w:sz w:val="20"/>
          <w:szCs w:val="20"/>
          <w:color w:val="auto"/>
        </w:rPr>
      </w:pPr>
    </w:p>
    <w:p>
      <w:pPr>
        <w:ind w:right="100" w:firstLine="1297"/>
        <w:spacing w:after="0" w:line="283"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Limitation on Negative Pledge Clauses</w:t>
      </w:r>
      <w:r>
        <w:rPr>
          <w:rFonts w:ascii="Arial" w:cs="Arial" w:eastAsia="Arial" w:hAnsi="Arial"/>
          <w:sz w:val="16"/>
          <w:szCs w:val="16"/>
          <w:color w:val="auto"/>
        </w:rPr>
        <w:t>. Enter into or suffer to exist or become effective any agreement that prohibits or limits the ability of any Loan Party to create, incur, assume or suffer to exist any Lien upon any of its Property or revenues, whether now owned or hereafter acquired, to secure the Obligations or, in the case of any Guarantor, its obligations under any Guarantee Agreement, other than this Agreement and the other Loan Documents and except to the extent that any such agreement (a) exists as of the Closing Date or is a modification, amendment, restatement, replacement, refinancing, renewal or extension thereof (in each case to the extent not more burdensome), (b) is assumed by Holdings, the Borrower or any of its Subsidiaries in connection with any Acquisition permitted in Section 6.8 or is binding on any Subsidiary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was not entered into solely in contemplation of such Person becoming a Subsidiary), (c) is an agreement governing Indebtedness permitted by Section 6.2 or any customary provisions in leases, subleases, licenses, sublicenses, contracts for management or development of</w:t>
      </w:r>
    </w:p>
    <w:p>
      <w:pPr>
        <w:spacing w:after="0" w:line="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 xml:space="preserve">Property, asset sale agreements, merger agreements, stock purchase agreements and other contracts restricting the </w:t>
      </w:r>
      <w:r>
        <w:rPr>
          <w:rFonts w:ascii="Arial" w:cs="Arial" w:eastAsia="Arial" w:hAnsi="Arial"/>
          <w:sz w:val="19"/>
          <w:szCs w:val="19"/>
          <w:color w:val="auto"/>
        </w:rPr>
        <w:t>same, (d) is an agreement governing</w:t>
      </w:r>
      <w:r>
        <w:rPr>
          <w:rFonts w:ascii="Arial" w:cs="Arial" w:eastAsia="Arial" w:hAnsi="Arial"/>
          <w:sz w:val="16"/>
          <w:szCs w:val="16"/>
          <w:color w:val="auto"/>
        </w:rPr>
        <w:t xml:space="preserve"> </w:t>
      </w:r>
      <w:r>
        <w:rPr>
          <w:rFonts w:ascii="Arial" w:cs="Arial" w:eastAsia="Arial" w:hAnsi="Arial"/>
          <w:sz w:val="19"/>
          <w:szCs w:val="19"/>
          <w:color w:val="auto"/>
        </w:rPr>
        <w:t xml:space="preserve">any non-Wholly Owned Subsidiary or joint venture or a Contractual Obligation of any non-Wholly Owned Subsidiary or joint venture, (e) relates to cash or other deposits (including escrowed funds) received by Holdings, the Borrower or any of its Subsidiaries or (f) relates to assets subject to Liens permitted by Sections 6.3(c), 6.3(d), 6.3(e), 6.3(f), 6.3(g), 6.3(h), 6.3(i), 6.3(j), 6.3(l) or 6.3(y),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(i) to the extent any such agreement is entered into after the Closing Date, such prohibition or limitation shall only be effective against the Property or Person (and its Subsidiaries) acquired in such Acquisition, securing such Indebtedness or that is the subject of such other leases, subleases, licenses, sublicenses, agreements, contracts, deposits or liens and</w:t>
      </w:r>
    </w:p>
    <w:p>
      <w:pPr>
        <w:ind w:right="140" w:firstLine="8"/>
        <w:spacing w:after="0" w:line="237" w:lineRule="auto"/>
        <w:tabs>
          <w:tab w:leader="none" w:pos="318" w:val="left"/>
        </w:tabs>
        <w:numPr>
          <w:ilvl w:val="0"/>
          <w:numId w:val="239"/>
        </w:numPr>
        <w:rPr>
          <w:rFonts w:ascii="Arial" w:cs="Arial" w:eastAsia="Arial" w:hAnsi="Arial"/>
          <w:sz w:val="22"/>
          <w:szCs w:val="22"/>
          <w:color w:val="auto"/>
        </w:rPr>
      </w:pPr>
      <w:r>
        <w:rPr>
          <w:rFonts w:ascii="Arial" w:cs="Arial" w:eastAsia="Arial" w:hAnsi="Arial"/>
          <w:sz w:val="22"/>
          <w:szCs w:val="22"/>
          <w:color w:val="auto"/>
        </w:rPr>
        <w:t>solely with respect to any non-Wholly Owned Subsidiary or joint venture, such prohibition or limitation shall only be effective against the Property, revenues or Capital Stock of such non-Wholly Owned Subsidiary or joint venture.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57" w:name="page258"/>
    <w:bookmarkEnd w:id="257"/>
    <w:p>
      <w:pPr>
        <w:ind w:firstLine="1297"/>
        <w:spacing w:after="0" w:line="283"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Limitation on Restrictions on Subsidiary Distributions</w:t>
      </w:r>
      <w:r>
        <w:rPr>
          <w:rFonts w:ascii="Arial" w:cs="Arial" w:eastAsia="Arial" w:hAnsi="Arial"/>
          <w:sz w:val="16"/>
          <w:szCs w:val="16"/>
          <w:color w:val="auto"/>
        </w:rPr>
        <w:t>. Enter into or suffer to exist or become effective any consensual encumbrance or restriction on the ability of any Subsidiary to make Restricted Payments in respect of any Capital Stock of such Subsidiary held by the Borrower or any other Subsidiary, except for such encumbrances or restrictions existing under or by reason of (i) any restrictions existing under the Loan Documents, (ii) any restrictions with respect to a Subsidiary imposed pursuant to an agreement that has been entered into in connection with the Disposition of all or substantially all of the Capital Stock or assets of such Subsidiary and (iii) any agreement existing as of the Closing Date (or a modification, replacement, renewal or extension thereof) or that is assumed by Holdings, the Borrower or any of its Subsidiaries in connection with any Acquisition permitted in Section 6.8 or is binding on any Subsidiary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was not entered into solely in contemplation of such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any such agreement is entered into after the Closing Date, such encumbrance or restriction shall only be effective against (A) the Property or Person (and its Subsidiaries) acquired in such Acquisition, securing such Indebtedness or that is the subject of such Disposition or other leases, subleases, licenses, sublicenses, agreements or contracts, and (B) the distributions of any Subsidiary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Subsidiary shall not have any assets other than such assets to be Disposed of or acquired or financed) and</w:t>
      </w:r>
    </w:p>
    <w:p>
      <w:pPr>
        <w:spacing w:after="0" w:line="5" w:lineRule="exact"/>
        <w:rPr>
          <w:sz w:val="20"/>
          <w:szCs w:val="20"/>
          <w:color w:val="auto"/>
        </w:rPr>
      </w:pPr>
    </w:p>
    <w:p>
      <w:pPr>
        <w:ind w:right="460" w:firstLine="8"/>
        <w:spacing w:after="0" w:line="261" w:lineRule="auto"/>
        <w:tabs>
          <w:tab w:leader="none" w:pos="2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solely with respect to any non-Wholly Owned Subsidiary or joint venture, such encumbrance or restriction shall only be effective against such non-Wholly Owned Subsidiary or joint venture.</w:t>
      </w:r>
    </w:p>
    <w:p>
      <w:pPr>
        <w:spacing w:after="0" w:line="238"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Foreign Subsidiaries</w:t>
      </w:r>
      <w:r>
        <w:rPr>
          <w:rFonts w:ascii="Arial" w:cs="Arial" w:eastAsia="Arial" w:hAnsi="Arial"/>
          <w:sz w:val="18"/>
          <w:szCs w:val="18"/>
          <w:color w:val="auto"/>
        </w:rPr>
        <w:t>. Form or acquire any direct or indirect Subsidiary that is not organized under the Laws of the United States of America, any state thereof or the District of Columbia.</w:t>
      </w:r>
    </w:p>
    <w:p>
      <w:pPr>
        <w:spacing w:after="0" w:line="224"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Limitation on Activities of Holdings</w:t>
      </w:r>
      <w:r>
        <w:rPr>
          <w:rFonts w:ascii="Arial" w:cs="Arial" w:eastAsia="Arial" w:hAnsi="Arial"/>
          <w:sz w:val="16"/>
          <w:szCs w:val="16"/>
          <w:color w:val="auto"/>
        </w:rPr>
        <w:t>. In the case of Holdings, notwithstanding anything to the contrary in this Agreement or any other Loan Document, (i) directly conduct, transact or otherwise engage in, or commit to conduct, transact or otherwise engage in, any material business or operations other than those incidental to its ownership of interests in the Borrower, the maintenance of its legal existence (including the ability to incur fees, costs and expenses relating to such maintenance), the filing of tax returns and payment of taxes, and the preparation of reports to Governmental Authorities and its shareholders or partners, (ii) incur, create, assume or suffer to exist any Indebtedness or financial obligations except (w) Indebtedness permitted by Section 6.2(a), (b), (g)(x) and (r) and any other guarantee obligations required to be incurred hereunder, (x) nonconsensual obligations imposed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by operation of law, (y) pursu</w:t>
      </w:r>
      <w:r>
        <w:rPr>
          <w:rFonts w:ascii="Arial" w:cs="Arial" w:eastAsia="Arial" w:hAnsi="Arial"/>
          <w:sz w:val="20"/>
          <w:szCs w:val="20"/>
          <w:color w:val="auto"/>
        </w:rPr>
        <w:t>ant to the Loan Documents to which it is a party and (z) obligations with respect to its Capital Stock, or</w:t>
      </w:r>
    </w:p>
    <w:p>
      <w:pPr>
        <w:spacing w:after="0" w:line="13" w:lineRule="exact"/>
        <w:rPr>
          <w:sz w:val="20"/>
          <w:szCs w:val="20"/>
          <w:color w:val="auto"/>
        </w:rPr>
      </w:pPr>
    </w:p>
    <w:p>
      <w:pPr>
        <w:ind w:right="220" w:firstLine="8"/>
        <w:spacing w:after="0" w:line="233" w:lineRule="auto"/>
        <w:tabs>
          <w:tab w:leader="none" w:pos="378" w:val="left"/>
        </w:tabs>
        <w:numPr>
          <w:ilvl w:val="0"/>
          <w:numId w:val="241"/>
        </w:numPr>
        <w:rPr>
          <w:rFonts w:ascii="Arial" w:cs="Arial" w:eastAsia="Arial" w:hAnsi="Arial"/>
          <w:sz w:val="22"/>
          <w:szCs w:val="22"/>
          <w:color w:val="auto"/>
        </w:rPr>
      </w:pPr>
      <w:r>
        <w:rPr>
          <w:rFonts w:ascii="Arial" w:cs="Arial" w:eastAsia="Arial" w:hAnsi="Arial"/>
          <w:sz w:val="22"/>
          <w:szCs w:val="22"/>
          <w:color w:val="auto"/>
        </w:rPr>
        <w:t>directly own, lease, manage or otherwise operate any properties or assets (including Capital Stock, cash (other than cash received in connection with dividends made by the Borrower and Subsidiary Guarantors in accordance with Section 6.6 pending application in the manner contemplated by said Section) and cash equivalents) other than the ownership of interests in the Borrower.</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52" w:right="319" w:bottom="1440" w:gutter="0" w:footer="0" w:header="0"/>
        </w:sectPr>
      </w:pPr>
    </w:p>
    <w:bookmarkStart w:id="258" w:name="page259"/>
    <w:bookmarkEnd w:id="258"/>
    <w:p>
      <w:pPr>
        <w:ind w:right="200" w:firstLine="1297"/>
        <w:spacing w:after="0" w:line="302"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In-Balance Test</w:t>
      </w:r>
      <w:r>
        <w:rPr>
          <w:rFonts w:ascii="Arial" w:cs="Arial" w:eastAsia="Arial" w:hAnsi="Arial"/>
          <w:sz w:val="16"/>
          <w:szCs w:val="16"/>
          <w:color w:val="auto"/>
        </w:rPr>
        <w:t xml:space="preserve">. Permit the sum of (i) the Undrawn Amount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greater of (A) $24,326,768 less the Aggregate Equity Contribution made on or prior to such date and (B) $0,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amount of Unrestricted Cash included on the consolidated balance sheet of the Borrower and its Subsidiaries as of such date, to be less than the remaining costs as of such date reflected in the Budget to be incurred prior to the Plant Completion Date, as of the last day of any fiscal quarter ending prior to the Plant Completion Date (the “</w:t>
      </w:r>
      <w:r>
        <w:rPr>
          <w:rFonts w:ascii="Arial" w:cs="Arial" w:eastAsia="Arial" w:hAnsi="Arial"/>
          <w:sz w:val="16"/>
          <w:szCs w:val="16"/>
          <w:u w:val="single" w:color="auto"/>
          <w:color w:val="auto"/>
        </w:rPr>
        <w:t>In-Balance Test</w:t>
      </w:r>
      <w:r>
        <w:rPr>
          <w:rFonts w:ascii="Arial" w:cs="Arial" w:eastAsia="Arial" w:hAnsi="Arial"/>
          <w:sz w:val="16"/>
          <w:szCs w:val="16"/>
          <w:color w:val="auto"/>
        </w:rPr>
        <w:t>”).</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EVENTS OF DEFAULT</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events shall constitute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79" w:lineRule="exact"/>
        <w:rPr>
          <w:sz w:val="20"/>
          <w:szCs w:val="20"/>
          <w:color w:val="auto"/>
        </w:rPr>
      </w:pPr>
    </w:p>
    <w:p>
      <w:pPr>
        <w:jc w:val="both"/>
        <w:ind w:left="660" w:right="280" w:firstLine="645"/>
        <w:spacing w:after="0" w:line="286" w:lineRule="auto"/>
        <w:tabs>
          <w:tab w:leader="none" w:pos="204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Term Loan when due in accordance with the terms hereof; or the Borrower shall fail to pay any interest on any Term Loan, or any other amount payable hereunder or under any other Loan Document, within five Business Days after any such interest or other amount becomes due in accordance with the terms hereof or thereof; or</w:t>
      </w:r>
    </w:p>
    <w:p>
      <w:pPr>
        <w:spacing w:after="0" w:line="219" w:lineRule="exact"/>
        <w:rPr>
          <w:rFonts w:ascii="Arial" w:cs="Arial" w:eastAsia="Arial" w:hAnsi="Arial"/>
          <w:sz w:val="17"/>
          <w:szCs w:val="17"/>
          <w:color w:val="auto"/>
        </w:rPr>
      </w:pPr>
    </w:p>
    <w:p>
      <w:pPr>
        <w:ind w:left="660" w:right="40" w:firstLine="645"/>
        <w:spacing w:after="0" w:line="259" w:lineRule="auto"/>
        <w:tabs>
          <w:tab w:leader="none" w:pos="20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and is not remedied within 30 days after the date of such Default; or</w:t>
      </w:r>
    </w:p>
    <w:p>
      <w:pPr>
        <w:spacing w:after="0" w:line="240" w:lineRule="exact"/>
        <w:rPr>
          <w:rFonts w:ascii="Arial" w:cs="Arial" w:eastAsia="Arial" w:hAnsi="Arial"/>
          <w:sz w:val="18"/>
          <w:szCs w:val="18"/>
          <w:color w:val="auto"/>
        </w:rPr>
      </w:pPr>
    </w:p>
    <w:p>
      <w:pPr>
        <w:ind w:left="660" w:right="220" w:firstLine="645"/>
        <w:spacing w:after="0" w:line="277" w:lineRule="auto"/>
        <w:tabs>
          <w:tab w:leader="none" w:pos="204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Loan Party shall default in the observance or performance of any agreement contained in clause (i) of Section 5.4(a) (with respect to Holdings and the Borrower only), Section 5.7(a) or Section 6; or</w:t>
      </w:r>
    </w:p>
    <w:p>
      <w:pPr>
        <w:spacing w:after="0" w:line="224" w:lineRule="exact"/>
        <w:rPr>
          <w:rFonts w:ascii="Arial" w:cs="Arial" w:eastAsia="Arial" w:hAnsi="Arial"/>
          <w:sz w:val="18"/>
          <w:szCs w:val="18"/>
          <w:color w:val="auto"/>
        </w:rPr>
      </w:pPr>
    </w:p>
    <w:p>
      <w:pPr>
        <w:ind w:left="660" w:firstLine="645"/>
        <w:spacing w:after="0" w:line="273" w:lineRule="auto"/>
        <w:tabs>
          <w:tab w:leader="none" w:pos="205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any Loan Party shall default in the observance or performance of any other agreement contained in this Agreement or any other Loan Document (other than as provided in paragraphs (a) through (c) of this Section 7.1), and such default shall continue unremedied for a period of 30 days after the date on which the Borrower has received written notice of such failure from the Administrative Agent, or if such default is of a nature that it cannot with reasonable effort be completely remedied within said period of 30 days, such additional period of time as may be reasonably necessary to cure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applicable Loan Party commences such cure within such 30-day period and diligently prosecutes same, until completion, but in no event shall such extended period exceed 60 days; or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53" w:right="299" w:bottom="1440" w:gutter="0" w:footer="0" w:header="0"/>
        </w:sectPr>
      </w:pPr>
    </w:p>
    <w:bookmarkStart w:id="259" w:name="page260"/>
    <w:bookmarkEnd w:id="259"/>
    <w:p>
      <w:pPr>
        <w:ind w:firstLine="645"/>
        <w:spacing w:after="0" w:line="267" w:lineRule="auto"/>
        <w:tabs>
          <w:tab w:leader="none" w:pos="138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any LNG Group Member shall (i) default in making any payment of any principal of any Indebtedness (including, without limitation, any Guarantee Obligation or Hedge Agreement, but excluding the Term Loans) on the scheduled due date with respect thereto;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(other than (A) the voluntary sale or transfer of any asset securing such Indebtedness, (B) a refinancing of such Indebtedness permitted to be incurred pursuant to Section 6.2, (C) a drawing by a beneficiary under a letter of credit that gives rise to a reimbursement obligation in respect thereof in accordance with the terms of such Indebtedness, (D) an issuance of capital stock, incurrence of other Indebtedness or sale or other disposition of any assets, in each case that gives rise to mandatory prepayment with the net cash proceeds thereof, so long as such event shall not have otherwise resulted in an event of default with respect to such Indebtedness, and (E) any redemption, conversion or settlement of any such Indebtedness that is convertible into Capital Stock and/or cash pursuant to its terms unless such redemption, conversion or settlement results from a default thereunder),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to become subject to a mandatory offer to purchase by the obligor thereunder or (in the case of any such Indebtedness constituting a Guarantee Obligation) to become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default, event or condition described in clause (i), (ii) or (iii) of this paragraph (e) shall not at any time constitute an Event of Default unless, at such time, one or more defaults, events or conditions of the type described in clauses (i), (ii) and (iii) of this paragraph (e) shall have occurred and be continuing with respect to Indebtedness the aggregate outstanding principal amount of which exceeds $2,000,000; or</w:t>
      </w:r>
    </w:p>
    <w:p>
      <w:pPr>
        <w:spacing w:after="0" w:line="245" w:lineRule="exact"/>
        <w:rPr>
          <w:rFonts w:ascii="Arial" w:cs="Arial" w:eastAsia="Arial" w:hAnsi="Arial"/>
          <w:sz w:val="17"/>
          <w:szCs w:val="17"/>
          <w:color w:val="auto"/>
        </w:rPr>
      </w:pPr>
    </w:p>
    <w:p>
      <w:pPr>
        <w:ind w:firstLine="645"/>
        <w:spacing w:after="0" w:line="281" w:lineRule="auto"/>
        <w:tabs>
          <w:tab w:leader="none" w:pos="13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 any LNG Group Member shall commence any case, proceeding or other action (A) under any existing or future law of any jurisdiction, domestic or foreign, relating to bankruptcy, insolvency, reorganization, arrangement or relief of debtors, seeking to have an order for relief entered with respect to it, or seeking to adjudicate it bankrupt or insolvent, or seeking reorganization, arrangement, adjustment, winding-up, liquidation, dissolution, composition or other relief with respect to it or its debts, except as permitted under Section 6.4(b) or Section 6.4(c), or (B) seeking appointment of a receiver, trustee, custodian, conservator, receiver and manager, liquidator, sequestrator, monitor, or other similar official for it or for all or any substantial part of its assets, or any LNG Group Member shall make a general assignment for the benefit of its creditors; or (ii) there shall be commenced against any LNG Group Member any case, proceeding or other action of a nature referred to in clause (i) above that (A) results in the entry of an order for relief or any such adjudication or appointment or (B) remains undismissed, undischarged, unstayed or unbonded for a period of 60 days; or (iii) there shall be commenced against any LNG Group Member any case, proceeding or other action seeking issuance of a warrant of attachment, execution, distraint or similar process against all or any substantial part of its assets that results in the entry of an order for any such relief that shall not have been </w:t>
      </w:r>
      <w:r>
        <w:rPr>
          <w:rFonts w:ascii="Arial" w:cs="Arial" w:eastAsia="Arial" w:hAnsi="Arial"/>
          <w:sz w:val="19"/>
          <w:szCs w:val="19"/>
          <w:color w:val="auto"/>
        </w:rPr>
        <w:t>paid, vacated, discharged, stayed or bonded pending appeal within 60 days from the entry</w:t>
      </w:r>
    </w:p>
    <w:p>
      <w:pPr>
        <w:spacing w:after="0" w:line="5" w:lineRule="exact"/>
        <w:rPr>
          <w:sz w:val="20"/>
          <w:szCs w:val="20"/>
          <w:color w:val="auto"/>
        </w:rPr>
      </w:pPr>
    </w:p>
    <w:p>
      <w:pPr>
        <w:jc w:val="both"/>
        <w:ind w:right="140"/>
        <w:spacing w:after="0" w:line="234" w:lineRule="auto"/>
        <w:rPr>
          <w:sz w:val="20"/>
          <w:szCs w:val="20"/>
          <w:color w:val="auto"/>
        </w:rPr>
      </w:pPr>
      <w:r>
        <w:rPr>
          <w:rFonts w:ascii="Arial" w:cs="Arial" w:eastAsia="Arial" w:hAnsi="Arial"/>
          <w:sz w:val="22"/>
          <w:szCs w:val="22"/>
          <w:color w:val="auto"/>
        </w:rPr>
        <w:t>thereof; or (iv) any LNG Group Member shall consent to, approve of, or acquiesce in, any of the acts set forth in clause (i), (ii), or (iii) above; or (v) any LNG Group Member shall be unable to, or shall admit in writing its inability to, pay its debts as they become due; or</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52" w:right="239" w:bottom="1440" w:gutter="0" w:footer="0" w:header="0"/>
        </w:sectPr>
      </w:pPr>
    </w:p>
    <w:bookmarkStart w:id="260" w:name="page261"/>
    <w:bookmarkEnd w:id="260"/>
    <w:p>
      <w:pPr>
        <w:ind w:left="-540" w:firstLine="645"/>
        <w:spacing w:after="0" w:line="289" w:lineRule="auto"/>
        <w:tabs>
          <w:tab w:leader="none" w:pos="80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or Reorganization of, a Multiemployer Plan; and in each case in clauses (i) through (v) above, such event or condition results in or could reasonably be expected to result in a Material Adverse Effect; or</w:t>
      </w:r>
    </w:p>
    <w:p>
      <w:pPr>
        <w:spacing w:after="0" w:line="220" w:lineRule="exact"/>
        <w:rPr>
          <w:rFonts w:ascii="Arial" w:cs="Arial" w:eastAsia="Arial" w:hAnsi="Arial"/>
          <w:sz w:val="16"/>
          <w:szCs w:val="16"/>
          <w:color w:val="auto"/>
        </w:rPr>
      </w:pPr>
    </w:p>
    <w:p>
      <w:pPr>
        <w:ind w:left="800" w:hanging="695"/>
        <w:spacing w:after="0"/>
        <w:tabs>
          <w:tab w:leader="none" w:pos="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Event of Default under the Ground Lease shall occur; or</w:t>
      </w:r>
    </w:p>
    <w:p>
      <w:pPr>
        <w:spacing w:after="0" w:line="279" w:lineRule="exact"/>
        <w:rPr>
          <w:rFonts w:ascii="Arial" w:cs="Arial" w:eastAsia="Arial" w:hAnsi="Arial"/>
          <w:sz w:val="18"/>
          <w:szCs w:val="18"/>
          <w:color w:val="auto"/>
        </w:rPr>
      </w:pPr>
    </w:p>
    <w:p>
      <w:pPr>
        <w:ind w:left="-540" w:firstLine="645"/>
        <w:spacing w:after="0" w:line="259" w:lineRule="auto"/>
        <w:tabs>
          <w:tab w:leader="none" w:pos="81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any LNG Group Member involving for the LNG Group Members taken as a whole a liability (to the extent not paid or covered by insurance as to which the relevant insurance company has not denied coverage in writing) of $2,000,000 or more, and all such judgments or decrees shall not have been paid, vacated, discharged, stayed or bonded pending appeal within 60 days from the entry thereof; or</w:t>
      </w:r>
    </w:p>
    <w:p>
      <w:pPr>
        <w:spacing w:after="0" w:line="240" w:lineRule="exact"/>
        <w:rPr>
          <w:rFonts w:ascii="Arial" w:cs="Arial" w:eastAsia="Arial" w:hAnsi="Arial"/>
          <w:sz w:val="18"/>
          <w:szCs w:val="18"/>
          <w:color w:val="auto"/>
        </w:rPr>
      </w:pPr>
    </w:p>
    <w:p>
      <w:pPr>
        <w:ind w:left="-540" w:firstLine="645"/>
        <w:spacing w:after="0" w:line="254" w:lineRule="auto"/>
        <w:tabs>
          <w:tab w:leader="none" w:pos="81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of the Security Documents shall cease, for any reason (other than by reason of the express release thereof pursuant to Section 8.10 or the terms thereof or the failure of the Administrative Agent to file continuation statements or take any other actions required to be taken by the Administrative Agent under the Loan Documents), to be in full force and effect, or any Loan Party or any Affiliate of any Loan Party shall so assert in writing, or any Lien created by any of the Security Documents shall cease for any reason (other than by reason of the express release thereof pursuant to Section 8.10 or the terms thereof or by the failure of the Administrative Agent to file continuation statements or take any other actions required to be taken by the Administrative Agent under the Loan Documents) to be valid, perfected, enforceable and of the same effect and priority purported to be created thereby with respect to any of the Collateral, or any Loan Party or any Affiliate of any Loan Party shall so assert in writing; or</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52" w:right="259" w:bottom="1440" w:gutter="0" w:footer="0" w:header="0"/>
        </w:sectPr>
      </w:pPr>
    </w:p>
    <w:bookmarkStart w:id="261" w:name="page262"/>
    <w:bookmarkEnd w:id="261"/>
    <w:p>
      <w:pPr>
        <w:ind w:left="660" w:right="140" w:firstLine="645"/>
        <w:spacing w:after="0" w:line="280" w:lineRule="auto"/>
        <w:tabs>
          <w:tab w:leader="none" w:pos="205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the guarantee contained in any Guarantee Agreement shall cease, for any reason (other than by reason of the express release thereof pursuant to Section 8.10 or the </w:t>
      </w:r>
      <w:r>
        <w:rPr>
          <w:rFonts w:ascii="Arial" w:cs="Arial" w:eastAsia="Arial" w:hAnsi="Arial"/>
          <w:sz w:val="19"/>
          <w:szCs w:val="19"/>
          <w:color w:val="auto"/>
        </w:rPr>
        <w:t>terms thereof), to be in full force and effect or any Loan Party or any Affiliate of any Loan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shall so assert in writing; or</w:t>
      </w:r>
    </w:p>
    <w:p>
      <w:pPr>
        <w:spacing w:after="0" w:line="249" w:lineRule="exact"/>
        <w:rPr>
          <w:sz w:val="20"/>
          <w:szCs w:val="20"/>
          <w:color w:val="auto"/>
        </w:rPr>
      </w:pPr>
    </w:p>
    <w:p>
      <w:pPr>
        <w:ind w:left="2060" w:hanging="755"/>
        <w:spacing w:after="0"/>
        <w:tabs>
          <w:tab w:leader="none" w:pos="2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Change of Control shall occur; or</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Plant Completion Date has not occurred by May 15, 2016.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If any Event of Default shall have occurred and be continuing, then, and in any such event, (A) if such event is an Event of Default specified in clause (i) or</w:t>
      </w:r>
    </w:p>
    <w:p>
      <w:pPr>
        <w:spacing w:after="0" w:line="46" w:lineRule="exact"/>
        <w:rPr>
          <w:sz w:val="20"/>
          <w:szCs w:val="20"/>
          <w:color w:val="auto"/>
        </w:rPr>
      </w:pPr>
    </w:p>
    <w:p>
      <w:pPr>
        <w:ind w:left="280" w:hanging="272"/>
        <w:spacing w:after="0"/>
        <w:tabs>
          <w:tab w:leader="none" w:pos="2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of paragraph (f) above with respect to the Borrower, the Term Loans hereunder (with accrued interest thereon) and all other amounts owing under this</w:t>
      </w:r>
    </w:p>
    <w:p>
      <w:pPr>
        <w:spacing w:after="0" w:line="32"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Agreement and the 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declare the Term Loans hereunder (with accrued interest thereon) and all other amounts owing under this Agreement and the other Loan Documents to be due and payable forthwith, whereupon the same shall immediately become due and payable.</w:t>
      </w:r>
    </w:p>
    <w:p>
      <w:pPr>
        <w:spacing w:after="0" w:line="23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All proceeds collected by the Administrative Agent upon any collection, sale, foreclosure or other realization upon any Collateral (including without limitation any distribution pursuant to a plan of reorganization), including any Collateral consisting of cash, shall be applied as follows:</w:t>
      </w:r>
    </w:p>
    <w:p>
      <w:pPr>
        <w:spacing w:after="0" w:line="208" w:lineRule="exact"/>
        <w:rPr>
          <w:sz w:val="20"/>
          <w:szCs w:val="20"/>
          <w:color w:val="auto"/>
        </w:rPr>
      </w:pPr>
    </w:p>
    <w:p>
      <w:pPr>
        <w:ind w:left="660" w:firstLine="648"/>
        <w:spacing w:after="0" w:line="276"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all costs and expenses incurred by the Administrative Agent (in its capacity as such hereunder or under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200" w:lineRule="exact"/>
        <w:rPr>
          <w:sz w:val="20"/>
          <w:szCs w:val="20"/>
          <w:color w:val="auto"/>
        </w:rPr>
      </w:pPr>
    </w:p>
    <w:p>
      <w:pPr>
        <w:ind w:left="660" w:right="7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in full of all Obligations (the amounts so applied to be distributed among the Secured Parties pro rata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amounts of the Obligations owed to them on the date of any such distribution);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Loan Parties, their successors or assigns, or as a court of competent jurisdiction may otherwise direct.</w:t>
      </w:r>
    </w:p>
    <w:p>
      <w:pPr>
        <w:spacing w:after="0" w:line="252"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 xml:space="preserve">In addition, in the event that the Administrative Agent receives any non-cash distribution upon any collection, sale, foreclosure or other realization upon any Collateral, such non-cash distribution shall be allocated in the manner described above, with the value of such non-cash distribution being reasonably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apply any cash distribution in accordance with this Section 7.2 prior to application of any such non-cash distribution. The Administrative Agent shall have absolute discretion as to the time of application of any such proceeds, moneys or balances in accordance with this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2" w:name="page263"/>
    <w:bookmarkEnd w:id="262"/>
    <w:p>
      <w:pPr>
        <w:ind w:left="1300"/>
        <w:spacing w:after="0"/>
        <w:tabs>
          <w:tab w:leader="none" w:pos="2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Cure Right</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87" w:lineRule="auto"/>
        <w:tabs>
          <w:tab w:leader="none" w:pos="203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the event that (x) an Excess Cash Restriction Period occurs or is expected to occur in respect of any Test Period or (y) the ECF Percentage is equal to or is expected to equal 100% in respect of any Test Period, on or before the tenth Business Day after the date that the financial statements with respect to the fiscal quarter or fiscal year, as applicable, ending on the last day of such Test Period are required to be delivered pursuant to Section 5.1, Fortress shall have the right (the “</w:t>
      </w:r>
      <w:r>
        <w:rPr>
          <w:rFonts w:ascii="Arial" w:cs="Arial" w:eastAsia="Arial" w:hAnsi="Arial"/>
          <w:sz w:val="16"/>
          <w:szCs w:val="16"/>
          <w:u w:val="single" w:color="auto"/>
          <w:color w:val="auto"/>
        </w:rPr>
        <w:t>Cure Right</w:t>
      </w:r>
      <w:r>
        <w:rPr>
          <w:rFonts w:ascii="Arial" w:cs="Arial" w:eastAsia="Arial" w:hAnsi="Arial"/>
          <w:sz w:val="16"/>
          <w:szCs w:val="16"/>
          <w:color w:val="auto"/>
        </w:rPr>
        <w:t>”), exercisable no more than two times during the term of this Agreement, to make, or cause one or more Affiliates of Fortress to make, cash contributions to, or purchase for cash common equity (or other Capital Stock not constituting Disqualified Capital Stock of, of Holdings (with such cash contributions or proceeds to be contributed to the Borrower in the form of common equity), in an amount equal to the amount required to cause an Excess Cash Restriction Period or an ECF Percentage of 100%, as applicable, to no longer occur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upon which the financial ratios set forth in such definition shall be recalculated, giving effect to a pro forma increase to Consolidated EBITDA of the Borrower and its Subsidiaries in accordance with the definition thereof for the fiscal quarter with respect to which such Cure Right was exercised in an amount equal to such Cure Amount (and such increase shall be included in each period that includes such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pro forma adjustment to Consolidated EBITDA of the Borrower and its Subsidiaries shall be given solely for the purpose of determining the occurrence of either an Excess Cash Restriction Period or an ECF Percentage of 100%, as applicable, and not for any other purpose under any Loan Document.</w:t>
      </w:r>
    </w:p>
    <w:p>
      <w:pPr>
        <w:spacing w:after="0" w:line="222" w:lineRule="exact"/>
        <w:rPr>
          <w:rFonts w:ascii="Arial" w:cs="Arial" w:eastAsia="Arial" w:hAnsi="Arial"/>
          <w:sz w:val="16"/>
          <w:szCs w:val="16"/>
          <w:color w:val="auto"/>
        </w:rPr>
      </w:pPr>
    </w:p>
    <w:p>
      <w:pPr>
        <w:ind w:right="260" w:firstLine="1305"/>
        <w:spacing w:after="0" w:line="276" w:lineRule="auto"/>
        <w:tabs>
          <w:tab w:leader="none" w:pos="204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If, after the exercise of the Cure Right and the recalculations pursuant to Section 7.3(a), the conditions to an Excess Cash Restriction Period or an ECF Percentage of 100%, as applicable, would no longer be satisfied, such Excess Cash Restriction Period or ECF Percentage of 100%, as applicable, shall be deemed to have not occurred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Cure Amount shall be no greater than the amount required to cause such Excess Cash Sweep Event to not apply and (ii) all Cure Amounts and the use of proceeds therefrom will be disregarded for all other purposes (including pro forma reduction of Indebtedness by netting or otherwise) under the Loan Documents.</w:t>
      </w:r>
    </w:p>
    <w:p>
      <w:pPr>
        <w:spacing w:after="0" w:line="226" w:lineRule="exact"/>
        <w:rPr>
          <w:rFonts w:ascii="Arial" w:cs="Arial" w:eastAsia="Arial" w:hAnsi="Arial"/>
          <w:sz w:val="17"/>
          <w:szCs w:val="17"/>
          <w:color w:val="auto"/>
        </w:rPr>
      </w:pPr>
    </w:p>
    <w:p>
      <w:pPr>
        <w:ind w:left="2040" w:hanging="735"/>
        <w:spacing w:after="0"/>
        <w:tabs>
          <w:tab w:leader="none" w:pos="20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For the avoidance of doubt, during the pendency of any cure right afforded to the LNG Group Members pursuant to Section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7.3(a), (i) the Administrative Agent shall not exercise any remedies described under Section 7.1 and (ii) no Term Loans may be borrowed.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3" w:name="page264"/>
    <w:bookmarkEnd w:id="263"/>
    <w:p>
      <w:pPr>
        <w:spacing w:after="0"/>
        <w:tabs>
          <w:tab w:leader="none" w:pos="15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THE ADMINISTRATIVE AGENT</w:t>
      </w:r>
    </w:p>
    <w:p>
      <w:pPr>
        <w:spacing w:after="0" w:line="27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w:t>
      </w:r>
    </w:p>
    <w:p>
      <w:pPr>
        <w:spacing w:after="0" w:line="279" w:lineRule="exact"/>
        <w:rPr>
          <w:sz w:val="20"/>
          <w:szCs w:val="20"/>
          <w:color w:val="auto"/>
        </w:rPr>
      </w:pPr>
    </w:p>
    <w:p>
      <w:pPr>
        <w:ind w:right="80" w:firstLine="1305"/>
        <w:spacing w:after="0" w:line="257" w:lineRule="auto"/>
        <w:tabs>
          <w:tab w:leader="none" w:pos="203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of the Lenders hereby irrevocably appoints MSSF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are solely for the benefit of the Administrative Agent and the Lenders, and none of the Borrower nor any other Loan Party shall have rights as a third party beneficiary of any of such provisions (except as provided in Section 8.6).</w:t>
      </w:r>
    </w:p>
    <w:p>
      <w:pPr>
        <w:spacing w:after="0" w:line="242" w:lineRule="exact"/>
        <w:rPr>
          <w:rFonts w:ascii="Arial" w:cs="Arial" w:eastAsia="Arial" w:hAnsi="Arial"/>
          <w:sz w:val="18"/>
          <w:szCs w:val="18"/>
          <w:color w:val="auto"/>
        </w:rPr>
      </w:pPr>
    </w:p>
    <w:p>
      <w:pPr>
        <w:ind w:left="2060" w:hanging="755"/>
        <w:spacing w:after="0"/>
        <w:tabs>
          <w:tab w:leader="none" w:pos="2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right="60" w:firstLine="1305"/>
        <w:spacing w:after="0" w:line="271" w:lineRule="auto"/>
        <w:tabs>
          <w:tab w:leader="none" w:pos="203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8.5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Section 8 and Section 9 (including Section 9.5(b), as though such co-agents, sub-agents and attorneys-in-fact were the collateral agent under the Loan Documents) as if set forth in full herein with respect thereto.</w:t>
      </w:r>
    </w:p>
    <w:p>
      <w:pPr>
        <w:spacing w:after="0" w:line="233" w:lineRule="exact"/>
        <w:rPr>
          <w:sz w:val="20"/>
          <w:szCs w:val="20"/>
          <w:color w:val="auto"/>
        </w:rPr>
      </w:pPr>
    </w:p>
    <w:p>
      <w:pPr>
        <w:ind w:right="200" w:firstLine="1297"/>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Such Person and its Affiliates may accept deposits from, lend money to, act as the financial advisor or in any other advisory capacity for and generally engage in any kind of business with Holdings, the Borrower or any Subsidiary or other Affiliate thereof as if such Person were not the Administrative Agent hereunder and without any duty to account therefor to the Lenders.</w:t>
      </w:r>
    </w:p>
    <w:p>
      <w:pPr>
        <w:spacing w:after="0" w:line="244"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224" w:lineRule="exact"/>
        <w:rPr>
          <w:sz w:val="20"/>
          <w:szCs w:val="20"/>
          <w:color w:val="auto"/>
        </w:rPr>
      </w:pPr>
    </w:p>
    <w:p>
      <w:pPr>
        <w:ind w:left="5580" w:right="460" w:hanging="4275"/>
        <w:spacing w:after="0" w:line="512" w:lineRule="auto"/>
        <w:tabs>
          <w:tab w:leader="none" w:pos="204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64" w:name="page265"/>
    <w:bookmarkEnd w:id="264"/>
    <w:p>
      <w:pPr>
        <w:ind w:left="-540" w:right="120" w:firstLine="645"/>
        <w:spacing w:after="0" w:line="276" w:lineRule="auto"/>
        <w:tabs>
          <w:tab w:leader="none" w:pos="76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226" w:lineRule="exact"/>
        <w:rPr>
          <w:rFonts w:ascii="Arial" w:cs="Arial" w:eastAsia="Arial" w:hAnsi="Arial"/>
          <w:sz w:val="17"/>
          <w:szCs w:val="17"/>
          <w:color w:val="auto"/>
        </w:rPr>
      </w:pPr>
    </w:p>
    <w:p>
      <w:pPr>
        <w:jc w:val="both"/>
        <w:ind w:left="-540" w:firstLine="645"/>
        <w:spacing w:after="0" w:line="264" w:lineRule="auto"/>
        <w:tabs>
          <w:tab w:leader="none" w:pos="84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235" w:lineRule="exact"/>
        <w:rPr>
          <w:rFonts w:ascii="Arial" w:cs="Arial" w:eastAsia="Arial" w:hAnsi="Arial"/>
          <w:sz w:val="18"/>
          <w:szCs w:val="18"/>
          <w:color w:val="auto"/>
        </w:rPr>
      </w:pPr>
    </w:p>
    <w:p>
      <w:pPr>
        <w:ind w:left="-540" w:right="40" w:firstLine="645"/>
        <w:spacing w:after="0" w:line="257" w:lineRule="auto"/>
        <w:tabs>
          <w:tab w:leader="none" w:pos="85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The Administrative Agent shall be deemed not to have knowledge of any Default unless and until notice describing such Default is given to the Administrative Agent by the Borrower or a Lender;</w:t>
      </w:r>
    </w:p>
    <w:p>
      <w:pPr>
        <w:spacing w:after="0" w:line="242" w:lineRule="exact"/>
        <w:rPr>
          <w:rFonts w:ascii="Arial" w:cs="Arial" w:eastAsia="Arial" w:hAnsi="Arial"/>
          <w:sz w:val="18"/>
          <w:szCs w:val="18"/>
          <w:color w:val="auto"/>
        </w:rPr>
      </w:pPr>
    </w:p>
    <w:p>
      <w:pPr>
        <w:ind w:left="-540" w:right="20" w:firstLine="645"/>
        <w:spacing w:after="0" w:line="269" w:lineRule="auto"/>
        <w:tabs>
          <w:tab w:leader="none" w:pos="84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Administrative Agent;</w:t>
      </w:r>
    </w:p>
    <w:p>
      <w:pPr>
        <w:spacing w:after="0" w:line="233" w:lineRule="exact"/>
        <w:rPr>
          <w:rFonts w:ascii="Arial" w:cs="Arial" w:eastAsia="Arial" w:hAnsi="Arial"/>
          <w:sz w:val="17"/>
          <w:szCs w:val="17"/>
          <w:color w:val="auto"/>
        </w:rPr>
      </w:pPr>
    </w:p>
    <w:p>
      <w:pPr>
        <w:ind w:left="4380" w:right="200" w:hanging="4275"/>
        <w:spacing w:after="0" w:line="512" w:lineRule="auto"/>
        <w:tabs>
          <w:tab w:leader="none" w:pos="82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shall not be required to qualify in any jurisdiction in which it is not presently qualified to perform its obligations as Agent; and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-113665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265" w:name="page266"/>
    <w:bookmarkEnd w:id="265"/>
    <w:p>
      <w:pPr>
        <w:jc w:val="both"/>
        <w:ind w:left="660" w:right="40" w:firstLine="645"/>
        <w:spacing w:after="0" w:line="280" w:lineRule="auto"/>
        <w:tabs>
          <w:tab w:leader="none" w:pos="200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shall not be required to (i) expend or risk its own funds or provide indemnities in the performance of any of its duties hereunder or the exercise of any of its rights </w:t>
      </w:r>
      <w:r>
        <w:rPr>
          <w:rFonts w:ascii="Arial" w:cs="Arial" w:eastAsia="Arial" w:hAnsi="Arial"/>
          <w:sz w:val="19"/>
          <w:szCs w:val="19"/>
          <w:color w:val="auto"/>
        </w:rPr>
        <w:t>or powers, or (ii) otherwise incur any financial liability in the performance of its duties hereunder</w:t>
      </w:r>
    </w:p>
    <w:p>
      <w:pPr>
        <w:spacing w:after="0" w:line="1" w:lineRule="exact"/>
        <w:rPr>
          <w:sz w:val="20"/>
          <w:szCs w:val="20"/>
          <w:color w:val="auto"/>
        </w:rPr>
      </w:pPr>
    </w:p>
    <w:p>
      <w:pPr>
        <w:ind w:left="660"/>
        <w:spacing w:after="0" w:line="249" w:lineRule="auto"/>
        <w:rPr>
          <w:sz w:val="20"/>
          <w:szCs w:val="20"/>
          <w:color w:val="auto"/>
        </w:rPr>
      </w:pPr>
      <w:r>
        <w:rPr>
          <w:rFonts w:ascii="Arial" w:cs="Arial" w:eastAsia="Arial" w:hAnsi="Arial"/>
          <w:sz w:val="21"/>
          <w:szCs w:val="21"/>
          <w:color w:val="auto"/>
        </w:rPr>
        <w:t>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judgment of a court of competent jurisdiction.</w:t>
      </w:r>
    </w:p>
    <w:p>
      <w:pPr>
        <w:spacing w:after="0" w:line="210"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No requirement in any Loan Document for a Loan Party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shall assert, and each Lender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Term Loan or the use of the proceeds thereof.</w:t>
      </w:r>
    </w:p>
    <w:p>
      <w:pPr>
        <w:spacing w:after="0" w:line="23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w:t>
      </w:r>
    </w:p>
    <w:p>
      <w:pPr>
        <w:spacing w:after="0" w:line="236"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6" w:name="page267"/>
    <w:bookmarkEnd w:id="266"/>
    <w:p>
      <w:pPr>
        <w:ind w:right="80" w:firstLine="1297"/>
        <w:spacing w:after="0" w:line="269"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The Administrative Agent may at any time give notice of its resignation to the Lenders and the Borrower. Upon receipt of any such notice of resignation, the Required Lenders shall have the right, with the consent of the Bor</w:t>
      </w:r>
      <w:r>
        <w:rPr>
          <w:rFonts w:ascii="Arial" w:cs="Arial" w:eastAsia="Arial" w:hAnsi="Arial"/>
          <w:sz w:val="19"/>
          <w:szCs w:val="19"/>
          <w:color w:val="auto"/>
        </w:rPr>
        <w:t>rower (not to be</w:t>
      </w:r>
      <w:r>
        <w:rPr>
          <w:rFonts w:ascii="Arial" w:cs="Arial" w:eastAsia="Arial" w:hAnsi="Arial"/>
          <w:sz w:val="16"/>
          <w:szCs w:val="16"/>
          <w:color w:val="auto"/>
        </w:rPr>
        <w:t xml:space="preserve"> </w:t>
      </w:r>
      <w:r>
        <w:rPr>
          <w:rFonts w:ascii="Arial" w:cs="Arial" w:eastAsia="Arial" w:hAnsi="Arial"/>
          <w:sz w:val="19"/>
          <w:szCs w:val="19"/>
          <w:color w:val="auto"/>
        </w:rPr>
        <w:t xml:space="preserve">unreasonably withheld or delayed) unless an Event of Default under Section 7.1(a) or (f)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with the consent of the Borrower (not to be unreasonably withheld or delayed) unless an Event of Default under Section 7.1(a) or (f) is continuing,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39"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33"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the Arranger listed on the cover page hereof shall not have any powers, duties or responsibilities under this Agreement or any of the other Loan Documents, except in its capacity, as applicable, as the Administrative Agent or a Lender hereunder.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67" w:name="page268"/>
    <w:bookmarkEnd w:id="267"/>
    <w:p>
      <w:pPr>
        <w:ind w:right="20" w:firstLine="1297"/>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41" w:lineRule="exact"/>
        <w:rPr>
          <w:sz w:val="20"/>
          <w:szCs w:val="20"/>
          <w:color w:val="auto"/>
        </w:rPr>
      </w:pPr>
    </w:p>
    <w:p>
      <w:pPr>
        <w:ind w:left="660" w:firstLine="645"/>
        <w:spacing w:after="0" w:line="257" w:lineRule="auto"/>
        <w:tabs>
          <w:tab w:leader="none" w:pos="20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2.12 and 9.5) allowed in such judicial proceeding; and</w:t>
      </w:r>
    </w:p>
    <w:p>
      <w:pPr>
        <w:spacing w:after="0" w:line="242" w:lineRule="exact"/>
        <w:rPr>
          <w:rFonts w:ascii="Arial" w:cs="Arial" w:eastAsia="Arial" w:hAnsi="Arial"/>
          <w:sz w:val="18"/>
          <w:szCs w:val="18"/>
          <w:color w:val="auto"/>
        </w:rPr>
      </w:pPr>
    </w:p>
    <w:p>
      <w:pPr>
        <w:ind w:left="2060" w:hanging="755"/>
        <w:spacing w:after="0"/>
        <w:tabs>
          <w:tab w:leader="none" w:pos="20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2.12 and 9.5.</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23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Collateral and Guaranty Matters; Rights Under Hedge Agreements</w:t>
      </w:r>
      <w:r>
        <w:rPr>
          <w:rFonts w:ascii="Arial" w:cs="Arial" w:eastAsia="Arial" w:hAnsi="Arial"/>
          <w:sz w:val="16"/>
          <w:szCs w:val="16"/>
          <w:color w:val="auto"/>
        </w:rPr>
        <w:t>.</w:t>
      </w:r>
    </w:p>
    <w:p>
      <w:pPr>
        <w:spacing w:after="0" w:line="279" w:lineRule="exact"/>
        <w:rPr>
          <w:sz w:val="20"/>
          <w:szCs w:val="20"/>
          <w:color w:val="auto"/>
        </w:rPr>
      </w:pPr>
    </w:p>
    <w:p>
      <w:pPr>
        <w:ind w:right="120" w:firstLine="1305"/>
        <w:spacing w:after="0" w:line="259" w:lineRule="auto"/>
        <w:tabs>
          <w:tab w:leader="none" w:pos="20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of the Lenders irrevocably authorizes the Administrative Agent to release or evidence the release of any Lien on any property granted to or held by the Administrative Agent under any Loan Document, to release any Guarantor from its obligations under a Guarantee Agreement or any Loan Document or to subordinate any Lien on any property granted to or held by the Administrative Agent under any Loan Document, in each case as provided in Section 9.22.</w:t>
      </w:r>
    </w:p>
    <w:p>
      <w:pPr>
        <w:spacing w:after="0" w:line="240" w:lineRule="exact"/>
        <w:rPr>
          <w:rFonts w:ascii="Arial" w:cs="Arial" w:eastAsia="Arial" w:hAnsi="Arial"/>
          <w:sz w:val="18"/>
          <w:szCs w:val="18"/>
          <w:color w:val="auto"/>
        </w:rPr>
      </w:pPr>
    </w:p>
    <w:p>
      <w:pPr>
        <w:ind w:right="100" w:firstLine="1305"/>
        <w:spacing w:after="0" w:line="264" w:lineRule="auto"/>
        <w:tabs>
          <w:tab w:leader="none" w:pos="20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Section 9.22.</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2" w:right="279" w:bottom="1440" w:gutter="0" w:footer="0" w:header="0"/>
        </w:sectPr>
      </w:pPr>
    </w:p>
    <w:bookmarkStart w:id="268" w:name="page269"/>
    <w:bookmarkEnd w:id="268"/>
    <w:p>
      <w:pPr>
        <w:ind w:right="40" w:firstLine="1305"/>
        <w:spacing w:after="0" w:line="279" w:lineRule="auto"/>
        <w:tabs>
          <w:tab w:leader="none" w:pos="20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No Secured Hedge Agreement will create (or be deemed to create) in favor of any Lender Counterparty that is a party thereto any rights to manage or release any Collateral or of the obligations of any Guarantor under the Loan Documents except as expressly provided in Section 9.1(ix). By accepting the benefits of the Collateral, such Lender Counterparty shall be deemed to have appointed the Administrative Agent as its agent and agreed to be bound by the Loan Documents as a Secured Party, subject to the limitations set forth in this clause (c).</w:t>
      </w:r>
    </w:p>
    <w:p>
      <w:pPr>
        <w:spacing w:after="0" w:line="22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Withholding Taxes</w:t>
      </w:r>
      <w:r>
        <w:rPr>
          <w:rFonts w:ascii="Arial" w:cs="Arial" w:eastAsia="Arial" w:hAnsi="Arial"/>
          <w:sz w:val="16"/>
          <w:szCs w:val="16"/>
          <w:color w:val="auto"/>
        </w:rPr>
        <w:t>. To the extent required by any applicable Requirements of Law, the Administrative Agent may withhold from any payment to any Lender an amount equivalent to any applicable withholding tax except to the extent that such Lender has established an exemption from or reduction of such withholding tax by complying with the requirements of paragraph (d), (e) or (f) of Section 2.21 or that such tax has been withheld by a Loan Party. Without limiting or expanding the provisions of Section 2.21,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w:t>
      </w:r>
    </w:p>
    <w:p>
      <w:pPr>
        <w:spacing w:after="0" w:line="22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MISCELLANEOUS</w:t>
      </w:r>
    </w:p>
    <w:p>
      <w:pPr>
        <w:spacing w:after="0" w:line="279"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69" w:name="page270"/>
    <w:bookmarkEnd w:id="269"/>
    <w:p>
      <w:pPr>
        <w:ind w:left="-540" w:right="20" w:firstLine="888"/>
        <w:spacing w:after="0" w:line="276" w:lineRule="auto"/>
        <w:tabs>
          <w:tab w:leader="none" w:pos="111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forgive the principal amount of any Term Loan, extend the final scheduled date of maturity of any Term Loan, reduce the stated rate of any interest, fee or premium payable under this Agreement (except in connection with the waiver of applicability of any postdefault increase in interest rates (which waiver shall be effective with the consent of the Required Lenders)), or extend the scheduled date of any Installment payment, extend the time for payment of any interest, fees or premium or increase the amount or extend the expiration date of any Commitment of any Lender, in each case without the consent of each Lender directly and adversely affected thereby;</w:t>
      </w:r>
    </w:p>
    <w:p>
      <w:pPr>
        <w:spacing w:after="0" w:line="226" w:lineRule="exact"/>
        <w:rPr>
          <w:rFonts w:ascii="Arial" w:cs="Arial" w:eastAsia="Arial" w:hAnsi="Arial"/>
          <w:sz w:val="17"/>
          <w:szCs w:val="17"/>
          <w:color w:val="auto"/>
        </w:rPr>
      </w:pPr>
    </w:p>
    <w:p>
      <w:pPr>
        <w:ind w:left="-540" w:firstLine="888"/>
        <w:spacing w:after="0" w:line="312" w:lineRule="auto"/>
        <w:tabs>
          <w:tab w:leader="none" w:pos="111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amend, modify or waive any provision of this Section 9.1 without the consent of each Lender, or, except as contemplated by the last paragraph of this Section 9.1, reduce any percentage specified in the definition of Required Lenders or reduce the consent required under any provision pursuant to which the consent of Required Lenders is necessary, in each case without the consent of each Lender directly affected thereby;</w:t>
      </w:r>
    </w:p>
    <w:p>
      <w:pPr>
        <w:spacing w:after="0" w:line="200" w:lineRule="exact"/>
        <w:rPr>
          <w:rFonts w:ascii="Arial" w:cs="Arial" w:eastAsia="Arial" w:hAnsi="Arial"/>
          <w:sz w:val="16"/>
          <w:szCs w:val="16"/>
          <w:color w:val="auto"/>
        </w:rPr>
      </w:pPr>
    </w:p>
    <w:p>
      <w:pPr>
        <w:ind w:left="-540" w:right="100" w:firstLine="888"/>
        <w:spacing w:after="0" w:line="277" w:lineRule="auto"/>
        <w:tabs>
          <w:tab w:leader="none" w:pos="11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consent to the assignment or transfer by the Borrower of any of its rights and obligations under this Agreement and the other Loan Documents without the consent of each Lender, other than to a Successor Borrower;</w:t>
      </w:r>
    </w:p>
    <w:p>
      <w:pPr>
        <w:spacing w:after="0" w:line="224" w:lineRule="exact"/>
        <w:rPr>
          <w:rFonts w:ascii="Arial" w:cs="Arial" w:eastAsia="Arial" w:hAnsi="Arial"/>
          <w:sz w:val="18"/>
          <w:szCs w:val="18"/>
          <w:color w:val="auto"/>
        </w:rPr>
      </w:pPr>
    </w:p>
    <w:p>
      <w:pPr>
        <w:ind w:left="-540" w:right="280" w:firstLine="888"/>
        <w:spacing w:after="0" w:line="277" w:lineRule="auto"/>
        <w:tabs>
          <w:tab w:leader="none" w:pos="109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amend, modify or waive any provision of Section 8, or any other provision affecting the rights, duties or obligations of the Administrative Agent, without the consent of the Administrative Agent;</w:t>
      </w:r>
    </w:p>
    <w:p>
      <w:pPr>
        <w:spacing w:after="0" w:line="224" w:lineRule="exact"/>
        <w:rPr>
          <w:rFonts w:ascii="Arial" w:cs="Arial" w:eastAsia="Arial" w:hAnsi="Arial"/>
          <w:sz w:val="18"/>
          <w:szCs w:val="18"/>
          <w:color w:val="auto"/>
        </w:rPr>
      </w:pPr>
    </w:p>
    <w:p>
      <w:pPr>
        <w:ind w:left="1100" w:hanging="752"/>
        <w:spacing w:after="0"/>
        <w:tabs>
          <w:tab w:leader="none" w:pos="110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amend, modify or waive any provision of Section 2.18 without the consent of each Lender directly affected thereby;</w:t>
      </w:r>
    </w:p>
    <w:p>
      <w:pPr>
        <w:spacing w:after="0" w:line="290" w:lineRule="exact"/>
        <w:rPr>
          <w:rFonts w:ascii="Arial" w:cs="Arial" w:eastAsia="Arial" w:hAnsi="Arial"/>
          <w:sz w:val="17"/>
          <w:szCs w:val="17"/>
          <w:color w:val="auto"/>
        </w:rPr>
      </w:pPr>
    </w:p>
    <w:p>
      <w:pPr>
        <w:ind w:left="1100" w:hanging="752"/>
        <w:spacing w:after="0"/>
        <w:tabs>
          <w:tab w:leader="none" w:pos="11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540" w:right="240" w:firstLine="888"/>
        <w:spacing w:after="0" w:line="277" w:lineRule="auto"/>
        <w:tabs>
          <w:tab w:leader="none" w:pos="102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upon satisfaction of the Termination Conditions or pursuant to Section 9.22, release all or any material portion of the Collateral in any transaction or series of related transactions, without the written consent of each Lender;</w:t>
      </w:r>
    </w:p>
    <w:p>
      <w:pPr>
        <w:spacing w:after="0" w:line="224" w:lineRule="exact"/>
        <w:rPr>
          <w:rFonts w:ascii="Arial" w:cs="Arial" w:eastAsia="Arial" w:hAnsi="Arial"/>
          <w:sz w:val="18"/>
          <w:szCs w:val="18"/>
          <w:color w:val="auto"/>
        </w:rPr>
      </w:pPr>
    </w:p>
    <w:p>
      <w:pPr>
        <w:ind w:left="-540" w:right="100" w:firstLine="888"/>
        <w:spacing w:after="0" w:line="264" w:lineRule="auto"/>
        <w:tabs>
          <w:tab w:leader="none" w:pos="108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release all or any material portion of the value of the Guarantee Agreements, without the written consent of each Lender, except (x) to the extent the release of any Subsidiary from a Guarantee Agreement is permitted pursuant to Section 9.22 (in which case such release may be made without the consent of any Lender) or (y) upon satisfaction of the Termination Conditions; or</w:t>
      </w:r>
    </w:p>
    <w:p>
      <w:pPr>
        <w:spacing w:after="0" w:line="235" w:lineRule="exact"/>
        <w:rPr>
          <w:rFonts w:ascii="Arial" w:cs="Arial" w:eastAsia="Arial" w:hAnsi="Arial"/>
          <w:sz w:val="18"/>
          <w:szCs w:val="18"/>
          <w:color w:val="auto"/>
        </w:rPr>
      </w:pPr>
    </w:p>
    <w:p>
      <w:pPr>
        <w:ind w:left="-540" w:right="320" w:firstLine="888"/>
        <w:spacing w:after="0" w:line="257" w:lineRule="auto"/>
        <w:tabs>
          <w:tab w:leader="none" w:pos="109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amend, modify or waive any provision of this Agreement or the Security Agreement so as to alter the ratable treatment of Obligations arising under the Loan Documents and Obligations arising under Secured Hedge Agreements or the definitions of “Lender Counterparty,” “Secured Hedge Agreement” or “Obligations” (with respect to the treatment of obligations under Secured Hedge Agreements) in each case in a manner adverse to any Lender Counterparty with Obligations then outstanding without the written consent of any such Lender Counterparty;</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152" w:right="279" w:bottom="1440" w:gutter="0" w:footer="0" w:header="0"/>
        </w:sectPr>
      </w:pPr>
    </w:p>
    <w:bookmarkStart w:id="270" w:name="page271"/>
    <w:bookmarkEnd w:id="270"/>
    <w:p>
      <w:pPr>
        <w:jc w:val="both"/>
        <w:ind w:right="20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Loan Document may be waived, amended, supplemented or modified pursuant to an agreement or agreements in writing entered into by Holdings, the Borrower and the Administrative Agent (without the consent of any Lender) solely to grant a new Lien for the benefit of the Secured Parties or extend an existing Lien over additional property.</w:t>
      </w:r>
    </w:p>
    <w:p>
      <w:pPr>
        <w:spacing w:after="0" w:line="208"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Any such waiver and any such amendment, supplement or modification shall apply equally to each of the Lenders and shall be binding upon the Loan Parties, the Lenders, the Administrative Agent and all future holders of the Term Loans and Commitments.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delivery of an executed signature page of any such instrument by facsimile transmission shall be effective as delivery of a manually executed counterpart thereof.</w:t>
      </w:r>
    </w:p>
    <w:p>
      <w:pPr>
        <w:spacing w:after="0" w:line="194"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Notwithstanding the foregoing, Guarantee Agreements, Security Documents and related documents executed in connection with this Agreement may be in a form reasonably determined by the Administrative Agent and may be, together with this Agreement, amended and waived with the consent of the Administrative Agent, Holdings and the Borrower only and without the need to obtain the consent of any Lender if such amendment or waiver is delivered solely to the extent necessary to (i) comply with local Law or advice of local counsel or (ii) cause such Guarantee Agreement, Security Document or related document to be consistent with this Agreement and the other Loan Documents (which, for the avoidance of doubt, includes resolving any conflicts between the operation of the terms in the Depositary Agreement and this Agreement).</w:t>
      </w:r>
    </w:p>
    <w:p>
      <w:pPr>
        <w:spacing w:after="0" w:line="205"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Notwithstanding the foregoing,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Commitments hereunder and the accrued interest and fees in respect thereof and (ii) to include appropriately the Lenders holding such credit facilities in any determination of the Required Lenders and provide for class voting to the extent appropriate.</w:t>
      </w:r>
    </w:p>
    <w:p>
      <w:pPr>
        <w:spacing w:after="0" w:line="185"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Notwithstanding anything to the contrary herein, in connection with any amendment, modification, waiver or other action requiring the consent or approval of Required Lenders, Lenders that are Affiliated Lenders shall not be permitted, in the aggregate, to account for more than 49.9% of the amounts actually included in determining whether the threshold in the definition of Required Lenders has been satisfied. The voting power of each Lender that is an Affiliated Lender shall be reduced, pro rata, to the extent necessary in order to comply with the immediately preceding sentence.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1" w:name="page272"/>
    <w:bookmarkEnd w:id="271"/>
    <w:p>
      <w:pPr>
        <w:jc w:val="both"/>
        <w:ind w:right="280" w:firstLine="1297"/>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Section 2.10(c), all notices, requests and demands to or upon the respective parties hereto to be effective shall be in writing (including by telefacsimile), and, unless otherwise expressly provided herein, shall be deemed to have been duly given or made when delivered, or three Business Days after being deposited in the mail, postage prepaid, or, in the case of telefacsimile notice, when</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received, addressed (a) in </w:t>
      </w:r>
      <w:r>
        <w:rPr>
          <w:rFonts w:ascii="Arial" w:cs="Arial" w:eastAsia="Arial" w:hAnsi="Arial"/>
          <w:sz w:val="19"/>
          <w:szCs w:val="19"/>
          <w:color w:val="auto"/>
        </w:rPr>
        <w:t>the case of Holdings, the Borrower and the Administrative Agent, as follows and (b) in the case of the</w:t>
      </w:r>
      <w:r>
        <w:rPr>
          <w:rFonts w:ascii="Arial" w:cs="Arial" w:eastAsia="Arial" w:hAnsi="Arial"/>
          <w:sz w:val="16"/>
          <w:szCs w:val="16"/>
          <w:color w:val="auto"/>
        </w:rPr>
        <w:t xml:space="preserve"> </w:t>
      </w:r>
      <w:r>
        <w:rPr>
          <w:rFonts w:ascii="Arial" w:cs="Arial" w:eastAsia="Arial" w:hAnsi="Arial"/>
          <w:sz w:val="19"/>
          <w:szCs w:val="19"/>
          <w:color w:val="auto"/>
        </w:rPr>
        <w:t xml:space="preserve">Lenders, at its primary address set forth below its name on </w:t>
      </w:r>
      <w:r>
        <w:rPr>
          <w:rFonts w:ascii="Arial" w:cs="Arial" w:eastAsia="Arial" w:hAnsi="Arial"/>
          <w:sz w:val="16"/>
          <w:szCs w:val="16"/>
          <w:u w:val="single" w:color="auto"/>
          <w:color w:val="auto"/>
        </w:rPr>
        <w:t>Appendix A</w:t>
      </w:r>
      <w:r>
        <w:rPr>
          <w:rFonts w:ascii="Arial" w:cs="Arial" w:eastAsia="Arial" w:hAnsi="Arial"/>
          <w:sz w:val="19"/>
          <w:szCs w:val="19"/>
          <w:color w:val="auto"/>
        </w:rPr>
        <w:t xml:space="preserve"> or otherwise indicated to Administrative Agent in writing or, in the case of a Lender which becomes a party to this Agreement pursuant to an Assignment and Acceptance, in such Assignment and Acceptance or (c) in the case of any party, to such other address as such party may hereafter notify to the other parties hereto:</w:t>
      </w:r>
    </w:p>
    <w:p>
      <w:pPr>
        <w:sectPr>
          <w:pgSz w:w="11900" w:h="16838" w:orient="portrait"/>
          <w:cols w:equalWidth="0" w:num="1">
            <w:col w:w="11340"/>
          </w:cols>
          <w:pgMar w:left="240" w:top="152" w:right="31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Holdings and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and the Borrower: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LNG Holdings (Florida)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1345 Avenue of the Americas, 46th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10105</w:t>
      </w:r>
    </w:p>
    <w:p>
      <w:pPr>
        <w:spacing w:after="0" w:line="200" w:lineRule="exact"/>
        <w:rPr>
          <w:sz w:val="20"/>
          <w:szCs w:val="20"/>
          <w:color w:val="auto"/>
        </w:rPr>
      </w:pPr>
    </w:p>
    <w:p>
      <w:pPr>
        <w:sectPr>
          <w:pgSz w:w="11900" w:h="16838" w:orient="portrait"/>
          <w:cols w:equalWidth="0" w:num="2">
            <w:col w:w="2620" w:space="620"/>
            <w:col w:w="8100"/>
          </w:cols>
          <w:pgMar w:left="240" w:top="152" w:right="319" w:bottom="1440" w:gutter="0" w:footer="0" w:header="0"/>
          <w:type w:val="continuous"/>
        </w:sectPr>
      </w:pPr>
    </w:p>
    <w:p>
      <w:pPr>
        <w:spacing w:after="0" w:line="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Fortress Investment Group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1345 Avenue of the Americas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 Nardone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798-6120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798-6110</w:t>
      </w:r>
    </w:p>
    <w:p>
      <w:pPr>
        <w:spacing w:after="0" w:line="200" w:lineRule="exact"/>
        <w:rPr>
          <w:sz w:val="20"/>
          <w:szCs w:val="20"/>
          <w:color w:val="auto"/>
        </w:rPr>
      </w:pPr>
    </w:p>
    <w:p>
      <w:pPr>
        <w:sectPr>
          <w:pgSz w:w="11900" w:h="16838" w:orient="portrait"/>
          <w:cols w:equalWidth="0" w:num="2">
            <w:col w:w="2520" w:space="720"/>
            <w:col w:w="8100"/>
          </w:cols>
          <w:pgMar w:left="240" w:top="152" w:right="319" w:bottom="1440" w:gutter="0" w:footer="0" w:header="0"/>
          <w:type w:val="continuous"/>
        </w:sectPr>
      </w:pPr>
    </w:p>
    <w:p>
      <w:pPr>
        <w:spacing w:after="0" w:line="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Skadden, Arps, Slate, Meagher &amp; Flom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155 N.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60606-1720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Seth E.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(312) 407-8511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 407-0889</w:t>
      </w:r>
    </w:p>
    <w:p>
      <w:pPr>
        <w:spacing w:after="0" w:line="200" w:lineRule="exact"/>
        <w:rPr>
          <w:sz w:val="20"/>
          <w:szCs w:val="20"/>
          <w:color w:val="auto"/>
        </w:rPr>
      </w:pPr>
    </w:p>
    <w:p>
      <w:pPr>
        <w:sectPr>
          <w:pgSz w:w="11900" w:h="16838" w:orient="portrait"/>
          <w:cols w:equalWidth="0" w:num="2">
            <w:col w:w="2520" w:space="720"/>
            <w:col w:w="8100"/>
          </w:cols>
          <w:pgMar w:left="240" w:top="152" w:right="319" w:bottom="1440" w:gutter="0" w:footer="0" w:header="0"/>
          <w:type w:val="continuous"/>
        </w:sectPr>
      </w:pPr>
    </w:p>
    <w:p>
      <w:pPr>
        <w:spacing w:after="0" w:line="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Administrative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Agency Servicing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New York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507-6680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msagency@morganstanley.com</w:t>
      </w:r>
    </w:p>
    <w:p>
      <w:pPr>
        <w:spacing w:after="0" w:line="200" w:lineRule="exact"/>
        <w:rPr>
          <w:sz w:val="20"/>
          <w:szCs w:val="20"/>
          <w:color w:val="auto"/>
        </w:rPr>
      </w:pPr>
    </w:p>
    <w:p>
      <w:pPr>
        <w:sectPr>
          <w:pgSz w:w="11900" w:h="16838" w:orient="portrait"/>
          <w:cols w:equalWidth="0" w:num="2">
            <w:col w:w="2700" w:space="540"/>
            <w:col w:w="8100"/>
          </w:cols>
          <w:pgMar w:left="240" w:top="152" w:right="31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Lender shall not be effective until received.</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52" w:right="319" w:bottom="1440" w:gutter="0" w:footer="0" w:header="0"/>
          <w:type w:val="continuous"/>
        </w:sectPr>
      </w:pPr>
    </w:p>
    <w:bookmarkStart w:id="272" w:name="page273"/>
    <w:bookmarkEnd w:id="272"/>
    <w:p>
      <w:pPr>
        <w:ind w:right="80" w:firstLine="1297"/>
        <w:spacing w:after="0" w:line="286" w:lineRule="auto"/>
        <w:rPr>
          <w:sz w:val="20"/>
          <w:szCs w:val="20"/>
          <w:color w:val="auto"/>
        </w:rPr>
      </w:pPr>
      <w:r>
        <w:rPr>
          <w:rFonts w:ascii="Arial" w:cs="Arial" w:eastAsia="Arial" w:hAnsi="Arial"/>
          <w:sz w:val="16"/>
          <w:szCs w:val="16"/>
          <w:color w:val="auto"/>
        </w:rPr>
        <w:t>THE PLATFORM IS PROVIDED “AS IS” AND “AS AVAILABLE.” THE AGENT PARTIES (AS DEFINED BELOW) DO NOT WARRANT THE ACCURACY OR COMPLETENESS OF THE MATERIALS AND/OR INFORMATION PROVIDED BY OR ON BEHALF OF THE BORROWER HEREUNDER (“</w:t>
      </w:r>
      <w:r>
        <w:rPr>
          <w:rFonts w:ascii="Arial" w:cs="Arial" w:eastAsia="Arial" w:hAnsi="Arial"/>
          <w:sz w:val="16"/>
          <w:szCs w:val="16"/>
          <w:u w:val="single" w:color="auto"/>
          <w:color w:val="auto"/>
        </w:rPr>
        <w:t>BORROWER MATERIALS</w:t>
      </w:r>
      <w:r>
        <w:rPr>
          <w:rFonts w:ascii="Arial" w:cs="Arial" w:eastAsia="Arial" w:hAnsi="Arial"/>
          <w:sz w:val="16"/>
          <w:szCs w:val="16"/>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Holdings, the Borrower, any Lender or any other Person for losses, claims, damages, liabilities or expenses of any kind (whether in tort, contract or otherwise) arising out of Holdings’, the Borrower’s or the Administrative Agent’s transmission of materials and/or information provided by or on behalf of the Borrower hereunder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Holdings, the Borrower, any Lender or any other Person for indirect, special, incidental, consequential or punitive damages (as opposed to direct or actual damages).</w:t>
      </w:r>
    </w:p>
    <w:p>
      <w:pPr>
        <w:spacing w:after="0" w:line="229"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4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herein, in the other Loan Documents and in any document, certificate or statement delivered pursuant hereto or in connection herewith shall survive the execution and delivery of this Agreement and the making of the Term Loans and other extensions of credit 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73" w:name="page274"/>
    <w:bookmarkEnd w:id="273"/>
    <w:p>
      <w:pPr>
        <w:ind w:left="1300"/>
        <w:spacing w:after="0"/>
        <w:tabs>
          <w:tab w:leader="none" w:pos="20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81" w:lineRule="auto"/>
        <w:tabs>
          <w:tab w:leader="none" w:pos="203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Borrower agrees (a) to pay or reimburse each of the Agents and the Arranger for all their reasonable out-of-pocket costs and expenses incurred in connection with the syndication of the Term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and documented fees and disbursements of a single law firm as counsel to the Agents and the Arranger and one local counsel to the Agents in any relevant jurisdiction and the charges of Intra-Links, (b) [Reserved], (c) to pay or reimburse each Lender and the Agents for all their reasonable and documented costs and expenses incurred in connection with the enforcement or preservation of any rights under this Agreement, the other Loan Documents and any other documents prepared in connection herewith or therewith, including, without limitation, all costs and expenses </w:t>
      </w:r>
      <w:r>
        <w:rPr>
          <w:rFonts w:ascii="Arial" w:cs="Arial" w:eastAsia="Arial" w:hAnsi="Arial"/>
          <w:sz w:val="19"/>
          <w:szCs w:val="19"/>
          <w:color w:val="auto"/>
        </w:rPr>
        <w:t>incurred</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during any legal proceeding, including any proceeding under any Debtor Relief Laws, the reasonable and documented fees and disbursements of a single law firm as counsel to the Lenders and the Agents 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(d) to pay, indemnify, or reimburse each Lender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(e) to pay, indemnify or reimburse each Lender, the Agents, their respective affiliates, and their respective officers, directors, trustees, employees, advisors, agents and controlling persons (each, an “</w:t>
      </w:r>
      <w:r>
        <w:rPr>
          <w:rFonts w:ascii="Arial" w:cs="Arial" w:eastAsia="Arial" w:hAnsi="Arial"/>
          <w:sz w:val="16"/>
          <w:szCs w:val="16"/>
          <w:u w:val="single" w:color="auto"/>
          <w:color w:val="auto"/>
        </w:rPr>
        <w:t>Indemnitee</w:t>
      </w:r>
      <w:r>
        <w:rPr>
          <w:rFonts w:ascii="Arial" w:cs="Arial" w:eastAsia="Arial" w:hAnsi="Arial"/>
          <w:sz w:val="19"/>
          <w:szCs w:val="19"/>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in each relevant jurisdiction) whether direct, indirect, special or consequential, incurred by an Indemnitee or asserted against any Indemnitee arising out of, in connection with, or as a result of (i)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(ii) any Term Loan or the use or proposed use of the proceeds thereof, (iii)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(iv) any actual or prospective claim, litigation, investigation or proceeding relating to any of the foregoing, whether based on contract, tort or any other theory, whether brought by any third party or by the Borrower or any other Loan Party, and regardless of whether any Indemnitee is a party thereto (all the foregoing in this clause (e), collectively, the “</w:t>
      </w:r>
      <w:r>
        <w:rPr>
          <w:rFonts w:ascii="Arial" w:cs="Arial" w:eastAsia="Arial" w:hAnsi="Arial"/>
          <w:sz w:val="16"/>
          <w:szCs w:val="16"/>
          <w:u w:val="single" w:color="auto"/>
          <w:color w:val="auto"/>
        </w:rPr>
        <w:t>Indemnified Liabilities</w:t>
      </w:r>
      <w:r>
        <w:rPr>
          <w:rFonts w:ascii="Arial" w:cs="Arial" w:eastAsia="Arial" w:hAnsi="Arial"/>
          <w:sz w:val="19"/>
          <w:szCs w:val="19"/>
          <w:color w:val="auto"/>
        </w:rPr>
        <w:t xml:space="preserve">”), but excluding, in each case, taxes other than any taxes that represent losses, damages, etc., in respect of a non-tax claim;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 Borrower or any of their respective affiliates, shareholders, partners or other equity holders and that is brought by an Indemnitee against another Indemnitee other than any claims against an Indemnitee in its capacity or in fulfilling its role as the Administrative Agent or the Arranger under the Term Loan Facility. No Indemnitee shall be liable for any damages arising from the use by unauthorized persons of information or other materials sent through electronic, telecommunications or other information transmission systems that are intercepted by such persons or for any special, indirect, consequential or punitive damages in connection with the Term Loan Facility.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except to the extent wholly unrelated to the Facility and this Agreement. All amounts due under this Section 9.5(a) shall be payable not later than 30 days after written demand therefor. Statements payable by the Borrower pursuant to this Section shall be submitted to R. Nardone (Telephone No. (212) 798-6110) (Fax No. (212) 798-6120), at the address of the Borrower set forth in Section 9.2, or to such other Person or address as may be hereafter designated by the Borrower in a notice to the Administrative Agent. The agreements in this Section shall survive the termination of the Commitments and the repayment of the Term Loans and all other amounts payable hereunder.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74" w:name="page275"/>
    <w:bookmarkEnd w:id="274"/>
    <w:p>
      <w:pPr>
        <w:ind w:left="-20" w:firstLine="1305"/>
        <w:spacing w:after="0" w:line="255" w:lineRule="auto"/>
        <w:tabs>
          <w:tab w:leader="none" w:pos="2027"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subsection (a) of this Section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w:t>
      </w:r>
    </w:p>
    <w:p>
      <w:pPr>
        <w:spacing w:after="0" w:line="243" w:lineRule="exact"/>
        <w:rPr>
          <w:sz w:val="20"/>
          <w:szCs w:val="20"/>
          <w:color w:val="auto"/>
        </w:rPr>
      </w:pPr>
    </w:p>
    <w:p>
      <w:pPr>
        <w:ind w:left="1280"/>
        <w:spacing w:after="0"/>
        <w:tabs>
          <w:tab w:leader="none" w:pos="20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279" w:lineRule="exact"/>
        <w:rPr>
          <w:sz w:val="20"/>
          <w:szCs w:val="20"/>
          <w:color w:val="auto"/>
        </w:rPr>
      </w:pPr>
    </w:p>
    <w:p>
      <w:pPr>
        <w:ind w:left="-20" w:right="40" w:firstLine="1305"/>
        <w:spacing w:after="0" w:line="259" w:lineRule="auto"/>
        <w:tabs>
          <w:tab w:leader="none" w:pos="201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Holdings, the Borrower, the Lenders, the Administrative Agent, all future holders of the Term Loans and their respective successors and assigns, except that the Borrower may not assign or transfer any of their rights or obligations under this Agreement except in a transaction permitted pursuant to Section 6.4(a)(i)(x) without the prior written consent of the Administrative Agent and each Lender.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52" w:right="259" w:bottom="1440" w:gutter="0" w:footer="0" w:header="0"/>
        </w:sectPr>
      </w:pPr>
    </w:p>
    <w:bookmarkStart w:id="275" w:name="page276"/>
    <w:bookmarkEnd w:id="275"/>
    <w:p>
      <w:pPr>
        <w:ind w:right="20" w:firstLine="1305"/>
        <w:spacing w:after="0" w:line="281" w:lineRule="auto"/>
        <w:tabs>
          <w:tab w:leader="none" w:pos="204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Lender may, without the consent of the Borrower, in accordance with applicable law, at any time sell to one or more banks, financial institutions or other entities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participating interests in any Term Loan owing to such Lender, any Commitment of such Lender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Lender shall be permitted to sell any such participating interest to (i) Fortress, any of its Affiliates (other than any Affiliated Loan Fund) or any of their respective associated investment funds, (ii) a natural person or (iii) any Disqualified Assignee.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w:t>
      </w:r>
      <w:r>
        <w:rPr>
          <w:rFonts w:ascii="Arial" w:cs="Arial" w:eastAsia="Arial" w:hAnsi="Arial"/>
          <w:sz w:val="19"/>
          <w:szCs w:val="19"/>
          <w:color w:val="auto"/>
        </w:rPr>
        <w:t>main the holder of such Term Loan and Commitments for all purposes under this Agreement and</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 xml:space="preserve">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the Lenders or of each affected Lender pursuant to Section 9.1. The Borrower agrees that if amounts outstanding under this Agreement and the Term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in purchasing such participating interest, such Participant shall be deemed to have agreed to share with the Lenders the proceeds thereof as provided in Section 9.7(a) as fully as if such Participant were a Lender hereunder. The Borrower also agrees that each Participant shall be entitled through the Lender granting the participation to the benefits of Sections 2.19, 2.20 or 2.21 (subject to the requirements and limitations of such Sections, Section 2.22 and 2.24, including the requirements of Section 2.21(d) through (g) (it being agreed that any required forms shall be provided solely to the participating Lender)) with respect to its participation in the Commitments and the Term Loans outstanding from time to time as if such Participant were a Lender;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 non-fiduciary agent of the Borrower, maintain a register on which it enters the name and address of each Participant and the principal and interest amounts of each Participant’s interest in the Term Loans held by it (the “</w:t>
      </w:r>
      <w:r>
        <w:rPr>
          <w:rFonts w:ascii="Arial" w:cs="Arial" w:eastAsia="Arial" w:hAnsi="Arial"/>
          <w:sz w:val="16"/>
          <w:szCs w:val="16"/>
          <w:u w:val="single" w:color="auto"/>
          <w:color w:val="auto"/>
        </w:rPr>
        <w:t>Participant 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and to confirm a Participant is not a Disqualified Assignee.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6" w:name="page277"/>
    <w:bookmarkEnd w:id="276"/>
    <w:p>
      <w:pPr>
        <w:ind w:right="40" w:firstLine="1305"/>
        <w:spacing w:after="0" w:line="281" w:lineRule="auto"/>
        <w:tabs>
          <w:tab w:leader="none" w:pos="203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u w:val="single" w:color="auto"/>
          <w:color w:val="auto"/>
        </w:rPr>
        <w:t>Assignor</w:t>
      </w:r>
      <w:r>
        <w:rPr>
          <w:rFonts w:ascii="Arial" w:cs="Arial" w:eastAsia="Arial" w:hAnsi="Arial"/>
          <w:sz w:val="16"/>
          <w:szCs w:val="16"/>
          <w:color w:val="auto"/>
        </w:rPr>
        <w:t xml:space="preserve">”) may, in accordance with applicable law and the written consent of the Administrative Agent (which shall not be unreasonably withheld or delayed, and which consent shall not be required in connection with an assignment made by or to the Arranger or Affiliate of the Arranger) and, so long as no Event of Default under Section 7.1(a) or (f) has occurred and is continuing, the Borrower (which shall not be unreasonably withheld or delayed, and which consent shall not be required in connection with an assignment made </w:t>
      </w:r>
      <w:r>
        <w:rPr>
          <w:rFonts w:ascii="Arial" w:cs="Arial" w:eastAsia="Arial" w:hAnsi="Arial"/>
          <w:sz w:val="19"/>
          <w:szCs w:val="19"/>
          <w:color w:val="auto"/>
        </w:rPr>
        <w:t>by or to the Arranger or Affiliate to</w:t>
      </w:r>
    </w:p>
    <w:p>
      <w:pPr>
        <w:spacing w:after="0" w:line="268" w:lineRule="auto"/>
        <w:rPr>
          <w:sz w:val="20"/>
          <w:szCs w:val="20"/>
          <w:color w:val="auto"/>
        </w:rPr>
      </w:pPr>
      <w:r>
        <w:rPr>
          <w:rFonts w:ascii="Arial" w:cs="Arial" w:eastAsia="Arial" w:hAnsi="Arial"/>
          <w:sz w:val="19"/>
          <w:szCs w:val="19"/>
          <w:color w:val="auto"/>
        </w:rPr>
        <w:t>the Arranger)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five Business Days after having received notice thereof), at any time and from time to time assign to any Lender or any affiliate, Related Fund or Control Investment Affiliate thereof, to an additional bank, financial institution or other entity (an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assignments made to any Lender, an affiliate of a Lender or a Related Fund will not be subject to the above described consents;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w:t>
      </w:r>
      <w:r>
        <w:rPr>
          <w:rFonts w:ascii="Arial" w:cs="Arial" w:eastAsia="Arial" w:hAnsi="Arial"/>
          <w:sz w:val="16"/>
          <w:szCs w:val="16"/>
          <w:u w:val="single" w:color="auto"/>
          <w:color w:val="auto"/>
        </w:rPr>
        <w:t>further</w:t>
      </w:r>
      <w:r>
        <w:rPr>
          <w:rFonts w:ascii="Arial" w:cs="Arial" w:eastAsia="Arial" w:hAnsi="Arial"/>
          <w:sz w:val="19"/>
          <w:szCs w:val="19"/>
          <w:color w:val="auto"/>
        </w:rPr>
        <w:t xml:space="preserve">, that no assignment to an Assignee (other than any Lender or any affiliate thereof) of Term Loans and Commitments shall be in an aggregate principal amount of less than $1,000,000 (other than in the case of an assignment of all of a Lender’s interests in the Term Loan Facility under this Agreement) and, after giving effect thereto, the assigning Lender (if it shall retain any Term Loans and Commitments) shall have Term Loans aggregating at least $1,000,000 unless otherwise agreed by the Administrative Agent and the Borrower;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w:t>
      </w:r>
      <w:r>
        <w:rPr>
          <w:rFonts w:ascii="Arial" w:cs="Arial" w:eastAsia="Arial" w:hAnsi="Arial"/>
          <w:sz w:val="16"/>
          <w:szCs w:val="16"/>
          <w:u w:val="single" w:color="auto"/>
          <w:color w:val="auto"/>
        </w:rPr>
        <w:t>however</w:t>
      </w:r>
      <w:r>
        <w:rPr>
          <w:rFonts w:ascii="Arial" w:cs="Arial" w:eastAsia="Arial" w:hAnsi="Arial"/>
          <w:sz w:val="19"/>
          <w:szCs w:val="19"/>
          <w:color w:val="auto"/>
        </w:rPr>
        <w:t xml:space="preserve">, no Lender shall be permitted to assign all or any part of its rights and obligations under this Agreement to (i) Fortress, any of its Affiliates or any of their respective associated investment funds (other than Holdings, the Borrower or any of their respective Subsidiaries), unless the additional limitations set forth in Section 9.6(d) are satisfied, (ii) Holdings, the Borrower or any of their respective Subsidiaries, except pursuant to Borrower Loan Purchase made in accordance with Section 9.6(i), (iii) any natural person or (iv) any Disqualified Assignee.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Term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2.20, 2.21 and 9.5 in respect of the period prior to such effective date). For purposes of the minimum assignment amounts set forth in this paragraph, multiple assignments by two or more Related Funds shall be aggregated. Any assignment or participation to a Disqualified Assignee is </w:t>
      </w:r>
      <w:r>
        <w:rPr>
          <w:rFonts w:ascii="Arial" w:cs="Arial" w:eastAsia="Arial" w:hAnsi="Arial"/>
          <w:sz w:val="16"/>
          <w:szCs w:val="16"/>
          <w:i w:val="1"/>
          <w:iCs w:val="1"/>
          <w:color w:val="auto"/>
        </w:rPr>
        <w:t>void ab initio</w:t>
      </w:r>
      <w:r>
        <w:rPr>
          <w:rFonts w:ascii="Arial" w:cs="Arial" w:eastAsia="Arial" w:hAnsi="Arial"/>
          <w:sz w:val="19"/>
          <w:szCs w:val="19"/>
          <w:color w:val="auto"/>
        </w:rPr>
        <w:t xml:space="preserve"> unless such assignment or participation, as the case may be, has been approved by the Borrower, in which case such assignee or participant shall not be considered a Disqualified Assignee solely for such particular assignment or participation, as the case may be. In the case of an assignment not approved by the Borrower, such Disqualified Assignee shall be deleted from the Register upon written notification from the Borrower. Except for providing the list of Disqualified Assignees to each Lender, the Administrative Agent shall have no responsibility or liability to monitor or enforce such list of Disqualified Assignees.</w:t>
      </w:r>
    </w:p>
    <w:p>
      <w:pPr>
        <w:spacing w:after="0" w:line="200" w:lineRule="exact"/>
        <w:rPr>
          <w:sz w:val="20"/>
          <w:szCs w:val="20"/>
          <w:color w:val="auto"/>
        </w:rPr>
      </w:pPr>
    </w:p>
    <w:p>
      <w:pPr>
        <w:spacing w:after="0" w:line="278" w:lineRule="exact"/>
        <w:rPr>
          <w:sz w:val="20"/>
          <w:szCs w:val="20"/>
          <w:color w:val="auto"/>
        </w:rPr>
      </w:pPr>
    </w:p>
    <w:p>
      <w:pPr>
        <w:ind w:right="80" w:firstLine="1305"/>
        <w:spacing w:after="0" w:line="257" w:lineRule="auto"/>
        <w:tabs>
          <w:tab w:leader="none" w:pos="20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any Lender may assign all or a portion of its Term Loans and Commitments to Fortress or any of its Affiliates or any of their respective associated investment funds, other than Holdings, the Borrower or any of their respective Subsidiaries (an “</w:t>
      </w:r>
      <w:r>
        <w:rPr>
          <w:rFonts w:ascii="Arial" w:cs="Arial" w:eastAsia="Arial" w:hAnsi="Arial"/>
          <w:sz w:val="18"/>
          <w:szCs w:val="18"/>
          <w:u w:val="single" w:color="auto"/>
          <w:color w:val="auto"/>
        </w:rPr>
        <w:t>Affiliated Lender</w:t>
      </w:r>
      <w:r>
        <w:rPr>
          <w:rFonts w:ascii="Arial" w:cs="Arial" w:eastAsia="Arial" w:hAnsi="Arial"/>
          <w:sz w:val="18"/>
          <w:szCs w:val="18"/>
          <w:color w:val="auto"/>
        </w:rPr>
        <w:t xml:space="preserve">”), pursuant to an Affiliated Lender Assignment and Assumption in accordance with this Section 9.6(d) (which assignment will not constitute a prepayment of Term Loans or termination of Commitments for any purposes of this Agreement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77" w:name="page278"/>
    <w:bookmarkEnd w:id="277"/>
    <w:p>
      <w:pPr>
        <w:ind w:left="-540" w:right="80" w:firstLine="888"/>
        <w:spacing w:after="0" w:line="259" w:lineRule="auto"/>
        <w:tabs>
          <w:tab w:leader="none" w:pos="117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Affiliated Lenders (other than Affiliated Loan Funds) will not have the right to receive, and will not receive, information provided solely to Lenders by the Administrative Agent or any Lender and will not be permitted to, and will not, attend or participate in meetings or conference calls attended solely by the Lenders and the Administrative Agent, other than the right to receive notices of prepayments and other administrative notices in respect of its Term Loans required to be delivered to the Lenders;</w:t>
      </w:r>
    </w:p>
    <w:p>
      <w:pPr>
        <w:spacing w:after="0" w:line="240" w:lineRule="exact"/>
        <w:rPr>
          <w:rFonts w:ascii="Arial" w:cs="Arial" w:eastAsia="Arial" w:hAnsi="Arial"/>
          <w:sz w:val="18"/>
          <w:szCs w:val="18"/>
          <w:color w:val="auto"/>
        </w:rPr>
      </w:pPr>
    </w:p>
    <w:p>
      <w:pPr>
        <w:ind w:left="-540" w:firstLine="888"/>
        <w:spacing w:after="0" w:line="287" w:lineRule="auto"/>
        <w:tabs>
          <w:tab w:leader="none" w:pos="116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notwithstanding anything in Section 9.1 or the definition of “</w:t>
      </w:r>
      <w:r>
        <w:rPr>
          <w:rFonts w:ascii="Arial" w:cs="Arial" w:eastAsia="Arial" w:hAnsi="Arial"/>
          <w:sz w:val="16"/>
          <w:szCs w:val="16"/>
          <w:u w:val="single" w:color="auto"/>
          <w:color w:val="auto"/>
        </w:rPr>
        <w:t>Required Lenders</w:t>
      </w:r>
      <w:r>
        <w:rPr>
          <w:rFonts w:ascii="Arial" w:cs="Arial" w:eastAsia="Arial" w:hAnsi="Arial"/>
          <w:sz w:val="16"/>
          <w:szCs w:val="16"/>
          <w:color w:val="auto"/>
        </w:rPr>
        <w:t>” to the contrary, for purposes of determining whether the “</w:t>
      </w:r>
      <w:r>
        <w:rPr>
          <w:rFonts w:ascii="Arial" w:cs="Arial" w:eastAsia="Arial" w:hAnsi="Arial"/>
          <w:sz w:val="16"/>
          <w:szCs w:val="16"/>
          <w:u w:val="single" w:color="auto"/>
          <w:color w:val="auto"/>
        </w:rPr>
        <w:t>Required Lenders</w:t>
      </w:r>
      <w:r>
        <w:rPr>
          <w:rFonts w:ascii="Arial" w:cs="Arial" w:eastAsia="Arial" w:hAnsi="Arial"/>
          <w:sz w:val="16"/>
          <w:szCs w:val="16"/>
          <w:color w:val="auto"/>
        </w:rPr>
        <w:t>” have (A) consented (or not consented) to any amendment, modification, waiver, consent or other action with respect to any of the terms of this Agreement or any other Loan Document or any departure by any Loan Party therefrom, (B) otherwise acted on any matter related to this Agreement or any other Loan Document or (C) directed or required the Administrative Agent or any Lender to undertake any action (or refrain from taking any action) with respect to or under this Agreement or any other Loan Document, all Term Loans and Commitments held by any Affiliated Lender (other than Affiliated Loan Funds) shall be deemed to have voted in the same proportion as the allocation of voting with respect to such matter by Lenders who are not Affiliated Lenders for all purposes of calculating whether the Required Lenders have taken any actions, and each Affiliated Lender (other than Affiliated Loan Funds) hereby irrevocably appoints the Administrative Agent (such appointment being coupled with an interest) as such Affiliated Lender’s attorney-in-fact, with full authority in the place and stead of such Affiliated Lender and in the name of such Affiliated Lender, from time to time in the Administrative Agent’s discretion to take any action and to execute any instrument that the Administrative Agent may deem reasonably necessary to carry out the provisions of this clause (ii);</w:t>
      </w:r>
    </w:p>
    <w:p>
      <w:pPr>
        <w:spacing w:after="0" w:line="226" w:lineRule="exact"/>
        <w:rPr>
          <w:rFonts w:ascii="Arial" w:cs="Arial" w:eastAsia="Arial" w:hAnsi="Arial"/>
          <w:sz w:val="16"/>
          <w:szCs w:val="16"/>
          <w:color w:val="auto"/>
        </w:rPr>
      </w:pPr>
    </w:p>
    <w:p>
      <w:pPr>
        <w:ind w:left="-540" w:right="40" w:firstLine="888"/>
        <w:spacing w:after="0" w:line="259" w:lineRule="auto"/>
        <w:tabs>
          <w:tab w:leader="none" w:pos="116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aggregate principal amount of Term Loans and Commitments held at any one time by Affiliated Lenders (other than Affiliated Loan Funds) may not exceed 20% of the then outstanding principal amount of all Term Loans and Commitments, and any assignments that cause the Affiliated Lenders (other than Affiliated Loan Funds) in the aggregate to exceed such percentages, as applicable, shall be deemed void ab initio and the Register shall be modified to reflect a reversal of such assignment;</w:t>
      </w:r>
    </w:p>
    <w:p>
      <w:pPr>
        <w:spacing w:after="0" w:line="240" w:lineRule="exact"/>
        <w:rPr>
          <w:rFonts w:ascii="Arial" w:cs="Arial" w:eastAsia="Arial" w:hAnsi="Arial"/>
          <w:sz w:val="18"/>
          <w:szCs w:val="18"/>
          <w:color w:val="auto"/>
        </w:rPr>
      </w:pPr>
    </w:p>
    <w:p>
      <w:pPr>
        <w:ind w:left="-540" w:firstLine="888"/>
        <w:spacing w:after="0" w:line="290" w:lineRule="auto"/>
        <w:tabs>
          <w:tab w:leader="none" w:pos="115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of the parties hereto and any Lender participating in any assignment to an Affiliated Lender acknowledge and agree that in connection with such assignment, (A) the assignee then may have, and later may come into possession of Excluded Information, (B) such Lender has, independently and without reliance on such Affiliated Lender, any of its Subsidiaries, the Administrative Agent or any of its affiliates, made its own analysis and determination to participate in such assignment notwithstanding such Lender’s lack of knowledge of the Excluded Information, (C) none of the Affiliated Lenders or any of its Subsidiaries, the Administrative Agent or any of its affiliates shall have any liability to such Lender, and such Lender hereby waives and releases, to the extent permitted by law, any claims such Lender may have against such Affiliated Lender, any of its Subsidiaries, the Administrative Agent and any of its affiliates, under applicable laws or otherwise, with respect to the nondisclosure of the Excluded Information and (D) the Excluded Information may not be available to the Administrative Agent or the other Lenders;</w:t>
      </w:r>
    </w:p>
    <w:p>
      <w:pPr>
        <w:spacing w:after="0" w:line="15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53" w:right="259" w:bottom="1440" w:gutter="0" w:footer="0" w:header="0"/>
        </w:sectPr>
      </w:pPr>
    </w:p>
    <w:bookmarkStart w:id="278" w:name="page279"/>
    <w:bookmarkEnd w:id="278"/>
    <w:p>
      <w:pPr>
        <w:ind w:left="620" w:right="440" w:firstLine="888"/>
        <w:spacing w:after="0" w:line="277" w:lineRule="auto"/>
        <w:tabs>
          <w:tab w:leader="none" w:pos="2261"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at the time of such assignment to an Affiliated Lender (other than an Affiliated Loan Fund) or would result from such assignment; and</w:t>
      </w:r>
    </w:p>
    <w:p>
      <w:pPr>
        <w:spacing w:after="0" w:line="224" w:lineRule="exact"/>
        <w:rPr>
          <w:rFonts w:ascii="Arial" w:cs="Arial" w:eastAsia="Arial" w:hAnsi="Arial"/>
          <w:sz w:val="18"/>
          <w:szCs w:val="18"/>
          <w:color w:val="auto"/>
        </w:rPr>
      </w:pPr>
    </w:p>
    <w:p>
      <w:pPr>
        <w:ind w:left="620" w:right="100" w:firstLine="888"/>
        <w:spacing w:after="0" w:line="270" w:lineRule="auto"/>
        <w:tabs>
          <w:tab w:leader="none" w:pos="2311" w:val="left"/>
        </w:tabs>
        <w:numPr>
          <w:ilvl w:val="1"/>
          <w:numId w:val="264"/>
        </w:numPr>
        <w:rPr>
          <w:rFonts w:ascii="Arial" w:cs="Arial" w:eastAsia="Arial" w:hAnsi="Arial"/>
          <w:sz w:val="17"/>
          <w:szCs w:val="17"/>
          <w:color w:val="auto"/>
        </w:rPr>
      </w:pPr>
      <w:r>
        <w:rPr>
          <w:rFonts w:ascii="Arial" w:cs="Arial" w:eastAsia="Arial" w:hAnsi="Arial"/>
          <w:sz w:val="17"/>
          <w:szCs w:val="17"/>
          <w:color w:val="auto"/>
        </w:rPr>
        <w:t xml:space="preserve">each Affiliated Lender, solely in its capacity as a Lender, hereby further agrees that if any Loan Party shall be subject to any voluntary or involuntary proceeding commenced under any Debtor Relief Law, each such Affiliated Lender shall be deemed to have voted in such proceeding in the same proportion as the allocation of voting with respect to such proceeding by those Lenders who are not Affiliated Lenders, except to the extent that any matter under such proceeding proposes to treat the Obligations of the Loan Parties under the Loan Documents held by such Affiliated Lender in a manner that is less favorable to such Affiliated Lender in any material respect than the proposed treatment of similar Obligations of the Loan Parties under the Loan Documents held by other Lenders. Each Affiliated Lender agrees and acknowledges that the foregoing constitutes an irrevocable proxy in favor of the Administrative Agent to vote or consent on behalf of such Affiliated Lender in any proceeding in the manner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Affiliated Lender that qualifies as an Affiliated Loan Fund shall not be subject to the limits set forth in this Section 9.6(d)(vi).</w:t>
      </w:r>
    </w:p>
    <w:p>
      <w:pPr>
        <w:spacing w:after="0" w:line="235" w:lineRule="exact"/>
        <w:rPr>
          <w:rFonts w:ascii="Arial" w:cs="Arial" w:eastAsia="Arial" w:hAnsi="Arial"/>
          <w:sz w:val="17"/>
          <w:szCs w:val="17"/>
          <w:color w:val="auto"/>
        </w:rPr>
      </w:pPr>
    </w:p>
    <w:p>
      <w:pPr>
        <w:ind w:left="-40" w:firstLine="1305"/>
        <w:spacing w:after="0" w:line="269" w:lineRule="auto"/>
        <w:tabs>
          <w:tab w:leader="none" w:pos="199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Administrative Agent may, in its sole discretion, elect to waive such processing and recordation fee in the case of any assignment and (ii) no such fee shall be required to be paid (A) in connection with an assignment by or to the Arranger or any Affiliate thereof or (B) in the case of an Assignee which is already a Lender or any Affiliate, Related Fund or Control Investment Affiliate thereof),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Term Loan Notes of the assigning Lender) a new Term Loan Note to the order of such Assignee in an amount equal to the Term Loans assumed or acquired by it pursuant to such Assignment and Acceptance and, if the Assignor has retained Term Loans, upon request, a new Term Loan Note to the order of the Assignor in an amount equal to the Term Loans retained by it hereunder. Such new Term Loan Note or Term Loan Notes shall be dated the Closing Date and shall otherwise be in the form of the Term Loan Note or Term Loan Notes replaced thereby.</w:t>
      </w:r>
    </w:p>
    <w:p>
      <w:pPr>
        <w:spacing w:after="0" w:line="233" w:lineRule="exact"/>
        <w:rPr>
          <w:rFonts w:ascii="Arial" w:cs="Arial" w:eastAsia="Arial" w:hAnsi="Arial"/>
          <w:sz w:val="17"/>
          <w:szCs w:val="17"/>
          <w:color w:val="auto"/>
        </w:rPr>
      </w:pPr>
    </w:p>
    <w:p>
      <w:pPr>
        <w:ind w:left="-40" w:right="20" w:firstLine="1305"/>
        <w:spacing w:after="0" w:line="259" w:lineRule="auto"/>
        <w:tabs>
          <w:tab w:leader="none" w:pos="197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For the avoidance of doubt, the parties to this Agreement acknowledge that the provisions of this Section 9.6 concerning assignments of Term Loans and Commitments and Term Loan Notes relate only to absolute assignments and that such provisions do not prohibit assignments creating security interests in Term Loans and Term Loan Notes, including, without limitation, any pledge or assignment by a Lender of any Term Loan or Term Loan Note to any Federal Reserve Bank in accordance with applicable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279" w:name="page280"/>
    <w:bookmarkEnd w:id="279"/>
    <w:p>
      <w:pPr>
        <w:ind w:left="-20" w:firstLine="1305"/>
        <w:spacing w:after="0" w:line="284" w:lineRule="auto"/>
        <w:tabs>
          <w:tab w:leader="none" w:pos="202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Term Loan that such Granting Lender would otherwise be obligated to make to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Term Loan and (ii) if an SPC elects not to exercise such option or otherwise fails to provide all or any part of such Term Loan, the Granting Lender shall be obligated to make such Term Loan pursuant to the terms hereof. The making of a Term Loan by an SPC hereunder shall utilize the Commitment of the Granting Lender to the same extent, and as if, such Term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2.19, 2.20 or 2.21 (subject to the requirements and limitations of such Sections, Section 2.22 and 2.24, including the requirements of Section 2.21(d) through (g) (it being agreed that any required forms shall be provided solely to the Granting Lender)) with respect to its granted interest in the Commitments and the Term Loans outstanding from time to time as if such SPC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grant was made with the Borrower’s prior written consent (which consent shall not be unreasonably with held or delayed). In addition, notwithstanding anything to the contrary in this 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Term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Term Loans, and (B) disclose on a confidential basis any non-public information relating to its Term Loans to any rating agency, commercial paper dealer or provider of any surety, guarantee or credit or liquidity enhancement to such SPC;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non-public information with respect to the Borrower may be disclosed only with the Borrower’s consent which will not be unreasonably withheld. This Section 9.6(g) may not be amended without the written consent of any SPC with Term Loans outstanding at the time of such proposed amendment. To the extent an SPC provides a Term Loan, the applicable Lender may maintain a register on behalf of the Borrower and the SPC’s interest must be entered in the register.</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2040" w:hanging="755"/>
        <w:spacing w:after="0"/>
        <w:tabs>
          <w:tab w:leader="none" w:pos="20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6" w:right="259" w:bottom="1440" w:gutter="0" w:footer="0" w:header="0"/>
        </w:sectPr>
      </w:pPr>
    </w:p>
    <w:bookmarkStart w:id="280" w:name="page281"/>
    <w:bookmarkEnd w:id="280"/>
    <w:p>
      <w:pPr>
        <w:ind w:left="2040" w:hanging="755"/>
        <w:spacing w:after="0"/>
        <w:tabs>
          <w:tab w:leader="none" w:pos="204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Purchases of Term Loans and Commitments by the Borrower</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right="60" w:firstLine="1548"/>
        <w:spacing w:after="0" w:line="259" w:lineRule="auto"/>
        <w:tabs>
          <w:tab w:leader="none" w:pos="19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the Borrower shall have the right to voluntarily purchase Term Loans and Commitments from one or more Lenders and simultaneously cancel or retire such Term Loans and Commitments and the Lenders shall be permitted to sell or assign such Term Loans and Commitments to the Borrower (in each case, a “</w:t>
      </w:r>
      <w:r>
        <w:rPr>
          <w:rFonts w:ascii="Arial" w:cs="Arial" w:eastAsia="Arial" w:hAnsi="Arial"/>
          <w:sz w:val="18"/>
          <w:szCs w:val="18"/>
          <w:u w:val="single" w:color="auto"/>
          <w:color w:val="auto"/>
        </w:rPr>
        <w:t>Borrower Loan Purchase</w:t>
      </w:r>
      <w:r>
        <w:rPr>
          <w:rFonts w:ascii="Arial" w:cs="Arial" w:eastAsia="Arial" w:hAnsi="Arial"/>
          <w:sz w:val="18"/>
          <w:szCs w:val="18"/>
          <w:color w:val="auto"/>
        </w:rPr>
        <w:t>”) subject to all the other requirements of this Section 9.6(i).</w:t>
      </w:r>
    </w:p>
    <w:p>
      <w:pPr>
        <w:spacing w:after="0" w:line="240" w:lineRule="exact"/>
        <w:rPr>
          <w:rFonts w:ascii="Arial" w:cs="Arial" w:eastAsia="Arial" w:hAnsi="Arial"/>
          <w:sz w:val="18"/>
          <w:szCs w:val="18"/>
          <w:color w:val="auto"/>
        </w:rPr>
      </w:pPr>
    </w:p>
    <w:p>
      <w:pPr>
        <w:ind w:left="-20" w:firstLine="1548"/>
        <w:spacing w:after="0" w:line="259" w:lineRule="auto"/>
        <w:tabs>
          <w:tab w:leader="none" w:pos="195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Borrower may conduct one or more modified “Dutch auctions” (each, an “</w:t>
      </w:r>
      <w:r>
        <w:rPr>
          <w:rFonts w:ascii="Arial" w:cs="Arial" w:eastAsia="Arial" w:hAnsi="Arial"/>
          <w:sz w:val="18"/>
          <w:szCs w:val="18"/>
          <w:u w:val="single" w:color="auto"/>
          <w:color w:val="auto"/>
        </w:rPr>
        <w:t>Auction</w:t>
      </w:r>
      <w:r>
        <w:rPr>
          <w:rFonts w:ascii="Arial" w:cs="Arial" w:eastAsia="Arial" w:hAnsi="Arial"/>
          <w:sz w:val="18"/>
          <w:szCs w:val="18"/>
          <w:color w:val="auto"/>
        </w:rPr>
        <w:t xml:space="preserve">”) to repurchase all or any portion of the Term Loans and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the Auction shall be made to all Lenders having or holding Term Loans and Commitments and (B) the Auction shall be conducted pursuant to such customary procedures as the Auction Manager may establish which are consistent with this Section 9.6(i) and are otherwise reasonably acceptable to the Auction Manager and the Administrative Agent.</w:t>
      </w:r>
    </w:p>
    <w:p>
      <w:pPr>
        <w:spacing w:after="0" w:line="240" w:lineRule="exact"/>
        <w:rPr>
          <w:rFonts w:ascii="Arial" w:cs="Arial" w:eastAsia="Arial" w:hAnsi="Arial"/>
          <w:sz w:val="18"/>
          <w:szCs w:val="18"/>
          <w:color w:val="auto"/>
        </w:rPr>
      </w:pPr>
    </w:p>
    <w:p>
      <w:pPr>
        <w:ind w:left="-20" w:right="240" w:firstLine="1548"/>
        <w:spacing w:after="0" w:line="277" w:lineRule="auto"/>
        <w:tabs>
          <w:tab w:leader="none" w:pos="195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a certificate of a Responsible Officer stating that no Default or Event of Default exists at the time of such purchase and assignment or would result from such purchase and assignment.</w:t>
      </w:r>
    </w:p>
    <w:p>
      <w:pPr>
        <w:spacing w:after="0" w:line="224" w:lineRule="exact"/>
        <w:rPr>
          <w:rFonts w:ascii="Arial" w:cs="Arial" w:eastAsia="Arial" w:hAnsi="Arial"/>
          <w:sz w:val="18"/>
          <w:szCs w:val="18"/>
          <w:color w:val="auto"/>
        </w:rPr>
      </w:pPr>
    </w:p>
    <w:p>
      <w:pPr>
        <w:ind w:left="1940" w:hanging="412"/>
        <w:spacing w:after="0"/>
        <w:tabs>
          <w:tab w:leader="none" w:pos="19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40" w:firstLine="1548"/>
        <w:spacing w:after="0" w:line="270" w:lineRule="auto"/>
        <w:tabs>
          <w:tab w:leader="none" w:pos="1945" w:val="left"/>
        </w:tabs>
        <w:numPr>
          <w:ilvl w:val="1"/>
          <w:numId w:val="267"/>
        </w:numPr>
        <w:rPr>
          <w:rFonts w:ascii="Arial" w:cs="Arial" w:eastAsia="Arial" w:hAnsi="Arial"/>
          <w:sz w:val="17"/>
          <w:szCs w:val="17"/>
          <w:color w:val="auto"/>
        </w:rPr>
      </w:pPr>
      <w:r>
        <w:rPr>
          <w:rFonts w:ascii="Arial" w:cs="Arial" w:eastAsia="Arial" w:hAnsi="Arial"/>
          <w:sz w:val="17"/>
          <w:szCs w:val="17"/>
          <w:color w:val="auto"/>
        </w:rPr>
        <w:t>On and after the effective date of such Borrower Loan Purchase (the “</w:t>
      </w:r>
      <w:r>
        <w:rPr>
          <w:rFonts w:ascii="Arial" w:cs="Arial" w:eastAsia="Arial" w:hAnsi="Arial"/>
          <w:sz w:val="17"/>
          <w:szCs w:val="17"/>
          <w:u w:val="single" w:color="auto"/>
          <w:color w:val="auto"/>
        </w:rPr>
        <w:t>Borrower Loan Purchase Effective Date</w:t>
      </w:r>
      <w:r>
        <w:rPr>
          <w:rFonts w:ascii="Arial" w:cs="Arial" w:eastAsia="Arial" w:hAnsi="Arial"/>
          <w:sz w:val="17"/>
          <w:szCs w:val="17"/>
          <w:color w:val="auto"/>
        </w:rPr>
        <w:t>”), (i) the Term Loans and Commitments purchased by the Borrower shall be deemed cancelled or retired for all purposes and shall no longer be deemed outstanding (and may not be resold by the Borrower) for all purposes of this Agreement and all other Loan Documents (notwithstanding any provisions herein or therein to the contrary), including, but not limited to, (A) the making of, or the application of, any payments to the Lenders under this Agreement or any other Loan Document, (B) the making of any request, demand, authorization, direction, notice, consent or waiver under this Agreement or any other Loan Document, (C) the providing of any rights to the Borrower as a Lender under this Agreement or any other Loan Document, (D) the determination of the Required Lenders and (E) the calculation of the amount of Indebtedness hereunder, and (ii) no interest or fees of any type shall accrue from and after a Borrower Loan Purchase Effective Date on any Term Loans purchased by the Borrower on such Borrower Loan Purchase Effective Date. For clarification purposes, the Borrower shall never be deemed to be a Lender hereunder.</w:t>
      </w:r>
    </w:p>
    <w:p>
      <w:pPr>
        <w:spacing w:after="0" w:line="235" w:lineRule="exact"/>
        <w:rPr>
          <w:rFonts w:ascii="Arial" w:cs="Arial" w:eastAsia="Arial" w:hAnsi="Arial"/>
          <w:sz w:val="17"/>
          <w:szCs w:val="17"/>
          <w:color w:val="auto"/>
        </w:rPr>
      </w:pPr>
    </w:p>
    <w:p>
      <w:pPr>
        <w:ind w:left="-20" w:right="60" w:firstLine="1548"/>
        <w:spacing w:after="0" w:line="293" w:lineRule="auto"/>
        <w:tabs>
          <w:tab w:leader="none" w:pos="1941"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Lenders hereby consent to the transactions described in this Section 9.6(i) and waive the requirements of any provision of this Agreement (including, without limitation, Sections 2.17(c), 2.18 and 9.6) and any other Loan Document that might otherwise result in a breach of this Agreement or create an Event of Default as a result of or in connection with the consummation of any Borrower Loan Purchase. The Lenders acknowledge that purchases made by the Borrower pursuant to this Section 9.6(i) may result in the retirement of Term Loans and Commitments on a non-pro rata basis among the Lenders. The Lenders further acknowledge that any payment made to a Lender in connection with a Borrower Loan Purchase is solely for the account of such Lender and no ratable sharing of such proceeds is required under this Agreement or any other Loan Document.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81" w:name="page282"/>
    <w:bookmarkEnd w:id="281"/>
    <w:p>
      <w:pPr>
        <w:ind w:right="60" w:firstLine="1548"/>
        <w:spacing w:after="0" w:line="264" w:lineRule="auto"/>
        <w:tabs>
          <w:tab w:leader="none" w:pos="195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Borrower Loan Purchases and subsequent cancellation or retirement of such Term Loans and Commitments by the Borrower pursuant to this Section 9.6(i) shall be used to prepay the relevant Term Loans in direct order of maturity of the scheduled remaining Installments of principal of such Term Loans.</w:t>
      </w:r>
    </w:p>
    <w:p>
      <w:pPr>
        <w:spacing w:after="0" w:line="235" w:lineRule="exact"/>
        <w:rPr>
          <w:rFonts w:ascii="Arial" w:cs="Arial" w:eastAsia="Arial" w:hAnsi="Arial"/>
          <w:sz w:val="18"/>
          <w:szCs w:val="18"/>
          <w:color w:val="auto"/>
        </w:rPr>
      </w:pPr>
    </w:p>
    <w:p>
      <w:pPr>
        <w:ind w:right="40" w:firstLine="1548"/>
        <w:spacing w:after="0" w:line="290" w:lineRule="auto"/>
        <w:tabs>
          <w:tab w:leader="none" w:pos="195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Each of the parties hereto and any Lender participating in any Borrower Loan Purchase pursuant to this Section 9.6(i) acknowledge and agree that in connection with any such Borrower Loan Purchase, (A) the Borrower then may have, and later may come into possession of Excluded Information, (B) such Lender has, independently and without reliance on the Borrower, any of its Subsidiaries, the Administrative Agent or any of their respective affiliates, made its own analysis and determination to participate in such Borrower Loan Purchase notwithstanding such Lender’s lack of knowledge of the Excluded Information, (C) none of the Borrower, its Subsidiaries, the Administrative Agent nor any Affiliate of the foregoing shall have any liability to such Lender, and such Lender hereby waives and releases, to the extent permitted by law, any claims such Lender may have against the Borrower, its Subsidiaries, the Administrative Agents and any Affiliate of the foregoing, under applicable laws or otherwise, with respect to the nondisclosure of the Excluded Information and (D) the Excluded Information may not be available to the Administrative Agents or the other Lenders.</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70" w:lineRule="auto"/>
        <w:tabs>
          <w:tab w:leader="none" w:pos="2036"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any Lender (a “</w:t>
      </w:r>
      <w:r>
        <w:rPr>
          <w:rFonts w:ascii="Arial" w:cs="Arial" w:eastAsia="Arial" w:hAnsi="Arial"/>
          <w:sz w:val="17"/>
          <w:szCs w:val="17"/>
          <w:u w:val="single" w:color="auto"/>
          <w:color w:val="auto"/>
        </w:rPr>
        <w:t>Benefited Lender</w:t>
      </w:r>
      <w:r>
        <w:rPr>
          <w:rFonts w:ascii="Arial" w:cs="Arial" w:eastAsia="Arial" w:hAnsi="Arial"/>
          <w:sz w:val="17"/>
          <w:szCs w:val="17"/>
          <w:color w:val="auto"/>
        </w:rPr>
        <w:t xml:space="preserve">”) shall at any time receive any payment of all or part of the Obligations owing to it, or receive any collateral in respect thereof (whether voluntarily or involuntarily, by set-off, pursuant to events or proceedings of the nature referred to in Section 7.1(f),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all or any portion of such excess payment or benefits is thereafter recovered from such Benefited Lender, such purchase shall be rescinded, and the purchase price and benefits returned, to the extent of such recovery, but without interest. For purposes of clause (iii) of Section 2.21(a), a Benefited Lender that acquires a participation interest in another Lender’s Obligations pursuant to this Section 9.7(a) shall be deemed to have acquired such participating interest on the earlier date(s) on which such Benefited Lender acquired its Obligations to which the participating interest relates.</w:t>
      </w:r>
    </w:p>
    <w:p>
      <w:pPr>
        <w:spacing w:after="0" w:line="231" w:lineRule="exact"/>
        <w:rPr>
          <w:rFonts w:ascii="Arial" w:cs="Arial" w:eastAsia="Arial" w:hAnsi="Arial"/>
          <w:sz w:val="17"/>
          <w:szCs w:val="17"/>
          <w:color w:val="auto"/>
        </w:rPr>
      </w:pPr>
    </w:p>
    <w:p>
      <w:pPr>
        <w:ind w:right="40" w:firstLine="1305"/>
        <w:spacing w:after="0" w:line="279" w:lineRule="auto"/>
        <w:tabs>
          <w:tab w:leader="none" w:pos="20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upon the occurrence and during the continuation of any Event of Default, each Lender shall have the right, without prior notice to Holdings or the Borrower, any such notice being expressly waived by Holdings and the Borrower to the extent permitted by applicable law, upon any amount becoming due and payable by Holdings or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w:t>
      </w:r>
      <w:r>
        <w:rPr>
          <w:rFonts w:ascii="Arial" w:cs="Arial" w:eastAsia="Arial" w:hAnsi="Arial"/>
          <w:sz w:val="19"/>
          <w:szCs w:val="19"/>
          <w:color w:val="auto"/>
        </w:rPr>
        <w:t>or any branch or agency thereof to or for the credit or the</w:t>
      </w:r>
      <w:r>
        <w:rPr>
          <w:rFonts w:ascii="Arial" w:cs="Arial" w:eastAsia="Arial" w:hAnsi="Arial"/>
          <w:sz w:val="16"/>
          <w:szCs w:val="16"/>
          <w:color w:val="auto"/>
        </w:rPr>
        <w:t xml:space="preserve"> </w:t>
      </w:r>
      <w:r>
        <w:rPr>
          <w:rFonts w:ascii="Arial" w:cs="Arial" w:eastAsia="Arial" w:hAnsi="Arial"/>
          <w:sz w:val="19"/>
          <w:szCs w:val="19"/>
          <w:color w:val="auto"/>
        </w:rPr>
        <w:t xml:space="preserve">account of Holdings or the Borrower, </w:t>
      </w:r>
      <w:r>
        <w:rPr>
          <w:rFonts w:ascii="Arial" w:cs="Arial" w:eastAsia="Arial" w:hAnsi="Arial"/>
          <w:sz w:val="16"/>
          <w:szCs w:val="16"/>
          <w:color w:val="auto"/>
        </w:rPr>
        <w:t>as the case may be. Each Lender agrees promptly to notify the Borrower and the Administrative</w:t>
      </w:r>
      <w:r>
        <w:rPr>
          <w:rFonts w:ascii="Arial" w:cs="Arial" w:eastAsia="Arial" w:hAnsi="Arial"/>
          <w:sz w:val="19"/>
          <w:szCs w:val="19"/>
          <w:color w:val="auto"/>
        </w:rPr>
        <w:t xml:space="preserve"> Agent after</w:t>
      </w:r>
    </w:p>
    <w:p>
      <w:pPr>
        <w:ind w:right="20"/>
        <w:spacing w:after="0" w:line="237" w:lineRule="auto"/>
        <w:rPr>
          <w:sz w:val="20"/>
          <w:szCs w:val="20"/>
          <w:color w:val="auto"/>
        </w:rPr>
      </w:pPr>
      <w:r>
        <w:rPr>
          <w:rFonts w:ascii="Arial" w:cs="Arial" w:eastAsia="Arial" w:hAnsi="Arial"/>
          <w:sz w:val="22"/>
          <w:szCs w:val="22"/>
          <w:color w:val="auto"/>
        </w:rPr>
        <w:t xml:space="preserve">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22"/>
          <w:szCs w:val="22"/>
          <w:color w:val="auto"/>
        </w:rPr>
        <w:t xml:space="preserve"> that the failure to give such notice shall not affect the validity of such setoff and application.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2" w:name="page283"/>
    <w:bookmarkEnd w:id="282"/>
    <w:p>
      <w:pPr>
        <w:ind w:firstLine="1297"/>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24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35"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Loan Documents represent the entire agreement of Holdings,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214"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SHALL BE GOVERNED BY, AND CONSTRUED AND INTERPRETED IN ACCORDANCE WITH, THE LAW OF THE STATE OF NEW YORK.</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279" w:lineRule="exact"/>
        <w:rPr>
          <w:sz w:val="20"/>
          <w:szCs w:val="20"/>
          <w:color w:val="auto"/>
        </w:rPr>
      </w:pPr>
    </w:p>
    <w:p>
      <w:pPr>
        <w:ind w:left="660" w:right="140" w:firstLine="645"/>
        <w:spacing w:after="0" w:line="259" w:lineRule="auto"/>
        <w:tabs>
          <w:tab w:leader="none" w:pos="204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and County of New York, the courts of the United States of America for the Southern District of New York, and appellate courts from any thereof;</w:t>
      </w:r>
    </w:p>
    <w:p>
      <w:pPr>
        <w:spacing w:after="0" w:line="240" w:lineRule="exact"/>
        <w:rPr>
          <w:rFonts w:ascii="Arial" w:cs="Arial" w:eastAsia="Arial" w:hAnsi="Arial"/>
          <w:sz w:val="18"/>
          <w:szCs w:val="18"/>
          <w:color w:val="auto"/>
        </w:rPr>
      </w:pPr>
    </w:p>
    <w:p>
      <w:pPr>
        <w:ind w:left="660" w:right="40" w:firstLine="645"/>
        <w:spacing w:after="0" w:line="264" w:lineRule="auto"/>
        <w:tabs>
          <w:tab w:leader="none" w:pos="205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35" w:lineRule="exact"/>
        <w:rPr>
          <w:rFonts w:ascii="Arial" w:cs="Arial" w:eastAsia="Arial" w:hAnsi="Arial"/>
          <w:sz w:val="18"/>
          <w:szCs w:val="18"/>
          <w:color w:val="auto"/>
        </w:rPr>
      </w:pPr>
    </w:p>
    <w:p>
      <w:pPr>
        <w:ind w:left="660" w:right="320" w:firstLine="645"/>
        <w:spacing w:after="0" w:line="264" w:lineRule="auto"/>
        <w:tabs>
          <w:tab w:leader="none" w:pos="204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shall have been notified pursuant thereto;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3" w:right="279" w:bottom="1440" w:gutter="0" w:footer="0" w:header="0"/>
        </w:sectPr>
      </w:pPr>
    </w:p>
    <w:bookmarkStart w:id="283" w:name="page284"/>
    <w:bookmarkEnd w:id="283"/>
    <w:p>
      <w:pPr>
        <w:ind w:left="660" w:right="40" w:firstLine="645"/>
        <w:spacing w:after="0" w:line="308" w:lineRule="auto"/>
        <w:tabs>
          <w:tab w:leader="none" w:pos="205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agrees that the Administrative Agent and the Lenders retain the right to bring proceedings against any Loan Party in the courts of any other jurisdiction in connection with the exercise of any rights under any Security Document or the enforcement of any judgment;</w:t>
      </w:r>
    </w:p>
    <w:p>
      <w:pPr>
        <w:spacing w:after="0" w:line="200" w:lineRule="exact"/>
        <w:rPr>
          <w:rFonts w:ascii="Arial" w:cs="Arial" w:eastAsia="Arial" w:hAnsi="Arial"/>
          <w:sz w:val="17"/>
          <w:szCs w:val="17"/>
          <w:color w:val="auto"/>
        </w:rPr>
      </w:pPr>
    </w:p>
    <w:p>
      <w:pPr>
        <w:ind w:left="660" w:firstLine="645"/>
        <w:spacing w:after="0" w:line="277" w:lineRule="auto"/>
        <w:tabs>
          <w:tab w:leader="none" w:pos="210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224" w:lineRule="exact"/>
        <w:rPr>
          <w:rFonts w:ascii="Arial" w:cs="Arial" w:eastAsia="Arial" w:hAnsi="Arial"/>
          <w:sz w:val="18"/>
          <w:szCs w:val="18"/>
          <w:color w:val="auto"/>
        </w:rPr>
      </w:pPr>
    </w:p>
    <w:p>
      <w:pPr>
        <w:ind w:left="660" w:right="60" w:firstLine="645"/>
        <w:spacing w:after="0" w:line="277" w:lineRule="auto"/>
        <w:tabs>
          <w:tab w:leader="none" w:pos="208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9.12 any special, exemplary, punitive or consequential damages.</w:t>
      </w:r>
    </w:p>
    <w:p>
      <w:pPr>
        <w:spacing w:after="0" w:line="224"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Acknowledgments</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each of Holdings, and the Borrower acknowledges and agrees, and acknowledges its Affiliates’ understanding, that: (i) (A) the arranging and other services regarding this Agreement provided by the Administrative Agent and the Arranger are arm’s-length commercial transactions between Holdings, the Borrower and their respective Affiliates, on the one hand, and the Administrative Agent and the Arranger, on the other hand, (B) each of Holdings and the Borrower has consulted its own legal, accounting, regulatory and tax advisors to the extent it has deemed appropriate, and (C) each of Holdings, and the Borrower is capable of evaluating, and understands and accepts, the terms, risks and conditions of the transactions contemplated hereby and by the other Loan Documents; (ii) (A) the Administrative Agent and the Arranger are and have been acting solely as a principal and, except as expressly agreed in writing by the relevant parties, has not been, is not, and will not be acting as an advisor, agent or fiduciary for Holdings, the Borrower or any of their respective Affiliates, or any other Person and (B) neither the Administrative Agent nor the Arranger has any obligation to Holdings, the Borrower or any of their respective Affiliates with respect to the transactions contemplated hereby except those obligations expressly set forth herein and in the other Loan Documents; and (iii) the Administrative Agent and the Arranger and their respective Affiliates may be engaged in a broad range of transactions that involve interests that differ from those of Holdings, the Borrower and their respective Affiliates, and neither the Administrative Agent nor the Arranger has any obligation to disclose any of such interests to Holdings, the Borrower or any of their respective Affiliates. To the fullest extent permitted by law, each of Holdings, and the Borrower hereby waives and releases any claims that it may have against the Administrative Agent and the Arranger with respect to any breach or alleged breach of agency or fiduciary duty in connection with any aspect of any transaction contemplated hereby.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52" w:right="259" w:bottom="1440" w:gutter="0" w:footer="0" w:header="0"/>
        </w:sectPr>
      </w:pPr>
    </w:p>
    <w:bookmarkStart w:id="284" w:name="page285"/>
    <w:bookmarkEnd w:id="284"/>
    <w:p>
      <w:pPr>
        <w:ind w:right="20" w:firstLine="1297"/>
        <w:spacing w:after="0" w:line="284"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and the Lenders agrees to keep confidential all non-public information provided to it by any Loan Party pursuant to this Agreement that is designated by such Loan Party as confidential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the Administrative Agent or any Lender from disclosing any such information (a) to the Administrative Agent, any other Lender or any affiliate of any thereof, (b) to any Participant or Assignee (each, a “</w:t>
      </w:r>
      <w:r>
        <w:rPr>
          <w:rFonts w:ascii="Arial" w:cs="Arial" w:eastAsia="Arial" w:hAnsi="Arial"/>
          <w:sz w:val="16"/>
          <w:szCs w:val="16"/>
          <w:u w:val="single" w:color="auto"/>
          <w:color w:val="auto"/>
        </w:rPr>
        <w:t>Transferee</w:t>
      </w:r>
      <w:r>
        <w:rPr>
          <w:rFonts w:ascii="Arial" w:cs="Arial" w:eastAsia="Arial" w:hAnsi="Arial"/>
          <w:sz w:val="16"/>
          <w:szCs w:val="16"/>
          <w:color w:val="auto"/>
        </w:rPr>
        <w:t>”) or prospective Transferee that agrees to comply with the provisions of this Section 9.14 or substantially equivalent provisions, (c) to any of its or its affiliates’ employees, directors, agents, attorneys, accountants and other professional</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advisors,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w:t>
      </w:r>
      <w:r>
        <w:rPr>
          <w:rFonts w:ascii="Arial" w:cs="Arial" w:eastAsia="Arial" w:hAnsi="Arial"/>
          <w:sz w:val="16"/>
          <w:szCs w:val="16"/>
          <w:u w:val="single" w:color="auto"/>
          <w:color w:val="auto"/>
        </w:rPr>
        <w:t>provided</w:t>
      </w:r>
      <w:r>
        <w:rPr>
          <w:rFonts w:ascii="Arial" w:cs="Arial" w:eastAsia="Arial" w:hAnsi="Arial"/>
          <w:sz w:val="19"/>
          <w:szCs w:val="19"/>
          <w:color w:val="auto"/>
        </w:rPr>
        <w:t xml:space="preserve"> that, in the event a Lender receives a summons or subpoena to disclose confidential information to any party, such Lender shall, if legally permitted,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75"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the event that any “Accounting Change” (as defined below) shall occur and such change results in a change in the method of calculation of financial covenants, standards or terms in this Agreement, and either the Borrower or the Required Lenders shall so request, then the Borrower and the Lenders agree to enter into negotiations in order to amend such provisions of this Agreement so as to equitably reflect such Accounting Change with the desired result that the criteria for evaluating the Borrower’s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w:t>
      </w:r>
      <w:r>
        <w:rPr>
          <w:rFonts w:ascii="Arial" w:cs="Arial" w:eastAsia="Arial" w:hAnsi="Arial"/>
          <w:sz w:val="16"/>
          <w:szCs w:val="16"/>
          <w:u w:val="single" w:color="auto"/>
          <w:color w:val="auto"/>
        </w:rPr>
        <w:t>Accounting Change</w:t>
      </w:r>
      <w:r>
        <w:rPr>
          <w:rFonts w:ascii="Arial" w:cs="Arial" w:eastAsia="Arial" w:hAnsi="Arial"/>
          <w:sz w:val="16"/>
          <w:szCs w:val="16"/>
          <w:color w:val="auto"/>
        </w:rPr>
        <w:t>” refers to any change in accounting principles required by the promulgation of any rule, regulation, pronouncement or opinion by the FASB, any other generally accepted accounting authority which provides regulation standard or, if applicable, the SEC.</w:t>
      </w:r>
    </w:p>
    <w:p>
      <w:pPr>
        <w:spacing w:after="0" w:line="21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8"/>
          <w:szCs w:val="18"/>
          <w:u w:val="single" w:color="auto"/>
          <w:color w:val="auto"/>
        </w:rPr>
        <w:t>WAIVERS OF JURY TRIAL</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HOLDINGS, THE BORROWER, THE ADMINISTRATIVE AGENT AND THE</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LENDERS HEREBY IRREVOCABLY AND UNCONDITIONALLY WAIVE TRIAL BY JURY IN ANY LEGAL ACTION OR PROCEEDING RELATING TO THIS AGREEMENT OR ANY OTHER LOAN DOCUMENT AND FOR ANY COUNTERCLAIM THEREIN</w:t>
      </w:r>
      <w:r>
        <w:rPr>
          <w:rFonts w:ascii="Arial" w:cs="Arial" w:eastAsia="Arial" w:hAnsi="Arial"/>
          <w:sz w:val="18"/>
          <w:szCs w:val="18"/>
          <w:color w:val="auto"/>
        </w:rPr>
        <w:t>.</w:t>
      </w:r>
    </w:p>
    <w:p>
      <w:pPr>
        <w:spacing w:after="0" w:line="23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9.17</w:t>
      </w:r>
      <w:r>
        <w:rPr>
          <w:sz w:val="20"/>
          <w:szCs w:val="20"/>
          <w:color w:val="auto"/>
        </w:rPr>
        <w:tab/>
      </w:r>
      <w:r>
        <w:rPr>
          <w:rFonts w:ascii="Arial" w:cs="Arial" w:eastAsia="Arial" w:hAnsi="Arial"/>
          <w:sz w:val="16"/>
          <w:szCs w:val="16"/>
          <w:u w:val="single" w:color="auto"/>
          <w:color w:val="auto"/>
        </w:rPr>
        <w:t>Conversion of Currencies</w:t>
      </w:r>
      <w:r>
        <w:rPr>
          <w:rFonts w:ascii="Arial" w:cs="Arial" w:eastAsia="Arial" w:hAnsi="Arial"/>
          <w:sz w:val="16"/>
          <w:szCs w:val="16"/>
          <w:color w:val="auto"/>
        </w:rPr>
        <w:t>.</w:t>
      </w:r>
    </w:p>
    <w:p>
      <w:pPr>
        <w:spacing w:after="0" w:line="279" w:lineRule="exact"/>
        <w:rPr>
          <w:sz w:val="20"/>
          <w:szCs w:val="20"/>
          <w:color w:val="auto"/>
        </w:rPr>
      </w:pPr>
    </w:p>
    <w:p>
      <w:pPr>
        <w:ind w:right="440" w:firstLine="1305"/>
        <w:spacing w:after="0" w:line="280" w:lineRule="auto"/>
        <w:tabs>
          <w:tab w:leader="none" w:pos="203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If, for the purpose of obtaining judgment in any court, it is necessary to convert a sum owing hereunder in one currency into another currency, each party hereto agrees, to the fullest extent that it may effectively do so, that the rate of exchange used shall be that at </w:t>
      </w:r>
      <w:r>
        <w:rPr>
          <w:rFonts w:ascii="Arial" w:cs="Arial" w:eastAsia="Arial" w:hAnsi="Arial"/>
          <w:sz w:val="19"/>
          <w:szCs w:val="19"/>
          <w:color w:val="auto"/>
        </w:rPr>
        <w:t>which, in</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22"/>
          <w:szCs w:val="22"/>
          <w:color w:val="auto"/>
        </w:rPr>
        <w:t>accordance with normal banking procedures in the relevant jurisdiction, the first currency could be purchased with such other currency on the Business Day immediately preceding the day on which final judgment is given.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5" w:name="page286"/>
    <w:bookmarkEnd w:id="285"/>
    <w:p>
      <w:pPr>
        <w:ind w:right="180" w:firstLine="1305"/>
        <w:spacing w:after="0" w:line="271" w:lineRule="auto"/>
        <w:tabs>
          <w:tab w:leader="none" w:pos="2047"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the obligations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23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9.18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FLORIDA STAMP TAX PAYMENT</w:t>
      </w:r>
      <w:r>
        <w:rPr>
          <w:rFonts w:ascii="Arial" w:cs="Arial" w:eastAsia="Arial" w:hAnsi="Arial"/>
          <w:sz w:val="18"/>
          <w:szCs w:val="18"/>
          <w:color w:val="auto"/>
        </w:rPr>
        <w:t>. FLORIDA DOCUMENTARY STAMP TAXES IN THE AMOUNT OF $140,000.00 ARE BEING PAID IN CONNECTION WITH THIS AGREEMENT, AS REQUIRED BY FLORIDA LAW, AND EVIDENCE OF SUCH PAYMENT SHALL BE AFFIXED TO THE MORTGAGE.</w:t>
      </w:r>
    </w:p>
    <w:p>
      <w:pPr>
        <w:spacing w:after="0" w:line="235"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9.20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219" w:lineRule="exact"/>
        <w:rPr>
          <w:sz w:val="20"/>
          <w:szCs w:val="20"/>
          <w:color w:val="auto"/>
        </w:rPr>
      </w:pPr>
    </w:p>
    <w:p>
      <w:pPr>
        <w:ind w:right="80" w:firstLine="1297"/>
        <w:spacing w:after="0" w:line="284" w:lineRule="auto"/>
        <w:rPr>
          <w:sz w:val="20"/>
          <w:szCs w:val="20"/>
          <w:color w:val="auto"/>
        </w:rPr>
      </w:pPr>
      <w:r>
        <w:rPr>
          <w:rFonts w:ascii="Arial" w:cs="Arial" w:eastAsia="Arial" w:hAnsi="Arial"/>
          <w:sz w:val="16"/>
          <w:szCs w:val="16"/>
          <w:color w:val="auto"/>
        </w:rPr>
        <w:t xml:space="preserve">9.21 </w:t>
      </w:r>
      <w:r>
        <w:rPr>
          <w:rFonts w:ascii="Arial" w:cs="Arial" w:eastAsia="Arial" w:hAnsi="Arial"/>
          <w:sz w:val="16"/>
          <w:szCs w:val="16"/>
          <w:u w:val="single" w:color="auto"/>
          <w:color w:val="auto"/>
        </w:rPr>
        <w:t>Payments Set Aside</w:t>
      </w:r>
      <w:r>
        <w:rPr>
          <w:rFonts w:ascii="Arial" w:cs="Arial" w:eastAsia="Arial" w:hAnsi="Arial"/>
          <w:sz w:val="16"/>
          <w:szCs w:val="16"/>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Administrative Agent upon demand its applicable share (without duplication) of any amount so recovered from or repaid by the Admin</w:t>
      </w:r>
      <w:r>
        <w:rPr>
          <w:rFonts w:ascii="Arial" w:cs="Arial" w:eastAsia="Arial" w:hAnsi="Arial"/>
          <w:sz w:val="21"/>
          <w:szCs w:val="21"/>
          <w:color w:val="auto"/>
        </w:rPr>
        <w:t>istrative Agent,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t>
      </w:r>
      <w:r>
        <w:rPr>
          <w:rFonts w:ascii="Arial" w:cs="Arial" w:eastAsia="Arial" w:hAnsi="Arial"/>
          <w:sz w:val="21"/>
          <w:szCs w:val="21"/>
          <w:color w:val="auto"/>
        </w:rPr>
        <w:t>interest thereon from the date of such demand to the date such payment is made at a rate per annum equal to the Federal Funds</w:t>
      </w:r>
      <w:r>
        <w:rPr>
          <w:rFonts w:ascii="Arial" w:cs="Arial" w:eastAsia="Arial" w:hAnsi="Arial"/>
          <w:sz w:val="18"/>
          <w:szCs w:val="18"/>
          <w:color w:val="auto"/>
        </w:rPr>
        <w:t xml:space="preserve"> </w:t>
      </w:r>
      <w:r>
        <w:rPr>
          <w:rFonts w:ascii="Arial" w:cs="Arial" w:eastAsia="Arial" w:hAnsi="Arial"/>
          <w:sz w:val="21"/>
          <w:szCs w:val="21"/>
          <w:color w:val="auto"/>
        </w:rPr>
        <w:t>Effective Rate from time to time in effect. The obligations of the Lenders under clause (b) of the preceding sentence shall survive the payment in full of the Obligations and the termination of this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86" w:name="page287"/>
    <w:bookmarkEnd w:id="286"/>
    <w:p>
      <w:pPr>
        <w:ind w:firstLine="1297"/>
        <w:spacing w:after="0" w:line="302" w:lineRule="auto"/>
        <w:rPr>
          <w:sz w:val="20"/>
          <w:szCs w:val="20"/>
          <w:color w:val="auto"/>
        </w:rPr>
      </w:pPr>
      <w:r>
        <w:rPr>
          <w:rFonts w:ascii="Arial" w:cs="Arial" w:eastAsia="Arial" w:hAnsi="Arial"/>
          <w:sz w:val="16"/>
          <w:szCs w:val="16"/>
          <w:color w:val="auto"/>
        </w:rPr>
        <w:t xml:space="preserve">9.22 </w:t>
      </w:r>
      <w:r>
        <w:rPr>
          <w:rFonts w:ascii="Arial" w:cs="Arial" w:eastAsia="Arial" w:hAnsi="Arial"/>
          <w:sz w:val="16"/>
          <w:szCs w:val="16"/>
          <w:u w:val="single" w:color="auto"/>
          <w:color w:val="auto"/>
        </w:rPr>
        <w:t>Releases of Collateral and Guarantees</w:t>
      </w:r>
      <w:r>
        <w:rPr>
          <w:rFonts w:ascii="Arial" w:cs="Arial" w:eastAsia="Arial" w:hAnsi="Arial"/>
          <w:sz w:val="16"/>
          <w:szCs w:val="16"/>
          <w:color w:val="auto"/>
        </w:rPr>
        <w:t xml:space="preserve">. Each of the Lenders (including in its capacity as a potential Lender Counterparty) irrevocably authorizes the Administrative Agent to be the agent for the representative of the Lenders with respect to the Guarantee Agreements, the Collateral and the Security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owe any fiduciary duty, duty of loyalty, duty of care, duty of disclosure or any other obligation whatsoever to any holder of Obligations with respect to any Secured Hedge Agreements, and the Administrative Agent agrees that:</w:t>
      </w:r>
    </w:p>
    <w:p>
      <w:pPr>
        <w:spacing w:after="0" w:line="208" w:lineRule="exact"/>
        <w:rPr>
          <w:sz w:val="20"/>
          <w:szCs w:val="20"/>
          <w:color w:val="auto"/>
        </w:rPr>
      </w:pPr>
    </w:p>
    <w:p>
      <w:pPr>
        <w:ind w:left="660" w:firstLine="645"/>
        <w:spacing w:after="0" w:line="270" w:lineRule="auto"/>
        <w:tabs>
          <w:tab w:leader="none" w:pos="204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Administrative Agent’s Lien on any property granted to or held by the Administrative Agent under any Loan Document shall be automatically and fully released (A) upon satisfaction of the Termination Conditions, (B) at the time the Property subject to such Lien is sold (other than to any other Loan Party or other Person that would be required pursuant to any Security Document to grant a Lien on such Collateral to the Administrative Agent for the benefit of the Secured Parties after giving effect to such Disposition) as part of or in connection with any Disposition permitted hereunder or under any other Loan Document, (C) if the Property subject to such Lien is owned by a Guarantor, upon the release of such Guarantor from its obligations under a Guarantee Agreement pursuant to clause (b) below, (D) with respect to the property of any Unrestricted Subsidiary upon the designation of such Person as an Unrestricted Subsidiary in accordance with Section 5.15, (E) to the extent (and only for so long as) such property constitutes an “Excluded Asset” (as defined in the Security Agreement), or (F) if approved, authorized or ratified in writing in accordance with Section 9.1.</w:t>
      </w:r>
    </w:p>
    <w:p>
      <w:pPr>
        <w:spacing w:after="0" w:line="235" w:lineRule="exact"/>
        <w:rPr>
          <w:rFonts w:ascii="Arial" w:cs="Arial" w:eastAsia="Arial" w:hAnsi="Arial"/>
          <w:sz w:val="17"/>
          <w:szCs w:val="17"/>
          <w:color w:val="auto"/>
        </w:rPr>
      </w:pPr>
    </w:p>
    <w:p>
      <w:pPr>
        <w:ind w:left="660" w:right="20" w:firstLine="645"/>
        <w:spacing w:after="0" w:line="257" w:lineRule="auto"/>
        <w:tabs>
          <w:tab w:leader="none" w:pos="20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Any Guarantor shall be released from its obligations under a Guarantee Agreement or any other Loan Document (i) with respect to any Guarantor that is designated as an Unrestricted Subsidiary upon such designation in accordance with Section 5.15 or (ii) if such Person ceases to be a Subsidiary as a result of a transaction permitted hereunder, to the extent necessary to permit consummation of such transaction as permitted by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Guarantor continues to be a guarantor in respect of any other Indebtedness expressly subordinated to the Obligations.</w:t>
      </w:r>
    </w:p>
    <w:p>
      <w:pPr>
        <w:spacing w:after="0" w:line="242" w:lineRule="exact"/>
        <w:rPr>
          <w:rFonts w:ascii="Arial" w:cs="Arial" w:eastAsia="Arial" w:hAnsi="Arial"/>
          <w:sz w:val="18"/>
          <w:szCs w:val="18"/>
          <w:color w:val="auto"/>
        </w:rPr>
      </w:pPr>
    </w:p>
    <w:p>
      <w:pPr>
        <w:ind w:left="660" w:right="140" w:firstLine="645"/>
        <w:spacing w:after="0" w:line="257" w:lineRule="auto"/>
        <w:tabs>
          <w:tab w:leader="none" w:pos="204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At the request of the Borrower, it will subordinate or release its Lien on any property granted to or held by the Administrative Agent under any Loan Document (other than the Plant) to the holder of any Lien on such property that is permitted by Section 6.3(p) solely to the extent, and for so long as, the terms of the obligations secured by such Liens do not permit such property to be subject to a Lien in favor of the Administrative Agent or require that such Lien in favor of the Administrative Agent be subordinated to the Lien of the holder of such Lien on such property.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53" w:right="279" w:bottom="1440" w:gutter="0" w:footer="0" w:header="0"/>
        </w:sectPr>
      </w:pPr>
    </w:p>
    <w:bookmarkStart w:id="287" w:name="page288"/>
    <w:bookmarkEnd w:id="287"/>
    <w:p>
      <w:pPr>
        <w:ind w:right="60" w:firstLine="645"/>
        <w:spacing w:after="0" w:line="280" w:lineRule="auto"/>
        <w:tabs>
          <w:tab w:leader="none" w:pos="139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At the request of the Borrower, it will subordinate its Lien on any property granted to or held by the Administrative Agent under any Loan Document (other than the </w:t>
      </w:r>
      <w:r>
        <w:rPr>
          <w:rFonts w:ascii="Arial" w:cs="Arial" w:eastAsia="Arial" w:hAnsi="Arial"/>
          <w:sz w:val="19"/>
          <w:szCs w:val="19"/>
          <w:color w:val="auto"/>
        </w:rPr>
        <w:t>Plant) to the holder of any Lien on such property that is permitted by Section 6.3(e), (f), (g),</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 (j), (s) or (y), in each case to the extent required by the terms of the obligations secured by such Liens, or with respect to which the Required Lenders (or such other Lenders as may be required to give such consent under Section 9.1) have otherwise consented.</w:t>
      </w:r>
    </w:p>
    <w:p>
      <w:pPr>
        <w:spacing w:after="0" w:line="249" w:lineRule="exact"/>
        <w:rPr>
          <w:sz w:val="20"/>
          <w:szCs w:val="20"/>
          <w:color w:val="auto"/>
        </w:rPr>
      </w:pPr>
    </w:p>
    <w:p>
      <w:pPr>
        <w:ind w:right="140" w:firstLine="645"/>
        <w:spacing w:after="0" w:line="259" w:lineRule="auto"/>
        <w:tabs>
          <w:tab w:leader="none" w:pos="138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the date that the Termination Conditions are satisfied,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the need to deliver any instrument or performance of any act by any Person.</w:t>
      </w:r>
    </w:p>
    <w:p>
      <w:pPr>
        <w:spacing w:after="0" w:line="240" w:lineRule="exact"/>
        <w:rPr>
          <w:rFonts w:ascii="Arial" w:cs="Arial" w:eastAsia="Arial" w:hAnsi="Arial"/>
          <w:sz w:val="18"/>
          <w:szCs w:val="18"/>
          <w:color w:val="auto"/>
        </w:rPr>
      </w:pPr>
    </w:p>
    <w:p>
      <w:pPr>
        <w:ind w:right="340" w:firstLine="645"/>
        <w:spacing w:after="0" w:line="312" w:lineRule="auto"/>
        <w:tabs>
          <w:tab w:leader="none" w:pos="142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It will promptly execute, authorize or file such documentation as may be reasonably requested by any Grantor to release or subordinate, or evidence the release or subordination (in registrable form, if applicable), its Liens with respect to any Collateral or the guarantee obligations of any Guarantor as set forth in this Section 9.22;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be at the Borrower’s expense.</w:t>
      </w:r>
    </w:p>
    <w:p>
      <w:pPr>
        <w:spacing w:after="0" w:line="20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u w:val="single" w:color="auto"/>
          <w:color w:val="auto"/>
        </w:rPr>
        <w:t>Time</w:t>
      </w:r>
      <w:r>
        <w:rPr>
          <w:rFonts w:ascii="Arial" w:cs="Arial" w:eastAsia="Arial" w:hAnsi="Arial"/>
          <w:sz w:val="16"/>
          <w:szCs w:val="16"/>
          <w:color w:val="auto"/>
        </w:rPr>
        <w:t>. Time is of the essence in all respects hereof.</w:t>
      </w:r>
    </w:p>
    <w:p>
      <w:pPr>
        <w:spacing w:after="0" w:line="25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[Signature pages follow]</w:t>
      </w:r>
    </w:p>
    <w:p>
      <w:pPr>
        <w:spacing w:after="0" w:line="185"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900" w:top="152" w:right="299" w:bottom="1440" w:gutter="0" w:footer="0" w:header="0"/>
        </w:sectPr>
      </w:pPr>
    </w:p>
    <w:bookmarkStart w:id="288" w:name="page289"/>
    <w:bookmarkEnd w:id="288"/>
    <w:p>
      <w:pPr>
        <w:ind w:firstLine="136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LNG HOLDINGS LLC</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 xml:space="preserve">By: </w:t>
      </w:r>
      <w:r>
        <w:rPr>
          <w:sz w:val="1"/>
          <w:szCs w:val="1"/>
          <w:color w:val="auto"/>
        </w:rPr>
        <w:drawing>
          <wp:inline distT="0" distB="0" distL="0" distR="0">
            <wp:extent cx="1964055" cy="33464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64055" cy="3346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-1905</wp:posOffset>
            </wp:positionV>
            <wp:extent cx="340487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0"/>
          <w:szCs w:val="20"/>
          <w:color w:val="auto"/>
        </w:rPr>
        <w:t>Name: John Morrissey - CFO</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FEP GP LNG HOLDINGS LLC</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 xml:space="preserve">By: </w:t>
      </w:r>
      <w:r>
        <w:rPr>
          <w:sz w:val="1"/>
          <w:szCs w:val="1"/>
          <w:color w:val="auto"/>
        </w:rPr>
        <w:drawing>
          <wp:inline distT="0" distB="0" distL="0" distR="0">
            <wp:extent cx="1964055" cy="33464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64055" cy="3346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-1905</wp:posOffset>
            </wp:positionV>
            <wp:extent cx="340487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0"/>
          <w:szCs w:val="20"/>
          <w:color w:val="auto"/>
        </w:rPr>
        <w:t>Name: John Morrissey - CFO</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LNG HOLDINGS (FLORIDA) LLC</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 xml:space="preserve">By: </w:t>
      </w:r>
      <w:r>
        <w:rPr>
          <w:sz w:val="1"/>
          <w:szCs w:val="1"/>
          <w:color w:val="auto"/>
        </w:rPr>
        <w:drawing>
          <wp:inline distT="0" distB="0" distL="0" distR="0">
            <wp:extent cx="1964055" cy="33464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64055" cy="3346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-1905</wp:posOffset>
            </wp:positionV>
            <wp:extent cx="340487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0"/>
          <w:szCs w:val="20"/>
          <w:color w:val="auto"/>
        </w:rPr>
        <w:t>Name: John Morrissey - CFO</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[Credit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113665</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289" w:name="page290"/>
    <w:bookmarkEnd w:id="289"/>
    <w:p>
      <w:pPr>
        <w:ind w:left="4520"/>
        <w:spacing w:after="0" w:line="260" w:lineRule="auto"/>
        <w:rPr>
          <w:sz w:val="20"/>
          <w:szCs w:val="20"/>
          <w:color w:val="auto"/>
        </w:rPr>
      </w:pPr>
      <w:r>
        <w:rPr>
          <w:rFonts w:ascii="Arial" w:cs="Arial" w:eastAsia="Arial" w:hAnsi="Arial"/>
          <w:sz w:val="20"/>
          <w:szCs w:val="20"/>
          <w:color w:val="auto"/>
        </w:rPr>
        <w:t>MORGAN STANLEY SENIOR FUNDING, INC.,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131445</wp:posOffset>
            </wp:positionV>
            <wp:extent cx="3404870" cy="514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048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 Henrik Sandstrom</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 Authorized Signatory</w:t>
      </w:r>
    </w:p>
    <w:p>
      <w:pPr>
        <w:spacing w:after="0" w:line="222"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[Credit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118745</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40"/>
          </w:cols>
          <w:pgMar w:left="1440" w:top="366" w:right="419" w:bottom="1440" w:gutter="0" w:footer="0" w:header="0"/>
        </w:sectPr>
      </w:pPr>
    </w:p>
    <w:bookmarkStart w:id="290" w:name="page291"/>
    <w:bookmarkEnd w:id="290"/>
    <w:p>
      <w:pPr>
        <w:jc w:val="right"/>
        <w:ind w:right="759"/>
        <w:spacing w:after="0"/>
        <w:rPr>
          <w:sz w:val="20"/>
          <w:szCs w:val="20"/>
          <w:color w:val="auto"/>
        </w:rPr>
      </w:pPr>
      <w:r>
        <w:rPr>
          <w:rFonts w:ascii="Arial" w:cs="Arial" w:eastAsia="Arial" w:hAnsi="Arial"/>
          <w:sz w:val="20"/>
          <w:szCs w:val="20"/>
          <w:color w:val="auto"/>
        </w:rPr>
        <w:t>MORGAN STANLEY BANK, N.A.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156210</wp:posOffset>
            </wp:positionV>
            <wp:extent cx="3404870" cy="514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048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 Henrik Sandstrom</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 Authorized Signatory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[Credit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291" w:name="page292"/>
    <w:bookmarkEnd w:id="291"/>
    <w:p>
      <w:pPr>
        <w:jc w:val="right"/>
        <w:ind w:right="1059"/>
        <w:spacing w:after="0"/>
        <w:rPr>
          <w:sz w:val="20"/>
          <w:szCs w:val="20"/>
          <w:color w:val="auto"/>
        </w:rPr>
      </w:pPr>
      <w:r>
        <w:rPr>
          <w:rFonts w:ascii="Arial" w:cs="Arial" w:eastAsia="Arial" w:hAnsi="Arial"/>
          <w:sz w:val="20"/>
          <w:szCs w:val="20"/>
          <w:color w:val="auto"/>
        </w:rPr>
        <w:t>CREDIT SUISSE LOAN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156845</wp:posOffset>
            </wp:positionV>
            <wp:extent cx="3404870" cy="5918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048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 Robert Healey</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 Authorized Signatory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[Credit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92" w:name="page293"/>
    <w:bookmarkEnd w:id="292"/>
    <w:p>
      <w:pPr>
        <w:jc w:val="right"/>
        <w:ind w:right="395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LOAN FUNDING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Jiana Ahumada/Ashwinee Sawh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 23rd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 538-6106 / (212)-538-2905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(214) 442-5186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Americas.Loandocs@Credit-Suisse.com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BANK, N.A.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Agency Servicing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New York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507-6680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msagency@morganstanley.com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t>EXHIBIT 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COMPLIANCE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 HEREBY CERTIFIES AS FOLLOWS:</w:t>
      </w:r>
    </w:p>
    <w:p>
      <w:pPr>
        <w:spacing w:after="0" w:line="283" w:lineRule="exact"/>
        <w:rPr>
          <w:sz w:val="20"/>
          <w:szCs w:val="20"/>
          <w:color w:val="auto"/>
        </w:rPr>
      </w:pPr>
    </w:p>
    <w:p>
      <w:pPr>
        <w:ind w:right="860" w:firstLine="645"/>
        <w:spacing w:after="0" w:line="277" w:lineRule="auto"/>
        <w:tabs>
          <w:tab w:leader="none" w:pos="132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____________________, am the ____________________ of LNG HOLDINGS (FLORIDA) LLC. I am making the certifications below solely in my capacity as and not in any individual capacity.</w:t>
      </w:r>
    </w:p>
    <w:p>
      <w:pPr>
        <w:spacing w:after="0" w:line="224" w:lineRule="exact"/>
        <w:rPr>
          <w:rFonts w:ascii="Arial" w:cs="Arial" w:eastAsia="Arial" w:hAnsi="Arial"/>
          <w:sz w:val="18"/>
          <w:szCs w:val="18"/>
          <w:color w:val="auto"/>
        </w:rPr>
      </w:pPr>
    </w:p>
    <w:p>
      <w:pPr>
        <w:ind w:right="100" w:firstLine="645"/>
        <w:spacing w:after="0" w:line="271" w:lineRule="auto"/>
        <w:tabs>
          <w:tab w:leader="none" w:pos="132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 have reviewed the terms of that certain Credit Agreement, dated as of November 24, 2014 (as amended, restated, supplemented or otherwise modified, the “Credit Agreement”; the terms defined therein and not otherwise defined herein being used herein as therein defined), by and among LNG HOLDINGS LLC, a Delaware limited liability company (“</w:t>
      </w:r>
      <w:r>
        <w:rPr>
          <w:rFonts w:ascii="Arial" w:cs="Arial" w:eastAsia="Arial" w:hAnsi="Arial"/>
          <w:sz w:val="17"/>
          <w:szCs w:val="17"/>
          <w:u w:val="single" w:color="auto"/>
          <w:color w:val="auto"/>
        </w:rPr>
        <w:t>Holdings 1</w:t>
      </w:r>
      <w:r>
        <w:rPr>
          <w:rFonts w:ascii="Arial" w:cs="Arial" w:eastAsia="Arial" w:hAnsi="Arial"/>
          <w:sz w:val="17"/>
          <w:szCs w:val="17"/>
          <w:color w:val="auto"/>
        </w:rPr>
        <w:t>”), FEP GP LNG HOLDINGS LLC, a Delaware limited liability company, (“</w:t>
      </w:r>
      <w:r>
        <w:rPr>
          <w:rFonts w:ascii="Arial" w:cs="Arial" w:eastAsia="Arial" w:hAnsi="Arial"/>
          <w:sz w:val="17"/>
          <w:szCs w:val="17"/>
          <w:u w:val="single" w:color="auto"/>
          <w:color w:val="auto"/>
        </w:rPr>
        <w:t>Holdings 2</w:t>
      </w:r>
      <w:r>
        <w:rPr>
          <w:rFonts w:ascii="Arial" w:cs="Arial" w:eastAsia="Arial" w:hAnsi="Arial"/>
          <w:sz w:val="17"/>
          <w:szCs w:val="17"/>
          <w:color w:val="auto"/>
        </w:rPr>
        <w:t>”, and together with Holdings 1, “</w:t>
      </w:r>
      <w:r>
        <w:rPr>
          <w:rFonts w:ascii="Arial" w:cs="Arial" w:eastAsia="Arial" w:hAnsi="Arial"/>
          <w:sz w:val="17"/>
          <w:szCs w:val="17"/>
          <w:u w:val="single" w:color="auto"/>
          <w:color w:val="auto"/>
        </w:rPr>
        <w:t>Holdings</w:t>
      </w:r>
      <w:r>
        <w:rPr>
          <w:rFonts w:ascii="Arial" w:cs="Arial" w:eastAsia="Arial" w:hAnsi="Arial"/>
          <w:sz w:val="17"/>
          <w:szCs w:val="17"/>
          <w:color w:val="auto"/>
        </w:rPr>
        <w:t>”), LNG HOLDINGS (FLORIDA)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MORGAN STANLEY SENIOR FUNDING, INC., as administrative agent for the Lenders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I have made, or have caused to be made under my supervision, a review in reasonable detail of the transactions and condition of Holdings, the Borrower and their respective Subsidiaries during the accounting period covered by the attached financial statements.</w:t>
      </w:r>
    </w:p>
    <w:p>
      <w:pPr>
        <w:spacing w:after="0" w:line="232" w:lineRule="exact"/>
        <w:rPr>
          <w:rFonts w:ascii="Arial" w:cs="Arial" w:eastAsia="Arial" w:hAnsi="Arial"/>
          <w:sz w:val="17"/>
          <w:szCs w:val="17"/>
          <w:color w:val="auto"/>
        </w:rPr>
      </w:pPr>
    </w:p>
    <w:p>
      <w:pPr>
        <w:ind w:right="40" w:firstLine="645"/>
        <w:spacing w:after="0" w:line="257" w:lineRule="auto"/>
        <w:tabs>
          <w:tab w:leader="none" w:pos="132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examination described in paragraph 2 above did not disclose, and I have no knowledge of, the existence of any condition or event which constitutes an Event of Default or Default or (x) an Excess Cash Restriction Period or (y) an ECF Percentage equal to 100%, as of the date of this Compliance Certificate, except as set forth in a separate attachment, if any, to this Compliance Certificate, describing in detail, the nature of the condition or event, and, in the case of a Default or Event of Default, the action the Borrower has taken, is taking or proposes to take with respect to each such condition or event.</w:t>
      </w:r>
    </w:p>
    <w:p>
      <w:pPr>
        <w:spacing w:after="0" w:line="242" w:lineRule="exact"/>
        <w:rPr>
          <w:rFonts w:ascii="Arial" w:cs="Arial" w:eastAsia="Arial" w:hAnsi="Arial"/>
          <w:sz w:val="18"/>
          <w:szCs w:val="18"/>
          <w:color w:val="auto"/>
        </w:rPr>
      </w:pPr>
    </w:p>
    <w:p>
      <w:pPr>
        <w:jc w:val="both"/>
        <w:ind w:right="80" w:firstLine="645"/>
        <w:spacing w:after="0" w:line="312" w:lineRule="auto"/>
        <w:tabs>
          <w:tab w:leader="none" w:pos="132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Attached hereto as Annex I is a list of each Immaterial Subsidiary. Each Subsidiary listed on Annex I individually qualifies as an Immaterial Subsidiary and, in the aggregate, all such Immaterial Subsidiaries had consolidated assets with a book value of less than $300,000 on the last day of the fiscal quarter or fiscal year, as applicable, covered by the financial statements being delivered with this Compliance Certificate.</w:t>
      </w:r>
    </w:p>
    <w:p>
      <w:pPr>
        <w:spacing w:after="0" w:line="200" w:lineRule="exact"/>
        <w:rPr>
          <w:rFonts w:ascii="Arial" w:cs="Arial" w:eastAsia="Arial" w:hAnsi="Arial"/>
          <w:sz w:val="16"/>
          <w:szCs w:val="16"/>
          <w:color w:val="auto"/>
        </w:rPr>
      </w:pPr>
    </w:p>
    <w:p>
      <w:pPr>
        <w:ind w:right="240" w:firstLine="645"/>
        <w:spacing w:after="0" w:line="259" w:lineRule="auto"/>
        <w:tabs>
          <w:tab w:leader="none" w:pos="132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Attached hereto as Annex II is a written update with respect to any Material Construction-Related Contracts entered into during such fiscal quarter or the last fiscal quarter of such fiscal year, as applicable, covered by the financial statements being delivered with this Compliance Certificate, including an update to Schedule 3.24 to the Credit Agreement. Any copies of the foregoing will be made available upon request of the Required Consent Parties.</w:t>
      </w:r>
    </w:p>
    <w:p>
      <w:pPr>
        <w:spacing w:after="0" w:line="14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6" w:right="239" w:bottom="1440" w:gutter="0" w:footer="0" w:header="0"/>
        </w:sectPr>
      </w:pPr>
    </w:p>
    <w:bookmarkStart w:id="294" w:name="page295"/>
    <w:bookmarkEnd w:id="294"/>
    <w:p>
      <w:pPr>
        <w:ind w:firstLine="648"/>
        <w:spacing w:after="0" w:line="276" w:lineRule="auto"/>
        <w:rPr>
          <w:sz w:val="20"/>
          <w:szCs w:val="20"/>
          <w:color w:val="auto"/>
        </w:rPr>
      </w:pPr>
      <w:r>
        <w:rPr>
          <w:rFonts w:ascii="Arial" w:cs="Arial" w:eastAsia="Arial" w:hAnsi="Arial"/>
          <w:sz w:val="17"/>
          <w:szCs w:val="17"/>
          <w:color w:val="auto"/>
        </w:rPr>
        <w:t xml:space="preserve">The foregoing certifications, together with (i) the computations set forth in Annex III hereto (including any supporting schedules as may be attached hereto), (ii) the financial statements delivered with this Compliance Certificate in support hereof and (iii) if this Compliance Certificate is being delivered with the financial statements required to be delivered pursuant to Section 5.1(a) of the Credit Agreement, a listing of any material Intellectual Property acquired by any Loan Party since the date of the most recent list delivered pursuant to Section 5.2(a)(ii) of the Credit Agreement or the Closing Date, as applicable, are made and delivered on </w:t>
      </w:r>
      <w:r>
        <w:rPr>
          <w:rFonts w:ascii="Arial" w:cs="Arial" w:eastAsia="Arial" w:hAnsi="Arial"/>
          <w:sz w:val="17"/>
          <w:szCs w:val="17"/>
          <w:b w:val="1"/>
          <w:bCs w:val="1"/>
          <w:color w:val="auto"/>
        </w:rPr>
        <w:t>[mm/dd/yy]</w:t>
      </w:r>
      <w:r>
        <w:rPr>
          <w:rFonts w:ascii="Arial" w:cs="Arial" w:eastAsia="Arial" w:hAnsi="Arial"/>
          <w:sz w:val="17"/>
          <w:szCs w:val="17"/>
          <w:color w:val="auto"/>
        </w:rPr>
        <w:t xml:space="preserve"> pursuant to Section 5.2(a) of the Credit Agreement.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95" w:name="page296"/>
    <w:bookmarkEnd w:id="295"/>
    <w:p>
      <w:pPr>
        <w:ind w:left="4520"/>
        <w:spacing w:after="0"/>
        <w:rPr>
          <w:sz w:val="20"/>
          <w:szCs w:val="20"/>
          <w:color w:val="auto"/>
        </w:rPr>
      </w:pPr>
      <w:r>
        <w:rPr>
          <w:rFonts w:ascii="Arial" w:cs="Arial" w:eastAsia="Arial" w:hAnsi="Arial"/>
          <w:sz w:val="20"/>
          <w:szCs w:val="20"/>
          <w:b w:val="1"/>
          <w:bCs w:val="1"/>
          <w:color w:val="auto"/>
        </w:rPr>
        <w:t>LNG HOLDINGS (FLORIDA) LLC</w:t>
      </w: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10160</wp:posOffset>
            </wp:positionV>
            <wp:extent cx="340487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56515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color w:val="auto"/>
        </w:rPr>
        <w:t>ANNEX 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IMMATERIAL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t>ANNEX II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w:t>
      </w: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MATERIAL CONSTRUCTION-RELATED CONTRACTS</w:t>
      </w:r>
    </w:p>
    <w:p>
      <w:pPr>
        <w:spacing w:after="0" w:line="19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t>ANNEX III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w:t>
      </w:r>
    </w:p>
    <w:p>
      <w:pPr>
        <w:spacing w:after="0" w:line="211"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be completed for any fiscal quarter ending prior to the Plant Completion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1.</w:t>
            </w:r>
          </w:p>
        </w:tc>
        <w:tc>
          <w:tcPr>
            <w:tcW w:w="9300" w:type="dxa"/>
            <w:vAlign w:val="bottom"/>
            <w:gridSpan w:val="3"/>
          </w:tcPr>
          <w:p>
            <w:pPr>
              <w:spacing w:after="0"/>
              <w:rPr>
                <w:sz w:val="20"/>
                <w:szCs w:val="20"/>
                <w:color w:val="auto"/>
              </w:rPr>
            </w:pPr>
            <w:r>
              <w:rPr>
                <w:rFonts w:ascii="Arial" w:cs="Arial" w:eastAsia="Arial" w:hAnsi="Arial"/>
                <w:sz w:val="18"/>
                <w:szCs w:val="18"/>
                <w:color w:val="auto"/>
              </w:rPr>
              <w:t>In-Balance Test: (i) + (ii) + (iii)</w:t>
            </w:r>
          </w:p>
        </w:tc>
        <w:tc>
          <w:tcPr>
            <w:tcW w:w="16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8960" w:type="dxa"/>
            <w:vAlign w:val="bottom"/>
            <w:gridSpan w:val="2"/>
          </w:tcPr>
          <w:p>
            <w:pPr>
              <w:ind w:left="120"/>
              <w:spacing w:after="0"/>
              <w:rPr>
                <w:sz w:val="20"/>
                <w:szCs w:val="20"/>
                <w:color w:val="auto"/>
              </w:rPr>
            </w:pPr>
            <w:r>
              <w:rPr>
                <w:rFonts w:ascii="Arial" w:cs="Arial" w:eastAsia="Arial" w:hAnsi="Arial"/>
                <w:sz w:val="18"/>
                <w:szCs w:val="18"/>
                <w:color w:val="auto"/>
              </w:rPr>
              <w:t>Undrawn Amount</w:t>
            </w:r>
          </w:p>
        </w:tc>
        <w:tc>
          <w:tcPr>
            <w:tcW w:w="16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32"/>
        </w:trPr>
        <w:tc>
          <w:tcPr>
            <w:tcW w:w="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8960" w:type="dxa"/>
            <w:vAlign w:val="bottom"/>
            <w:gridSpan w:val="2"/>
          </w:tcPr>
          <w:p>
            <w:pPr>
              <w:ind w:left="120"/>
              <w:spacing w:after="0"/>
              <w:rPr>
                <w:sz w:val="20"/>
                <w:szCs w:val="20"/>
                <w:color w:val="auto"/>
              </w:rPr>
            </w:pPr>
            <w:r>
              <w:rPr>
                <w:rFonts w:ascii="Arial" w:cs="Arial" w:eastAsia="Arial" w:hAnsi="Arial"/>
                <w:sz w:val="18"/>
                <w:szCs w:val="18"/>
                <w:color w:val="auto"/>
                <w:w w:val="99"/>
              </w:rPr>
              <w:t>the greater of (A) $24,326,768 less the Aggregate Equity Contribution made on or prior to such date and (B) $0</w:t>
            </w:r>
          </w:p>
        </w:tc>
        <w:tc>
          <w:tcPr>
            <w:tcW w:w="1660" w:type="dxa"/>
            <w:vAlign w:val="bottom"/>
          </w:tcPr>
          <w:p>
            <w:pPr>
              <w:jc w:val="right"/>
              <w:spacing w:after="0"/>
              <w:rPr>
                <w:sz w:val="20"/>
                <w:szCs w:val="20"/>
                <w:color w:val="auto"/>
              </w:rPr>
            </w:pPr>
            <w:r>
              <w:rPr>
                <w:rFonts w:ascii="Arial" w:cs="Arial" w:eastAsia="Arial" w:hAnsi="Arial"/>
                <w:sz w:val="18"/>
                <w:szCs w:val="18"/>
                <w:color w:val="auto"/>
              </w:rPr>
              <w:t>$[__,__,__]</w:t>
            </w:r>
          </w:p>
        </w:tc>
      </w:tr>
    </w:tbl>
    <w:p>
      <w:pPr>
        <w:spacing w:after="0" w:line="202" w:lineRule="exact"/>
        <w:rPr>
          <w:sz w:val="20"/>
          <w:szCs w:val="20"/>
          <w:color w:val="auto"/>
        </w:rPr>
      </w:pPr>
    </w:p>
    <w:p>
      <w:pPr>
        <w:ind w:left="920" w:hanging="453"/>
        <w:spacing w:after="0"/>
        <w:tabs>
          <w:tab w:leader="none" w:pos="9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aggregate amount of Unrestricted Cash included on the consolidated balance sheet of the Borrower and its Subsidiaries as</w:t>
      </w:r>
    </w:p>
    <w:p>
      <w:pPr>
        <w:sectPr>
          <w:pgSz w:w="11900" w:h="16838" w:orient="portrait"/>
          <w:cols w:equalWidth="0" w:num="1">
            <w:col w:w="11420"/>
          </w:cols>
          <w:pgMar w:left="240" w:top="369" w:right="239" w:bottom="1440" w:gutter="0" w:footer="0" w:header="0"/>
        </w:sectPr>
      </w:pP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such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00" w:lineRule="exact"/>
        <w:rPr>
          <w:sz w:val="20"/>
          <w:szCs w:val="20"/>
          <w:color w:val="auto"/>
        </w:rPr>
      </w:pPr>
    </w:p>
    <w:p>
      <w:pPr>
        <w:sectPr>
          <w:pgSz w:w="11900" w:h="16838" w:orient="portrait"/>
          <w:cols w:equalWidth="0" w:num="2">
            <w:col w:w="9860" w:space="720"/>
            <w:col w:w="840"/>
          </w:cols>
          <w:pgMar w:left="240" w:top="369"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To be less than the remaining costs as of such date reflected in the Budget to be incurred prior to the Plant Completion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00" w:lineRule="exact"/>
        <w:rPr>
          <w:sz w:val="20"/>
          <w:szCs w:val="20"/>
          <w:color w:val="auto"/>
        </w:rPr>
      </w:pPr>
    </w:p>
    <w:p>
      <w:pPr>
        <w:sectPr>
          <w:pgSz w:w="11900" w:h="16838" w:orient="portrait"/>
          <w:cols w:equalWidth="0" w:num="2">
            <w:col w:w="9860" w:space="720"/>
            <w:col w:w="840"/>
          </w:cols>
          <w:pgMar w:left="240" w:top="369" w:right="239" w:bottom="1440" w:gutter="0" w:footer="0" w:header="0"/>
          <w:type w:val="continuous"/>
        </w:sectPr>
      </w:pPr>
    </w:p>
    <w:p>
      <w:pPr>
        <w:spacing w:after="0" w:line="291" w:lineRule="exact"/>
        <w:rPr>
          <w:sz w:val="20"/>
          <w:szCs w:val="20"/>
          <w:color w:val="auto"/>
        </w:rPr>
      </w:pPr>
    </w:p>
    <w:p>
      <w:pPr>
        <w:ind w:right="1900" w:firstLine="8"/>
        <w:spacing w:after="0" w:line="277" w:lineRule="auto"/>
        <w:tabs>
          <w:tab w:leader="none" w:pos="70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be completed for any Test Period beginning with the Test Period ending on the last day of the first fiscal quarter ending after the Plant Completion Date: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1.</w:t>
            </w:r>
          </w:p>
        </w:tc>
        <w:tc>
          <w:tcPr>
            <w:tcW w:w="6700" w:type="dxa"/>
            <w:vAlign w:val="bottom"/>
            <w:gridSpan w:val="3"/>
          </w:tcPr>
          <w:p>
            <w:pPr>
              <w:spacing w:after="0"/>
              <w:rPr>
                <w:sz w:val="20"/>
                <w:szCs w:val="20"/>
                <w:color w:val="auto"/>
              </w:rPr>
            </w:pPr>
            <w:r>
              <w:rPr>
                <w:rFonts w:ascii="Arial" w:cs="Arial" w:eastAsia="Arial" w:hAnsi="Arial"/>
                <w:sz w:val="18"/>
                <w:szCs w:val="18"/>
                <w:color w:val="auto"/>
              </w:rPr>
              <w:t>Consolidated EBITDA</w:t>
            </w:r>
            <w:r>
              <w:rPr>
                <w:rFonts w:ascii="Arial" w:cs="Arial" w:eastAsia="Arial" w:hAnsi="Arial"/>
                <w:sz w:val="30"/>
                <w:szCs w:val="30"/>
                <w:color w:val="auto"/>
                <w:vertAlign w:val="superscript"/>
              </w:rPr>
              <w:t>1</w:t>
            </w:r>
            <w:r>
              <w:rPr>
                <w:rFonts w:ascii="Arial" w:cs="Arial" w:eastAsia="Arial" w:hAnsi="Arial"/>
                <w:sz w:val="18"/>
                <w:szCs w:val="18"/>
                <w:color w:val="auto"/>
              </w:rPr>
              <w:t>: (i) + (ii) - (iii) + (iv)</w:t>
            </w:r>
          </w:p>
        </w:tc>
        <w:tc>
          <w:tcPr>
            <w:tcW w:w="42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20"/>
        </w:trPr>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(i)</w:t>
            </w:r>
          </w:p>
        </w:tc>
        <w:tc>
          <w:tcPr>
            <w:tcW w:w="6380" w:type="dxa"/>
            <w:vAlign w:val="bottom"/>
            <w:gridSpan w:val="2"/>
          </w:tcPr>
          <w:p>
            <w:pPr>
              <w:ind w:left="140"/>
              <w:spacing w:after="0"/>
              <w:rPr>
                <w:sz w:val="20"/>
                <w:szCs w:val="20"/>
                <w:color w:val="auto"/>
              </w:rPr>
            </w:pPr>
            <w:r>
              <w:rPr>
                <w:rFonts w:ascii="Arial" w:cs="Arial" w:eastAsia="Arial" w:hAnsi="Arial"/>
                <w:sz w:val="18"/>
                <w:szCs w:val="18"/>
                <w:color w:val="auto"/>
              </w:rPr>
              <w:t>Consolidated Net Income</w:t>
            </w:r>
          </w:p>
        </w:tc>
        <w:tc>
          <w:tcPr>
            <w:tcW w:w="4260" w:type="dxa"/>
            <w:vAlign w:val="bottom"/>
          </w:tcPr>
          <w:p>
            <w:pPr>
              <w:jc w:val="right"/>
              <w:spacing w:after="0"/>
              <w:rPr>
                <w:sz w:val="20"/>
                <w:szCs w:val="20"/>
                <w:color w:val="auto"/>
              </w:rPr>
            </w:pPr>
            <w:r>
              <w:rPr>
                <w:rFonts w:ascii="Arial" w:cs="Arial" w:eastAsia="Arial" w:hAnsi="Arial"/>
                <w:sz w:val="18"/>
                <w:szCs w:val="18"/>
                <w:color w:val="auto"/>
              </w:rPr>
              <w:t>$[__,__,__]</w:t>
            </w:r>
          </w:p>
        </w:tc>
      </w:tr>
    </w:tbl>
    <w:p>
      <w:pPr>
        <w:spacing w:after="0" w:line="202" w:lineRule="exact"/>
        <w:rPr>
          <w:sz w:val="20"/>
          <w:szCs w:val="20"/>
          <w:color w:val="auto"/>
        </w:rPr>
      </w:pPr>
    </w:p>
    <w:p>
      <w:pPr>
        <w:ind w:left="920" w:hanging="453"/>
        <w:spacing w:after="0"/>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provision for taxes based on income, profits or capital gains, including, without limitation, federal, state, franchise</w:t>
      </w:r>
    </w:p>
    <w:p>
      <w:pPr>
        <w:sectPr>
          <w:pgSz w:w="11900" w:h="16838" w:orient="portrait"/>
          <w:cols w:equalWidth="0" w:num="1">
            <w:col w:w="11420"/>
          </w:cols>
          <w:pgMar w:left="240" w:top="369" w:right="239" w:bottom="1440" w:gutter="0" w:footer="0" w:header="0"/>
          <w:type w:val="continuous"/>
        </w:sectPr>
      </w:pPr>
    </w:p>
    <w:p>
      <w:pPr>
        <w:spacing w:after="0" w:line="23" w:lineRule="exact"/>
        <w:rPr>
          <w:sz w:val="20"/>
          <w:szCs w:val="20"/>
          <w:color w:val="auto"/>
        </w:rPr>
      </w:pPr>
    </w:p>
    <w:p>
      <w:pPr>
        <w:ind w:left="1380" w:right="500"/>
        <w:spacing w:after="0" w:line="255" w:lineRule="auto"/>
        <w:rPr>
          <w:sz w:val="20"/>
          <w:szCs w:val="20"/>
          <w:color w:val="auto"/>
        </w:rPr>
      </w:pPr>
      <w:r>
        <w:rPr>
          <w:rFonts w:ascii="Arial" w:cs="Arial" w:eastAsia="Arial" w:hAnsi="Arial"/>
          <w:sz w:val="18"/>
          <w:szCs w:val="18"/>
          <w:color w:val="auto"/>
        </w:rPr>
        <w:t>and similar taxes and foreign withholding taxes (including any future taxes or other levies which replace or are intended to be in lieu of such taxes and any penalties and interest related to such taxes or arising from tax examinations)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47" w:lineRule="exact"/>
        <w:rPr>
          <w:sz w:val="20"/>
          <w:szCs w:val="20"/>
          <w:color w:val="auto"/>
        </w:rPr>
      </w:pPr>
    </w:p>
    <w:p>
      <w:pPr>
        <w:sectPr>
          <w:pgSz w:w="11900" w:h="16838" w:orient="portrait"/>
          <w:cols w:equalWidth="0" w:num="2">
            <w:col w:w="9860" w:space="720"/>
            <w:col w:w="840"/>
          </w:cols>
          <w:pgMar w:left="240" w:top="369" w:right="239" w:bottom="1440" w:gutter="0" w:footer="0" w:header="0"/>
          <w:type w:val="continuous"/>
        </w:sectPr>
      </w:pPr>
    </w:p>
    <w:p>
      <w:pPr>
        <w:ind w:left="1380" w:right="1720" w:hanging="454"/>
        <w:spacing w:after="0" w:line="291" w:lineRule="auto"/>
        <w:tabs>
          <w:tab w:leader="none" w:pos="13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interest expense, amortization or write-off of debt discount and debt issuance costs and commissions, discounts and other fees and charges associated with Indebtedness, plus all cash dividends or other distributions paid (excluding</w:t>
      </w:r>
    </w:p>
    <w:p>
      <w:pPr>
        <w:ind w:left="1380"/>
        <w:spacing w:after="0"/>
        <w:tabs>
          <w:tab w:leader="none" w:pos="10560" w:val="left"/>
        </w:tabs>
        <w:rPr>
          <w:sz w:val="20"/>
          <w:szCs w:val="20"/>
          <w:color w:val="auto"/>
        </w:rPr>
      </w:pPr>
      <w:r>
        <w:rPr>
          <w:rFonts w:ascii="Arial" w:cs="Arial" w:eastAsia="Arial" w:hAnsi="Arial"/>
          <w:sz w:val="18"/>
          <w:szCs w:val="18"/>
          <w:color w:val="auto"/>
        </w:rPr>
        <w:t>items eliminated in consolidation) on any series of preferred stock or Disqualified Capital Stock</w:t>
      </w:r>
      <w:r>
        <w:rPr>
          <w:sz w:val="20"/>
          <w:szCs w:val="20"/>
          <w:color w:val="auto"/>
        </w:rPr>
        <w:tab/>
      </w:r>
      <w:r>
        <w:rPr>
          <w:rFonts w:ascii="Arial" w:cs="Arial" w:eastAsia="Arial" w:hAnsi="Arial"/>
          <w:sz w:val="16"/>
          <w:szCs w:val="16"/>
          <w:color w:val="auto"/>
        </w:rPr>
        <w:t>$[__,__,__]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490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3"/>
          <w:szCs w:val="13"/>
          <w:color w:val="auto"/>
        </w:rPr>
        <w:t>1 Notwithstanding the foregoing, (i) Consolidated EBITDA for the first Test Period ending after the Plant Completion Date shall be calculated by multiplying the Consolidated EBITDA for the fiscal quarter ending on the last day of such Test Period by four; (ii) Consolidated EBITDA for the second Test Period ending after the Plant Completion Date shall be calculated by multiplying the Consolidated EBITDA for the two-fiscal-quarter period ending on the last day of such Test Period by two; and (iii) Consolidated EBITDA for the third Test Period ending after the Plant Completion Date shall be calculated by multiplying the Consolidated EBITDA for the three-fiscal-quarter period ending on the last day of such Test Period by four-thirds.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299" w:name="page300"/>
    <w:bookmarkEnd w:id="299"/>
    <w:p>
      <w:pPr>
        <w:ind w:left="913" w:hanging="454"/>
        <w:spacing w:after="0"/>
        <w:tabs>
          <w:tab w:leader="none" w:pos="91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225" w:lineRule="exact"/>
        <w:rPr>
          <w:rFonts w:ascii="Arial" w:cs="Arial" w:eastAsia="Arial" w:hAnsi="Arial"/>
          <w:sz w:val="18"/>
          <w:szCs w:val="18"/>
          <w:color w:val="auto"/>
        </w:rPr>
      </w:pPr>
    </w:p>
    <w:p>
      <w:pPr>
        <w:ind w:left="913" w:right="300" w:hanging="454"/>
        <w:spacing w:after="0" w:line="286" w:lineRule="auto"/>
        <w:tabs>
          <w:tab w:leader="none" w:pos="913"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any extraordinary, unusual or non-recurring losses or non-cash expenses (including, for the avoidance of doubt, losses on sales of assets or investments outside of the ordinary course of business), and non-cash impairments of goodwill, intangibles, fixed assets, land and land held for development</w:t>
      </w:r>
    </w:p>
    <w:p>
      <w:pPr>
        <w:spacing w:after="0" w:line="165" w:lineRule="exact"/>
        <w:rPr>
          <w:rFonts w:ascii="Arial" w:cs="Arial" w:eastAsia="Arial" w:hAnsi="Arial"/>
          <w:sz w:val="17"/>
          <w:szCs w:val="17"/>
          <w:color w:val="auto"/>
        </w:rPr>
      </w:pPr>
    </w:p>
    <w:p>
      <w:pPr>
        <w:ind w:left="913" w:right="240" w:hanging="454"/>
        <w:spacing w:after="0" w:line="277" w:lineRule="auto"/>
        <w:tabs>
          <w:tab w:leader="none" w:pos="91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other non-cash charges (including, for the avoidance of doubt, equity incentive plans to the extent not paid in cash and unrealized foreign exchange losses attributable to currency translation)</w:t>
      </w:r>
    </w:p>
    <w:p>
      <w:pPr>
        <w:spacing w:after="0" w:line="170" w:lineRule="exact"/>
        <w:rPr>
          <w:rFonts w:ascii="Arial" w:cs="Arial" w:eastAsia="Arial" w:hAnsi="Arial"/>
          <w:sz w:val="18"/>
          <w:szCs w:val="18"/>
          <w:color w:val="auto"/>
        </w:rPr>
      </w:pPr>
    </w:p>
    <w:p>
      <w:pPr>
        <w:ind w:left="913" w:right="100" w:hanging="454"/>
        <w:spacing w:after="0" w:line="277" w:lineRule="auto"/>
        <w:tabs>
          <w:tab w:leader="none" w:pos="91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fees, expenses or charges incurred with respect to the Transaction or any Indebtedness permitted to be incurred under the Credit Agreement</w:t>
      </w:r>
    </w:p>
    <w:p>
      <w:pPr>
        <w:spacing w:after="0" w:line="170" w:lineRule="exact"/>
        <w:rPr>
          <w:rFonts w:ascii="Arial" w:cs="Arial" w:eastAsia="Arial" w:hAnsi="Arial"/>
          <w:sz w:val="18"/>
          <w:szCs w:val="18"/>
          <w:color w:val="auto"/>
        </w:rPr>
      </w:pPr>
    </w:p>
    <w:p>
      <w:pPr>
        <w:ind w:left="913" w:right="600" w:hanging="454"/>
        <w:spacing w:after="0" w:line="342" w:lineRule="auto"/>
        <w:tabs>
          <w:tab w:leader="none" w:pos="913"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fees, expenses or charges related to any equity offering by Holdings, Investment, Acquisition (including Permitted Acquisitions) or Disposition, in each case whether or not successful or consummated</w:t>
      </w:r>
    </w:p>
    <w:p>
      <w:pPr>
        <w:spacing w:after="0" w:line="123" w:lineRule="exact"/>
        <w:rPr>
          <w:rFonts w:ascii="Arial" w:cs="Arial" w:eastAsia="Arial" w:hAnsi="Arial"/>
          <w:sz w:val="16"/>
          <w:szCs w:val="16"/>
          <w:color w:val="auto"/>
        </w:rPr>
      </w:pPr>
    </w:p>
    <w:p>
      <w:pPr>
        <w:ind w:left="913" w:hanging="454"/>
        <w:spacing w:after="0"/>
        <w:tabs>
          <w:tab w:leader="none" w:pos="913"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any net loss from disposed, abandoned or discontinued operations or operations that management is winding down</w:t>
      </w:r>
    </w:p>
    <w:p>
      <w:pPr>
        <w:spacing w:after="0" w:line="248" w:lineRule="exact"/>
        <w:rPr>
          <w:rFonts w:ascii="Arial" w:cs="Arial" w:eastAsia="Arial" w:hAnsi="Arial"/>
          <w:sz w:val="16"/>
          <w:szCs w:val="16"/>
          <w:color w:val="auto"/>
        </w:rPr>
      </w:pPr>
    </w:p>
    <w:p>
      <w:pPr>
        <w:ind w:left="913" w:right="380" w:hanging="454"/>
        <w:spacing w:after="0" w:line="501" w:lineRule="auto"/>
        <w:tabs>
          <w:tab w:leader="none" w:pos="913"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amount of any directors’ fees or reimbursements (including fees and reimbursements of directors of Parent) Sum of (a) through (i)</w:t>
      </w:r>
    </w:p>
    <w:p>
      <w:pPr>
        <w:ind w:left="913" w:right="420" w:hanging="913"/>
        <w:spacing w:after="0" w:line="342" w:lineRule="auto"/>
        <w:tabs>
          <w:tab w:leader="none" w:pos="45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 any extraordinary, unusual or non-recurring income or gains(including, for the avoidance of doubt, any cash or non-cash income or gains from the sales of assets or investments outside of the ordinary course of business)</w:t>
      </w:r>
    </w:p>
    <w:p>
      <w:pPr>
        <w:spacing w:after="0" w:line="123" w:lineRule="exact"/>
        <w:rPr>
          <w:rFonts w:ascii="Arial" w:cs="Arial" w:eastAsia="Arial" w:hAnsi="Arial"/>
          <w:sz w:val="16"/>
          <w:szCs w:val="16"/>
          <w:color w:val="auto"/>
        </w:rPr>
      </w:pPr>
    </w:p>
    <w:p>
      <w:pPr>
        <w:ind w:left="913" w:right="500" w:hanging="454"/>
        <w:spacing w:after="0" w:line="277" w:lineRule="auto"/>
        <w:tabs>
          <w:tab w:leader="none" w:pos="91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other non-cash income or gains (including, for the avoidance of doubt, unrealized foreign exchange gains attributable to currency translation)</w:t>
      </w:r>
    </w:p>
    <w:p>
      <w:pPr>
        <w:spacing w:after="0" w:line="170" w:lineRule="exact"/>
        <w:rPr>
          <w:rFonts w:ascii="Arial" w:cs="Arial" w:eastAsia="Arial" w:hAnsi="Arial"/>
          <w:sz w:val="18"/>
          <w:szCs w:val="18"/>
          <w:color w:val="auto"/>
        </w:rPr>
      </w:pPr>
    </w:p>
    <w:p>
      <w:pPr>
        <w:ind w:left="913" w:right="180" w:hanging="454"/>
        <w:spacing w:after="0" w:line="264" w:lineRule="auto"/>
        <w:tabs>
          <w:tab w:leader="none" w:pos="91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cash payments made during such period in respect of items described in clause (ii)(d) above subsequent to the fiscal quarter in which the relevant non-cash expenses or losses were reflected as a charge in the statement of Consolidated Net Income,</w:t>
      </w:r>
    </w:p>
    <w:p>
      <w:pPr>
        <w:spacing w:after="0" w:line="181" w:lineRule="exact"/>
        <w:rPr>
          <w:rFonts w:ascii="Arial" w:cs="Arial" w:eastAsia="Arial" w:hAnsi="Arial"/>
          <w:sz w:val="18"/>
          <w:szCs w:val="18"/>
          <w:color w:val="auto"/>
        </w:rPr>
      </w:pPr>
    </w:p>
    <w:p>
      <w:pPr>
        <w:ind w:left="913" w:right="380" w:hanging="454"/>
        <w:spacing w:after="0" w:line="528" w:lineRule="auto"/>
        <w:tabs>
          <w:tab w:leader="none" w:pos="91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net income from disposed, abandoned or discontinued operations, all as determined on a consolidated basis Sum of (a) through (d)</w:t>
      </w:r>
    </w:p>
    <w:p>
      <w:pPr>
        <w:spacing w:after="0" w:line="129" w:lineRule="exact"/>
        <w:rPr>
          <w:sz w:val="20"/>
          <w:szCs w:val="20"/>
          <w:color w:val="auto"/>
        </w:rPr>
      </w:pPr>
    </w:p>
    <w:p>
      <w:pPr>
        <w:jc w:val="center"/>
        <w:ind w:left="1193"/>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48895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64" w:lineRule="exact"/>
        <w:rPr>
          <w:sz w:val="20"/>
          <w:szCs w:val="20"/>
          <w:color w:val="auto"/>
        </w:rPr>
      </w:pPr>
    </w:p>
    <w:p>
      <w:pPr>
        <w:jc w:val="both"/>
        <w:spacing w:after="0" w:line="583" w:lineRule="auto"/>
        <w:rPr>
          <w:sz w:val="20"/>
          <w:szCs w:val="20"/>
          <w:color w:val="auto"/>
        </w:rPr>
      </w:pPr>
      <w:r>
        <w:rPr>
          <w:rFonts w:ascii="Arial" w:cs="Arial" w:eastAsia="Arial" w:hAnsi="Arial"/>
          <w:sz w:val="16"/>
          <w:szCs w:val="16"/>
          <w:color w:val="auto"/>
        </w:rPr>
        <w:t>$[__,___,__] $[__,___,__] $[__,___,__] $[__,___,__]</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594" w:lineRule="auto"/>
        <w:rPr>
          <w:sz w:val="20"/>
          <w:szCs w:val="20"/>
          <w:color w:val="auto"/>
        </w:rPr>
      </w:pPr>
      <w:r>
        <w:rPr>
          <w:rFonts w:ascii="Arial" w:cs="Arial" w:eastAsia="Arial" w:hAnsi="Arial"/>
          <w:sz w:val="16"/>
          <w:szCs w:val="16"/>
          <w:color w:val="auto"/>
        </w:rPr>
        <w:t>$[__,___,__] $[__,___,__] $[__,___,__]</w:t>
      </w:r>
    </w:p>
    <w:p>
      <w:pPr>
        <w:sectPr>
          <w:pgSz w:w="11900" w:h="16838" w:orient="portrait"/>
          <w:cols w:equalWidth="0" w:num="2">
            <w:col w:w="9313" w:space="720"/>
            <w:col w:w="920"/>
          </w:cols>
          <w:pgMar w:left="707" w:top="125" w:right="2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8"/>
              </w:rPr>
              <w:t>(iv)  Pro rata share of Consolidated EBITDA of each Person that is not the Borrower or any of its Subsidiaries designated by</w:t>
            </w:r>
          </w:p>
        </w:tc>
        <w:tc>
          <w:tcPr>
            <w:tcW w:w="12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9680" w:type="dxa"/>
            <w:vAlign w:val="bottom"/>
            <w:gridSpan w:val="2"/>
          </w:tcPr>
          <w:p>
            <w:pPr>
              <w:ind w:left="460"/>
              <w:spacing w:after="0"/>
              <w:rPr>
                <w:sz w:val="20"/>
                <w:szCs w:val="20"/>
                <w:color w:val="auto"/>
              </w:rPr>
            </w:pPr>
            <w:r>
              <w:rPr>
                <w:rFonts w:ascii="Arial" w:cs="Arial" w:eastAsia="Arial" w:hAnsi="Arial"/>
                <w:sz w:val="18"/>
                <w:szCs w:val="18"/>
                <w:color w:val="auto"/>
              </w:rPr>
              <w:t>management to be accounted for by the equity method of accounting</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18"/>
        </w:trPr>
        <w:tc>
          <w:tcPr>
            <w:tcW w:w="4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6"/>
              </w:rPr>
              <w:t>Notwithstanding the foregoing, in no event shall Consolidated EBITDA for any Test Period, whether or not measured on a Pro</w:t>
            </w:r>
          </w:p>
        </w:tc>
        <w:tc>
          <w:tcPr>
            <w:tcW w:w="128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5"/>
              </w:rPr>
              <w:t>Forma Basis, attributable to contracted revenue from agreements that have a term (calculated, for each agreement, as of initial</w:t>
            </w:r>
          </w:p>
        </w:tc>
        <w:tc>
          <w:tcPr>
            <w:tcW w:w="12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6"/>
              </w:rPr>
              <w:t>execution of such agreement to its expiration after giving effect to any extension thereto) of less than 180 days constitute more</w:t>
            </w:r>
          </w:p>
        </w:tc>
        <w:tc>
          <w:tcPr>
            <w:tcW w:w="12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than 25% of Consolidated EBITDA for such Test Period</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18"/>
        </w:trPr>
        <w:tc>
          <w:tcPr>
            <w:tcW w:w="4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6"/>
              </w:rPr>
              <w:t>Consolidated EBITDA for such Test Period calculated after inclusion of contracted revenue from agreements that have a term</w:t>
            </w:r>
          </w:p>
        </w:tc>
        <w:tc>
          <w:tcPr>
            <w:tcW w:w="128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of less than 180 days:</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18"/>
        </w:trPr>
        <w:tc>
          <w:tcPr>
            <w:tcW w:w="4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4"/>
              </w:rPr>
              <w:t>Consolidated EBITDA for such Test Period attributable to contracted revenue from agreements that have a term of less than 180</w:t>
            </w:r>
          </w:p>
        </w:tc>
        <w:tc>
          <w:tcPr>
            <w:tcW w:w="128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days:</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392"/>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2.</w:t>
            </w:r>
          </w:p>
        </w:tc>
        <w:tc>
          <w:tcPr>
            <w:tcW w:w="9680" w:type="dxa"/>
            <w:vAlign w:val="bottom"/>
            <w:gridSpan w:val="2"/>
          </w:tcPr>
          <w:p>
            <w:pPr>
              <w:spacing w:after="0"/>
              <w:rPr>
                <w:sz w:val="20"/>
                <w:szCs w:val="20"/>
                <w:color w:val="auto"/>
              </w:rPr>
            </w:pPr>
            <w:r>
              <w:rPr>
                <w:rFonts w:ascii="Arial" w:cs="Arial" w:eastAsia="Arial" w:hAnsi="Arial"/>
                <w:sz w:val="18"/>
                <w:szCs w:val="18"/>
                <w:color w:val="auto"/>
              </w:rPr>
              <w:t>Consolidated Net Income: (i) – (ii)</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20"/>
        </w:trPr>
        <w:tc>
          <w:tcPr>
            <w:tcW w:w="4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920" w:hanging="453"/>
        <w:spacing w:after="0"/>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consolidated net income (or loss) of the Borrower and its Subsidiaries for such period, determined on a consolidated</w:t>
      </w:r>
    </w:p>
    <w:p>
      <w:pPr>
        <w:spacing w:after="0" w:line="23" w:lineRule="exact"/>
        <w:rPr>
          <w:sz w:val="20"/>
          <w:szCs w:val="20"/>
          <w:color w:val="auto"/>
        </w:rPr>
      </w:pPr>
    </w:p>
    <w:p>
      <w:pPr>
        <w:ind w:left="920"/>
        <w:spacing w:after="0"/>
        <w:tabs>
          <w:tab w:leader="none" w:pos="10560" w:val="left"/>
        </w:tabs>
        <w:rPr>
          <w:sz w:val="20"/>
          <w:szCs w:val="20"/>
          <w:color w:val="auto"/>
        </w:rPr>
      </w:pPr>
      <w:r>
        <w:rPr>
          <w:rFonts w:ascii="Arial" w:cs="Arial" w:eastAsia="Arial" w:hAnsi="Arial"/>
          <w:sz w:val="18"/>
          <w:szCs w:val="18"/>
          <w:color w:val="auto"/>
        </w:rPr>
        <w:t>basis in accordance with GAAP</w:t>
      </w:r>
      <w:r>
        <w:rPr>
          <w:sz w:val="20"/>
          <w:szCs w:val="20"/>
          <w:color w:val="auto"/>
        </w:rPr>
        <w:tab/>
      </w:r>
      <w:r>
        <w:rPr>
          <w:rFonts w:ascii="Arial" w:cs="Arial" w:eastAsia="Arial" w:hAnsi="Arial"/>
          <w:sz w:val="16"/>
          <w:szCs w:val="16"/>
          <w:color w:val="auto"/>
        </w:rPr>
        <w:t>$[__,__,__]</w:t>
      </w:r>
    </w:p>
    <w:p>
      <w:pPr>
        <w:spacing w:after="0" w:line="211" w:lineRule="exact"/>
        <w:rPr>
          <w:sz w:val="20"/>
          <w:szCs w:val="20"/>
          <w:color w:val="auto"/>
        </w:rPr>
      </w:pPr>
    </w:p>
    <w:p>
      <w:pPr>
        <w:jc w:val="center"/>
        <w:ind w:left="1380" w:right="2080" w:hanging="913"/>
        <w:spacing w:after="0" w:line="291" w:lineRule="auto"/>
        <w:tabs>
          <w:tab w:leader="none" w:pos="92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the income (or deficit) of any Person that was not a Subsidiary of the Borrower that accrued prior to the date it becomes a Subsidiary of the Borrower or is merged into or consolidated with the Borrower or any of its</w:t>
      </w:r>
    </w:p>
    <w:p>
      <w:pPr>
        <w:jc w:val="both"/>
        <w:ind w:left="1380"/>
        <w:spacing w:after="0"/>
        <w:tabs>
          <w:tab w:leader="none" w:pos="10560" w:val="left"/>
        </w:tabs>
        <w:rPr>
          <w:sz w:val="20"/>
          <w:szCs w:val="20"/>
          <w:color w:val="auto"/>
        </w:rPr>
      </w:pPr>
      <w:r>
        <w:rPr>
          <w:rFonts w:ascii="Arial" w:cs="Arial" w:eastAsia="Arial" w:hAnsi="Arial"/>
          <w:sz w:val="18"/>
          <w:szCs w:val="18"/>
          <w:color w:val="auto"/>
        </w:rPr>
        <w:t>Subsidiaries</w:t>
      </w:r>
      <w:r>
        <w:rPr>
          <w:sz w:val="20"/>
          <w:szCs w:val="20"/>
          <w:color w:val="auto"/>
        </w:rPr>
        <w:tab/>
      </w:r>
      <w:r>
        <w:rPr>
          <w:rFonts w:ascii="Arial" w:cs="Arial" w:eastAsia="Arial" w:hAnsi="Arial"/>
          <w:sz w:val="18"/>
          <w:szCs w:val="18"/>
          <w:color w:val="auto"/>
        </w:rPr>
        <w:t>$[__,__,__]</w:t>
      </w:r>
    </w:p>
    <w:p>
      <w:pPr>
        <w:spacing w:after="0" w:line="211" w:lineRule="exact"/>
        <w:rPr>
          <w:sz w:val="20"/>
          <w:szCs w:val="20"/>
          <w:color w:val="auto"/>
        </w:rPr>
      </w:pPr>
    </w:p>
    <w:p>
      <w:pPr>
        <w:ind w:left="1380" w:right="1780" w:hanging="454"/>
        <w:spacing w:after="0" w:line="291" w:lineRule="auto"/>
        <w:tabs>
          <w:tab w:leader="none" w:pos="13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income (or deficit) of any Person (other than a Subsidiary of the Borrower) in which the Borrower or any of its Subsidiaries has an ownership interest, except to the extent that any such in-come is actually received by the</w:t>
      </w:r>
    </w:p>
    <w:p>
      <w:pPr>
        <w:jc w:val="right"/>
        <w:spacing w:after="0"/>
        <w:tabs>
          <w:tab w:leader="none" w:pos="820" w:val="left"/>
        </w:tabs>
        <w:rPr>
          <w:sz w:val="20"/>
          <w:szCs w:val="20"/>
          <w:color w:val="auto"/>
        </w:rPr>
      </w:pPr>
      <w:r>
        <w:rPr>
          <w:rFonts w:ascii="Arial" w:cs="Arial" w:eastAsia="Arial" w:hAnsi="Arial"/>
          <w:sz w:val="18"/>
          <w:szCs w:val="18"/>
          <w:color w:val="auto"/>
        </w:rPr>
        <w:t>Borrower or any of its Subsidiaries in the form of dividends or similar distributions</w:t>
      </w:r>
      <w:r>
        <w:rPr>
          <w:sz w:val="20"/>
          <w:szCs w:val="20"/>
          <w:color w:val="auto"/>
        </w:rPr>
        <w:tab/>
      </w:r>
      <w:r>
        <w:rPr>
          <w:rFonts w:ascii="Arial" w:cs="Arial" w:eastAsia="Arial" w:hAnsi="Arial"/>
          <w:sz w:val="16"/>
          <w:szCs w:val="16"/>
          <w:color w:val="auto"/>
        </w:rPr>
        <w:t>$[__,__,__]</w:t>
      </w:r>
    </w:p>
    <w:p>
      <w:pPr>
        <w:spacing w:after="0" w:line="211" w:lineRule="exact"/>
        <w:rPr>
          <w:sz w:val="20"/>
          <w:szCs w:val="20"/>
          <w:color w:val="auto"/>
        </w:rPr>
      </w:pPr>
    </w:p>
    <w:p>
      <w:pPr>
        <w:ind w:left="1380" w:hanging="454"/>
        <w:spacing w:after="0"/>
        <w:tabs>
          <w:tab w:leader="none" w:pos="1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undistributed earnings of any non-Wholly Owned Subsidiary of the Borrower or any of its Subsidiaries (other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40" w:type="dxa"/>
            <w:vAlign w:val="bottom"/>
          </w:tcPr>
          <w:p>
            <w:pPr>
              <w:ind w:left="1380"/>
              <w:spacing w:after="0"/>
              <w:rPr>
                <w:sz w:val="20"/>
                <w:szCs w:val="20"/>
                <w:color w:val="auto"/>
              </w:rPr>
            </w:pPr>
            <w:r>
              <w:rPr>
                <w:rFonts w:ascii="Arial" w:cs="Arial" w:eastAsia="Arial" w:hAnsi="Arial"/>
                <w:sz w:val="18"/>
                <w:szCs w:val="18"/>
                <w:color w:val="auto"/>
                <w:w w:val="97"/>
              </w:rPr>
              <w:t>than a Loan Party) to the extent that the declaration or payment of dividends or similar distributions by such non-</w:t>
            </w:r>
          </w:p>
        </w:tc>
        <w:tc>
          <w:tcPr>
            <w:tcW w:w="1280" w:type="dxa"/>
            <w:vAlign w:val="bottom"/>
          </w:tcPr>
          <w:p>
            <w:pPr>
              <w:spacing w:after="0"/>
              <w:rPr>
                <w:sz w:val="17"/>
                <w:szCs w:val="17"/>
                <w:color w:val="auto"/>
              </w:rPr>
            </w:pPr>
          </w:p>
        </w:tc>
      </w:tr>
      <w:tr>
        <w:trPr>
          <w:trHeight w:val="216"/>
        </w:trPr>
        <w:tc>
          <w:tcPr>
            <w:tcW w:w="10140" w:type="dxa"/>
            <w:vAlign w:val="bottom"/>
          </w:tcPr>
          <w:p>
            <w:pPr>
              <w:ind w:left="1380"/>
              <w:spacing w:after="0"/>
              <w:rPr>
                <w:sz w:val="20"/>
                <w:szCs w:val="20"/>
                <w:color w:val="auto"/>
              </w:rPr>
            </w:pPr>
            <w:r>
              <w:rPr>
                <w:rFonts w:ascii="Arial" w:cs="Arial" w:eastAsia="Arial" w:hAnsi="Arial"/>
                <w:sz w:val="18"/>
                <w:szCs w:val="18"/>
                <w:color w:val="auto"/>
                <w:w w:val="96"/>
              </w:rPr>
              <w:t>Wholly Owned Subsidiary is not at the time permitted by the terms of any Contractual Obligation (other than under</w:t>
            </w:r>
          </w:p>
        </w:tc>
        <w:tc>
          <w:tcPr>
            <w:tcW w:w="1280" w:type="dxa"/>
            <w:vAlign w:val="bottom"/>
          </w:tcPr>
          <w:p>
            <w:pPr>
              <w:spacing w:after="0"/>
              <w:rPr>
                <w:sz w:val="18"/>
                <w:szCs w:val="18"/>
                <w:color w:val="auto"/>
              </w:rPr>
            </w:pPr>
          </w:p>
        </w:tc>
      </w:tr>
      <w:tr>
        <w:trPr>
          <w:trHeight w:val="230"/>
        </w:trPr>
        <w:tc>
          <w:tcPr>
            <w:tcW w:w="10140" w:type="dxa"/>
            <w:vAlign w:val="bottom"/>
          </w:tcPr>
          <w:p>
            <w:pPr>
              <w:ind w:left="1380"/>
              <w:spacing w:after="0"/>
              <w:rPr>
                <w:sz w:val="20"/>
                <w:szCs w:val="20"/>
                <w:color w:val="auto"/>
              </w:rPr>
            </w:pPr>
            <w:r>
              <w:rPr>
                <w:rFonts w:ascii="Arial" w:cs="Arial" w:eastAsia="Arial" w:hAnsi="Arial"/>
                <w:sz w:val="18"/>
                <w:szCs w:val="18"/>
                <w:color w:val="auto"/>
              </w:rPr>
              <w:t>any Loan Document) or Requirement of Law applicable to such non-Wholly Owned Subsidiary</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32"/>
        </w:trPr>
        <w:tc>
          <w:tcPr>
            <w:tcW w:w="10140" w:type="dxa"/>
            <w:vAlign w:val="bottom"/>
          </w:tcPr>
          <w:p>
            <w:pPr>
              <w:ind w:left="1380"/>
              <w:spacing w:after="0"/>
              <w:rPr>
                <w:sz w:val="20"/>
                <w:szCs w:val="20"/>
                <w:color w:val="auto"/>
              </w:rPr>
            </w:pPr>
            <w:r>
              <w:rPr>
                <w:rFonts w:ascii="Arial" w:cs="Arial" w:eastAsia="Arial" w:hAnsi="Arial"/>
                <w:sz w:val="18"/>
                <w:szCs w:val="18"/>
                <w:color w:val="auto"/>
              </w:rPr>
              <w:t>Sum of (a) through (c)</w:t>
            </w:r>
          </w:p>
        </w:tc>
        <w:tc>
          <w:tcPr>
            <w:tcW w:w="128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608"/>
        </w:trPr>
        <w:tc>
          <w:tcPr>
            <w:tcW w:w="10140" w:type="dxa"/>
            <w:vAlign w:val="bottom"/>
          </w:tcPr>
          <w:p>
            <w:pPr>
              <w:ind w:left="5580"/>
              <w:spacing w:after="0"/>
              <w:rPr>
                <w:sz w:val="20"/>
                <w:szCs w:val="20"/>
                <w:color w:val="auto"/>
              </w:rPr>
            </w:pPr>
            <w:r>
              <w:rPr>
                <w:rFonts w:ascii="Arial" w:cs="Arial" w:eastAsia="Arial" w:hAnsi="Arial"/>
                <w:sz w:val="18"/>
                <w:szCs w:val="18"/>
                <w:color w:val="auto"/>
              </w:rPr>
              <w:t>A-8</w:t>
            </w:r>
          </w:p>
        </w:tc>
        <w:tc>
          <w:tcPr>
            <w:tcW w:w="1280" w:type="dxa"/>
            <w:vAlign w:val="bottom"/>
          </w:tcPr>
          <w:p>
            <w:pPr>
              <w:spacing w:after="0"/>
              <w:rPr>
                <w:sz w:val="24"/>
                <w:szCs w:val="24"/>
                <w:color w:val="auto"/>
              </w:rPr>
            </w:pPr>
          </w:p>
        </w:tc>
      </w:tr>
      <w:tr>
        <w:trPr>
          <w:trHeight w:val="61"/>
        </w:trPr>
        <w:tc>
          <w:tcPr>
            <w:tcW w:w="10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301" w:name="page302"/>
    <w:bookmarkEnd w:id="3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3.</w:t>
            </w:r>
          </w:p>
        </w:tc>
        <w:tc>
          <w:tcPr>
            <w:tcW w:w="9100" w:type="dxa"/>
            <w:vAlign w:val="bottom"/>
            <w:gridSpan w:val="3"/>
          </w:tcPr>
          <w:p>
            <w:pPr>
              <w:spacing w:after="0"/>
              <w:rPr>
                <w:sz w:val="20"/>
                <w:szCs w:val="20"/>
                <w:color w:val="auto"/>
              </w:rPr>
            </w:pPr>
            <w:r>
              <w:rPr>
                <w:rFonts w:ascii="Arial" w:cs="Arial" w:eastAsia="Arial" w:hAnsi="Arial"/>
                <w:sz w:val="18"/>
                <w:szCs w:val="18"/>
                <w:color w:val="auto"/>
              </w:rPr>
              <w:t>Total Secured Debt Leverage Ratio: (i) / (ii)</w:t>
            </w:r>
          </w:p>
        </w:tc>
        <w:tc>
          <w:tcPr>
            <w:tcW w:w="1860" w:type="dxa"/>
            <w:vAlign w:val="bottom"/>
          </w:tcPr>
          <w:p>
            <w:pPr>
              <w:jc w:val="right"/>
              <w:spacing w:after="0"/>
              <w:rPr>
                <w:sz w:val="20"/>
                <w:szCs w:val="20"/>
                <w:color w:val="auto"/>
              </w:rPr>
            </w:pPr>
            <w:r>
              <w:rPr>
                <w:rFonts w:ascii="Arial" w:cs="Arial" w:eastAsia="Arial" w:hAnsi="Arial"/>
                <w:sz w:val="18"/>
                <w:szCs w:val="18"/>
                <w:color w:val="auto"/>
              </w:rPr>
              <w:t>[_____]:1.00</w:t>
            </w: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80"/>
        </w:trPr>
        <w:tc>
          <w:tcPr>
            <w:tcW w:w="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8760" w:type="dxa"/>
            <w:vAlign w:val="bottom"/>
            <w:gridSpan w:val="2"/>
          </w:tcPr>
          <w:p>
            <w:pPr>
              <w:ind w:left="120"/>
              <w:spacing w:after="0"/>
              <w:rPr>
                <w:sz w:val="20"/>
                <w:szCs w:val="20"/>
                <w:color w:val="auto"/>
              </w:rPr>
            </w:pPr>
            <w:r>
              <w:rPr>
                <w:rFonts w:ascii="Arial" w:cs="Arial" w:eastAsia="Arial" w:hAnsi="Arial"/>
                <w:sz w:val="18"/>
                <w:szCs w:val="18"/>
                <w:color w:val="auto"/>
                <w:w w:val="99"/>
              </w:rPr>
              <w:t>(a) Total Secured Debt as of such date minus (b) the aggregate amount of Unrestricted Cash as of such date</w:t>
            </w:r>
          </w:p>
        </w:tc>
        <w:tc>
          <w:tcPr>
            <w:tcW w:w="18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432"/>
        </w:trPr>
        <w:tc>
          <w:tcPr>
            <w:tcW w:w="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8760" w:type="dxa"/>
            <w:vAlign w:val="bottom"/>
            <w:gridSpan w:val="2"/>
          </w:tcPr>
          <w:p>
            <w:pPr>
              <w:ind w:left="120"/>
              <w:spacing w:after="0"/>
              <w:rPr>
                <w:sz w:val="20"/>
                <w:szCs w:val="20"/>
                <w:color w:val="auto"/>
              </w:rPr>
            </w:pPr>
            <w:r>
              <w:rPr>
                <w:rFonts w:ascii="Arial" w:cs="Arial" w:eastAsia="Arial" w:hAnsi="Arial"/>
                <w:sz w:val="18"/>
                <w:szCs w:val="18"/>
                <w:color w:val="auto"/>
              </w:rPr>
              <w:t>Consolidated EBITDA of the Borrower</w:t>
            </w:r>
          </w:p>
        </w:tc>
        <w:tc>
          <w:tcPr>
            <w:tcW w:w="18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608"/>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80" w:type="dxa"/>
            <w:vAlign w:val="bottom"/>
          </w:tcPr>
          <w:p>
            <w:pPr>
              <w:ind w:left="2600"/>
              <w:spacing w:after="0"/>
              <w:rPr>
                <w:sz w:val="20"/>
                <w:szCs w:val="20"/>
                <w:color w:val="auto"/>
              </w:rPr>
            </w:pPr>
            <w:r>
              <w:rPr>
                <w:rFonts w:ascii="Arial" w:cs="Arial" w:eastAsia="Arial" w:hAnsi="Arial"/>
                <w:sz w:val="18"/>
                <w:szCs w:val="18"/>
                <w:color w:val="auto"/>
              </w:rPr>
              <w:t>A-9</w:t>
            </w:r>
          </w:p>
        </w:tc>
        <w:tc>
          <w:tcPr>
            <w:tcW w:w="1860" w:type="dxa"/>
            <w:vAlign w:val="bottom"/>
          </w:tcPr>
          <w:p>
            <w:pPr>
              <w:spacing w:after="0"/>
              <w:rPr>
                <w:sz w:val="24"/>
                <w:szCs w:val="24"/>
                <w:color w:val="auto"/>
              </w:rPr>
            </w:pPr>
          </w:p>
        </w:tc>
      </w:tr>
      <w:tr>
        <w:trPr>
          <w:trHeight w:val="61"/>
        </w:trPr>
        <w:tc>
          <w:tcPr>
            <w:tcW w:w="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302" w:name="page303"/>
    <w:bookmarkEnd w:id="302"/>
    <w:p>
      <w:pPr>
        <w:ind w:left="10260"/>
        <w:spacing w:after="0"/>
        <w:rPr>
          <w:sz w:val="20"/>
          <w:szCs w:val="20"/>
          <w:color w:val="auto"/>
        </w:rPr>
      </w:pPr>
      <w:r>
        <w:rPr>
          <w:rFonts w:ascii="Arial" w:cs="Arial" w:eastAsia="Arial" w:hAnsi="Arial"/>
          <w:sz w:val="17"/>
          <w:szCs w:val="17"/>
          <w:color w:val="auto"/>
        </w:rPr>
        <w:t>EXHIBIT B TO</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CREDIT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___, 2014</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Closing Certificate is delivered pursuant to Section 4.1(g) of the Credit Agreement, dated as of November ____, 2014 (as amended,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restated,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 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lenders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MORGAN STANLEY SENIOR FUNDING, INC.,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defined in the Credit Agreement are used herein as therein defined.</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undersigned Secretary of Holdings and the Borrower (collectively, the “</w:t>
      </w:r>
      <w:r>
        <w:rPr>
          <w:rFonts w:ascii="Arial" w:cs="Arial" w:eastAsia="Arial" w:hAnsi="Arial"/>
          <w:sz w:val="17"/>
          <w:szCs w:val="17"/>
          <w:u w:val="single" w:color="auto"/>
          <w:color w:val="auto"/>
        </w:rPr>
        <w:t>Certificate Parties</w:t>
      </w:r>
      <w:r>
        <w:rPr>
          <w:rFonts w:ascii="Arial" w:cs="Arial" w:eastAsia="Arial" w:hAnsi="Arial"/>
          <w:sz w:val="17"/>
          <w:szCs w:val="17"/>
          <w:color w:val="auto"/>
        </w:rPr>
        <w:t>”), hereby certifies, on behalf of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Party, to the Administrative Agent and the Lenders as follows:</w:t>
      </w:r>
    </w:p>
    <w:p>
      <w:pPr>
        <w:spacing w:after="0" w:line="265" w:lineRule="exact"/>
        <w:rPr>
          <w:sz w:val="20"/>
          <w:szCs w:val="20"/>
          <w:color w:val="auto"/>
        </w:rPr>
      </w:pPr>
    </w:p>
    <w:p>
      <w:pPr>
        <w:jc w:val="both"/>
        <w:ind w:firstLine="1305"/>
        <w:spacing w:after="0" w:line="257" w:lineRule="auto"/>
        <w:tabs>
          <w:tab w:leader="none" w:pos="202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Each person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a duly elected and qualified officer or authorized signatory of each Certificate Party holding the office or capacity listed opposite such person’s name, and the signature appearing opposite such person’s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the true and genuine signature of such person, and such person is duly authorized to execute and deliver, on the Closing Date, on behalf of such Certificate Party each of the Loan Documents to which such Certificate Party is a party and any certificate or other document to be delivered on the Closing Date by such Certificate Party pursuant to the Loan Documents to which it is a party.</w:t>
      </w:r>
    </w:p>
    <w:p>
      <w:pPr>
        <w:spacing w:after="0" w:line="242" w:lineRule="exact"/>
        <w:rPr>
          <w:rFonts w:ascii="Arial" w:cs="Arial" w:eastAsia="Arial" w:hAnsi="Arial"/>
          <w:sz w:val="18"/>
          <w:szCs w:val="18"/>
          <w:color w:val="auto"/>
        </w:rPr>
      </w:pPr>
    </w:p>
    <w:p>
      <w:pPr>
        <w:jc w:val="both"/>
        <w:ind w:firstLine="1305"/>
        <w:spacing w:after="0" w:line="279" w:lineRule="auto"/>
        <w:tabs>
          <w:tab w:leader="none" w:pos="201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in each of the Loan Documents are true and correct in all material respects on and as of the date hereof, except to the extent such representations and warranties specifically relate to an earlier date, in which case such representations and warranties were true and correct in all material respects on and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such materiality qualifier shall not be applicable to any representations and warranties that already are qualified or modified by materiality in the text thereof.</w:t>
      </w:r>
    </w:p>
    <w:p>
      <w:pPr>
        <w:spacing w:after="0" w:line="225" w:lineRule="exact"/>
        <w:rPr>
          <w:rFonts w:ascii="Arial" w:cs="Arial" w:eastAsia="Arial" w:hAnsi="Arial"/>
          <w:sz w:val="17"/>
          <w:szCs w:val="17"/>
          <w:color w:val="auto"/>
        </w:rPr>
      </w:pPr>
    </w:p>
    <w:p>
      <w:pPr>
        <w:ind w:firstLine="1305"/>
        <w:spacing w:after="0" w:line="258" w:lineRule="auto"/>
        <w:tabs>
          <w:tab w:leader="none" w:pos="205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making of the initial Term Loans under the Credit Agreement that would constitute an Event of Default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 a Default as of the date hereof.</w:t>
      </w:r>
    </w:p>
    <w:p>
      <w:pPr>
        <w:spacing w:after="0" w:line="264" w:lineRule="exact"/>
        <w:rPr>
          <w:rFonts w:ascii="Arial" w:cs="Arial" w:eastAsia="Arial" w:hAnsi="Arial"/>
          <w:sz w:val="18"/>
          <w:szCs w:val="18"/>
          <w:color w:val="auto"/>
        </w:rPr>
      </w:pPr>
    </w:p>
    <w:p>
      <w:pPr>
        <w:jc w:val="both"/>
        <w:ind w:firstLine="1305"/>
        <w:spacing w:after="0" w:line="264" w:lineRule="auto"/>
        <w:tabs>
          <w:tab w:leader="none" w:pos="213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is a true and accurate copy of the unaudited consolidated balance sheet of the Borrower as of September 30, 2014, and a pro forma unaudited consolidated balance sheet of the Borrower as of September 30, 2014, giving pro forma effect to the Transactions occurring on the Closing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3" w:name="page304"/>
    <w:bookmarkEnd w:id="303"/>
    <w:p>
      <w:pPr>
        <w:jc w:val="both"/>
        <w:ind w:right="20" w:firstLine="1305"/>
        <w:spacing w:after="0" w:line="280" w:lineRule="auto"/>
        <w:tabs>
          <w:tab w:leader="none" w:pos="214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Prior to or substantially simultaneously with the funding of the initial Term Loans, an amount in cash equal to $10,800,000, representing the Initial Equity Contribu-</w:t>
      </w:r>
      <w:r>
        <w:rPr>
          <w:rFonts w:ascii="Arial" w:cs="Arial" w:eastAsia="Arial" w:hAnsi="Arial"/>
          <w:sz w:val="19"/>
          <w:szCs w:val="19"/>
          <w:color w:val="auto"/>
        </w:rPr>
        <w:t>tion, has been contributed to Holdings as common equity and further contributed to the Borrower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 common equity, which amount is reflected on the pro forma unaudited consolidated balance sheet attached hereto as </w:t>
      </w:r>
      <w:r>
        <w:rPr>
          <w:rFonts w:ascii="Arial" w:cs="Arial" w:eastAsia="Arial" w:hAnsi="Arial"/>
          <w:sz w:val="16"/>
          <w:szCs w:val="16"/>
          <w:u w:val="single" w:color="auto"/>
          <w:color w:val="auto"/>
        </w:rPr>
        <w:t>Schedule B</w:t>
      </w:r>
      <w:r>
        <w:rPr>
          <w:rFonts w:ascii="Arial" w:cs="Arial" w:eastAsia="Arial" w:hAnsi="Arial"/>
          <w:sz w:val="19"/>
          <w:szCs w:val="19"/>
          <w:color w:val="auto"/>
        </w:rPr>
        <w:t>.</w:t>
      </w:r>
    </w:p>
    <w:p>
      <w:pPr>
        <w:spacing w:after="0" w:line="284" w:lineRule="exact"/>
        <w:rPr>
          <w:sz w:val="20"/>
          <w:szCs w:val="20"/>
          <w:color w:val="auto"/>
        </w:rPr>
      </w:pPr>
    </w:p>
    <w:p>
      <w:pPr>
        <w:ind w:right="20" w:firstLine="1305"/>
        <w:spacing w:after="0" w:line="277" w:lineRule="auto"/>
        <w:tabs>
          <w:tab w:leader="none" w:pos="202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are no liquidation or dissolution proceedings pending or to my knowledge threatened against any Certificate Party, nor has any other event occurred adversely affecting or threatening the continued corporate existence of any Certificate Party.</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Each Certificate Party is a limited liability company duly formed, validly existing and in good standing under the laws of the State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Delaware.</w:t>
      </w:r>
    </w:p>
    <w:p>
      <w:pPr>
        <w:spacing w:after="0" w:line="264" w:lineRule="exact"/>
        <w:rPr>
          <w:rFonts w:ascii="Arial" w:cs="Arial" w:eastAsia="Arial" w:hAnsi="Arial"/>
          <w:sz w:val="16"/>
          <w:szCs w:val="16"/>
          <w:color w:val="auto"/>
        </w:rPr>
      </w:pPr>
    </w:p>
    <w:p>
      <w:pPr>
        <w:jc w:val="both"/>
        <w:ind w:firstLine="1305"/>
        <w:spacing w:after="0" w:line="259" w:lineRule="auto"/>
        <w:tabs>
          <w:tab w:leader="none" w:pos="213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is a true and complete copy of resolutions du-ly adopted by the applicable sole member of each Certificate Party. Such resolutions have not in any way been amended, modified, revoked or rescinded, have been in full force and effect since their adoption and including the date hereof and are now in full force and effect and are the only proceedings of such Certificate Party now in force relating to or affecting the matters referred to therein.</w:t>
      </w:r>
    </w:p>
    <w:p>
      <w:pPr>
        <w:spacing w:after="0" w:line="240" w:lineRule="exact"/>
        <w:rPr>
          <w:rFonts w:ascii="Arial" w:cs="Arial" w:eastAsia="Arial" w:hAnsi="Arial"/>
          <w:sz w:val="18"/>
          <w:szCs w:val="18"/>
          <w:color w:val="auto"/>
        </w:rPr>
      </w:pPr>
    </w:p>
    <w:p>
      <w:pPr>
        <w:ind w:left="2000" w:hanging="695"/>
        <w:spacing w:after="0"/>
        <w:tabs>
          <w:tab w:leader="none" w:pos="20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Annex 2</w:t>
      </w:r>
      <w:r>
        <w:rPr>
          <w:rFonts w:ascii="Arial" w:cs="Arial" w:eastAsia="Arial" w:hAnsi="Arial"/>
          <w:sz w:val="16"/>
          <w:szCs w:val="16"/>
          <w:color w:val="auto"/>
        </w:rPr>
        <w:t xml:space="preserve"> is a true and complete copy of the Operating Agreement of each Certificate Party as in effect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w:t>
      </w:r>
    </w:p>
    <w:p>
      <w:pPr>
        <w:spacing w:after="0" w:line="264" w:lineRule="exact"/>
        <w:rPr>
          <w:rFonts w:ascii="Arial" w:cs="Arial" w:eastAsia="Arial" w:hAnsi="Arial"/>
          <w:sz w:val="16"/>
          <w:szCs w:val="16"/>
          <w:color w:val="auto"/>
        </w:rPr>
      </w:pPr>
    </w:p>
    <w:p>
      <w:pPr>
        <w:ind w:left="1940" w:hanging="635"/>
        <w:spacing w:after="0"/>
        <w:tabs>
          <w:tab w:leader="none" w:pos="19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Annex 3</w:t>
      </w:r>
      <w:r>
        <w:rPr>
          <w:rFonts w:ascii="Arial" w:cs="Arial" w:eastAsia="Arial" w:hAnsi="Arial"/>
          <w:sz w:val="16"/>
          <w:szCs w:val="16"/>
          <w:color w:val="auto"/>
        </w:rPr>
        <w:t xml:space="preserve"> is a true and complete copy of the Certificate of Formation of each Certificate Party as in effect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04" w:name="page305"/>
    <w:bookmarkEnd w:id="304"/>
    <w:p>
      <w:pPr>
        <w:ind w:left="1300"/>
        <w:spacing w:after="0"/>
        <w:rPr>
          <w:sz w:val="20"/>
          <w:szCs w:val="20"/>
          <w:color w:val="auto"/>
        </w:rPr>
      </w:pPr>
      <w:r>
        <w:rPr>
          <w:rFonts w:ascii="Arial" w:cs="Arial" w:eastAsia="Arial" w:hAnsi="Arial"/>
          <w:sz w:val="18"/>
          <w:szCs w:val="18"/>
          <w:color w:val="auto"/>
        </w:rPr>
        <w:t>IN WITNESS WHEREOF, the undersigned have executed this Closing Certificate as of the date set forth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Cameron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_____________, _____________ of each Certificate Party, hereby certify that Cameron MacDougall is the duly elected and 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Secretary of each Certificate Party, and the signature above is his genuine 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480"/>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Incumbencies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78"/>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gridSpan w:val="4"/>
          </w:tcPr>
          <w:p>
            <w:pPr>
              <w:ind w:left="1160"/>
              <w:spacing w:after="0"/>
              <w:rPr>
                <w:sz w:val="20"/>
                <w:szCs w:val="20"/>
                <w:color w:val="auto"/>
              </w:rPr>
            </w:pPr>
            <w:r>
              <w:rPr>
                <w:rFonts w:ascii="Arial" w:cs="Arial" w:eastAsia="Arial" w:hAnsi="Arial"/>
                <w:sz w:val="14"/>
                <w:szCs w:val="14"/>
                <w:b w:val="1"/>
                <w:bCs w:val="1"/>
                <w:color w:val="auto"/>
              </w:rPr>
              <w:t>Office</w:t>
            </w:r>
          </w:p>
        </w:tc>
        <w:tc>
          <w:tcPr>
            <w:tcW w:w="5120" w:type="dxa"/>
            <w:vAlign w:val="bottom"/>
            <w:gridSpan w:val="3"/>
          </w:tcPr>
          <w:p>
            <w:pPr>
              <w:ind w:left="1540"/>
              <w:spacing w:after="0"/>
              <w:rPr>
                <w:sz w:val="20"/>
                <w:szCs w:val="20"/>
                <w:color w:val="auto"/>
              </w:rPr>
            </w:pPr>
            <w:r>
              <w:rPr>
                <w:rFonts w:ascii="Arial" w:cs="Arial" w:eastAsia="Arial" w:hAnsi="Arial"/>
                <w:sz w:val="14"/>
                <w:szCs w:val="14"/>
                <w:b w:val="1"/>
                <w:bCs w:val="1"/>
                <w:color w:val="auto"/>
              </w:rPr>
              <w:t>Signature</w:t>
            </w:r>
          </w:p>
        </w:tc>
      </w:tr>
      <w:tr>
        <w:trPr>
          <w:trHeight w:val="20"/>
        </w:trPr>
        <w:tc>
          <w:tcPr>
            <w:tcW w:w="3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98"/>
        </w:trPr>
        <w:tc>
          <w:tcPr>
            <w:tcW w:w="2780" w:type="dxa"/>
            <w:vAlign w:val="bottom"/>
            <w:gridSpan w:val="2"/>
          </w:tcPr>
          <w:p>
            <w:pPr>
              <w:spacing w:after="0"/>
              <w:rPr>
                <w:sz w:val="20"/>
                <w:szCs w:val="20"/>
                <w:color w:val="auto"/>
              </w:rPr>
            </w:pPr>
            <w:r>
              <w:rPr>
                <w:rFonts w:ascii="Arial" w:cs="Arial" w:eastAsia="Arial" w:hAnsi="Arial"/>
                <w:sz w:val="18"/>
                <w:szCs w:val="18"/>
                <w:color w:val="auto"/>
              </w:rPr>
              <w:t>Joseph P. Adams, Jr.</w:t>
            </w:r>
          </w:p>
        </w:tc>
        <w:tc>
          <w:tcPr>
            <w:tcW w:w="3520" w:type="dxa"/>
            <w:vAlign w:val="bottom"/>
            <w:gridSpan w:val="4"/>
          </w:tcPr>
          <w:p>
            <w:pPr>
              <w:ind w:left="1160"/>
              <w:spacing w:after="0"/>
              <w:rPr>
                <w:sz w:val="20"/>
                <w:szCs w:val="20"/>
                <w:color w:val="auto"/>
              </w:rPr>
            </w:pPr>
            <w:r>
              <w:rPr>
                <w:rFonts w:ascii="Arial" w:cs="Arial" w:eastAsia="Arial" w:hAnsi="Arial"/>
                <w:sz w:val="18"/>
                <w:szCs w:val="18"/>
                <w:color w:val="auto"/>
              </w:rPr>
              <w:t>President</w:t>
            </w:r>
          </w:p>
        </w:tc>
        <w:tc>
          <w:tcPr>
            <w:tcW w:w="15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2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Cameron MacDougall</w:t>
            </w:r>
          </w:p>
        </w:tc>
        <w:tc>
          <w:tcPr>
            <w:tcW w:w="3520" w:type="dxa"/>
            <w:vAlign w:val="bottom"/>
            <w:gridSpan w:val="4"/>
          </w:tcPr>
          <w:p>
            <w:pPr>
              <w:ind w:left="1160"/>
              <w:spacing w:after="0" w:line="202" w:lineRule="exact"/>
              <w:rPr>
                <w:sz w:val="20"/>
                <w:szCs w:val="20"/>
                <w:color w:val="auto"/>
              </w:rPr>
            </w:pPr>
            <w:r>
              <w:rPr>
                <w:rFonts w:ascii="Arial" w:cs="Arial" w:eastAsia="Arial" w:hAnsi="Arial"/>
                <w:sz w:val="18"/>
                <w:szCs w:val="18"/>
                <w:color w:val="auto"/>
              </w:rPr>
              <w:t>Secretary</w:t>
            </w:r>
          </w:p>
        </w:tc>
        <w:tc>
          <w:tcPr>
            <w:tcW w:w="1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22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Ken Nicholson</w:t>
            </w:r>
          </w:p>
        </w:tc>
        <w:tc>
          <w:tcPr>
            <w:tcW w:w="3520" w:type="dxa"/>
            <w:vAlign w:val="bottom"/>
            <w:gridSpan w:val="4"/>
          </w:tcPr>
          <w:p>
            <w:pPr>
              <w:ind w:left="1160"/>
              <w:spacing w:after="0" w:line="202" w:lineRule="exact"/>
              <w:rPr>
                <w:sz w:val="20"/>
                <w:szCs w:val="20"/>
                <w:color w:val="auto"/>
              </w:rPr>
            </w:pPr>
            <w:r>
              <w:rPr>
                <w:rFonts w:ascii="Arial" w:cs="Arial" w:eastAsia="Arial" w:hAnsi="Arial"/>
                <w:sz w:val="18"/>
                <w:szCs w:val="18"/>
                <w:color w:val="auto"/>
              </w:rPr>
              <w:t>Chief Operating Officer</w:t>
            </w:r>
          </w:p>
        </w:tc>
        <w:tc>
          <w:tcPr>
            <w:tcW w:w="1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22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John Morrissey</w:t>
            </w:r>
          </w:p>
        </w:tc>
        <w:tc>
          <w:tcPr>
            <w:tcW w:w="3520" w:type="dxa"/>
            <w:vAlign w:val="bottom"/>
            <w:gridSpan w:val="4"/>
          </w:tcPr>
          <w:p>
            <w:pPr>
              <w:ind w:left="1160"/>
              <w:spacing w:after="0" w:line="202" w:lineRule="exact"/>
              <w:rPr>
                <w:sz w:val="20"/>
                <w:szCs w:val="20"/>
                <w:color w:val="auto"/>
              </w:rPr>
            </w:pPr>
            <w:r>
              <w:rPr>
                <w:rFonts w:ascii="Arial" w:cs="Arial" w:eastAsia="Arial" w:hAnsi="Arial"/>
                <w:sz w:val="18"/>
                <w:szCs w:val="18"/>
                <w:color w:val="auto"/>
              </w:rPr>
              <w:t>Chief Financial Officer</w:t>
            </w:r>
          </w:p>
        </w:tc>
        <w:tc>
          <w:tcPr>
            <w:tcW w:w="1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635"/>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B-4</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61"/>
        </w:trPr>
        <w:tc>
          <w:tcPr>
            <w:tcW w:w="3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306" w:name="page307"/>
    <w:bookmarkEnd w:id="306"/>
    <w:p>
      <w:pPr>
        <w:jc w:val="center"/>
        <w:ind w:right="-20"/>
        <w:spacing w:after="0"/>
        <w:rPr>
          <w:sz w:val="20"/>
          <w:szCs w:val="20"/>
          <w:color w:val="auto"/>
        </w:rPr>
      </w:pPr>
      <w:r>
        <w:rPr>
          <w:rFonts w:ascii="Arial" w:cs="Arial" w:eastAsia="Arial" w:hAnsi="Arial"/>
          <w:sz w:val="17"/>
          <w:szCs w:val="17"/>
          <w:b w:val="1"/>
          <w:bCs w:val="1"/>
          <w:u w:val="single" w:color="auto"/>
          <w:color w:val="auto"/>
        </w:rPr>
        <w:t>SCHEDULE B</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8"/>
          <w:szCs w:val="18"/>
          <w:color w:val="auto"/>
        </w:rPr>
        <w:t>ANNEX 1</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[Resolutions of each Certificate Party]</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t>ANNEX 2</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[Operating Agreement of each Certificate Party]</w:t>
      </w:r>
    </w:p>
    <w:p>
      <w:pPr>
        <w:spacing w:after="0" w:line="20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color w:val="auto"/>
        </w:rPr>
        <w:t>ANNEX 3</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[Certificate of Formation of each Certificate Party]</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10" w:name="page311"/>
    <w:bookmarkEnd w:id="310"/>
    <w:p>
      <w:pPr>
        <w:jc w:val="center"/>
        <w:ind w:right="-20"/>
        <w:spacing w:after="0"/>
        <w:rPr>
          <w:sz w:val="20"/>
          <w:szCs w:val="20"/>
          <w:color w:val="auto"/>
        </w:rPr>
      </w:pPr>
      <w:r>
        <w:rPr>
          <w:rFonts w:ascii="Arial" w:cs="Arial" w:eastAsia="Arial" w:hAnsi="Arial"/>
          <w:sz w:val="17"/>
          <w:szCs w:val="17"/>
          <w:b w:val="1"/>
          <w:bCs w:val="1"/>
          <w:u w:val="single" w:color="auto"/>
          <w:color w:val="auto"/>
        </w:rPr>
        <w:t>SCHEDULE B</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11" w:name="page312"/>
    <w:bookmarkEnd w:id="311"/>
    <w:p>
      <w:pPr>
        <w:jc w:val="right"/>
        <w:spacing w:after="0"/>
        <w:rPr>
          <w:sz w:val="20"/>
          <w:szCs w:val="20"/>
          <w:color w:val="auto"/>
        </w:rPr>
      </w:pPr>
      <w:r>
        <w:rPr>
          <w:rFonts w:ascii="Arial" w:cs="Arial" w:eastAsia="Arial" w:hAnsi="Arial"/>
          <w:sz w:val="18"/>
          <w:szCs w:val="18"/>
          <w:color w:val="auto"/>
        </w:rPr>
        <w:t>EXHIBIT C-1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ACCEPTANCE AGREEMENT</w:t>
      </w:r>
    </w:p>
    <w:p>
      <w:pPr>
        <w:spacing w:after="0" w:line="252"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color w:val="auto"/>
        </w:rPr>
        <w:t>This Assignment and Acceptance Agreement (this “</w:t>
      </w:r>
      <w:r>
        <w:rPr>
          <w:rFonts w:ascii="Arial" w:cs="Arial" w:eastAsia="Arial" w:hAnsi="Arial"/>
          <w:sz w:val="16"/>
          <w:szCs w:val="16"/>
          <w:b w:val="1"/>
          <w:bCs w:val="1"/>
          <w:color w:val="auto"/>
        </w:rPr>
        <w:t>Assignment</w:t>
      </w:r>
      <w:r>
        <w:rPr>
          <w:rFonts w:ascii="Arial" w:cs="Arial" w:eastAsia="Arial" w:hAnsi="Arial"/>
          <w:sz w:val="16"/>
          <w:szCs w:val="16"/>
          <w:color w:val="auto"/>
        </w:rPr>
        <w:t xml:space="preserve">”) is dated as of the Effective Date set forth below and is entered into by and between </w:t>
      </w:r>
      <w:r>
        <w:rPr>
          <w:rFonts w:ascii="Arial" w:cs="Arial" w:eastAsia="Arial" w:hAnsi="Arial"/>
          <w:sz w:val="16"/>
          <w:szCs w:val="16"/>
          <w:b w:val="1"/>
          <w:bCs w:val="1"/>
          <w:color w:val="auto"/>
        </w:rPr>
        <w:t>[</w:t>
      </w:r>
      <w:r>
        <w:rPr>
          <w:rFonts w:ascii="Arial" w:cs="Arial" w:eastAsia="Arial" w:hAnsi="Arial"/>
          <w:sz w:val="16"/>
          <w:szCs w:val="16"/>
          <w:i w:val="1"/>
          <w:iCs w:val="1"/>
          <w:color w:val="auto"/>
        </w:rPr>
        <w:t>Insert name of Assignor</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Assignor</w:t>
      </w:r>
      <w:r>
        <w:rPr>
          <w:rFonts w:ascii="Arial" w:cs="Arial" w:eastAsia="Arial" w:hAnsi="Arial"/>
          <w:sz w:val="16"/>
          <w:szCs w:val="16"/>
          <w:color w:val="auto"/>
        </w:rPr>
        <w:t xml:space="preserve">”) and </w:t>
      </w:r>
      <w:r>
        <w:rPr>
          <w:rFonts w:ascii="Arial" w:cs="Arial" w:eastAsia="Arial" w:hAnsi="Arial"/>
          <w:sz w:val="16"/>
          <w:szCs w:val="16"/>
          <w:b w:val="1"/>
          <w:bCs w:val="1"/>
          <w:color w:val="auto"/>
        </w:rPr>
        <w:t>[</w:t>
      </w:r>
      <w:r>
        <w:rPr>
          <w:rFonts w:ascii="Arial" w:cs="Arial" w:eastAsia="Arial" w:hAnsi="Arial"/>
          <w:sz w:val="16"/>
          <w:szCs w:val="16"/>
          <w:i w:val="1"/>
          <w:iCs w:val="1"/>
          <w:color w:val="auto"/>
        </w:rPr>
        <w:t>Insert name of Assignee</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as if set forth herein in full.</w:t>
      </w:r>
    </w:p>
    <w:p>
      <w:pPr>
        <w:spacing w:after="0" w:line="185"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the As-signor’s outstanding rights and obligations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6"/>
          <w:szCs w:val="16"/>
          <w:b w:val="1"/>
          <w:bCs w:val="1"/>
          <w:color w:val="auto"/>
        </w:rPr>
        <w:t>Assigned Interest</w:t>
      </w:r>
      <w:r>
        <w:rPr>
          <w:rFonts w:ascii="Arial" w:cs="Arial" w:eastAsia="Arial" w:hAnsi="Arial"/>
          <w:sz w:val="16"/>
          <w:szCs w:val="16"/>
          <w:color w:val="auto"/>
        </w:rPr>
        <w:t>”). Such sale and assignment is without recourse to the Assignor and, except as expressly provided in this Assignment, without representation or warranty by the Assignor.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2620" w:type="dxa"/>
            <w:vAlign w:val="bottom"/>
            <w:gridSpan w:val="2"/>
          </w:tcPr>
          <w:p>
            <w:pPr>
              <w:ind w:left="500"/>
              <w:spacing w:after="0"/>
              <w:rPr>
                <w:sz w:val="20"/>
                <w:szCs w:val="20"/>
                <w:color w:val="auto"/>
              </w:rPr>
            </w:pPr>
            <w:r>
              <w:rPr>
                <w:rFonts w:ascii="Arial" w:cs="Arial" w:eastAsia="Arial" w:hAnsi="Arial"/>
                <w:sz w:val="18"/>
                <w:szCs w:val="18"/>
                <w:color w:val="auto"/>
              </w:rPr>
              <w:t>Assignor:</w:t>
            </w:r>
          </w:p>
        </w:tc>
        <w:tc>
          <w:tcPr>
            <w:tcW w:w="8520" w:type="dxa"/>
            <w:vAlign w:val="bottom"/>
          </w:tcPr>
          <w:p>
            <w:pPr>
              <w:ind w:left="520"/>
              <w:spacing w:after="0"/>
              <w:rPr>
                <w:sz w:val="20"/>
                <w:szCs w:val="20"/>
                <w:color w:val="auto"/>
              </w:rPr>
            </w:pPr>
            <w:r>
              <w:rPr>
                <w:rFonts w:ascii="Arial" w:cs="Arial" w:eastAsia="Arial" w:hAnsi="Arial"/>
                <w:sz w:val="18"/>
                <w:szCs w:val="18"/>
                <w:color w:val="auto"/>
              </w:rPr>
              <w:t>____________________</w:t>
            </w:r>
          </w:p>
        </w:tc>
      </w:tr>
      <w:tr>
        <w:trPr>
          <w:trHeight w:val="58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2620" w:type="dxa"/>
            <w:vAlign w:val="bottom"/>
            <w:gridSpan w:val="2"/>
          </w:tcPr>
          <w:p>
            <w:pPr>
              <w:ind w:left="500"/>
              <w:spacing w:after="0"/>
              <w:rPr>
                <w:sz w:val="20"/>
                <w:szCs w:val="20"/>
                <w:color w:val="auto"/>
              </w:rPr>
            </w:pPr>
            <w:r>
              <w:rPr>
                <w:rFonts w:ascii="Arial" w:cs="Arial" w:eastAsia="Arial" w:hAnsi="Arial"/>
                <w:sz w:val="18"/>
                <w:szCs w:val="18"/>
                <w:color w:val="auto"/>
              </w:rPr>
              <w:t>Assignee:</w:t>
            </w:r>
          </w:p>
        </w:tc>
        <w:tc>
          <w:tcPr>
            <w:tcW w:w="8520" w:type="dxa"/>
            <w:vAlign w:val="bottom"/>
          </w:tcPr>
          <w:p>
            <w:pPr>
              <w:ind w:left="520"/>
              <w:spacing w:after="0"/>
              <w:rPr>
                <w:sz w:val="20"/>
                <w:szCs w:val="20"/>
                <w:color w:val="auto"/>
              </w:rPr>
            </w:pPr>
            <w:r>
              <w:rPr>
                <w:rFonts w:ascii="Arial" w:cs="Arial" w:eastAsia="Arial" w:hAnsi="Arial"/>
                <w:sz w:val="18"/>
                <w:szCs w:val="18"/>
                <w:color w:val="auto"/>
              </w:rPr>
              <w:t xml:space="preserve">____________________ </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is a Related Fund/an Affiliated Loan Fund]</w:t>
            </w:r>
          </w:p>
        </w:tc>
      </w:tr>
      <w:tr>
        <w:trPr>
          <w:trHeight w:val="282"/>
        </w:trPr>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Arial" w:cs="Arial" w:eastAsia="Arial" w:hAnsi="Arial"/>
                <w:sz w:val="18"/>
                <w:szCs w:val="18"/>
                <w:color w:val="auto"/>
              </w:rPr>
              <w:t>Market Entity Identifier (if any): ____________________</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2620" w:type="dxa"/>
            <w:vAlign w:val="bottom"/>
            <w:gridSpan w:val="2"/>
          </w:tcPr>
          <w:p>
            <w:pPr>
              <w:ind w:left="500"/>
              <w:spacing w:after="0"/>
              <w:rPr>
                <w:sz w:val="20"/>
                <w:szCs w:val="20"/>
                <w:color w:val="auto"/>
              </w:rPr>
            </w:pPr>
            <w:r>
              <w:rPr>
                <w:rFonts w:ascii="Arial" w:cs="Arial" w:eastAsia="Arial" w:hAnsi="Arial"/>
                <w:sz w:val="18"/>
                <w:szCs w:val="18"/>
                <w:color w:val="auto"/>
              </w:rPr>
              <w:t>Borrower:</w:t>
            </w:r>
          </w:p>
        </w:tc>
        <w:tc>
          <w:tcPr>
            <w:tcW w:w="8520" w:type="dxa"/>
            <w:vAlign w:val="bottom"/>
          </w:tcPr>
          <w:p>
            <w:pPr>
              <w:ind w:left="520"/>
              <w:spacing w:after="0"/>
              <w:rPr>
                <w:sz w:val="20"/>
                <w:szCs w:val="20"/>
                <w:color w:val="auto"/>
              </w:rPr>
            </w:pPr>
            <w:r>
              <w:rPr>
                <w:rFonts w:ascii="Arial" w:cs="Arial" w:eastAsia="Arial" w:hAnsi="Arial"/>
                <w:sz w:val="18"/>
                <w:szCs w:val="18"/>
                <w:color w:val="auto"/>
              </w:rPr>
              <w:t>LNG HOLDINGS (FLORIDA) LLC, a Delaware limited liability company</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2620" w:type="dxa"/>
            <w:vAlign w:val="bottom"/>
            <w:gridSpan w:val="2"/>
          </w:tcPr>
          <w:p>
            <w:pPr>
              <w:ind w:left="500"/>
              <w:spacing w:after="0"/>
              <w:rPr>
                <w:sz w:val="20"/>
                <w:szCs w:val="20"/>
                <w:color w:val="auto"/>
              </w:rPr>
            </w:pPr>
            <w:r>
              <w:rPr>
                <w:rFonts w:ascii="Arial" w:cs="Arial" w:eastAsia="Arial" w:hAnsi="Arial"/>
                <w:sz w:val="18"/>
                <w:szCs w:val="18"/>
                <w:color w:val="auto"/>
              </w:rPr>
              <w:t>Administrative Agent:</w:t>
            </w:r>
          </w:p>
        </w:tc>
        <w:tc>
          <w:tcPr>
            <w:tcW w:w="8520" w:type="dxa"/>
            <w:vAlign w:val="bottom"/>
          </w:tcPr>
          <w:p>
            <w:pPr>
              <w:ind w:left="520"/>
              <w:spacing w:after="0"/>
              <w:rPr>
                <w:sz w:val="20"/>
                <w:szCs w:val="20"/>
                <w:color w:val="auto"/>
              </w:rPr>
            </w:pPr>
            <w:r>
              <w:rPr>
                <w:rFonts w:ascii="Arial" w:cs="Arial" w:eastAsia="Arial" w:hAnsi="Arial"/>
                <w:sz w:val="18"/>
                <w:szCs w:val="18"/>
                <w:color w:val="auto"/>
              </w:rPr>
              <w:t>MORGAN STANLEY SENIOR FUNDING, INC.</w:t>
            </w:r>
          </w:p>
        </w:tc>
      </w:tr>
      <w:tr>
        <w:trPr>
          <w:trHeight w:val="351"/>
        </w:trPr>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120" w:type="dxa"/>
            <w:vAlign w:val="bottom"/>
            <w:gridSpan w:val="2"/>
          </w:tcPr>
          <w:p>
            <w:pPr>
              <w:spacing w:after="0"/>
              <w:rPr>
                <w:sz w:val="24"/>
                <w:szCs w:val="24"/>
                <w:color w:val="auto"/>
              </w:rPr>
            </w:pPr>
          </w:p>
        </w:tc>
      </w:tr>
      <w:tr>
        <w:trPr>
          <w:trHeight w:val="265"/>
        </w:trPr>
        <w:tc>
          <w:tcPr>
            <w:tcW w:w="280" w:type="dxa"/>
            <w:vAlign w:val="bottom"/>
          </w:tcPr>
          <w:p>
            <w:pPr>
              <w:spacing w:after="0"/>
              <w:rPr>
                <w:sz w:val="20"/>
                <w:szCs w:val="20"/>
                <w:color w:val="auto"/>
              </w:rPr>
            </w:pPr>
            <w:r>
              <w:rPr>
                <w:rFonts w:ascii="Arial" w:cs="Arial" w:eastAsia="Arial" w:hAnsi="Arial"/>
                <w:sz w:val="12"/>
                <w:szCs w:val="12"/>
                <w:color w:val="auto"/>
              </w:rPr>
              <w:t>1</w:t>
            </w:r>
          </w:p>
        </w:tc>
        <w:tc>
          <w:tcPr>
            <w:tcW w:w="11140" w:type="dxa"/>
            <w:vAlign w:val="bottom"/>
            <w:gridSpan w:val="3"/>
          </w:tcPr>
          <w:p>
            <w:pPr>
              <w:ind w:left="140"/>
              <w:spacing w:after="0"/>
              <w:rPr>
                <w:sz w:val="20"/>
                <w:szCs w:val="20"/>
                <w:color w:val="auto"/>
              </w:rPr>
            </w:pPr>
            <w:r>
              <w:rPr>
                <w:rFonts w:ascii="Arial" w:cs="Arial" w:eastAsia="Arial" w:hAnsi="Arial"/>
                <w:sz w:val="14"/>
                <w:szCs w:val="14"/>
                <w:color w:val="auto"/>
              </w:rPr>
              <w:t>Assignee shall not be a Disqualified Assignee unless such assignment has been approved by the Borrower.</w:t>
            </w:r>
          </w:p>
        </w:tc>
      </w:tr>
      <w:tr>
        <w:trPr>
          <w:trHeight w:val="390"/>
        </w:trPr>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20" w:type="dxa"/>
            <w:vAlign w:val="bottom"/>
          </w:tcPr>
          <w:p>
            <w:pPr>
              <w:ind w:left="2600"/>
              <w:spacing w:after="0"/>
              <w:rPr>
                <w:sz w:val="20"/>
                <w:szCs w:val="20"/>
                <w:color w:val="auto"/>
              </w:rPr>
            </w:pPr>
            <w:r>
              <w:rPr>
                <w:rFonts w:ascii="Arial" w:cs="Arial" w:eastAsia="Arial" w:hAnsi="Arial"/>
                <w:sz w:val="18"/>
                <w:szCs w:val="18"/>
                <w:color w:val="auto"/>
              </w:rPr>
              <w:t>C-1-1</w:t>
            </w:r>
          </w:p>
        </w:tc>
      </w:tr>
      <w:tr>
        <w:trPr>
          <w:trHeight w:val="61"/>
        </w:trPr>
        <w:tc>
          <w:tcPr>
            <w:tcW w:w="2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5.</w:t>
            </w:r>
          </w:p>
        </w:tc>
        <w:tc>
          <w:tcPr>
            <w:tcW w:w="2320" w:type="dxa"/>
            <w:vAlign w:val="bottom"/>
          </w:tcPr>
          <w:p>
            <w:pPr>
              <w:ind w:left="320"/>
              <w:spacing w:after="0"/>
              <w:rPr>
                <w:sz w:val="20"/>
                <w:szCs w:val="20"/>
                <w:color w:val="auto"/>
              </w:rPr>
            </w:pPr>
            <w:r>
              <w:rPr>
                <w:rFonts w:ascii="Arial" w:cs="Arial" w:eastAsia="Arial" w:hAnsi="Arial"/>
                <w:sz w:val="18"/>
                <w:szCs w:val="18"/>
                <w:color w:val="auto"/>
              </w:rPr>
              <w:t>Credit Agreement:</w:t>
            </w:r>
          </w:p>
        </w:tc>
        <w:tc>
          <w:tcPr>
            <w:tcW w:w="4240" w:type="dxa"/>
            <w:vAlign w:val="bottom"/>
          </w:tcPr>
          <w:p>
            <w:pPr>
              <w:ind w:left="640"/>
              <w:spacing w:after="0"/>
              <w:rPr>
                <w:sz w:val="20"/>
                <w:szCs w:val="20"/>
                <w:color w:val="auto"/>
              </w:rPr>
            </w:pPr>
            <w:r>
              <w:rPr>
                <w:rFonts w:ascii="Arial" w:cs="Arial" w:eastAsia="Arial" w:hAnsi="Arial"/>
                <w:sz w:val="18"/>
                <w:szCs w:val="18"/>
                <w:color w:val="auto"/>
                <w:w w:val="90"/>
              </w:rPr>
              <w:t>The Credit Agreement, dated as of November 24,</w:t>
            </w:r>
          </w:p>
        </w:tc>
        <w:tc>
          <w:tcPr>
            <w:tcW w:w="4160" w:type="dxa"/>
            <w:vAlign w:val="bottom"/>
          </w:tcPr>
          <w:p>
            <w:pPr>
              <w:ind w:left="20"/>
              <w:spacing w:after="0"/>
              <w:rPr>
                <w:sz w:val="20"/>
                <w:szCs w:val="20"/>
                <w:color w:val="auto"/>
              </w:rPr>
            </w:pPr>
            <w:r>
              <w:rPr>
                <w:rFonts w:ascii="Arial" w:cs="Arial" w:eastAsia="Arial" w:hAnsi="Arial"/>
                <w:sz w:val="18"/>
                <w:szCs w:val="18"/>
                <w:color w:val="auto"/>
                <w:w w:val="92"/>
              </w:rPr>
              <w:t>2014, by and among LNG HOLDINGS LLC, a Delaware</w:t>
            </w:r>
          </w:p>
        </w:tc>
      </w:tr>
      <w:tr>
        <w:trPr>
          <w:trHeight w:val="230"/>
        </w:trPr>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40" w:type="dxa"/>
            <w:vAlign w:val="bottom"/>
          </w:tcPr>
          <w:p>
            <w:pPr>
              <w:ind w:left="640"/>
              <w:spacing w:after="0"/>
              <w:rPr>
                <w:sz w:val="20"/>
                <w:szCs w:val="20"/>
                <w:color w:val="auto"/>
              </w:rPr>
            </w:pPr>
            <w:r>
              <w:rPr>
                <w:rFonts w:ascii="Arial" w:cs="Arial" w:eastAsia="Arial" w:hAnsi="Arial"/>
                <w:sz w:val="18"/>
                <w:szCs w:val="18"/>
                <w:color w:val="auto"/>
                <w:w w:val="93"/>
              </w:rPr>
              <w:t>limited liability company, as Holdings 1, FEP GP</w:t>
            </w:r>
          </w:p>
        </w:tc>
        <w:tc>
          <w:tcPr>
            <w:tcW w:w="4160" w:type="dxa"/>
            <w:vAlign w:val="bottom"/>
          </w:tcPr>
          <w:p>
            <w:pPr>
              <w:ind w:left="20"/>
              <w:spacing w:after="0"/>
              <w:rPr>
                <w:sz w:val="20"/>
                <w:szCs w:val="20"/>
                <w:color w:val="auto"/>
              </w:rPr>
            </w:pPr>
            <w:r>
              <w:rPr>
                <w:rFonts w:ascii="Arial" w:cs="Arial" w:eastAsia="Arial" w:hAnsi="Arial"/>
                <w:sz w:val="18"/>
                <w:szCs w:val="18"/>
                <w:color w:val="auto"/>
              </w:rPr>
              <w:t>LNG HOLDINGS LLC, a Delaware limited lia-bility</w:t>
            </w:r>
          </w:p>
        </w:tc>
      </w:tr>
    </w:tbl>
    <w:p>
      <w:pPr>
        <w:ind w:left="3420" w:right="140"/>
        <w:spacing w:after="0" w:line="255" w:lineRule="auto"/>
        <w:rPr>
          <w:sz w:val="20"/>
          <w:szCs w:val="20"/>
          <w:color w:val="auto"/>
        </w:rPr>
      </w:pPr>
      <w:r>
        <w:rPr>
          <w:rFonts w:ascii="Arial" w:cs="Arial" w:eastAsia="Arial" w:hAnsi="Arial"/>
          <w:sz w:val="18"/>
          <w:szCs w:val="18"/>
          <w:color w:val="auto"/>
        </w:rPr>
        <w:t>company, as Holdings 2, the Borrower, the several banks and other financial institutions or entities from time to time parties thereto, as the Lenders, and MORGAN STANLEY SENIOR FUNDING, INC., as Administrative Agent, as amended, restated, supplemented or modified from time to time</w:t>
      </w:r>
    </w:p>
    <w:p>
      <w:pPr>
        <w:spacing w:after="0" w:line="190" w:lineRule="exact"/>
        <w:rPr>
          <w:sz w:val="20"/>
          <w:szCs w:val="20"/>
          <w:color w:val="auto"/>
        </w:rPr>
      </w:pPr>
    </w:p>
    <w:p>
      <w:pPr>
        <w:ind w:left="780" w:hanging="772"/>
        <w:spacing w:after="0"/>
        <w:tabs>
          <w:tab w:leader="none" w:pos="7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2880" w:type="dxa"/>
            <w:vAlign w:val="bottom"/>
            <w:tcBorders>
              <w:top w:val="single" w:sz="8" w:color="auto"/>
              <w:left w:val="single" w:sz="8" w:color="auto"/>
              <w:bottom w:val="single" w:sz="8" w:color="auto"/>
              <w:right w:val="single" w:sz="8" w:color="auto"/>
            </w:tcBorders>
            <w:shd w:val="clear" w:color="auto" w:fill="DCDCDC"/>
          </w:tcPr>
          <w:p>
            <w:pPr>
              <w:ind w:left="920"/>
              <w:spacing w:after="0"/>
              <w:rPr>
                <w:sz w:val="20"/>
                <w:szCs w:val="20"/>
                <w:color w:val="auto"/>
              </w:rPr>
            </w:pPr>
            <w:r>
              <w:rPr>
                <w:rFonts w:ascii="Arial" w:cs="Arial" w:eastAsia="Arial" w:hAnsi="Arial"/>
                <w:sz w:val="14"/>
                <w:szCs w:val="14"/>
                <w:b w:val="1"/>
                <w:bCs w:val="1"/>
                <w:color w:val="auto"/>
              </w:rPr>
              <w:t>Facility Assigned</w:t>
            </w:r>
          </w:p>
        </w:tc>
        <w:tc>
          <w:tcPr>
            <w:tcW w:w="2860" w:type="dxa"/>
            <w:vAlign w:val="bottom"/>
            <w:tcBorders>
              <w:top w:val="single" w:sz="8" w:color="auto"/>
              <w:bottom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4"/>
                <w:szCs w:val="14"/>
                <w:b w:val="1"/>
                <w:bCs w:val="1"/>
                <w:color w:val="auto"/>
                <w:w w:val="92"/>
              </w:rPr>
              <w:t>Aggregate Amount of Loans for all Lenders</w:t>
            </w:r>
          </w:p>
        </w:tc>
        <w:tc>
          <w:tcPr>
            <w:tcW w:w="2840" w:type="dxa"/>
            <w:vAlign w:val="bottom"/>
            <w:tcBorders>
              <w:top w:val="single" w:sz="8" w:color="auto"/>
              <w:bottom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4"/>
                <w:szCs w:val="14"/>
                <w:b w:val="1"/>
                <w:bCs w:val="1"/>
                <w:color w:val="auto"/>
                <w:w w:val="91"/>
              </w:rPr>
              <w:t>Amount of Loans Assigned</w:t>
            </w:r>
          </w:p>
        </w:tc>
        <w:tc>
          <w:tcPr>
            <w:tcW w:w="2840" w:type="dxa"/>
            <w:vAlign w:val="bottom"/>
            <w:tcBorders>
              <w:top w:val="single" w:sz="8" w:color="auto"/>
              <w:bottom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4"/>
                <w:szCs w:val="14"/>
                <w:b w:val="1"/>
                <w:bCs w:val="1"/>
                <w:color w:val="auto"/>
                <w:w w:val="89"/>
              </w:rPr>
              <w:t>Percentage Assigned of Loans</w:t>
            </w:r>
            <w:r>
              <w:rPr>
                <w:rFonts w:ascii="Arial" w:cs="Arial" w:eastAsia="Arial" w:hAnsi="Arial"/>
                <w:sz w:val="23"/>
                <w:szCs w:val="23"/>
                <w:b w:val="1"/>
                <w:bCs w:val="1"/>
                <w:color w:val="auto"/>
                <w:w w:val="89"/>
                <w:vertAlign w:val="superscript"/>
              </w:rPr>
              <w:t>2</w:t>
            </w:r>
          </w:p>
        </w:tc>
      </w:tr>
      <w:tr>
        <w:trPr>
          <w:trHeight w:val="331"/>
        </w:trPr>
        <w:tc>
          <w:tcPr>
            <w:tcW w:w="2880" w:type="dxa"/>
            <w:vAlign w:val="bottom"/>
            <w:tcBorders>
              <w:left w:val="single" w:sz="8" w:color="auto"/>
              <w:bottom w:val="single" w:sz="8" w:color="auto"/>
              <w:right w:val="single" w:sz="8" w:color="auto"/>
            </w:tcBorders>
          </w:tcPr>
          <w:p>
            <w:pPr>
              <w:jc w:val="center"/>
              <w:spacing w:after="0" w:line="324" w:lineRule="exact"/>
              <w:rPr>
                <w:sz w:val="20"/>
                <w:szCs w:val="20"/>
                <w:color w:val="auto"/>
              </w:rPr>
            </w:pPr>
            <w:r>
              <w:rPr>
                <w:rFonts w:ascii="Arial" w:cs="Arial" w:eastAsia="Arial" w:hAnsi="Arial"/>
                <w:sz w:val="18"/>
                <w:szCs w:val="18"/>
                <w:color w:val="auto"/>
                <w:w w:val="88"/>
              </w:rPr>
              <w:t>_______________</w:t>
            </w:r>
            <w:r>
              <w:rPr>
                <w:rFonts w:ascii="Arial" w:cs="Arial" w:eastAsia="Arial" w:hAnsi="Arial"/>
                <w:sz w:val="30"/>
                <w:szCs w:val="30"/>
                <w:color w:val="auto"/>
                <w:w w:val="88"/>
                <w:vertAlign w:val="superscript"/>
              </w:rPr>
              <w:t>3</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r>
      <w:tr>
        <w:trPr>
          <w:trHeight w:val="27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r>
      <w:tr>
        <w:trPr>
          <w:trHeight w:val="61"/>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7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r>
      <w:tr>
        <w:trPr>
          <w:trHeight w:val="61"/>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 20__ [TO BE INSERTED BY ADMINISTRATIVE AGENT AND WHICH SHALL BE THE EFFECTIVE DATE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38" w:lineRule="exact"/>
        <w:rPr>
          <w:sz w:val="20"/>
          <w:szCs w:val="20"/>
          <w:color w:val="auto"/>
        </w:rPr>
      </w:pPr>
    </w:p>
    <w:p>
      <w:pPr>
        <w:ind w:left="780" w:hanging="772"/>
        <w:spacing w:after="0"/>
        <w:tabs>
          <w:tab w:leader="none" w:pos="7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Notice and Wire Instructions: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[NAME OF ASSIGNOR]</w:t>
            </w:r>
          </w:p>
        </w:tc>
        <w:tc>
          <w:tcPr>
            <w:tcW w:w="6840" w:type="dxa"/>
            <w:vAlign w:val="bottom"/>
            <w:gridSpan w:val="5"/>
          </w:tcPr>
          <w:p>
            <w:pPr>
              <w:ind w:left="2280"/>
              <w:spacing w:after="0"/>
              <w:rPr>
                <w:sz w:val="20"/>
                <w:szCs w:val="20"/>
                <w:color w:val="auto"/>
              </w:rPr>
            </w:pPr>
            <w:r>
              <w:rPr>
                <w:rFonts w:ascii="Arial" w:cs="Arial" w:eastAsia="Arial" w:hAnsi="Arial"/>
                <w:sz w:val="18"/>
                <w:szCs w:val="18"/>
                <w:b w:val="1"/>
                <w:bCs w:val="1"/>
                <w:color w:val="auto"/>
              </w:rPr>
              <w:t>[NAME OF ASSIGNEE]</w:t>
            </w:r>
          </w:p>
        </w:tc>
      </w:tr>
      <w:tr>
        <w:trPr>
          <w:trHeight w:val="392"/>
        </w:trPr>
        <w:tc>
          <w:tcPr>
            <w:tcW w:w="4580" w:type="dxa"/>
            <w:vAlign w:val="bottom"/>
            <w:gridSpan w:val="4"/>
          </w:tcPr>
          <w:p>
            <w:pPr>
              <w:spacing w:after="0"/>
              <w:rPr>
                <w:sz w:val="20"/>
                <w:szCs w:val="20"/>
                <w:color w:val="auto"/>
              </w:rPr>
            </w:pPr>
            <w:r>
              <w:rPr>
                <w:rFonts w:ascii="Arial" w:cs="Arial" w:eastAsia="Arial" w:hAnsi="Arial"/>
                <w:sz w:val="18"/>
                <w:szCs w:val="18"/>
                <w:color w:val="auto"/>
              </w:rPr>
              <w:t>Notices:</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Notices:</w:t>
            </w:r>
          </w:p>
        </w:tc>
      </w:tr>
      <w:tr>
        <w:trPr>
          <w:trHeight w:val="257"/>
        </w:trPr>
        <w:tc>
          <w:tcPr>
            <w:tcW w:w="5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228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with a copy to:</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with a copy to:</w:t>
            </w:r>
          </w:p>
        </w:tc>
      </w:tr>
      <w:tr>
        <w:trPr>
          <w:trHeight w:val="237"/>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r>
      <w:tr>
        <w:trPr>
          <w:trHeight w:val="392"/>
        </w:trPr>
        <w:tc>
          <w:tcPr>
            <w:tcW w:w="4580" w:type="dxa"/>
            <w:vAlign w:val="bottom"/>
            <w:gridSpan w:val="4"/>
          </w:tcPr>
          <w:p>
            <w:pPr>
              <w:spacing w:after="0"/>
              <w:rPr>
                <w:sz w:val="20"/>
                <w:szCs w:val="20"/>
                <w:color w:val="auto"/>
              </w:rPr>
            </w:pPr>
            <w:r>
              <w:rPr>
                <w:rFonts w:ascii="Arial" w:cs="Arial" w:eastAsia="Arial" w:hAnsi="Arial"/>
                <w:sz w:val="18"/>
                <w:szCs w:val="18"/>
                <w:color w:val="auto"/>
              </w:rPr>
              <w:t>Wire Instructions:</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Wire Instructions:</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490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4"/>
          <w:szCs w:val="14"/>
          <w:color w:val="auto"/>
        </w:rPr>
      </w:pPr>
      <w:r>
        <w:rPr>
          <w:rFonts w:ascii="Arial" w:cs="Arial" w:eastAsia="Arial" w:hAnsi="Arial"/>
          <w:sz w:val="14"/>
          <w:szCs w:val="14"/>
          <w:color w:val="auto"/>
        </w:rPr>
        <w:t>Set forth, to at least 9 decimals, as a percentage of the Loans of all Lenders thereunder.</w:t>
      </w:r>
    </w:p>
    <w:p>
      <w:pPr>
        <w:spacing w:after="0" w:line="231"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Fill in the appropriate terminology for the types of facilities under the Credit Agreement that are being as-signed under this Assignment (e.g. “Term Loans,” etc.)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3" w:name="page314"/>
    <w:bookmarkEnd w:id="313"/>
    <w:p>
      <w:pPr>
        <w:ind w:left="660"/>
        <w:spacing w:after="0"/>
        <w:rPr>
          <w:sz w:val="20"/>
          <w:szCs w:val="20"/>
          <w:color w:val="auto"/>
        </w:rPr>
      </w:pPr>
      <w:r>
        <w:rPr>
          <w:rFonts w:ascii="Arial" w:cs="Arial" w:eastAsia="Arial" w:hAnsi="Arial"/>
          <w:sz w:val="18"/>
          <w:szCs w:val="18"/>
          <w:color w:val="auto"/>
        </w:rPr>
        <w:t>The terms set forth in this Assignment are hereby agreed to:</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[NAME OF ASSIGNOR]</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ASSIGNEE]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[LNG HOLDINGS (FLORIDA) LLC]</w:t>
      </w:r>
      <w:r>
        <w:rPr>
          <w:rFonts w:ascii="Arial" w:cs="Arial" w:eastAsia="Arial" w:hAnsi="Arial"/>
          <w:sz w:val="18"/>
          <w:szCs w:val="18"/>
          <w:color w:val="auto"/>
        </w:rPr>
        <w:t>, as 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490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5"/>
          <w:szCs w:val="15"/>
          <w:color w:val="auto"/>
        </w:rPr>
      </w:pPr>
      <w:r>
        <w:rPr>
          <w:rFonts w:ascii="Arial" w:cs="Arial" w:eastAsia="Arial" w:hAnsi="Arial"/>
          <w:sz w:val="14"/>
          <w:szCs w:val="14"/>
          <w:color w:val="auto"/>
        </w:rPr>
        <w:t>To be added only if the consent of Borrower is required by the terms of the Credit Agreement.</w:t>
      </w: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t>ANNEX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 ASSIGNMENT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ASSUMPTION AGREEMENT</w:t>
      </w:r>
    </w:p>
    <w:p>
      <w:pPr>
        <w:spacing w:after="0" w:line="265" w:lineRule="exact"/>
        <w:rPr>
          <w:sz w:val="20"/>
          <w:szCs w:val="20"/>
          <w:color w:val="auto"/>
        </w:rPr>
      </w:pPr>
    </w:p>
    <w:p>
      <w:pPr>
        <w:ind w:left="1440" w:hanging="784"/>
        <w:spacing w:after="0"/>
        <w:tabs>
          <w:tab w:leader="none" w:pos="144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Credit Document (as defined below), (ii) the execution, legality, validity, enforceability, genuineness, sufficiency or value of the Credit Agreement or any other instrument or document delivered pursuant thereto, other than this Assignment (herein collectively the “Credit Documents”), or any collateral thereunder, (iii) the financial condition of Borrower, any of their Subsidiaries or Affiliates or any other Person obligated in respect of any Credit Document or (iv) the performance or observance by Borrower, any of their Subsidiaries or Affiliates or any other Person of any of their respective obligations under any Credit Document.</w:t>
      </w:r>
    </w:p>
    <w:p>
      <w:pPr>
        <w:spacing w:after="0" w:line="23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1.2 Assignee. The Assignee (a) represents and warrants that (i) it has full power and authority, and has taken all action necessary, to execute and deliver this Assignment and to consummate the transactions contemplated hereby and to become a Lender under the Credit Agreement, (ii) it is not a Disqualified Assignee under the Credit Agreement, (iii) from and after the Effective Date, it shall be bound by the provisions of the Credit Agreement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 thereof, as applicable, and such other documents and information as it deems appropriate to make its own credit analysis and decision to enter into this Assignment and to purchase the Assigned Interest, (vi) it has, independently and without reliance upon Administrative Agent or any other Lender and based on such documents and information as it has deemed appropriate, made its own credit analysis and decision to enter into this Assignment and to purchase the Assigned Interest, and (vii) if it is a Non-U.S. Lender, attached to this Assignment is any documentation required to be delivered by it pursuant to the terms of the Credit Agree-ment, duly completed and executed by the Assignee; and (b) 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w:t>
      </w:r>
    </w:p>
    <w:p>
      <w:pPr>
        <w:spacing w:after="0" w:line="237" w:lineRule="exact"/>
        <w:rPr>
          <w:sz w:val="20"/>
          <w:szCs w:val="20"/>
          <w:color w:val="auto"/>
        </w:rPr>
      </w:pPr>
    </w:p>
    <w:p>
      <w:pPr>
        <w:ind w:left="1440" w:hanging="784"/>
        <w:spacing w:after="0"/>
        <w:tabs>
          <w:tab w:leader="none" w:pos="144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payments with respect to the Assigned Interests shall be made on the Effective Date as follows:</w:t>
      </w:r>
    </w:p>
    <w:p>
      <w:pPr>
        <w:spacing w:after="0" w:line="27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2.1 From and after the Effective Date, Administrative Agent shall make all payments in respect of the Assigned Interest (including payments of principal, interest, fees and other amounts) to the Assignor for amounts which have accrued to but excluding the Effective Date and to the Assignee for</w:t>
      </w:r>
    </w:p>
    <w:p>
      <w:pPr>
        <w:spacing w:after="0" w:line="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amounts which have accrued from and after the Effective Date. Notwithstanding the foregoing, Adminis</w:t>
      </w:r>
      <w:r>
        <w:rPr>
          <w:rFonts w:ascii="Arial" w:cs="Arial" w:eastAsia="Arial" w:hAnsi="Arial"/>
          <w:sz w:val="21"/>
          <w:szCs w:val="21"/>
          <w:color w:val="auto"/>
        </w:rPr>
        <w:t>trative Agent shall make all payments of</w:t>
      </w:r>
      <w:r>
        <w:rPr>
          <w:rFonts w:ascii="Arial" w:cs="Arial" w:eastAsia="Arial" w:hAnsi="Arial"/>
          <w:sz w:val="18"/>
          <w:szCs w:val="18"/>
          <w:color w:val="auto"/>
        </w:rPr>
        <w:t xml:space="preserve"> </w:t>
      </w:r>
      <w:r>
        <w:rPr>
          <w:rFonts w:ascii="Arial" w:cs="Arial" w:eastAsia="Arial" w:hAnsi="Arial"/>
          <w:sz w:val="21"/>
          <w:szCs w:val="21"/>
          <w:color w:val="auto"/>
        </w:rPr>
        <w:t>interest, fees or other amounts paid or payable in kind from and after the Effective Date to the Assignee.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5" w:name="page316"/>
    <w:bookmarkEnd w:id="315"/>
    <w:p>
      <w:pPr>
        <w:ind w:left="-200" w:firstLine="656"/>
        <w:spacing w:after="0" w:line="257" w:lineRule="auto"/>
        <w:tabs>
          <w:tab w:leader="none" w:pos="1177"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this Assignment. This Assignment shall be governed by, and construed in accordance with, the internal laws of the State of New York without regard to conflict of laws principles thereof.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48895</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440" w:top="152"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t>EXHIBIT C-2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LENDER ASSIGNMENT AND ACCEPTANCE AGREEMENT</w:t>
      </w:r>
    </w:p>
    <w:p>
      <w:pPr>
        <w:spacing w:after="0" w:line="252"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This Affiliated Lender Assignment and Acceptance Agreement (this “</w:t>
      </w:r>
      <w:r>
        <w:rPr>
          <w:rFonts w:ascii="Arial" w:cs="Arial" w:eastAsia="Arial" w:hAnsi="Arial"/>
          <w:sz w:val="16"/>
          <w:szCs w:val="16"/>
          <w:b w:val="1"/>
          <w:bCs w:val="1"/>
          <w:color w:val="auto"/>
        </w:rPr>
        <w:t>Assignment</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b w:val="1"/>
          <w:bCs w:val="1"/>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b w:val="1"/>
          <w:bCs w:val="1"/>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as if set forth herein in full.</w:t>
      </w:r>
    </w:p>
    <w:p>
      <w:pPr>
        <w:spacing w:after="0" w:line="18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the Assignor’s outstanding rights and obligations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6"/>
          <w:szCs w:val="16"/>
          <w:b w:val="1"/>
          <w:bCs w:val="1"/>
          <w:color w:val="auto"/>
        </w:rPr>
        <w:t>Assigned Interest</w:t>
      </w:r>
      <w:r>
        <w:rPr>
          <w:rFonts w:ascii="Arial" w:cs="Arial" w:eastAsia="Arial" w:hAnsi="Arial"/>
          <w:sz w:val="16"/>
          <w:szCs w:val="16"/>
          <w:color w:val="auto"/>
        </w:rPr>
        <w:t>”). Such sale and assignment is without recourse to the Assignor and, except as expressly provided in this Assignment, without representation or warranty by the Assignor.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1.</w:t>
            </w:r>
          </w:p>
        </w:tc>
        <w:tc>
          <w:tcPr>
            <w:tcW w:w="2420" w:type="dxa"/>
            <w:vAlign w:val="bottom"/>
          </w:tcPr>
          <w:p>
            <w:pPr>
              <w:ind w:left="300"/>
              <w:spacing w:after="0"/>
              <w:rPr>
                <w:sz w:val="20"/>
                <w:szCs w:val="20"/>
                <w:color w:val="auto"/>
              </w:rPr>
            </w:pPr>
            <w:r>
              <w:rPr>
                <w:rFonts w:ascii="Arial" w:cs="Arial" w:eastAsia="Arial" w:hAnsi="Arial"/>
                <w:sz w:val="18"/>
                <w:szCs w:val="18"/>
                <w:color w:val="auto"/>
              </w:rPr>
              <w:t>Assignor:</w:t>
            </w:r>
          </w:p>
        </w:tc>
        <w:tc>
          <w:tcPr>
            <w:tcW w:w="7420" w:type="dxa"/>
            <w:vAlign w:val="bottom"/>
          </w:tcPr>
          <w:p>
            <w:pPr>
              <w:ind w:left="520"/>
              <w:spacing w:after="0"/>
              <w:rPr>
                <w:sz w:val="20"/>
                <w:szCs w:val="20"/>
                <w:color w:val="auto"/>
              </w:rPr>
            </w:pPr>
            <w:r>
              <w:rPr>
                <w:rFonts w:ascii="Arial" w:cs="Arial" w:eastAsia="Arial" w:hAnsi="Arial"/>
                <w:sz w:val="18"/>
                <w:szCs w:val="18"/>
                <w:color w:val="auto"/>
              </w:rPr>
              <w:t>____________________</w:t>
            </w:r>
          </w:p>
        </w:tc>
      </w:tr>
      <w:tr>
        <w:trPr>
          <w:trHeight w:val="582"/>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2.</w:t>
            </w:r>
          </w:p>
        </w:tc>
        <w:tc>
          <w:tcPr>
            <w:tcW w:w="2420" w:type="dxa"/>
            <w:vAlign w:val="bottom"/>
          </w:tcPr>
          <w:p>
            <w:pPr>
              <w:ind w:left="300"/>
              <w:spacing w:after="0"/>
              <w:rPr>
                <w:sz w:val="20"/>
                <w:szCs w:val="20"/>
                <w:color w:val="auto"/>
              </w:rPr>
            </w:pPr>
            <w:r>
              <w:rPr>
                <w:rFonts w:ascii="Arial" w:cs="Arial" w:eastAsia="Arial" w:hAnsi="Arial"/>
                <w:sz w:val="18"/>
                <w:szCs w:val="18"/>
                <w:color w:val="auto"/>
              </w:rPr>
              <w:t>Assignee:</w:t>
            </w:r>
          </w:p>
        </w:tc>
        <w:tc>
          <w:tcPr>
            <w:tcW w:w="7420" w:type="dxa"/>
            <w:vAlign w:val="bottom"/>
          </w:tcPr>
          <w:p>
            <w:pPr>
              <w:ind w:left="520"/>
              <w:spacing w:after="0"/>
              <w:rPr>
                <w:sz w:val="20"/>
                <w:szCs w:val="20"/>
                <w:color w:val="auto"/>
              </w:rPr>
            </w:pPr>
            <w:r>
              <w:rPr>
                <w:rFonts w:ascii="Arial" w:cs="Arial" w:eastAsia="Arial" w:hAnsi="Arial"/>
                <w:sz w:val="18"/>
                <w:szCs w:val="18"/>
                <w:color w:val="auto"/>
                <w:w w:val="91"/>
              </w:rPr>
              <w:t>____________________</w:t>
            </w:r>
            <w:r>
              <w:rPr>
                <w:rFonts w:ascii="Arial" w:cs="Arial" w:eastAsia="Arial" w:hAnsi="Arial"/>
                <w:sz w:val="30"/>
                <w:szCs w:val="30"/>
                <w:color w:val="auto"/>
                <w:w w:val="91"/>
                <w:vertAlign w:val="superscript"/>
              </w:rPr>
              <w:t>1</w:t>
            </w:r>
            <w:r>
              <w:rPr>
                <w:rFonts w:ascii="Arial" w:cs="Arial" w:eastAsia="Arial" w:hAnsi="Arial"/>
                <w:sz w:val="18"/>
                <w:szCs w:val="18"/>
                <w:color w:val="auto"/>
                <w:w w:val="91"/>
              </w:rPr>
              <w:t xml:space="preserve"> and is a [Related Fund/an Affiliated Lender/an Affiliated Loan Fund]</w:t>
            </w:r>
          </w:p>
        </w:tc>
      </w:tr>
      <w:tr>
        <w:trPr>
          <w:trHeight w:val="282"/>
        </w:trPr>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Market Entity Identifier (if any): ____________________</w:t>
            </w:r>
          </w:p>
        </w:tc>
      </w:tr>
      <w:tr>
        <w:trPr>
          <w:trHeight w:val="432"/>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3.</w:t>
            </w:r>
          </w:p>
        </w:tc>
        <w:tc>
          <w:tcPr>
            <w:tcW w:w="2420" w:type="dxa"/>
            <w:vAlign w:val="bottom"/>
          </w:tcPr>
          <w:p>
            <w:pPr>
              <w:ind w:left="300"/>
              <w:spacing w:after="0"/>
              <w:rPr>
                <w:sz w:val="20"/>
                <w:szCs w:val="20"/>
                <w:color w:val="auto"/>
              </w:rPr>
            </w:pPr>
            <w:r>
              <w:rPr>
                <w:rFonts w:ascii="Arial" w:cs="Arial" w:eastAsia="Arial" w:hAnsi="Arial"/>
                <w:sz w:val="18"/>
                <w:szCs w:val="18"/>
                <w:color w:val="auto"/>
              </w:rPr>
              <w:t>Borrower:</w:t>
            </w:r>
          </w:p>
        </w:tc>
        <w:tc>
          <w:tcPr>
            <w:tcW w:w="7420" w:type="dxa"/>
            <w:vAlign w:val="bottom"/>
          </w:tcPr>
          <w:p>
            <w:pPr>
              <w:ind w:left="520"/>
              <w:spacing w:after="0"/>
              <w:rPr>
                <w:sz w:val="20"/>
                <w:szCs w:val="20"/>
                <w:color w:val="auto"/>
              </w:rPr>
            </w:pPr>
            <w:r>
              <w:rPr>
                <w:rFonts w:ascii="Arial" w:cs="Arial" w:eastAsia="Arial" w:hAnsi="Arial"/>
                <w:sz w:val="18"/>
                <w:szCs w:val="18"/>
                <w:color w:val="auto"/>
              </w:rPr>
              <w:t>LNG HOLDINGS (FLORIDA) LLC, a Delaware limited liability company</w:t>
            </w:r>
          </w:p>
        </w:tc>
      </w:tr>
      <w:tr>
        <w:trPr>
          <w:trHeight w:val="432"/>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4.</w:t>
            </w:r>
          </w:p>
        </w:tc>
        <w:tc>
          <w:tcPr>
            <w:tcW w:w="2420" w:type="dxa"/>
            <w:vAlign w:val="bottom"/>
          </w:tcPr>
          <w:p>
            <w:pPr>
              <w:ind w:left="300"/>
              <w:spacing w:after="0"/>
              <w:rPr>
                <w:sz w:val="20"/>
                <w:szCs w:val="20"/>
                <w:color w:val="auto"/>
              </w:rPr>
            </w:pPr>
            <w:r>
              <w:rPr>
                <w:rFonts w:ascii="Arial" w:cs="Arial" w:eastAsia="Arial" w:hAnsi="Arial"/>
                <w:sz w:val="18"/>
                <w:szCs w:val="18"/>
                <w:color w:val="auto"/>
              </w:rPr>
              <w:t>Administrative Agent:</w:t>
            </w:r>
          </w:p>
        </w:tc>
        <w:tc>
          <w:tcPr>
            <w:tcW w:w="7420" w:type="dxa"/>
            <w:vAlign w:val="bottom"/>
          </w:tcPr>
          <w:p>
            <w:pPr>
              <w:ind w:left="520"/>
              <w:spacing w:after="0"/>
              <w:rPr>
                <w:sz w:val="20"/>
                <w:szCs w:val="20"/>
                <w:color w:val="auto"/>
              </w:rPr>
            </w:pPr>
            <w:r>
              <w:rPr>
                <w:rFonts w:ascii="Arial" w:cs="Arial" w:eastAsia="Arial" w:hAnsi="Arial"/>
                <w:sz w:val="18"/>
                <w:szCs w:val="18"/>
                <w:color w:val="auto"/>
              </w:rPr>
              <w:t>MORGAN STANLEY SENIOR FUNDING,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500" w:right="3100" w:hanging="5492"/>
        <w:spacing w:after="0" w:line="336" w:lineRule="auto"/>
        <w:tabs>
          <w:tab w:leader="none" w:pos="652" w:val="left"/>
        </w:tabs>
        <w:numPr>
          <w:ilvl w:val="0"/>
          <w:numId w:val="300"/>
        </w:numPr>
        <w:rPr>
          <w:rFonts w:ascii="Arial" w:cs="Arial" w:eastAsia="Arial" w:hAnsi="Arial"/>
          <w:sz w:val="30"/>
          <w:szCs w:val="30"/>
          <w:color w:val="auto"/>
          <w:vertAlign w:val="superscript"/>
        </w:rPr>
      </w:pPr>
      <w:r>
        <w:rPr>
          <w:rFonts w:ascii="Arial" w:cs="Arial" w:eastAsia="Arial" w:hAnsi="Arial"/>
          <w:sz w:val="18"/>
          <w:szCs w:val="18"/>
          <w:color w:val="auto"/>
        </w:rPr>
        <w:t>Assignee shall not be a Disqualified Assignee unless such assignment has been approved by the Borrower. 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5.</w:t>
            </w:r>
          </w:p>
        </w:tc>
        <w:tc>
          <w:tcPr>
            <w:tcW w:w="2300" w:type="dxa"/>
            <w:vAlign w:val="bottom"/>
          </w:tcPr>
          <w:p>
            <w:pPr>
              <w:ind w:left="300"/>
              <w:spacing w:after="0"/>
              <w:rPr>
                <w:sz w:val="20"/>
                <w:szCs w:val="20"/>
                <w:color w:val="auto"/>
              </w:rPr>
            </w:pPr>
            <w:r>
              <w:rPr>
                <w:rFonts w:ascii="Arial" w:cs="Arial" w:eastAsia="Arial" w:hAnsi="Arial"/>
                <w:sz w:val="18"/>
                <w:szCs w:val="18"/>
                <w:color w:val="auto"/>
              </w:rPr>
              <w:t>Credit Agreement:</w:t>
            </w:r>
          </w:p>
        </w:tc>
        <w:tc>
          <w:tcPr>
            <w:tcW w:w="8640" w:type="dxa"/>
            <w:vAlign w:val="bottom"/>
          </w:tcPr>
          <w:p>
            <w:pPr>
              <w:ind w:left="640"/>
              <w:spacing w:after="0"/>
              <w:rPr>
                <w:sz w:val="20"/>
                <w:szCs w:val="20"/>
                <w:color w:val="auto"/>
              </w:rPr>
            </w:pPr>
            <w:r>
              <w:rPr>
                <w:rFonts w:ascii="Arial" w:cs="Arial" w:eastAsia="Arial" w:hAnsi="Arial"/>
                <w:sz w:val="18"/>
                <w:szCs w:val="18"/>
                <w:color w:val="auto"/>
                <w:w w:val="94"/>
              </w:rPr>
              <w:t>The Credit Agreement, dated as of November 24, 2014, by and among LNG HOLDINGS LLC, a Delaware</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limited liability company, as Holdings 1, FEP GP LNG HOLDING LLC, a Delaware limited liability</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1"/>
              </w:rPr>
              <w:t>company, as Holdings 2 the Borrower, the several banks and other financial institutions or entities from time to</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time parties thereto, as the Lenders, and MORGAN STANLEY SENIOR FUNDING, INC., as Administrative</w:t>
            </w:r>
          </w:p>
        </w:tc>
      </w:tr>
      <w:tr>
        <w:trPr>
          <w:trHeight w:val="230"/>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Agent, as amended, restated, supplemented or modified from time to time</w:t>
            </w:r>
          </w:p>
        </w:tc>
      </w:tr>
    </w:tbl>
    <w:p>
      <w:pPr>
        <w:spacing w:after="0" w:line="202" w:lineRule="exact"/>
        <w:rPr>
          <w:sz w:val="20"/>
          <w:szCs w:val="20"/>
          <w:color w:val="auto"/>
        </w:rPr>
      </w:pPr>
    </w:p>
    <w:p>
      <w:pPr>
        <w:ind w:left="760" w:hanging="752"/>
        <w:spacing w:after="0"/>
        <w:tabs>
          <w:tab w:leader="none" w:pos="7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880" w:type="dxa"/>
            <w:vAlign w:val="bottom"/>
            <w:tcBorders>
              <w:top w:val="single" w:sz="8" w:color="auto"/>
              <w:left w:val="single" w:sz="8" w:color="auto"/>
              <w:right w:val="single" w:sz="8" w:color="auto"/>
            </w:tcBorders>
            <w:shd w:val="clear" w:color="auto" w:fill="DCDCDC"/>
          </w:tcPr>
          <w:p>
            <w:pPr>
              <w:spacing w:after="0"/>
              <w:rPr>
                <w:sz w:val="24"/>
                <w:szCs w:val="24"/>
                <w:color w:val="auto"/>
              </w:rPr>
            </w:pPr>
          </w:p>
        </w:tc>
        <w:tc>
          <w:tcPr>
            <w:tcW w:w="2860" w:type="dxa"/>
            <w:vAlign w:val="bottom"/>
            <w:tcBorders>
              <w:top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0"/>
              </w:rPr>
              <w:t>Aggregate Amount of Loans for all</w:t>
            </w:r>
          </w:p>
        </w:tc>
        <w:tc>
          <w:tcPr>
            <w:tcW w:w="2840" w:type="dxa"/>
            <w:vAlign w:val="bottom"/>
            <w:tcBorders>
              <w:top w:val="single" w:sz="8" w:color="auto"/>
              <w:right w:val="single" w:sz="8" w:color="auto"/>
            </w:tcBorders>
            <w:shd w:val="clear" w:color="auto" w:fill="DCDCDC"/>
          </w:tcPr>
          <w:p>
            <w:pPr>
              <w:spacing w:after="0"/>
              <w:rPr>
                <w:sz w:val="24"/>
                <w:szCs w:val="24"/>
                <w:color w:val="auto"/>
              </w:rPr>
            </w:pPr>
          </w:p>
        </w:tc>
        <w:tc>
          <w:tcPr>
            <w:tcW w:w="2840" w:type="dxa"/>
            <w:vAlign w:val="bottom"/>
            <w:tcBorders>
              <w:top w:val="single" w:sz="8" w:color="auto"/>
              <w:right w:val="single" w:sz="8" w:color="auto"/>
            </w:tcBorders>
            <w:vMerge w:val="restart"/>
            <w:shd w:val="clear" w:color="auto" w:fill="DCDCDC"/>
          </w:tcPr>
          <w:p>
            <w:pPr>
              <w:jc w:val="center"/>
              <w:spacing w:after="0"/>
              <w:rPr>
                <w:sz w:val="20"/>
                <w:szCs w:val="20"/>
                <w:color w:val="auto"/>
              </w:rPr>
            </w:pPr>
            <w:r>
              <w:rPr>
                <w:rFonts w:ascii="Arial" w:cs="Arial" w:eastAsia="Arial" w:hAnsi="Arial"/>
                <w:sz w:val="18"/>
                <w:szCs w:val="18"/>
                <w:b w:val="1"/>
                <w:bCs w:val="1"/>
                <w:color w:val="auto"/>
                <w:w w:val="86"/>
              </w:rPr>
              <w:t>Percentage Assigned of Loans</w:t>
            </w:r>
            <w:r>
              <w:rPr>
                <w:rFonts w:ascii="Arial" w:cs="Arial" w:eastAsia="Arial" w:hAnsi="Arial"/>
                <w:sz w:val="30"/>
                <w:szCs w:val="30"/>
                <w:b w:val="1"/>
                <w:bCs w:val="1"/>
                <w:color w:val="auto"/>
                <w:w w:val="86"/>
                <w:vertAlign w:val="superscript"/>
              </w:rPr>
              <w:t>2</w:t>
            </w:r>
          </w:p>
        </w:tc>
        <w:tc>
          <w:tcPr>
            <w:tcW w:w="0" w:type="dxa"/>
            <w:vAlign w:val="bottom"/>
          </w:tcPr>
          <w:p>
            <w:pPr>
              <w:spacing w:after="0"/>
              <w:rPr>
                <w:sz w:val="1"/>
                <w:szCs w:val="1"/>
                <w:color w:val="auto"/>
              </w:rPr>
            </w:pPr>
          </w:p>
        </w:tc>
      </w:tr>
      <w:tr>
        <w:trPr>
          <w:trHeight w:val="295"/>
        </w:trPr>
        <w:tc>
          <w:tcPr>
            <w:tcW w:w="2880" w:type="dxa"/>
            <w:vAlign w:val="bottom"/>
            <w:tcBorders>
              <w:left w:val="single" w:sz="8" w:color="auto"/>
              <w:bottom w:val="single" w:sz="8" w:color="auto"/>
              <w:right w:val="single" w:sz="8" w:color="auto"/>
            </w:tcBorders>
            <w:shd w:val="clear" w:color="auto" w:fill="DCDCDC"/>
          </w:tcPr>
          <w:p>
            <w:pPr>
              <w:ind w:left="780"/>
              <w:spacing w:after="0"/>
              <w:rPr>
                <w:sz w:val="20"/>
                <w:szCs w:val="20"/>
                <w:color w:val="auto"/>
              </w:rPr>
            </w:pPr>
            <w:r>
              <w:rPr>
                <w:rFonts w:ascii="Arial" w:cs="Arial" w:eastAsia="Arial" w:hAnsi="Arial"/>
                <w:sz w:val="18"/>
                <w:szCs w:val="18"/>
                <w:b w:val="1"/>
                <w:bCs w:val="1"/>
                <w:color w:val="auto"/>
              </w:rPr>
              <w:t>Facility Assigned</w:t>
            </w:r>
          </w:p>
        </w:tc>
        <w:tc>
          <w:tcPr>
            <w:tcW w:w="286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1"/>
              </w:rPr>
              <w:t>Lenders</w:t>
            </w:r>
          </w:p>
        </w:tc>
        <w:tc>
          <w:tcPr>
            <w:tcW w:w="28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88"/>
              </w:rPr>
              <w:t>Amount of Loans Assigned</w:t>
            </w:r>
          </w:p>
        </w:tc>
        <w:tc>
          <w:tcPr>
            <w:tcW w:w="2840" w:type="dxa"/>
            <w:vAlign w:val="bottom"/>
            <w:tcBorders>
              <w:bottom w:val="single" w:sz="8" w:color="auto"/>
              <w:right w:val="single" w:sz="8" w:color="auto"/>
            </w:tcBorders>
            <w:vMerge w:val="continue"/>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880" w:type="dxa"/>
            <w:vAlign w:val="bottom"/>
            <w:tcBorders>
              <w:left w:val="single" w:sz="8" w:color="auto"/>
              <w:bottom w:val="single" w:sz="8" w:color="auto"/>
              <w:right w:val="single" w:sz="8" w:color="auto"/>
            </w:tcBorders>
          </w:tcPr>
          <w:p>
            <w:pPr>
              <w:jc w:val="center"/>
              <w:spacing w:after="0" w:line="324" w:lineRule="exact"/>
              <w:rPr>
                <w:sz w:val="20"/>
                <w:szCs w:val="20"/>
                <w:color w:val="auto"/>
              </w:rPr>
            </w:pPr>
            <w:r>
              <w:rPr>
                <w:rFonts w:ascii="Arial" w:cs="Arial" w:eastAsia="Arial" w:hAnsi="Arial"/>
                <w:sz w:val="18"/>
                <w:szCs w:val="18"/>
                <w:color w:val="auto"/>
                <w:w w:val="88"/>
              </w:rPr>
              <w:t>_______________</w:t>
            </w:r>
            <w:r>
              <w:rPr>
                <w:rFonts w:ascii="Arial" w:cs="Arial" w:eastAsia="Arial" w:hAnsi="Arial"/>
                <w:sz w:val="30"/>
                <w:szCs w:val="30"/>
                <w:color w:val="auto"/>
                <w:w w:val="88"/>
                <w:vertAlign w:val="superscript"/>
              </w:rPr>
              <w:t>3</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c>
          <w:tcPr>
            <w:tcW w:w="0" w:type="dxa"/>
            <w:vAlign w:val="bottom"/>
          </w:tcPr>
          <w:p>
            <w:pPr>
              <w:spacing w:after="0"/>
              <w:rPr>
                <w:sz w:val="1"/>
                <w:szCs w:val="1"/>
                <w:color w:val="auto"/>
              </w:rPr>
            </w:pPr>
          </w:p>
        </w:tc>
      </w:tr>
      <w:tr>
        <w:trPr>
          <w:trHeight w:val="27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c>
          <w:tcPr>
            <w:tcW w:w="0" w:type="dxa"/>
            <w:vAlign w:val="bottom"/>
          </w:tcPr>
          <w:p>
            <w:pPr>
              <w:spacing w:after="0"/>
              <w:rPr>
                <w:sz w:val="1"/>
                <w:szCs w:val="1"/>
                <w:color w:val="auto"/>
              </w:rPr>
            </w:pPr>
          </w:p>
        </w:tc>
      </w:tr>
      <w:tr>
        <w:trPr>
          <w:trHeight w:val="61"/>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$_______________</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_______________%</w:t>
            </w:r>
          </w:p>
        </w:tc>
        <w:tc>
          <w:tcPr>
            <w:tcW w:w="0" w:type="dxa"/>
            <w:vAlign w:val="bottom"/>
          </w:tcPr>
          <w:p>
            <w:pPr>
              <w:spacing w:after="0"/>
              <w:rPr>
                <w:sz w:val="1"/>
                <w:szCs w:val="1"/>
                <w:color w:val="auto"/>
              </w:rPr>
            </w:pPr>
          </w:p>
        </w:tc>
      </w:tr>
      <w:tr>
        <w:trPr>
          <w:trHeight w:val="61"/>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____________, 20__ [TO BE INSERTED BY ADMINISTRATIVE AGENT AND WHICH SHALL BE THE EFFECTIVE DATE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38" w:lineRule="exact"/>
        <w:rPr>
          <w:sz w:val="20"/>
          <w:szCs w:val="20"/>
          <w:color w:val="auto"/>
        </w:rPr>
      </w:pPr>
    </w:p>
    <w:p>
      <w:pPr>
        <w:ind w:left="760" w:hanging="752"/>
        <w:spacing w:after="0"/>
        <w:tabs>
          <w:tab w:leader="none" w:pos="7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Notice and Wire Instructions: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[NAME OF ASSIGNOR]</w:t>
            </w:r>
          </w:p>
        </w:tc>
        <w:tc>
          <w:tcPr>
            <w:tcW w:w="6840" w:type="dxa"/>
            <w:vAlign w:val="bottom"/>
            <w:gridSpan w:val="5"/>
          </w:tcPr>
          <w:p>
            <w:pPr>
              <w:ind w:left="2280"/>
              <w:spacing w:after="0"/>
              <w:rPr>
                <w:sz w:val="20"/>
                <w:szCs w:val="20"/>
                <w:color w:val="auto"/>
              </w:rPr>
            </w:pPr>
            <w:r>
              <w:rPr>
                <w:rFonts w:ascii="Arial" w:cs="Arial" w:eastAsia="Arial" w:hAnsi="Arial"/>
                <w:sz w:val="18"/>
                <w:szCs w:val="18"/>
                <w:b w:val="1"/>
                <w:bCs w:val="1"/>
                <w:color w:val="auto"/>
              </w:rPr>
              <w:t>[NAME OF ASSIGNEE]</w:t>
            </w:r>
          </w:p>
        </w:tc>
      </w:tr>
      <w:tr>
        <w:trPr>
          <w:trHeight w:val="392"/>
        </w:trPr>
        <w:tc>
          <w:tcPr>
            <w:tcW w:w="4580" w:type="dxa"/>
            <w:vAlign w:val="bottom"/>
            <w:gridSpan w:val="4"/>
          </w:tcPr>
          <w:p>
            <w:pPr>
              <w:spacing w:after="0"/>
              <w:rPr>
                <w:sz w:val="20"/>
                <w:szCs w:val="20"/>
                <w:color w:val="auto"/>
              </w:rPr>
            </w:pPr>
            <w:r>
              <w:rPr>
                <w:rFonts w:ascii="Arial" w:cs="Arial" w:eastAsia="Arial" w:hAnsi="Arial"/>
                <w:sz w:val="18"/>
                <w:szCs w:val="18"/>
                <w:color w:val="auto"/>
              </w:rPr>
              <w:t>Notices:</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Notices:</w:t>
            </w:r>
          </w:p>
        </w:tc>
      </w:tr>
      <w:tr>
        <w:trPr>
          <w:trHeight w:val="257"/>
        </w:trPr>
        <w:tc>
          <w:tcPr>
            <w:tcW w:w="5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c>
          <w:tcPr>
            <w:tcW w:w="228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spacing w:after="0"/>
              <w:rPr>
                <w:sz w:val="22"/>
                <w:szCs w:val="22"/>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with a copy to:</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with a copy to:</w:t>
            </w:r>
          </w:p>
        </w:tc>
      </w:tr>
      <w:tr>
        <w:trPr>
          <w:trHeight w:val="237"/>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Attention:</w:t>
            </w: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Telecopier:</w:t>
            </w:r>
          </w:p>
        </w:tc>
      </w:tr>
      <w:tr>
        <w:trPr>
          <w:trHeight w:val="392"/>
        </w:trPr>
        <w:tc>
          <w:tcPr>
            <w:tcW w:w="4580" w:type="dxa"/>
            <w:vAlign w:val="bottom"/>
            <w:gridSpan w:val="4"/>
          </w:tcPr>
          <w:p>
            <w:pPr>
              <w:spacing w:after="0"/>
              <w:rPr>
                <w:sz w:val="20"/>
                <w:szCs w:val="20"/>
                <w:color w:val="auto"/>
              </w:rPr>
            </w:pPr>
            <w:r>
              <w:rPr>
                <w:rFonts w:ascii="Arial" w:cs="Arial" w:eastAsia="Arial" w:hAnsi="Arial"/>
                <w:sz w:val="18"/>
                <w:szCs w:val="18"/>
                <w:color w:val="auto"/>
              </w:rPr>
              <w:t>Wire Instructions:</w:t>
            </w:r>
          </w:p>
        </w:tc>
        <w:tc>
          <w:tcPr>
            <w:tcW w:w="6840" w:type="dxa"/>
            <w:vAlign w:val="bottom"/>
            <w:gridSpan w:val="5"/>
          </w:tcPr>
          <w:p>
            <w:pPr>
              <w:ind w:left="2280"/>
              <w:spacing w:after="0"/>
              <w:rPr>
                <w:sz w:val="20"/>
                <w:szCs w:val="20"/>
                <w:color w:val="auto"/>
              </w:rPr>
            </w:pPr>
            <w:r>
              <w:rPr>
                <w:rFonts w:ascii="Arial" w:cs="Arial" w:eastAsia="Arial" w:hAnsi="Arial"/>
                <w:sz w:val="18"/>
                <w:szCs w:val="18"/>
                <w:color w:val="auto"/>
              </w:rPr>
              <w:t>Wire Instructions:</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490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5"/>
          <w:szCs w:val="15"/>
          <w:color w:val="auto"/>
        </w:rPr>
      </w:pPr>
      <w:r>
        <w:rPr>
          <w:rFonts w:ascii="Arial" w:cs="Arial" w:eastAsia="Arial" w:hAnsi="Arial"/>
          <w:sz w:val="14"/>
          <w:szCs w:val="14"/>
          <w:color w:val="auto"/>
        </w:rPr>
        <w:t>Set forth, to at least 9 decimals, as a percentage of the Loans of all Lenders thereunder.</w:t>
      </w:r>
    </w:p>
    <w:p>
      <w:pPr>
        <w:spacing w:after="0" w:line="233"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5"/>
          <w:szCs w:val="15"/>
          <w:color w:val="auto"/>
        </w:rPr>
      </w:pPr>
      <w:r>
        <w:rPr>
          <w:rFonts w:ascii="Arial" w:cs="Arial" w:eastAsia="Arial" w:hAnsi="Arial"/>
          <w:sz w:val="14"/>
          <w:szCs w:val="14"/>
          <w:color w:val="auto"/>
        </w:rPr>
        <w:t>Fill in the appropriate terminology for the types of facilities under the Credit Agreement that are being as-signed under this Assignment (e.g. “Term Loans,” etc.)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8" w:name="page319"/>
    <w:bookmarkEnd w:id="318"/>
    <w:p>
      <w:pPr>
        <w:ind w:left="660"/>
        <w:spacing w:after="0"/>
        <w:rPr>
          <w:sz w:val="20"/>
          <w:szCs w:val="20"/>
          <w:color w:val="auto"/>
        </w:rPr>
      </w:pPr>
      <w:r>
        <w:rPr>
          <w:rFonts w:ascii="Arial" w:cs="Arial" w:eastAsia="Arial" w:hAnsi="Arial"/>
          <w:sz w:val="18"/>
          <w:szCs w:val="18"/>
          <w:color w:val="auto"/>
        </w:rPr>
        <w:t>The terms set forth in this Assignment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[NAME OF ASSIGNOR]</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ASSIGNEE]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[LNG HOLDINGS (FLORIDA) LLC]</w:t>
      </w:r>
      <w:r>
        <w:rPr>
          <w:rFonts w:ascii="Arial" w:cs="Arial" w:eastAsia="Arial" w:hAnsi="Arial"/>
          <w:sz w:val="18"/>
          <w:szCs w:val="18"/>
          <w:color w:val="auto"/>
        </w:rPr>
        <w:t>, as 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490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5"/>
          <w:szCs w:val="15"/>
          <w:color w:val="auto"/>
        </w:rPr>
      </w:pPr>
      <w:r>
        <w:rPr>
          <w:rFonts w:ascii="Arial" w:cs="Arial" w:eastAsia="Arial" w:hAnsi="Arial"/>
          <w:sz w:val="14"/>
          <w:szCs w:val="14"/>
          <w:color w:val="auto"/>
        </w:rPr>
        <w:t>To be added only if the consent of Borrower is required by the terms of the Credit Agreement.</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color w:val="auto"/>
        </w:rPr>
        <w:t>ANNEX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 AFFILIATED LENDER ASSIGNMENT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ASSUMPTION AGREEMENT</w:t>
      </w:r>
    </w:p>
    <w:p>
      <w:pPr>
        <w:spacing w:after="0" w:line="265" w:lineRule="exact"/>
        <w:rPr>
          <w:sz w:val="20"/>
          <w:szCs w:val="20"/>
          <w:color w:val="auto"/>
        </w:rPr>
      </w:pPr>
    </w:p>
    <w:p>
      <w:pPr>
        <w:ind w:left="1440" w:hanging="784"/>
        <w:spacing w:after="0"/>
        <w:tabs>
          <w:tab w:leader="none" w:pos="144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any Credit Document (as defined below), (ii) the execution, legality, validity, enforceability, genuineness, sufficiency or value of the Credit Agreement or any other instrument or document delivered pursuant thereto, other than this Assignment (herein collectively the “</w:t>
      </w:r>
      <w:r>
        <w:rPr>
          <w:rFonts w:ascii="Arial" w:cs="Arial" w:eastAsia="Arial" w:hAnsi="Arial"/>
          <w:sz w:val="17"/>
          <w:szCs w:val="17"/>
          <w:b w:val="1"/>
          <w:bCs w:val="1"/>
          <w:color w:val="auto"/>
        </w:rPr>
        <w:t>Credit Documents</w:t>
      </w:r>
      <w:r>
        <w:rPr>
          <w:rFonts w:ascii="Arial" w:cs="Arial" w:eastAsia="Arial" w:hAnsi="Arial"/>
          <w:sz w:val="17"/>
          <w:szCs w:val="17"/>
          <w:color w:val="auto"/>
        </w:rPr>
        <w:t>”), or any collateral thereunder, (iii) the financial condition of Borrower, any of their Subsidiaries or Affiliates or any other Person obligated in respect of any Credit Document or (iv) the performance or observance by Borrower, any of their Subsidiaries or Affiliates or any other Person of any of their respective obligations under any Credit Document.</w:t>
      </w:r>
    </w:p>
    <w:p>
      <w:pPr>
        <w:spacing w:after="0" w:line="23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to consummate the transactions contemplated hereby and to become a Lender under the Credit Agreement, (ii) it is not a Disqualified Assignee under the Credit Agreement, (iii) from and after the Effective Date, it shall be bound by the provisions of the Credit Agreement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 thereof, as applicable, and such other documents and information as it deems appropriate to make its own credit analysis and decision to enter into this Assignment and to purchase the Assigned Interest, (vi) it has, independently and without reliance upon Administrative Agent or any other Lender and based on such documents and information as it has deemed appropriate, made its own credit analysis and decision to enter into this Assignment and to purchase the Assigned Interest, and (vii) if it is a Non-U.S. Lender, attached to this Assignment is any documentation required to be delivered by it pursuant to the terms of the Credit Agree-ment, duly completed and executed by the Assignee; and (b) 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w:t>
      </w:r>
    </w:p>
    <w:p>
      <w:pPr>
        <w:spacing w:after="0" w:line="237" w:lineRule="exact"/>
        <w:rPr>
          <w:sz w:val="20"/>
          <w:szCs w:val="20"/>
          <w:color w:val="auto"/>
        </w:rPr>
      </w:pPr>
    </w:p>
    <w:p>
      <w:pPr>
        <w:ind w:left="1440" w:hanging="784"/>
        <w:spacing w:after="0"/>
        <w:tabs>
          <w:tab w:leader="none" w:pos="14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payments with respect to the Assigned Interests shall be made on the Effective Date as follows:</w:t>
      </w:r>
    </w:p>
    <w:p>
      <w:pPr>
        <w:spacing w:after="0" w:line="27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5.1 From and after the Effective Date, Administrative Agent shall make all payments in respect of the Assigned Interest (including payments of principal, interest, fees and other amounts) to the Assignor for amounts which have accrued to but excluding the Effective Date and to the Assignee for</w:t>
      </w:r>
    </w:p>
    <w:p>
      <w:pPr>
        <w:spacing w:after="0" w:line="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amounts which have accrued from and after the Effective Date. Notwithstanding the foregoing, Adminis</w:t>
      </w:r>
      <w:r>
        <w:rPr>
          <w:rFonts w:ascii="Arial" w:cs="Arial" w:eastAsia="Arial" w:hAnsi="Arial"/>
          <w:sz w:val="21"/>
          <w:szCs w:val="21"/>
          <w:color w:val="auto"/>
        </w:rPr>
        <w:t>trative Agent shall make all payments of</w:t>
      </w:r>
      <w:r>
        <w:rPr>
          <w:rFonts w:ascii="Arial" w:cs="Arial" w:eastAsia="Arial" w:hAnsi="Arial"/>
          <w:sz w:val="18"/>
          <w:szCs w:val="18"/>
          <w:color w:val="auto"/>
        </w:rPr>
        <w:t xml:space="preserve"> </w:t>
      </w:r>
      <w:r>
        <w:rPr>
          <w:rFonts w:ascii="Arial" w:cs="Arial" w:eastAsia="Arial" w:hAnsi="Arial"/>
          <w:sz w:val="21"/>
          <w:szCs w:val="21"/>
          <w:color w:val="auto"/>
        </w:rPr>
        <w:t>interest, fees or other amounts paid or payable in kind from and after the Effective Date to the Assignee.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0" w:name="page321"/>
    <w:bookmarkEnd w:id="320"/>
    <w:p>
      <w:pPr>
        <w:ind w:left="-40" w:right="120" w:firstLine="656"/>
        <w:spacing w:after="0" w:line="257" w:lineRule="auto"/>
        <w:tabs>
          <w:tab w:leader="none" w:pos="1391"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by telecopy shall be effective as delivery of a manually executed counterpart of this Assignment. This Assignment shall be governed by, and construed in accordance with, the internal laws of the State of New York without regard to conflict of laws principles thereof.</w:t>
      </w:r>
    </w:p>
    <w:p>
      <w:pPr>
        <w:spacing w:after="0" w:line="242" w:lineRule="exact"/>
        <w:rPr>
          <w:rFonts w:ascii="Arial" w:cs="Arial" w:eastAsia="Arial" w:hAnsi="Arial"/>
          <w:sz w:val="18"/>
          <w:szCs w:val="18"/>
          <w:color w:val="auto"/>
        </w:rPr>
      </w:pPr>
    </w:p>
    <w:p>
      <w:pPr>
        <w:ind w:left="-40" w:firstLine="656"/>
        <w:spacing w:after="0" w:line="288" w:lineRule="auto"/>
        <w:tabs>
          <w:tab w:leader="none" w:pos="1391"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Each of the parties hereto acknowledge and agree that in connection with this Assignment, (A) the Assignee may have, and later may come into possession of, Excluded Information, (B) the Assignor has, independently and without reliance on Assignee, any of its Subsidiaries, the Administrative Agent or any of its affiliates, made its own analysis and determination to participate in this Assignment notwithstanding Assignor’s lack of knowledge of the Excluded Information, (C) none of the Assignee, any other Affiliated Lenders or any of their Subsidiaries, the Administrative Agent or any of its affiliates shall have any liability to Assignor, and Assignor hereby waives and releases, to the extent permitted by law, any claims Assignor may have against Assignee, any other Affiliated Lender, any of their Subsidiaries, the Administrative Agent and any of its affiliates, under applicable laws or otherwise, with respect to the nondisclosure of the Excluded Information and (D) the Excluded Information may not be available to the Administrative Agent or the other Lenders. “Excluded Information” means information regarding the Term Loans or the applicable Loan Parties that is not known to a Lender participat-ing in an assignment to an Affiliated Lender pursuant to Section 9.6(d) of the Credit Agreement that may be material to a decision by such Lender to participate in such assignment to such Affiliated Lender or such assignment by an Affiliated Lender, as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52" w:right="259" w:bottom="1440" w:gutter="0" w:footer="0" w:header="0"/>
        </w:sectPr>
      </w:pPr>
    </w:p>
    <w:bookmarkStart w:id="321" w:name="page322"/>
    <w:bookmarkEnd w:id="321"/>
    <w:p>
      <w:pPr>
        <w:ind w:left="10240"/>
        <w:spacing w:after="0"/>
        <w:rPr>
          <w:sz w:val="20"/>
          <w:szCs w:val="20"/>
          <w:color w:val="auto"/>
        </w:rPr>
      </w:pPr>
      <w:r>
        <w:rPr>
          <w:rFonts w:ascii="Arial" w:cs="Arial" w:eastAsia="Arial" w:hAnsi="Arial"/>
          <w:sz w:val="17"/>
          <w:szCs w:val="17"/>
          <w:color w:val="auto"/>
        </w:rPr>
        <w:t>EXHIBIT D TO</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CREDIT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 NOTE</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$[1][___,___,___][2]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[mm/dd/yy]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7" w:lineRule="exact"/>
        <w:rPr>
          <w:sz w:val="20"/>
          <w:szCs w:val="20"/>
          <w:color w:val="auto"/>
        </w:rPr>
      </w:pPr>
    </w:p>
    <w:p>
      <w:pPr>
        <w:sectPr>
          <w:pgSz w:w="11900" w:h="16838" w:orient="portrait"/>
          <w:cols w:equalWidth="0" w:num="2">
            <w:col w:w="9140" w:space="720"/>
            <w:col w:w="1560"/>
          </w:cols>
          <w:pgMar w:left="240" w:top="125"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LNG HOLDINGS (FLORIDA) LLC, a Delaware limited liability company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w:t>
      </w:r>
    </w:p>
    <w:p>
      <w:pPr>
        <w:spacing w:after="0" w:line="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[NAME OF LENDER] </w:t>
      </w:r>
      <w:r>
        <w:rPr>
          <w:rFonts w:ascii="Arial" w:cs="Arial" w:eastAsia="Arial" w:hAnsi="Arial"/>
          <w:sz w:val="18"/>
          <w:szCs w:val="18"/>
          <w:color w:val="auto"/>
        </w:rPr>
        <w:t>(“</w:t>
      </w:r>
      <w:r>
        <w:rPr>
          <w:rFonts w:ascii="Arial" w:cs="Arial" w:eastAsia="Arial" w:hAnsi="Arial"/>
          <w:sz w:val="18"/>
          <w:szCs w:val="18"/>
          <w:b w:val="1"/>
          <w:bCs w:val="1"/>
          <w:color w:val="auto"/>
        </w:rPr>
        <w:t>Payee</w:t>
      </w:r>
      <w:r>
        <w:rPr>
          <w:rFonts w:ascii="Arial" w:cs="Arial" w:eastAsia="Arial" w:hAnsi="Arial"/>
          <w:sz w:val="18"/>
          <w:szCs w:val="18"/>
          <w:color w:val="auto"/>
        </w:rPr>
        <w:t>”) or its registered assigns the principal amount of [ ] DOLLARS ($ [___,___, ]) in the installments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Borrower also promises to pay interest on the unpaid principal amount hereof, from the date hereof until paid in full, at the rates and at the times which shall be determined in accordance with the provisions of that certain Credit Agreement, dated as of November 24, 2014 (as amended, restated, sup-plemented or otherwise modified, the “</w:t>
      </w:r>
      <w:r>
        <w:rPr>
          <w:rFonts w:ascii="Arial" w:cs="Arial" w:eastAsia="Arial" w:hAnsi="Arial"/>
          <w:sz w:val="18"/>
          <w:szCs w:val="18"/>
          <w:b w:val="1"/>
          <w:bCs w:val="1"/>
          <w:color w:val="auto"/>
        </w:rPr>
        <w:t>Credit Agreement</w:t>
      </w:r>
      <w:r>
        <w:rPr>
          <w:rFonts w:ascii="Arial" w:cs="Arial" w:eastAsia="Arial" w:hAnsi="Arial"/>
          <w:sz w:val="18"/>
          <w:szCs w:val="18"/>
          <w:color w:val="auto"/>
        </w:rPr>
        <w:t>”; the terms defined therein and not otherwise defined herein being used herein as therein defined), by and among LNG HOLDINGS LLC, a Delaware limited liability company, as Holdings 1, FEP GP LNG HOLDINGS LLC, a Delaware limited liability company, as Holdings 2, Borrower, the several banks and other financial institutions or entities from time to time parties thereto, as the Lenders, and MORGAN STANLEY SENIOR FUNDING, INC., as Admin-istrative Agent.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Borrower shall make scheduled principal payments on this Note as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the Credit Agreement.</w:t>
      </w:r>
    </w:p>
    <w:p>
      <w:pPr>
        <w:spacing w:after="0" w:line="25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This Note is one of the “Term Loan Notes” and is issued pursuant to and entitled to the benefits of the Credit Agreement, to which reference is hereby made for a more complete statement of the terms and conditions under which the Term Loan evidenced hereby was made and is to be repaid.</w:t>
      </w:r>
    </w:p>
    <w:p>
      <w:pPr>
        <w:spacing w:after="0" w:line="15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payments of principal and interest in respect of this Note shall be made in lawful money of the United States of America in same day funds at the Principal Office of Administrative Agent or at such other place as shall be designated in writing for such purpose in accordance with the terms of the Credit Agreement. Unless and until an Assignment and Acceptance effecting the assignment or transfer of the obligations evidenced hereby shall have been accepted by Administrative Agent and recorded in the Register, Borrower, the Administrative Agent and Lenders shall be entitled to deem and treat Payee as the owner and holder of this Note and the obligations evidenced hereby. Payee hereby agrees, by its ac-ceptance hereof, that before disposing of this Note or any part hereof it will make a notation hereon of all principal payments previously made hereunder and of the date to which interest hereon has been paid; provided, the failure to make a notation of any payment made on this Note shall not limit or otherwise affect the obligations of Borrower hereunder with respect to payments of principal of or interest on this Note.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is subject to mandatory prepayment and to prepayment at the option of Borrower, each as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490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5"/>
          <w:szCs w:val="15"/>
          <w:color w:val="auto"/>
        </w:rPr>
      </w:pPr>
      <w:r>
        <w:rPr>
          <w:rFonts w:ascii="Arial" w:cs="Arial" w:eastAsia="Arial" w:hAnsi="Arial"/>
          <w:sz w:val="14"/>
          <w:szCs w:val="14"/>
          <w:color w:val="auto"/>
        </w:rPr>
        <w:t>Lender’s Term Loan amount</w:t>
      </w:r>
    </w:p>
    <w:p>
      <w:pPr>
        <w:spacing w:after="0" w:line="233"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5"/>
          <w:szCs w:val="15"/>
          <w:color w:val="auto"/>
        </w:rPr>
      </w:pPr>
      <w:r>
        <w:rPr>
          <w:rFonts w:ascii="Arial" w:cs="Arial" w:eastAsia="Arial" w:hAnsi="Arial"/>
          <w:sz w:val="14"/>
          <w:szCs w:val="14"/>
          <w:color w:val="auto"/>
        </w:rPr>
        <w:t>Closing Date (or, if written notice of Lender’s request for Note is delivered after the Closi ng Date, a date that is promptly after the Borrower’s receipt of such notice)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2" w:name="page323"/>
    <w:bookmarkEnd w:id="322"/>
    <w:p>
      <w:pPr>
        <w:ind w:right="240" w:firstLine="648"/>
        <w:spacing w:after="0" w:line="277" w:lineRule="auto"/>
        <w:rPr>
          <w:sz w:val="20"/>
          <w:szCs w:val="20"/>
          <w:color w:val="auto"/>
        </w:rPr>
      </w:pPr>
      <w:r>
        <w:rPr>
          <w:rFonts w:ascii="Arial" w:cs="Arial" w:eastAsia="Arial" w:hAnsi="Arial"/>
          <w:sz w:val="18"/>
          <w:szCs w:val="18"/>
          <w:color w:val="auto"/>
        </w:rPr>
        <w:t>THIS NOTE AND THE RIGHTS AND OBLIGATIONS OF BORROWER AND PAYEE HEREUNDER SHALL BE GOVERNED BY, AND SHALL BE CONSTRUED AND INTERPRETED IN ACCORDANCE WITH, THE LAW OF THE STATE OF NEW YORK.</w:t>
      </w:r>
    </w:p>
    <w:p>
      <w:pPr>
        <w:spacing w:after="0" w:line="197"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Upon the occurrence of an Event of Default, the unpaid balance of the principal amount of this Note, together with all accrued and unpaid interest thereon, may become, or may be declared to be, due and payable in the manner, upon the conditions and with the effect provided in the Credit Agreement.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this Note are subject to amendment only in the manner provided in the Credit Agreement.</w:t>
      </w:r>
    </w:p>
    <w:p>
      <w:pPr>
        <w:spacing w:after="0" w:line="25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No reference herein to the Credit Agreement and no provision of this Note or the Credit Agree-ment shall alter or impair the obligations of Borrower, which are absolute and unconditional, to pay the principal of and interest on this Note at the place, at the respective times, and in the currency herein prescribed.</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Borrower hereby promises to pay all costs and expenses, including reasonable attorneys’ fees, all as provided in the Credit Agreement, incurred in the collection and enforcement of this Note. Borrower and any endorsers of this Note hereby consent to renewals and extensions of time at or after the maturity hereof, without notice, and hereby waive diligence, presentment, protest, demand notice of every kind and, to the full extent permitted by law, the right to plead any statute of limitations as a defense to any demand hereunder.</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323" w:name="page324"/>
    <w:bookmarkEnd w:id="32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Borrower has caused this Note to be duly executed and delivered by its officer thereunto duly authorized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at the place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LNG HOLDINGS (FLORIDA) LLC</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t>EXHIBIT E-1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UNITED STATES TAX COMPLIANCE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LENDERS THAT ARE NOT PARTNERSHIPS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FEDERAL INCOME TAX PURPOSES)</w:t>
      </w:r>
    </w:p>
    <w:p>
      <w:pPr>
        <w:spacing w:after="0" w:line="265" w:lineRule="exact"/>
        <w:rPr>
          <w:sz w:val="20"/>
          <w:szCs w:val="20"/>
          <w:color w:val="auto"/>
        </w:rPr>
      </w:pPr>
    </w:p>
    <w:p>
      <w:pPr>
        <w:ind w:right="160" w:firstLine="656"/>
        <w:spacing w:after="0" w:line="255" w:lineRule="auto"/>
        <w:tabs>
          <w:tab w:leader="none" w:pos="132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Reference is made to that certain Credit Agreement, dated as of November 24, 2014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and not otherwise defined herein being used herein as therein defined), by and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as the Lenders, and MORGAN STANLEY SENIOR FUNDING, INC., as Administrative Agent.</w:t>
      </w:r>
    </w:p>
    <w:p>
      <w:pPr>
        <w:spacing w:after="0" w:line="247" w:lineRule="exact"/>
        <w:rPr>
          <w:rFonts w:ascii="Arial" w:cs="Arial" w:eastAsia="Arial" w:hAnsi="Arial"/>
          <w:sz w:val="18"/>
          <w:szCs w:val="18"/>
          <w:color w:val="auto"/>
        </w:rPr>
      </w:pPr>
    </w:p>
    <w:p>
      <w:pPr>
        <w:ind w:right="20" w:firstLine="656"/>
        <w:spacing w:after="0" w:line="276" w:lineRule="auto"/>
        <w:tabs>
          <w:tab w:leader="none" w:pos="132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2.21(d)</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(iv) it is not a “controlled foreign corporation” related to the Borrower as described in Section 881(c)(3)(C) of the Code and (v) no interest payments on the Loan(s) are effectively connected with the undersigned’s conduct of a U.S. trade or business.</w:t>
      </w:r>
    </w:p>
    <w:p>
      <w:pPr>
        <w:spacing w:after="0" w:line="226" w:lineRule="exact"/>
        <w:rPr>
          <w:rFonts w:ascii="Arial" w:cs="Arial" w:eastAsia="Arial" w:hAnsi="Arial"/>
          <w:sz w:val="17"/>
          <w:szCs w:val="17"/>
          <w:color w:val="auto"/>
        </w:rPr>
      </w:pPr>
    </w:p>
    <w:p>
      <w:pPr>
        <w:ind w:right="20" w:firstLine="656"/>
        <w:spacing w:after="0" w:line="271" w:lineRule="auto"/>
        <w:tabs>
          <w:tab w:leader="none" w:pos="132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undersigned has furnished the Administrative Agent and the Borrower with a certifi-cate of its non-U.S. person status on Internal Revenue Service Form W-8BEN or W-8BEN-E. By execut-ing this certificate, the undersigned agrees that (1) if the information provided on this certificate changes, or if a lapse in time or change in circumstances renders the information on this certificate obsolete, expired or inaccurate in any material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inability to do so,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5" w:name="page326"/>
    <w:bookmarkEnd w:id="325"/>
    <w:p>
      <w:pPr>
        <w:ind w:left="572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519"/>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18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color w:val="auto"/>
        </w:rPr>
        <w:t>EXHIBIT E-2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UNITED STATES TAX COMPLIANCE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LENDERS THAT ARE PARTNERSHIPS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FEDERAL INCOME TAX PURPOSES)</w:t>
      </w:r>
    </w:p>
    <w:p>
      <w:pPr>
        <w:spacing w:after="0" w:line="265" w:lineRule="exact"/>
        <w:rPr>
          <w:sz w:val="20"/>
          <w:szCs w:val="20"/>
          <w:color w:val="auto"/>
        </w:rPr>
      </w:pPr>
    </w:p>
    <w:p>
      <w:pPr>
        <w:ind w:right="160" w:firstLine="656"/>
        <w:spacing w:after="0" w:line="255" w:lineRule="auto"/>
        <w:tabs>
          <w:tab w:leader="none" w:pos="132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Reference is made to that certain Credit Agreement, dated as of November 24, 2014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and not otherwise defined herein being used herein as therein defined), by and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as the Lenders, and MORGAN STANLEY SENIOR FUNDING, INC., as Administrative Agent.</w:t>
      </w:r>
    </w:p>
    <w:p>
      <w:pPr>
        <w:spacing w:after="0" w:line="247" w:lineRule="exact"/>
        <w:rPr>
          <w:rFonts w:ascii="Arial" w:cs="Arial" w:eastAsia="Arial" w:hAnsi="Arial"/>
          <w:sz w:val="18"/>
          <w:szCs w:val="18"/>
          <w:color w:val="auto"/>
        </w:rPr>
      </w:pPr>
    </w:p>
    <w:p>
      <w:pPr>
        <w:ind w:right="40" w:firstLine="656"/>
        <w:spacing w:after="0" w:line="254" w:lineRule="auto"/>
        <w:tabs>
          <w:tab w:leader="none" w:pos="132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direct or indirect partners/members is a “bank” within the meaning of Section 881(c)(3)(A) of the Code, (iv) none of its direct or indirect partners/members is a ten percent share-holder of the Borrower within the meaning of Section 881(c)(3)(B) of the Code, (v) none of its direct or indirect partners/members is a “controlled foreign corporation” related to the Borrower as described in Section 881(c)(3)(C) of the Code and (vi) no interest payments on the Loan(s) are effectively connected with the conduct of a U.S. trade or business by the undersigned or any of its direct or indirect part-ners/members that is claiming the portfolio interest exemption.</w:t>
      </w:r>
    </w:p>
    <w:p>
      <w:pPr>
        <w:spacing w:after="0" w:line="246" w:lineRule="exact"/>
        <w:rPr>
          <w:rFonts w:ascii="Arial" w:cs="Arial" w:eastAsia="Arial" w:hAnsi="Arial"/>
          <w:sz w:val="18"/>
          <w:szCs w:val="18"/>
          <w:color w:val="auto"/>
        </w:rPr>
      </w:pPr>
    </w:p>
    <w:p>
      <w:pPr>
        <w:ind w:right="20" w:firstLine="656"/>
        <w:spacing w:after="0" w:line="284" w:lineRule="auto"/>
        <w:tabs>
          <w:tab w:leader="none" w:pos="1323"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undersigned has furnished the Administrative Agent and the Borrower with Internal Revenue Service Form W-8IMY accompanied by one of the following forms from each of its part-ners/members claiming the portfolio interest exception: (i) an Internal Revenue Service Form W-8BEN or W-8BEN-E or (ii) an Internal Revenue Service Form W-8IMY accompanied by an Internal Revenue Service Form W-8BEN or W-8BEN-E from each of such partner’s/member’s beneficial owners that is claiming the portfolio interest exemption. By executing this certificate, the undersigned agrees that (1) if the information provided on this certificate changes, or if a lapse in time or change in circumstances renders the information on this certificate obsolete, expired or inaccurate in any material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inability to do so, and</w:t>
      </w:r>
    </w:p>
    <w:p>
      <w:pPr>
        <w:spacing w:after="0" w:line="1" w:lineRule="exact"/>
        <w:rPr>
          <w:rFonts w:ascii="Arial" w:cs="Arial" w:eastAsia="Arial" w:hAnsi="Arial"/>
          <w:sz w:val="16"/>
          <w:szCs w:val="16"/>
          <w:color w:val="auto"/>
        </w:rPr>
      </w:pPr>
    </w:p>
    <w:p>
      <w:pPr>
        <w:ind w:right="120" w:firstLine="8"/>
        <w:spacing w:after="0" w:line="323" w:lineRule="auto"/>
        <w:tabs>
          <w:tab w:leader="none" w:pos="25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3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t>EXHIBIT E-3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UNITED STATES TAX COMPLIANCE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PARTICIPANTS THAT ARE NOT PARTNERSHIPS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FEDERAL INCOME TAX PURPOSES)</w:t>
      </w:r>
    </w:p>
    <w:p>
      <w:pPr>
        <w:spacing w:after="0" w:line="265" w:lineRule="exact"/>
        <w:rPr>
          <w:sz w:val="20"/>
          <w:szCs w:val="20"/>
          <w:color w:val="auto"/>
        </w:rPr>
      </w:pPr>
    </w:p>
    <w:p>
      <w:pPr>
        <w:ind w:right="160" w:firstLine="656"/>
        <w:spacing w:after="0" w:line="255" w:lineRule="auto"/>
        <w:tabs>
          <w:tab w:leader="none" w:pos="132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Reference is made to that certain Credit Agreement, dated as of November 24, 2014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and not otherwise defined herein being used herein as therein defined), by and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as the Lenders, and MORGAN STANLEY SENIOR FUNDING, INC., as Administrative Agent.</w:t>
      </w:r>
    </w:p>
    <w:p>
      <w:pPr>
        <w:spacing w:after="0" w:line="247" w:lineRule="exact"/>
        <w:rPr>
          <w:rFonts w:ascii="Arial" w:cs="Arial" w:eastAsia="Arial" w:hAnsi="Arial"/>
          <w:sz w:val="18"/>
          <w:szCs w:val="18"/>
          <w:color w:val="auto"/>
        </w:rPr>
      </w:pPr>
    </w:p>
    <w:p>
      <w:pPr>
        <w:ind w:right="20" w:firstLine="656"/>
        <w:spacing w:after="0" w:line="257" w:lineRule="auto"/>
        <w:tabs>
          <w:tab w:leader="none" w:pos="132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881(c)(3)(B) of the Code, (iv) it is not a “controlled foreign corporation” related to the Borrower as described in Section 881(c)(3)(C) of the Code and (v) no interest payments with respect to such participation are effectively connected with the undersigned’s conduct of a U.S. trade or business.</w:t>
      </w:r>
    </w:p>
    <w:p>
      <w:pPr>
        <w:spacing w:after="0" w:line="242" w:lineRule="exact"/>
        <w:rPr>
          <w:rFonts w:ascii="Arial" w:cs="Arial" w:eastAsia="Arial" w:hAnsi="Arial"/>
          <w:sz w:val="18"/>
          <w:szCs w:val="18"/>
          <w:color w:val="auto"/>
        </w:rPr>
      </w:pPr>
    </w:p>
    <w:p>
      <w:pPr>
        <w:ind w:right="20" w:firstLine="656"/>
        <w:spacing w:after="0" w:line="272" w:lineRule="auto"/>
        <w:tabs>
          <w:tab w:leader="none" w:pos="1323"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undersigned has furnished its participating Lender with a certificate of its non-U.S. person status on Internal Revenue Service Form W-8BEN or W-8BEN-E. By executing this certificate, the undersigned agrees that (1) if the information provided on this certificate changes, or if a lapse in time or change in circumstances renders the information on this certificate obsolete, expired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8" w:name="page329"/>
    <w:bookmarkEnd w:id="328"/>
    <w:p>
      <w:pPr>
        <w:ind w:left="57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color w:val="auto"/>
        </w:rPr>
        <w:t>EXHIBIT E-4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UNITED STATES TAX COMPLIANCE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LENDERS THAT ARE PARTNERSHIPS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FEDERAL INCOME TAX PURPOSES)</w:t>
      </w:r>
    </w:p>
    <w:p>
      <w:pPr>
        <w:spacing w:after="0" w:line="265" w:lineRule="exact"/>
        <w:rPr>
          <w:sz w:val="20"/>
          <w:szCs w:val="20"/>
          <w:color w:val="auto"/>
        </w:rPr>
      </w:pPr>
    </w:p>
    <w:p>
      <w:pPr>
        <w:ind w:right="160" w:firstLine="656"/>
        <w:spacing w:after="0" w:line="255" w:lineRule="auto"/>
        <w:tabs>
          <w:tab w:leader="none" w:pos="132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Reference is made to that certain Credit Agreement, dated as of November 24, 2014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and not otherwise defined herein being used herein as therein defined), by and among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as the Lenders, and MORGAN STANLEY SENIOR FUNDING, INC., as Administrative Agent.</w:t>
      </w:r>
    </w:p>
    <w:p>
      <w:pPr>
        <w:spacing w:after="0" w:line="247" w:lineRule="exact"/>
        <w:rPr>
          <w:rFonts w:ascii="Arial" w:cs="Arial" w:eastAsia="Arial" w:hAnsi="Arial"/>
          <w:sz w:val="18"/>
          <w:szCs w:val="18"/>
          <w:color w:val="auto"/>
        </w:rPr>
      </w:pPr>
    </w:p>
    <w:p>
      <w:pPr>
        <w:ind w:right="40" w:firstLine="656"/>
        <w:spacing w:after="0" w:line="272" w:lineRule="auto"/>
        <w:tabs>
          <w:tab w:leader="none" w:pos="132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2.21(d)</w:t>
      </w:r>
      <w:r>
        <w:rPr>
          <w:rFonts w:ascii="Arial" w:cs="Arial" w:eastAsia="Arial" w:hAnsi="Arial"/>
          <w:sz w:val="17"/>
          <w:szCs w:val="17"/>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is a “bank” within the meaning of Section 881(c)(3)(A) of the Code, (iv) none of its direct or indirect partners/members is a ten percent shareholder of the Borrower within the meaning of Section 881(c)(3)(B) of the Code, (v) none of its direct or indirect partners/members is a “controlled foreign corporation” related to the Borrower as described in Section 881(c)(3)(C) of the Code and (vi) no payments in connection with any Loan Document are effectively connected with the conduct of a U.S. trade or business by the undersigned’s or any of its direct or indirect partners/members that is claiming the portfolio interest exemption.</w:t>
      </w:r>
    </w:p>
    <w:p>
      <w:pPr>
        <w:spacing w:after="0" w:line="231" w:lineRule="exact"/>
        <w:rPr>
          <w:rFonts w:ascii="Arial" w:cs="Arial" w:eastAsia="Arial" w:hAnsi="Arial"/>
          <w:sz w:val="17"/>
          <w:szCs w:val="17"/>
          <w:color w:val="auto"/>
        </w:rPr>
      </w:pPr>
    </w:p>
    <w:p>
      <w:pPr>
        <w:ind w:right="20" w:firstLine="656"/>
        <w:spacing w:after="0" w:line="289" w:lineRule="auto"/>
        <w:tabs>
          <w:tab w:leader="none" w:pos="1323"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undersigned has furnished its participating Lender with Internal Revenue Service Form W-8IMY accompanied by one of the following forms from each of its partners/members claiming the portfolio interest exception: (i) an Internal Revenue Service Form W-8BEN or W-8BEN-E or (ii) an Internal Revenue Service Form W-8IMY accompanied by an Internal Revenue Service Form W-8BEN or W-8BEN-E from each of such partner’s/member’s beneficial owners that is claiming the portfolio interest exemption. By executing this certificate, the undersigned agrees that (1) if the information provided on this certificate changes or if a lapse in time or change in circumstances renders the information on this certificate obsolete, expired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0" w:name="page331"/>
    <w:bookmarkEnd w:id="330"/>
    <w:p>
      <w:pPr>
        <w:ind w:left="57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color w:val="auto"/>
        </w:rPr>
        <w:t>EXHIBIT F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SOLVENCY CERTIFICATE</w:t>
      </w:r>
    </w:p>
    <w:p>
      <w:pPr>
        <w:spacing w:after="0" w:line="25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 HEREBY CERTIFIES AS FOLLOWS:</w:t>
      </w:r>
    </w:p>
    <w:p>
      <w:pPr>
        <w:spacing w:after="0" w:line="256" w:lineRule="exact"/>
        <w:rPr>
          <w:sz w:val="20"/>
          <w:szCs w:val="20"/>
          <w:color w:val="auto"/>
        </w:rPr>
      </w:pPr>
    </w:p>
    <w:p>
      <w:pPr>
        <w:jc w:val="both"/>
        <w:ind w:left="660" w:hanging="328"/>
        <w:spacing w:after="0" w:line="264"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John Morrissey, am the Chief Financial Officer of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and FEP GP LNG Holdings LLC, a Delaware limited liability company (“</w:t>
      </w:r>
      <w:r>
        <w:rPr>
          <w:rFonts w:ascii="Arial" w:cs="Arial" w:eastAsia="Arial" w:hAnsi="Arial"/>
          <w:sz w:val="18"/>
          <w:szCs w:val="18"/>
          <w:u w:val="single" w:color="auto"/>
          <w:color w:val="auto"/>
        </w:rPr>
        <w:t>Holdings 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I am making the certifications below solely in my capacity as President of Holdings and not in any individual capacity.</w:t>
      </w:r>
    </w:p>
    <w:p>
      <w:pPr>
        <w:spacing w:after="0" w:line="208"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Reference is made to that certain Credit Agreement, dated as of the date hereof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and not otherwise defined herein being used herein as therein de-fined), by and among Holdings,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several banks and other financial institutions or enti-ties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Morgan Stanley Senior Fund-ing, Inc.,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 have reviewed the terms of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of the Credit Agreement and the definitions and provisions contained in the Credit Agreement relating thereto, and, in my opinion, have made, or have caused to be made under my supervision, such examination or investigation as is necessary to enable me to express an informed opinion as to the matters re-ferred to herein.</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upon my review and examination described in paragraph 3 above, I certify, on be-half of Holdings, that as of the date hereof, after giving effect to the Transactions, the LNG Group Members, on a consolidated basis, are Solvent.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certifications are made and delivered as of the date first mentioned above.</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t>IN WITNESS WHEREOF, the undersigned has duly executed and delivered this Certificate as of the date first mentioned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LNG HOLDINGS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23495</wp:posOffset>
            </wp:positionV>
            <wp:extent cx="340487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FEP GP LNG HOLDINGS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23495</wp:posOffset>
            </wp:positionV>
            <wp:extent cx="340487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color w:val="auto"/>
        </w:rPr>
        <w:t>EXHIBIT G-1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NOTICE</w:t>
      </w:r>
    </w:p>
    <w:p>
      <w:pPr>
        <w:spacing w:after="0" w:line="25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Reference is made to the Credit Agreement, dated as of November 24, 2014 (as amended, restat-ed, supplemented or otherwise modified,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and not otherwise defined herein being used herein as therein defined), by and among LNG HOLDINGS LLC, a Delaware limited liability company (“</w:t>
      </w:r>
      <w:r>
        <w:rPr>
          <w:rFonts w:ascii="Arial" w:cs="Arial" w:eastAsia="Arial" w:hAnsi="Arial"/>
          <w:sz w:val="16"/>
          <w:szCs w:val="16"/>
          <w:u w:val="single" w:color="auto"/>
          <w:color w:val="auto"/>
        </w:rPr>
        <w:t>Holdings 1</w:t>
      </w:r>
      <w:r>
        <w:rPr>
          <w:rFonts w:ascii="Arial" w:cs="Arial" w:eastAsia="Arial" w:hAnsi="Arial"/>
          <w:sz w:val="16"/>
          <w:szCs w:val="16"/>
          <w:color w:val="auto"/>
        </w:rPr>
        <w:t>”), FEP GP LNG HOLDINGS LLC, a Delaware limited liability company (“</w:t>
      </w:r>
      <w:r>
        <w:rPr>
          <w:rFonts w:ascii="Arial" w:cs="Arial" w:eastAsia="Arial" w:hAnsi="Arial"/>
          <w:sz w:val="16"/>
          <w:szCs w:val="16"/>
          <w:u w:val="single" w:color="auto"/>
          <w:color w:val="auto"/>
        </w:rPr>
        <w:t>Holdings 2</w:t>
      </w:r>
      <w:r>
        <w:rPr>
          <w:rFonts w:ascii="Arial" w:cs="Arial" w:eastAsia="Arial" w:hAnsi="Arial"/>
          <w:sz w:val="16"/>
          <w:szCs w:val="16"/>
          <w:color w:val="auto"/>
        </w:rPr>
        <w:t>,” and together with Holdings 1, “</w:t>
      </w:r>
      <w:r>
        <w:rPr>
          <w:rFonts w:ascii="Arial" w:cs="Arial" w:eastAsia="Arial" w:hAnsi="Arial"/>
          <w:sz w:val="16"/>
          <w:szCs w:val="16"/>
          <w:u w:val="single" w:color="auto"/>
          <w:color w:val="auto"/>
        </w:rPr>
        <w:t>Holdings</w:t>
      </w:r>
      <w:r>
        <w:rPr>
          <w:rFonts w:ascii="Arial" w:cs="Arial" w:eastAsia="Arial" w:hAnsi="Arial"/>
          <w:sz w:val="16"/>
          <w:szCs w:val="16"/>
          <w:color w:val="auto"/>
        </w:rPr>
        <w:t>”), LNG HOLDINGS (FLORIDA)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parties thereto, as the Lenders, and MORGAN STANLEY SENIOR FUNDING, INC., as Administrative Agent.</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the Credit Agreement, the Borrower desires that Lenders make the following Loans to the Borrower in accordance with the applicable terms and conditions of the Credit Agreement on </w:t>
      </w:r>
      <w:r>
        <w:rPr>
          <w:rFonts w:ascii="Arial" w:cs="Arial" w:eastAsia="Arial" w:hAnsi="Arial"/>
          <w:sz w:val="18"/>
          <w:szCs w:val="18"/>
          <w:b w:val="1"/>
          <w:bCs w:val="1"/>
          <w:color w:val="auto"/>
        </w:rPr>
        <w:t>[mm/dd/yy]</w:t>
      </w:r>
      <w:r>
        <w:rPr>
          <w:rFonts w:ascii="Arial" w:cs="Arial" w:eastAsia="Arial" w:hAnsi="Arial"/>
          <w:sz w:val="18"/>
          <w:szCs w:val="18"/>
          <w:color w:val="auto"/>
        </w:rPr>
        <w:t xml:space="preserve"> (the “</w:t>
      </w:r>
      <w:r>
        <w:rPr>
          <w:rFonts w:ascii="Arial" w:cs="Arial" w:eastAsia="Arial" w:hAnsi="Arial"/>
          <w:sz w:val="18"/>
          <w:szCs w:val="18"/>
          <w:b w:val="1"/>
          <w:bCs w:val="1"/>
          <w:color w:val="auto"/>
        </w:rPr>
        <w:t>Credit Date</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Loans</w:t>
      </w:r>
    </w:p>
    <w:p>
      <w:pPr>
        <w:sectPr>
          <w:pgSz w:w="11900" w:h="16838" w:orient="portrait"/>
          <w:cols w:equalWidth="0" w:num="1">
            <w:col w:w="11420"/>
          </w:cols>
          <w:pgMar w:left="240" w:top="125" w:right="239" w:bottom="1440" w:gutter="0" w:footer="0" w:header="0"/>
        </w:sectPr>
      </w:pPr>
    </w:p>
    <w:p>
      <w:pPr>
        <w:spacing w:after="0" w:line="247" w:lineRule="exact"/>
        <w:rPr>
          <w:sz w:val="20"/>
          <w:szCs w:val="20"/>
          <w:color w:val="auto"/>
        </w:rPr>
      </w:pPr>
    </w:p>
    <w:p>
      <w:pPr>
        <w:jc w:val="cente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Base Rate Loans: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3">
            <w:col w:w="820" w:space="640"/>
            <w:col w:w="5860" w:space="720"/>
            <w:col w:w="3380"/>
          </w:cols>
          <w:pgMar w:left="240" w:top="125" w:right="239" w:bottom="1440" w:gutter="0" w:footer="0" w:header="0"/>
          <w:type w:val="continuous"/>
        </w:sectPr>
      </w:pPr>
    </w:p>
    <w:p>
      <w:pPr>
        <w:spacing w:after="0" w:line="70" w:lineRule="exact"/>
        <w:rPr>
          <w:sz w:val="20"/>
          <w:szCs w:val="20"/>
          <w:color w:val="auto"/>
        </w:rPr>
      </w:pPr>
    </w:p>
    <w:p>
      <w:pPr>
        <w:jc w:val="cente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Eurodollar Rate Loans, with an initial Interest Period of __________ month(s):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3">
            <w:col w:w="820" w:space="640"/>
            <w:col w:w="5720" w:space="540"/>
            <w:col w:w="3700"/>
          </w:cols>
          <w:pgMar w:left="240" w:top="125" w:right="239" w:bottom="1440" w:gutter="0" w:footer="0" w:header="0"/>
          <w:type w:val="continuous"/>
        </w:sectPr>
      </w:pP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hereby certifies that:</w:t>
      </w:r>
    </w:p>
    <w:p>
      <w:pPr>
        <w:spacing w:after="0" w:line="279" w:lineRule="exact"/>
        <w:rPr>
          <w:sz w:val="20"/>
          <w:szCs w:val="20"/>
          <w:color w:val="auto"/>
        </w:rPr>
      </w:pPr>
    </w:p>
    <w:p>
      <w:pPr>
        <w:jc w:val="both"/>
        <w:ind w:left="660" w:firstLine="645"/>
        <w:spacing w:after="0" w:line="257" w:lineRule="auto"/>
        <w:tabs>
          <w:tab w:leader="none" w:pos="216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 of the Credit Date, the representations and warranties contained in each of the Loan Documents are true and correct in all material respects on and as of such Credit Date to the same extent as though made on and as of such date, except to the extent such representations and warranties specifically relate to an earlier date, in which case such representations and warranties are true and correct in all material respects on and as of such earlier date; provided that, in each case, such materiality qualifier shall not be applicable to any representations and warranties that already are qualified or modified by materiality in the text thereof;</w:t>
      </w:r>
    </w:p>
    <w:p>
      <w:pPr>
        <w:spacing w:after="0" w:line="242" w:lineRule="exact"/>
        <w:rPr>
          <w:rFonts w:ascii="Arial" w:cs="Arial" w:eastAsia="Arial" w:hAnsi="Arial"/>
          <w:sz w:val="18"/>
          <w:szCs w:val="18"/>
          <w:color w:val="auto"/>
        </w:rPr>
      </w:pPr>
    </w:p>
    <w:p>
      <w:pPr>
        <w:ind w:left="660" w:firstLine="645"/>
        <w:spacing w:after="0" w:line="277" w:lineRule="auto"/>
        <w:tabs>
          <w:tab w:leader="none" w:pos="231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 of the Credit Date, no event has occurred and is continuing or would result from the consummation of the borrowing contemplated hereby that would constitute an Event of Default or a Default; [and]</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7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concurrently with the funding of the Term Loans to be made on such Credit Date, the Debt Service Reserve Account shall be funded in an amount equal to the Debt Service Reserve Requirement (as defined in the Depositary Agreement) in accordance with the Depositary Agreement[.][; and]</w:t>
      </w:r>
    </w:p>
    <w:p>
      <w:pPr>
        <w:spacing w:after="0" w:line="235" w:lineRule="exact"/>
        <w:rPr>
          <w:sz w:val="20"/>
          <w:szCs w:val="20"/>
          <w:color w:val="auto"/>
        </w:rPr>
      </w:pPr>
    </w:p>
    <w:p>
      <w:pPr>
        <w:ind w:left="660" w:firstLine="648"/>
        <w:spacing w:after="0" w:line="270" w:lineRule="auto"/>
        <w:rPr>
          <w:sz w:val="20"/>
          <w:szCs w:val="20"/>
          <w:color w:val="auto"/>
        </w:rPr>
      </w:pPr>
      <w:r>
        <w:rPr>
          <w:rFonts w:ascii="Arial" w:cs="Arial" w:eastAsia="Arial" w:hAnsi="Arial"/>
          <w:sz w:val="18"/>
          <w:szCs w:val="18"/>
          <w:color w:val="auto"/>
        </w:rPr>
        <w:t>[(iv) the Borrower is in compliance with the In-Balance Test after giving pro forma effect to the funding of the Term Loans to be made on such Credit Date.]</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4490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0"/>
          <w:szCs w:val="20"/>
          <w:color w:val="auto"/>
        </w:rPr>
      </w:pPr>
    </w:p>
    <w:p>
      <w:pPr>
        <w:ind w:left="120" w:hanging="112"/>
        <w:spacing w:after="0"/>
        <w:tabs>
          <w:tab w:leader="none" w:pos="120" w:val="left"/>
        </w:tabs>
        <w:numPr>
          <w:ilvl w:val="0"/>
          <w:numId w:val="318"/>
        </w:numPr>
        <w:rPr>
          <w:rFonts w:ascii="Arial" w:cs="Arial" w:eastAsia="Arial" w:hAnsi="Arial"/>
          <w:sz w:val="30"/>
          <w:szCs w:val="30"/>
          <w:color w:val="auto"/>
          <w:vertAlign w:val="superscript"/>
        </w:rPr>
      </w:pPr>
      <w:r>
        <w:rPr>
          <w:rFonts w:ascii="Arial" w:cs="Arial" w:eastAsia="Arial" w:hAnsi="Arial"/>
          <w:sz w:val="18"/>
          <w:szCs w:val="18"/>
          <w:color w:val="auto"/>
        </w:rPr>
        <w:t>Include if Credit Date is after the Closing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4" w:name="page335"/>
    <w:bookmarkEnd w:id="334"/>
    <w:p>
      <w:pPr>
        <w:ind w:firstLine="648"/>
        <w:spacing w:after="0" w:line="277" w:lineRule="auto"/>
        <w:rPr>
          <w:sz w:val="20"/>
          <w:szCs w:val="20"/>
          <w:color w:val="auto"/>
        </w:rPr>
      </w:pPr>
      <w:r>
        <w:rPr>
          <w:rFonts w:ascii="Arial" w:cs="Arial" w:eastAsia="Arial" w:hAnsi="Arial"/>
          <w:sz w:val="18"/>
          <w:szCs w:val="18"/>
          <w:color w:val="auto"/>
        </w:rPr>
        <w:t>The account of the Borrower to which the proceeds of the Loans requested on the Credit Date are to be made available by Administrative Agent to such Borrower is as follows: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Name: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67589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67589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67589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67589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75890" cy="1714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-130175</wp:posOffset>
            </wp:positionV>
            <wp:extent cx="267589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6" w:right="439" w:bottom="1440" w:gutter="0" w:footer="0" w:header="0"/>
        </w:sectPr>
      </w:pPr>
    </w:p>
    <w:bookmarkStart w:id="335" w:name="page336"/>
    <w:bookmarkEnd w:id="335"/>
    <w:p>
      <w:pPr>
        <w:spacing w:after="0"/>
        <w:tabs>
          <w:tab w:leader="none" w:pos="5700" w:val="left"/>
        </w:tabs>
        <w:rPr>
          <w:sz w:val="20"/>
          <w:szCs w:val="20"/>
          <w:color w:val="auto"/>
        </w:rPr>
      </w:pPr>
      <w:r>
        <w:rPr>
          <w:rFonts w:ascii="Arial" w:cs="Arial" w:eastAsia="Arial" w:hAnsi="Arial"/>
          <w:sz w:val="18"/>
          <w:szCs w:val="18"/>
          <w:color w:val="auto"/>
        </w:rPr>
        <w:t>Date: [</w:t>
      </w:r>
      <w:r>
        <w:rPr>
          <w:rFonts w:ascii="Arial" w:cs="Arial" w:eastAsia="Arial" w:hAnsi="Arial"/>
          <w:sz w:val="18"/>
          <w:szCs w:val="18"/>
          <w:b w:val="1"/>
          <w:bCs w:val="1"/>
          <w:color w:val="auto"/>
        </w:rPr>
        <w:t>mm/dd/yy</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LNG HOLDINGS (FLORIDA) LLC</w:t>
      </w:r>
      <w:r>
        <w:rPr>
          <w:rFonts w:ascii="Arial" w:cs="Arial" w:eastAsia="Arial" w:hAnsi="Arial"/>
          <w:sz w:val="17"/>
          <w:szCs w:val="17"/>
          <w:color w:val="auto"/>
        </w:rPr>
        <w:t>, as Borrower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color w:val="auto"/>
        </w:rPr>
        <w:t>EXHIBIT G-2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CONVERSION/CONTINUATION NOTICE</w:t>
      </w:r>
    </w:p>
    <w:p>
      <w:pPr>
        <w:spacing w:after="0" w:line="25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Reference is made to the Credit Agreement, dated as of November 24, 2014 (as amended, restat-ed, supplemented or otherwise modified,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and not otherwise defined herein being used herein as therein defined), by and among LNG HOLDINGS LLC, a Delaware limited liability company (“</w:t>
      </w:r>
      <w:r>
        <w:rPr>
          <w:rFonts w:ascii="Arial" w:cs="Arial" w:eastAsia="Arial" w:hAnsi="Arial"/>
          <w:sz w:val="16"/>
          <w:szCs w:val="16"/>
          <w:u w:val="single" w:color="auto"/>
          <w:color w:val="auto"/>
        </w:rPr>
        <w:t>Holdings 1</w:t>
      </w:r>
      <w:r>
        <w:rPr>
          <w:rFonts w:ascii="Arial" w:cs="Arial" w:eastAsia="Arial" w:hAnsi="Arial"/>
          <w:sz w:val="16"/>
          <w:szCs w:val="16"/>
          <w:color w:val="auto"/>
        </w:rPr>
        <w:t>”), FEP GP LNG HOLDINGS LLC, a Delaware limited liability company (“</w:t>
      </w:r>
      <w:r>
        <w:rPr>
          <w:rFonts w:ascii="Arial" w:cs="Arial" w:eastAsia="Arial" w:hAnsi="Arial"/>
          <w:sz w:val="16"/>
          <w:szCs w:val="16"/>
          <w:u w:val="single" w:color="auto"/>
          <w:color w:val="auto"/>
        </w:rPr>
        <w:t>Holdings 2</w:t>
      </w:r>
      <w:r>
        <w:rPr>
          <w:rFonts w:ascii="Arial" w:cs="Arial" w:eastAsia="Arial" w:hAnsi="Arial"/>
          <w:sz w:val="16"/>
          <w:szCs w:val="16"/>
          <w:color w:val="auto"/>
        </w:rPr>
        <w:t>,” and together with Holdings 1, “</w:t>
      </w:r>
      <w:r>
        <w:rPr>
          <w:rFonts w:ascii="Arial" w:cs="Arial" w:eastAsia="Arial" w:hAnsi="Arial"/>
          <w:sz w:val="16"/>
          <w:szCs w:val="16"/>
          <w:u w:val="single" w:color="auto"/>
          <w:color w:val="auto"/>
        </w:rPr>
        <w:t>Holdings</w:t>
      </w:r>
      <w:r>
        <w:rPr>
          <w:rFonts w:ascii="Arial" w:cs="Arial" w:eastAsia="Arial" w:hAnsi="Arial"/>
          <w:sz w:val="16"/>
          <w:szCs w:val="16"/>
          <w:color w:val="auto"/>
        </w:rPr>
        <w:t>”), LNG HOLDINGS (FLORIDA)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parties thereto, as the Lenders, and MORGAN STANLEY SENIOR FUNDING, INC., as Administrative Agent.</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Credit Agreement, the Borrower desires to convert or to continue the following Loans, each such conversion and/or continuation to be effective as of </w:t>
      </w:r>
      <w:r>
        <w:rPr>
          <w:rFonts w:ascii="Arial" w:cs="Arial" w:eastAsia="Arial" w:hAnsi="Arial"/>
          <w:sz w:val="18"/>
          <w:szCs w:val="18"/>
          <w:b w:val="1"/>
          <w:bCs w:val="1"/>
          <w:color w:val="auto"/>
        </w:rPr>
        <w:t>[mm/dd/yy]</w:t>
      </w:r>
      <w:r>
        <w:rPr>
          <w:rFonts w:ascii="Arial" w:cs="Arial" w:eastAsia="Arial" w:hAnsi="Arial"/>
          <w:sz w:val="18"/>
          <w:szCs w:val="18"/>
          <w:color w:val="auto"/>
        </w:rPr>
        <w:t>:</w:t>
      </w:r>
    </w:p>
    <w:p>
      <w:pPr>
        <w:spacing w:after="0" w:line="220" w:lineRule="exact"/>
        <w:rPr>
          <w:sz w:val="20"/>
          <w:szCs w:val="20"/>
          <w:color w:val="auto"/>
        </w:rPr>
      </w:pPr>
    </w:p>
    <w:p>
      <w:pPr>
        <w:ind w:left="1440" w:hanging="784"/>
        <w:spacing w:after="0"/>
        <w:tabs>
          <w:tab w:leader="none" w:pos="144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Term Loans: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jc w:val="right"/>
              <w:ind w:right="330"/>
              <w:spacing w:after="0"/>
              <w:rPr>
                <w:sz w:val="20"/>
                <w:szCs w:val="20"/>
                <w:color w:val="auto"/>
              </w:rPr>
            </w:pPr>
            <w:r>
              <w:rPr>
                <w:rFonts w:ascii="Arial" w:cs="Arial" w:eastAsia="Arial" w:hAnsi="Arial"/>
                <w:sz w:val="18"/>
                <w:szCs w:val="18"/>
                <w:color w:val="auto"/>
              </w:rPr>
              <w:t>$[___,___,___]</w:t>
            </w:r>
          </w:p>
        </w:tc>
        <w:tc>
          <w:tcPr>
            <w:tcW w:w="8580" w:type="dxa"/>
            <w:vAlign w:val="bottom"/>
          </w:tcPr>
          <w:p>
            <w:pPr>
              <w:ind w:left="400"/>
              <w:spacing w:after="0"/>
              <w:rPr>
                <w:sz w:val="20"/>
                <w:szCs w:val="20"/>
                <w:color w:val="auto"/>
              </w:rPr>
            </w:pPr>
            <w:r>
              <w:rPr>
                <w:rFonts w:ascii="Arial" w:cs="Arial" w:eastAsia="Arial" w:hAnsi="Arial"/>
                <w:sz w:val="18"/>
                <w:szCs w:val="18"/>
                <w:color w:val="auto"/>
              </w:rPr>
              <w:t>Eurodollar Rate Loans to be continued with Interest Period of [_____] month(s)</w:t>
            </w:r>
          </w:p>
        </w:tc>
      </w:tr>
      <w:tr>
        <w:trPr>
          <w:trHeight w:val="459"/>
        </w:trPr>
        <w:tc>
          <w:tcPr>
            <w:tcW w:w="2840" w:type="dxa"/>
            <w:vAlign w:val="bottom"/>
          </w:tcPr>
          <w:p>
            <w:pPr>
              <w:jc w:val="right"/>
              <w:ind w:right="330"/>
              <w:spacing w:after="0"/>
              <w:rPr>
                <w:sz w:val="20"/>
                <w:szCs w:val="20"/>
                <w:color w:val="auto"/>
              </w:rPr>
            </w:pPr>
            <w:r>
              <w:rPr>
                <w:rFonts w:ascii="Arial" w:cs="Arial" w:eastAsia="Arial" w:hAnsi="Arial"/>
                <w:sz w:val="18"/>
                <w:szCs w:val="18"/>
                <w:color w:val="auto"/>
              </w:rPr>
              <w:t>$[___,___,___]</w:t>
            </w:r>
          </w:p>
        </w:tc>
        <w:tc>
          <w:tcPr>
            <w:tcW w:w="8580" w:type="dxa"/>
            <w:vAlign w:val="bottom"/>
          </w:tcPr>
          <w:p>
            <w:pPr>
              <w:ind w:left="400"/>
              <w:spacing w:after="0"/>
              <w:rPr>
                <w:sz w:val="20"/>
                <w:szCs w:val="20"/>
                <w:color w:val="auto"/>
              </w:rPr>
            </w:pPr>
            <w:r>
              <w:rPr>
                <w:rFonts w:ascii="Arial" w:cs="Arial" w:eastAsia="Arial" w:hAnsi="Arial"/>
                <w:sz w:val="18"/>
                <w:szCs w:val="18"/>
                <w:color w:val="auto"/>
              </w:rPr>
              <w:t>Base Rate Loans to be converted to Eurodollar Rate Loans with Interest Period of [_____] month(s)</w:t>
            </w:r>
          </w:p>
        </w:tc>
      </w:tr>
      <w:tr>
        <w:trPr>
          <w:trHeight w:val="459"/>
        </w:trPr>
        <w:tc>
          <w:tcPr>
            <w:tcW w:w="2840" w:type="dxa"/>
            <w:vAlign w:val="bottom"/>
          </w:tcPr>
          <w:p>
            <w:pPr>
              <w:jc w:val="right"/>
              <w:ind w:right="330"/>
              <w:spacing w:after="0"/>
              <w:rPr>
                <w:sz w:val="20"/>
                <w:szCs w:val="20"/>
                <w:color w:val="auto"/>
              </w:rPr>
            </w:pPr>
            <w:r>
              <w:rPr>
                <w:rFonts w:ascii="Arial" w:cs="Arial" w:eastAsia="Arial" w:hAnsi="Arial"/>
                <w:sz w:val="18"/>
                <w:szCs w:val="18"/>
                <w:color w:val="auto"/>
              </w:rPr>
              <w:t>$[___,___,___]</w:t>
            </w:r>
          </w:p>
        </w:tc>
        <w:tc>
          <w:tcPr>
            <w:tcW w:w="8580" w:type="dxa"/>
            <w:vAlign w:val="bottom"/>
          </w:tcPr>
          <w:p>
            <w:pPr>
              <w:ind w:left="400"/>
              <w:spacing w:after="0"/>
              <w:rPr>
                <w:sz w:val="20"/>
                <w:szCs w:val="20"/>
                <w:color w:val="auto"/>
              </w:rPr>
            </w:pPr>
            <w:r>
              <w:rPr>
                <w:rFonts w:ascii="Arial" w:cs="Arial" w:eastAsia="Arial" w:hAnsi="Arial"/>
                <w:sz w:val="18"/>
                <w:szCs w:val="18"/>
                <w:color w:val="auto"/>
              </w:rPr>
              <w:t>Eurodollar Rate Loans to be converted to Base Rate Loans</w:t>
            </w:r>
          </w:p>
        </w:tc>
      </w:tr>
      <w:tr>
        <w:trPr>
          <w:trHeight w:val="635"/>
        </w:trPr>
        <w:tc>
          <w:tcPr>
            <w:tcW w:w="2840" w:type="dxa"/>
            <w:vAlign w:val="bottom"/>
          </w:tcPr>
          <w:p>
            <w:pPr>
              <w:spacing w:after="0"/>
              <w:rPr>
                <w:sz w:val="24"/>
                <w:szCs w:val="24"/>
                <w:color w:val="auto"/>
              </w:rPr>
            </w:pPr>
          </w:p>
        </w:tc>
        <w:tc>
          <w:tcPr>
            <w:tcW w:w="8580" w:type="dxa"/>
            <w:vAlign w:val="bottom"/>
          </w:tcPr>
          <w:p>
            <w:pPr>
              <w:ind w:left="2660"/>
              <w:spacing w:after="0"/>
              <w:rPr>
                <w:sz w:val="20"/>
                <w:szCs w:val="20"/>
                <w:color w:val="auto"/>
              </w:rPr>
            </w:pPr>
            <w:r>
              <w:rPr>
                <w:rFonts w:ascii="Arial" w:cs="Arial" w:eastAsia="Arial" w:hAnsi="Arial"/>
                <w:sz w:val="18"/>
                <w:szCs w:val="18"/>
                <w:color w:val="auto"/>
              </w:rPr>
              <w:t>G-2-1</w:t>
            </w:r>
          </w:p>
        </w:tc>
      </w:tr>
      <w:tr>
        <w:trPr>
          <w:trHeight w:val="61"/>
        </w:trPr>
        <w:tc>
          <w:tcPr>
            <w:tcW w:w="2840" w:type="dxa"/>
            <w:vAlign w:val="bottom"/>
            <w:tcBorders>
              <w:bottom w:val="single" w:sz="8" w:color="auto"/>
            </w:tcBorders>
          </w:tcPr>
          <w:p>
            <w:pPr>
              <w:spacing w:after="0"/>
              <w:rPr>
                <w:sz w:val="5"/>
                <w:szCs w:val="5"/>
                <w:color w:val="auto"/>
              </w:rPr>
            </w:pPr>
          </w:p>
        </w:tc>
        <w:tc>
          <w:tcPr>
            <w:tcW w:w="85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337" w:name="page338"/>
    <w:bookmarkEnd w:id="337"/>
    <w:p>
      <w:pPr>
        <w:spacing w:after="0"/>
        <w:tabs>
          <w:tab w:leader="none" w:pos="5700" w:val="left"/>
        </w:tabs>
        <w:rPr>
          <w:sz w:val="20"/>
          <w:szCs w:val="20"/>
          <w:color w:val="auto"/>
        </w:rPr>
      </w:pPr>
      <w:r>
        <w:rPr>
          <w:rFonts w:ascii="Arial" w:cs="Arial" w:eastAsia="Arial" w:hAnsi="Arial"/>
          <w:sz w:val="18"/>
          <w:szCs w:val="18"/>
          <w:color w:val="auto"/>
        </w:rPr>
        <w:t>Date: [</w:t>
      </w:r>
      <w:r>
        <w:rPr>
          <w:rFonts w:ascii="Arial" w:cs="Arial" w:eastAsia="Arial" w:hAnsi="Arial"/>
          <w:sz w:val="18"/>
          <w:szCs w:val="18"/>
          <w:b w:val="1"/>
          <w:bCs w:val="1"/>
          <w:color w:val="auto"/>
        </w:rPr>
        <w:t>mm/dd/yy</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LNG HOLDINGS (FLORIDA) LLC</w:t>
      </w:r>
      <w:r>
        <w:rPr>
          <w:rFonts w:ascii="Arial" w:cs="Arial" w:eastAsia="Arial" w:hAnsi="Arial"/>
          <w:sz w:val="17"/>
          <w:szCs w:val="17"/>
          <w:color w:val="auto"/>
        </w:rPr>
        <w:t>, as Borrower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color w:val="auto"/>
        </w:rPr>
        <w:t>EXHIBIT H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SECURITY DEPOSIT AGREEMENT</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[attached].</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color w:val="auto"/>
        </w:rPr>
        <w:t>SECURITY DEPOSIT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24,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LNG HOLDINGS (FLORIDA)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MORGAN STANLEY SENIOR FUNDING,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MORGAN STANLEY SENIOR FUNDING,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Depositary Agent,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OF THE OTHER PARTIES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117475</wp:posOffset>
            </wp:positionV>
            <wp:extent cx="72466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72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Table of Contents</w:t>
            </w:r>
          </w:p>
        </w:tc>
        <w:tc>
          <w:tcPr>
            <w:tcW w:w="1560" w:type="dxa"/>
            <w:vAlign w:val="bottom"/>
          </w:tcPr>
          <w:p>
            <w:pPr>
              <w:spacing w:after="0"/>
              <w:rPr>
                <w:sz w:val="20"/>
                <w:szCs w:val="20"/>
                <w:color w:val="auto"/>
              </w:rPr>
            </w:pPr>
          </w:p>
        </w:tc>
      </w:tr>
      <w:tr>
        <w:trPr>
          <w:trHeight w:val="447"/>
        </w:trPr>
        <w:tc>
          <w:tcPr>
            <w:tcW w:w="114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3"/>
        </w:trPr>
        <w:tc>
          <w:tcPr>
            <w:tcW w:w="1140" w:type="dxa"/>
            <w:vAlign w:val="bottom"/>
          </w:tcPr>
          <w:p>
            <w:pPr>
              <w:spacing w:after="0"/>
              <w:rPr>
                <w:sz w:val="24"/>
                <w:szCs w:val="24"/>
                <w:color w:val="auto"/>
              </w:rPr>
            </w:pPr>
          </w:p>
        </w:tc>
        <w:tc>
          <w:tcPr>
            <w:tcW w:w="8720" w:type="dxa"/>
            <w:vAlign w:val="bottom"/>
          </w:tcPr>
          <w:p>
            <w:pPr>
              <w:jc w:val="center"/>
              <w:ind w:left="350"/>
              <w:spacing w:after="0"/>
              <w:rPr>
                <w:sz w:val="20"/>
                <w:szCs w:val="20"/>
                <w:color w:val="auto"/>
              </w:rPr>
            </w:pPr>
            <w:r>
              <w:rPr>
                <w:rFonts w:ascii="Arial" w:cs="Arial" w:eastAsia="Arial" w:hAnsi="Arial"/>
                <w:sz w:val="18"/>
                <w:szCs w:val="18"/>
                <w:color w:val="auto"/>
                <w:w w:val="99"/>
              </w:rPr>
              <w:t>Article I</w:t>
            </w:r>
          </w:p>
        </w:tc>
        <w:tc>
          <w:tcPr>
            <w:tcW w:w="156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DEFINITIONS; INTERPRETATION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1.1</w:t>
            </w:r>
          </w:p>
        </w:tc>
        <w:tc>
          <w:tcPr>
            <w:tcW w:w="8720" w:type="dxa"/>
            <w:vAlign w:val="bottom"/>
          </w:tcPr>
          <w:p>
            <w:pPr>
              <w:ind w:left="240"/>
              <w:spacing w:after="0"/>
              <w:rPr>
                <w:sz w:val="20"/>
                <w:szCs w:val="20"/>
                <w:color w:val="auto"/>
              </w:rPr>
            </w:pPr>
            <w:r>
              <w:rPr>
                <w:rFonts w:ascii="Arial" w:cs="Arial" w:eastAsia="Arial" w:hAnsi="Arial"/>
                <w:sz w:val="18"/>
                <w:szCs w:val="18"/>
                <w:color w:val="auto"/>
              </w:rPr>
              <w:t>Certain Defined Terms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w:t>
            </w:r>
          </w:p>
        </w:tc>
        <w:tc>
          <w:tcPr>
            <w:tcW w:w="8720" w:type="dxa"/>
            <w:vAlign w:val="bottom"/>
          </w:tcPr>
          <w:p>
            <w:pPr>
              <w:ind w:left="240"/>
              <w:spacing w:after="0"/>
              <w:rPr>
                <w:sz w:val="20"/>
                <w:szCs w:val="20"/>
                <w:color w:val="auto"/>
              </w:rPr>
            </w:pPr>
            <w:r>
              <w:rPr>
                <w:rFonts w:ascii="Arial" w:cs="Arial" w:eastAsia="Arial" w:hAnsi="Arial"/>
                <w:sz w:val="18"/>
                <w:szCs w:val="18"/>
                <w:color w:val="auto"/>
              </w:rPr>
              <w:t>Interpretation; Definitions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140" w:type="dxa"/>
            <w:vAlign w:val="bottom"/>
          </w:tcPr>
          <w:p>
            <w:pPr>
              <w:spacing w:after="0"/>
              <w:rPr>
                <w:sz w:val="24"/>
                <w:szCs w:val="24"/>
                <w:color w:val="auto"/>
              </w:rPr>
            </w:pPr>
          </w:p>
        </w:tc>
        <w:tc>
          <w:tcPr>
            <w:tcW w:w="8720" w:type="dxa"/>
            <w:vAlign w:val="bottom"/>
          </w:tcPr>
          <w:p>
            <w:pPr>
              <w:jc w:val="center"/>
              <w:ind w:left="330"/>
              <w:spacing w:after="0"/>
              <w:rPr>
                <w:sz w:val="20"/>
                <w:szCs w:val="20"/>
                <w:color w:val="auto"/>
              </w:rPr>
            </w:pPr>
            <w:r>
              <w:rPr>
                <w:rFonts w:ascii="Arial" w:cs="Arial" w:eastAsia="Arial" w:hAnsi="Arial"/>
                <w:sz w:val="18"/>
                <w:szCs w:val="18"/>
                <w:color w:val="auto"/>
              </w:rPr>
              <w:t>Article II</w:t>
            </w:r>
          </w:p>
        </w:tc>
        <w:tc>
          <w:tcPr>
            <w:tcW w:w="156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APPOINTMENT OF DEPOSITARY AGENT; ESTABLISHMENT OF THE DEBT SERVICE RESERVE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2.1</w:t>
            </w:r>
          </w:p>
        </w:tc>
        <w:tc>
          <w:tcPr>
            <w:tcW w:w="8720" w:type="dxa"/>
            <w:vAlign w:val="bottom"/>
          </w:tcPr>
          <w:p>
            <w:pPr>
              <w:ind w:left="240"/>
              <w:spacing w:after="0"/>
              <w:rPr>
                <w:sz w:val="20"/>
                <w:szCs w:val="20"/>
                <w:color w:val="auto"/>
              </w:rPr>
            </w:pPr>
            <w:r>
              <w:rPr>
                <w:rFonts w:ascii="Arial" w:cs="Arial" w:eastAsia="Arial" w:hAnsi="Arial"/>
                <w:sz w:val="18"/>
                <w:szCs w:val="18"/>
                <w:color w:val="auto"/>
              </w:rPr>
              <w:t>Appointment of Depositary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2.2</w:t>
            </w:r>
          </w:p>
        </w:tc>
        <w:tc>
          <w:tcPr>
            <w:tcW w:w="8720" w:type="dxa"/>
            <w:vAlign w:val="bottom"/>
          </w:tcPr>
          <w:p>
            <w:pPr>
              <w:ind w:left="240"/>
              <w:spacing w:after="0"/>
              <w:rPr>
                <w:sz w:val="20"/>
                <w:szCs w:val="20"/>
                <w:color w:val="auto"/>
              </w:rPr>
            </w:pPr>
            <w:r>
              <w:rPr>
                <w:rFonts w:ascii="Arial" w:cs="Arial" w:eastAsia="Arial" w:hAnsi="Arial"/>
                <w:sz w:val="18"/>
                <w:szCs w:val="18"/>
                <w:color w:val="auto"/>
              </w:rPr>
              <w:t>Establishment of the Debt Service Reserve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2.3</w:t>
            </w:r>
          </w:p>
        </w:tc>
        <w:tc>
          <w:tcPr>
            <w:tcW w:w="8720" w:type="dxa"/>
            <w:vAlign w:val="bottom"/>
          </w:tcPr>
          <w:p>
            <w:pPr>
              <w:ind w:left="240"/>
              <w:spacing w:after="0"/>
              <w:rPr>
                <w:sz w:val="20"/>
                <w:szCs w:val="20"/>
                <w:color w:val="auto"/>
              </w:rPr>
            </w:pPr>
            <w:r>
              <w:rPr>
                <w:rFonts w:ascii="Arial" w:cs="Arial" w:eastAsia="Arial" w:hAnsi="Arial"/>
                <w:sz w:val="18"/>
                <w:szCs w:val="18"/>
                <w:color w:val="auto"/>
              </w:rPr>
              <w:t>Security Interests</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2.4</w:t>
            </w:r>
          </w:p>
        </w:tc>
        <w:tc>
          <w:tcPr>
            <w:tcW w:w="8720" w:type="dxa"/>
            <w:vAlign w:val="bottom"/>
          </w:tcPr>
          <w:p>
            <w:pPr>
              <w:ind w:left="240"/>
              <w:spacing w:after="0"/>
              <w:rPr>
                <w:sz w:val="20"/>
                <w:szCs w:val="20"/>
                <w:color w:val="auto"/>
              </w:rPr>
            </w:pPr>
            <w:r>
              <w:rPr>
                <w:rFonts w:ascii="Arial" w:cs="Arial" w:eastAsia="Arial" w:hAnsi="Arial"/>
                <w:sz w:val="18"/>
                <w:szCs w:val="18"/>
                <w:color w:val="auto"/>
              </w:rPr>
              <w:t>Debt Service Reserve Account Maintained as UCC “Securities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2.5</w:t>
            </w:r>
          </w:p>
        </w:tc>
        <w:tc>
          <w:tcPr>
            <w:tcW w:w="8720" w:type="dxa"/>
            <w:vAlign w:val="bottom"/>
          </w:tcPr>
          <w:p>
            <w:pPr>
              <w:ind w:left="240"/>
              <w:spacing w:after="0"/>
              <w:rPr>
                <w:sz w:val="20"/>
                <w:szCs w:val="20"/>
                <w:color w:val="auto"/>
              </w:rPr>
            </w:pPr>
            <w:r>
              <w:rPr>
                <w:rFonts w:ascii="Arial" w:cs="Arial" w:eastAsia="Arial" w:hAnsi="Arial"/>
                <w:sz w:val="18"/>
                <w:szCs w:val="18"/>
                <w:color w:val="auto"/>
              </w:rPr>
              <w:t>Jurisdiction of Depositary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2.6</w:t>
            </w:r>
          </w:p>
        </w:tc>
        <w:tc>
          <w:tcPr>
            <w:tcW w:w="8720" w:type="dxa"/>
            <w:vAlign w:val="bottom"/>
          </w:tcPr>
          <w:p>
            <w:pPr>
              <w:ind w:left="240"/>
              <w:spacing w:after="0"/>
              <w:rPr>
                <w:sz w:val="20"/>
                <w:szCs w:val="20"/>
                <w:color w:val="auto"/>
              </w:rPr>
            </w:pPr>
            <w:r>
              <w:rPr>
                <w:rFonts w:ascii="Arial" w:cs="Arial" w:eastAsia="Arial" w:hAnsi="Arial"/>
                <w:sz w:val="18"/>
                <w:szCs w:val="18"/>
                <w:color w:val="auto"/>
              </w:rPr>
              <w:t>Degree of Care; Liens</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2.7</w:t>
            </w:r>
          </w:p>
        </w:tc>
        <w:tc>
          <w:tcPr>
            <w:tcW w:w="8720" w:type="dxa"/>
            <w:vAlign w:val="bottom"/>
          </w:tcPr>
          <w:p>
            <w:pPr>
              <w:ind w:left="240"/>
              <w:spacing w:after="0"/>
              <w:rPr>
                <w:sz w:val="20"/>
                <w:szCs w:val="20"/>
                <w:color w:val="auto"/>
              </w:rPr>
            </w:pPr>
            <w:r>
              <w:rPr>
                <w:rFonts w:ascii="Arial" w:cs="Arial" w:eastAsia="Arial" w:hAnsi="Arial"/>
                <w:sz w:val="18"/>
                <w:szCs w:val="18"/>
                <w:color w:val="auto"/>
              </w:rPr>
              <w:t>Subordination of Lien</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2.8</w:t>
            </w:r>
          </w:p>
        </w:tc>
        <w:tc>
          <w:tcPr>
            <w:tcW w:w="8720" w:type="dxa"/>
            <w:vAlign w:val="bottom"/>
          </w:tcPr>
          <w:p>
            <w:pPr>
              <w:ind w:left="240"/>
              <w:spacing w:after="0"/>
              <w:rPr>
                <w:sz w:val="20"/>
                <w:szCs w:val="20"/>
                <w:color w:val="auto"/>
              </w:rPr>
            </w:pPr>
            <w:r>
              <w:rPr>
                <w:rFonts w:ascii="Arial" w:cs="Arial" w:eastAsia="Arial" w:hAnsi="Arial"/>
                <w:sz w:val="18"/>
                <w:szCs w:val="18"/>
                <w:color w:val="auto"/>
              </w:rPr>
              <w:t>No Other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2.9</w:t>
            </w:r>
          </w:p>
        </w:tc>
        <w:tc>
          <w:tcPr>
            <w:tcW w:w="8720" w:type="dxa"/>
            <w:vAlign w:val="bottom"/>
          </w:tcPr>
          <w:p>
            <w:pPr>
              <w:ind w:left="240"/>
              <w:spacing w:after="0"/>
              <w:rPr>
                <w:sz w:val="20"/>
                <w:szCs w:val="20"/>
                <w:color w:val="auto"/>
              </w:rPr>
            </w:pPr>
            <w:r>
              <w:rPr>
                <w:rFonts w:ascii="Arial" w:cs="Arial" w:eastAsia="Arial" w:hAnsi="Arial"/>
                <w:sz w:val="18"/>
                <w:szCs w:val="18"/>
                <w:color w:val="auto"/>
              </w:rPr>
              <w:t>Notice of Adverse Claims</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8720" w:type="dxa"/>
            <w:vAlign w:val="bottom"/>
          </w:tcPr>
          <w:p>
            <w:pPr>
              <w:ind w:left="240"/>
              <w:spacing w:after="0"/>
              <w:rPr>
                <w:sz w:val="20"/>
                <w:szCs w:val="20"/>
                <w:color w:val="auto"/>
              </w:rPr>
            </w:pPr>
            <w:r>
              <w:rPr>
                <w:rFonts w:ascii="Arial" w:cs="Arial" w:eastAsia="Arial" w:hAnsi="Arial"/>
                <w:sz w:val="18"/>
                <w:szCs w:val="18"/>
                <w:color w:val="auto"/>
              </w:rPr>
              <w:t>Rights and Powers of the Administrative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872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140" w:type="dxa"/>
            <w:vAlign w:val="bottom"/>
          </w:tcPr>
          <w:p>
            <w:pPr>
              <w:spacing w:after="0"/>
              <w:rPr>
                <w:sz w:val="24"/>
                <w:szCs w:val="24"/>
                <w:color w:val="auto"/>
              </w:rPr>
            </w:pPr>
          </w:p>
        </w:tc>
        <w:tc>
          <w:tcPr>
            <w:tcW w:w="8720" w:type="dxa"/>
            <w:vAlign w:val="bottom"/>
          </w:tcPr>
          <w:p>
            <w:pPr>
              <w:jc w:val="center"/>
              <w:ind w:left="350"/>
              <w:spacing w:after="0"/>
              <w:rPr>
                <w:sz w:val="20"/>
                <w:szCs w:val="20"/>
                <w:color w:val="auto"/>
              </w:rPr>
            </w:pPr>
            <w:r>
              <w:rPr>
                <w:rFonts w:ascii="Arial" w:cs="Arial" w:eastAsia="Arial" w:hAnsi="Arial"/>
                <w:sz w:val="18"/>
                <w:szCs w:val="18"/>
                <w:color w:val="auto"/>
              </w:rPr>
              <w:t>Article III</w:t>
            </w:r>
          </w:p>
        </w:tc>
        <w:tc>
          <w:tcPr>
            <w:tcW w:w="156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DEBT SERVICE RESERVE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3.1</w:t>
            </w:r>
          </w:p>
        </w:tc>
        <w:tc>
          <w:tcPr>
            <w:tcW w:w="8720" w:type="dxa"/>
            <w:vAlign w:val="bottom"/>
          </w:tcPr>
          <w:p>
            <w:pPr>
              <w:ind w:left="240"/>
              <w:spacing w:after="0"/>
              <w:rPr>
                <w:sz w:val="20"/>
                <w:szCs w:val="20"/>
                <w:color w:val="auto"/>
              </w:rPr>
            </w:pPr>
            <w:r>
              <w:rPr>
                <w:rFonts w:ascii="Arial" w:cs="Arial" w:eastAsia="Arial" w:hAnsi="Arial"/>
                <w:sz w:val="18"/>
                <w:szCs w:val="18"/>
                <w:color w:val="auto"/>
              </w:rPr>
              <w:t>Deposits into Debt Service Reserve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3.2</w:t>
            </w:r>
          </w:p>
        </w:tc>
        <w:tc>
          <w:tcPr>
            <w:tcW w:w="8720" w:type="dxa"/>
            <w:vAlign w:val="bottom"/>
          </w:tcPr>
          <w:p>
            <w:pPr>
              <w:ind w:left="240"/>
              <w:spacing w:after="0"/>
              <w:rPr>
                <w:sz w:val="20"/>
                <w:szCs w:val="20"/>
                <w:color w:val="auto"/>
              </w:rPr>
            </w:pPr>
            <w:r>
              <w:rPr>
                <w:rFonts w:ascii="Arial" w:cs="Arial" w:eastAsia="Arial" w:hAnsi="Arial"/>
                <w:sz w:val="18"/>
                <w:szCs w:val="18"/>
                <w:color w:val="auto"/>
              </w:rPr>
              <w:t>Net Interest on Deposits</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3.3</w:t>
            </w:r>
          </w:p>
        </w:tc>
        <w:tc>
          <w:tcPr>
            <w:tcW w:w="8720" w:type="dxa"/>
            <w:vAlign w:val="bottom"/>
          </w:tcPr>
          <w:p>
            <w:pPr>
              <w:ind w:left="240"/>
              <w:spacing w:after="0"/>
              <w:rPr>
                <w:sz w:val="20"/>
                <w:szCs w:val="20"/>
                <w:color w:val="auto"/>
              </w:rPr>
            </w:pPr>
            <w:r>
              <w:rPr>
                <w:rFonts w:ascii="Arial" w:cs="Arial" w:eastAsia="Arial" w:hAnsi="Arial"/>
                <w:sz w:val="18"/>
                <w:szCs w:val="18"/>
                <w:color w:val="auto"/>
              </w:rPr>
              <w:t>[Reserved]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3.4</w:t>
            </w:r>
          </w:p>
        </w:tc>
        <w:tc>
          <w:tcPr>
            <w:tcW w:w="8720" w:type="dxa"/>
            <w:vAlign w:val="bottom"/>
          </w:tcPr>
          <w:p>
            <w:pPr>
              <w:ind w:left="240"/>
              <w:spacing w:after="0"/>
              <w:rPr>
                <w:sz w:val="20"/>
                <w:szCs w:val="20"/>
                <w:color w:val="auto"/>
              </w:rPr>
            </w:pPr>
            <w:r>
              <w:rPr>
                <w:rFonts w:ascii="Arial" w:cs="Arial" w:eastAsia="Arial" w:hAnsi="Arial"/>
                <w:sz w:val="18"/>
                <w:szCs w:val="18"/>
                <w:color w:val="auto"/>
              </w:rPr>
              <w:t>Disbursements of Excess Amounts</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3.5</w:t>
            </w:r>
          </w:p>
        </w:tc>
        <w:tc>
          <w:tcPr>
            <w:tcW w:w="8720" w:type="dxa"/>
            <w:vAlign w:val="bottom"/>
          </w:tcPr>
          <w:p>
            <w:pPr>
              <w:ind w:left="240"/>
              <w:spacing w:after="0"/>
              <w:rPr>
                <w:sz w:val="20"/>
                <w:szCs w:val="20"/>
                <w:color w:val="auto"/>
              </w:rPr>
            </w:pPr>
            <w:r>
              <w:rPr>
                <w:rFonts w:ascii="Arial" w:cs="Arial" w:eastAsia="Arial" w:hAnsi="Arial"/>
                <w:sz w:val="18"/>
                <w:szCs w:val="18"/>
                <w:color w:val="auto"/>
              </w:rPr>
              <w:t>Disbursements to Pay Debt Service</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3.6</w:t>
            </w:r>
          </w:p>
        </w:tc>
        <w:tc>
          <w:tcPr>
            <w:tcW w:w="8720" w:type="dxa"/>
            <w:vAlign w:val="bottom"/>
          </w:tcPr>
          <w:p>
            <w:pPr>
              <w:ind w:left="240"/>
              <w:spacing w:after="0"/>
              <w:rPr>
                <w:sz w:val="20"/>
                <w:szCs w:val="20"/>
                <w:color w:val="auto"/>
              </w:rPr>
            </w:pPr>
            <w:r>
              <w:rPr>
                <w:rFonts w:ascii="Arial" w:cs="Arial" w:eastAsia="Arial" w:hAnsi="Arial"/>
                <w:sz w:val="18"/>
                <w:szCs w:val="18"/>
                <w:color w:val="auto"/>
              </w:rPr>
              <w:t>Investment of Debt Service Reserve Account</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3.7</w:t>
            </w:r>
          </w:p>
        </w:tc>
        <w:tc>
          <w:tcPr>
            <w:tcW w:w="8720" w:type="dxa"/>
            <w:vAlign w:val="bottom"/>
          </w:tcPr>
          <w:p>
            <w:pPr>
              <w:ind w:left="240"/>
              <w:spacing w:after="0"/>
              <w:rPr>
                <w:sz w:val="20"/>
                <w:szCs w:val="20"/>
                <w:color w:val="auto"/>
              </w:rPr>
            </w:pPr>
            <w:r>
              <w:rPr>
                <w:rFonts w:ascii="Arial" w:cs="Arial" w:eastAsia="Arial" w:hAnsi="Arial"/>
                <w:sz w:val="18"/>
                <w:szCs w:val="18"/>
                <w:color w:val="auto"/>
              </w:rPr>
              <w:t>Disposition of the Debt Service Reserve Account upon Discharge Date</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3.8</w:t>
            </w:r>
          </w:p>
        </w:tc>
        <w:tc>
          <w:tcPr>
            <w:tcW w:w="8720" w:type="dxa"/>
            <w:vAlign w:val="bottom"/>
          </w:tcPr>
          <w:p>
            <w:pPr>
              <w:ind w:left="240"/>
              <w:spacing w:after="0"/>
              <w:rPr>
                <w:sz w:val="20"/>
                <w:szCs w:val="20"/>
                <w:color w:val="auto"/>
              </w:rPr>
            </w:pPr>
            <w:r>
              <w:rPr>
                <w:rFonts w:ascii="Arial" w:cs="Arial" w:eastAsia="Arial" w:hAnsi="Arial"/>
                <w:sz w:val="18"/>
                <w:szCs w:val="18"/>
                <w:color w:val="auto"/>
              </w:rPr>
              <w:t>Account Balance Statements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3.9</w:t>
            </w:r>
          </w:p>
        </w:tc>
        <w:tc>
          <w:tcPr>
            <w:tcW w:w="8720" w:type="dxa"/>
            <w:vAlign w:val="bottom"/>
          </w:tcPr>
          <w:p>
            <w:pPr>
              <w:ind w:left="240"/>
              <w:spacing w:after="0"/>
              <w:rPr>
                <w:sz w:val="20"/>
                <w:szCs w:val="20"/>
                <w:color w:val="auto"/>
              </w:rPr>
            </w:pPr>
            <w:r>
              <w:rPr>
                <w:rFonts w:ascii="Arial" w:cs="Arial" w:eastAsia="Arial" w:hAnsi="Arial"/>
                <w:sz w:val="18"/>
                <w:szCs w:val="18"/>
                <w:color w:val="auto"/>
              </w:rPr>
              <w:t>Events of Default; Trigger Events</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140" w:type="dxa"/>
            <w:vAlign w:val="bottom"/>
          </w:tcPr>
          <w:p>
            <w:pPr>
              <w:spacing w:after="0"/>
              <w:rPr>
                <w:sz w:val="24"/>
                <w:szCs w:val="24"/>
                <w:color w:val="auto"/>
              </w:rPr>
            </w:pPr>
          </w:p>
        </w:tc>
        <w:tc>
          <w:tcPr>
            <w:tcW w:w="8720" w:type="dxa"/>
            <w:vAlign w:val="bottom"/>
          </w:tcPr>
          <w:p>
            <w:pPr>
              <w:jc w:val="center"/>
              <w:ind w:left="330"/>
              <w:spacing w:after="0"/>
              <w:rPr>
                <w:sz w:val="20"/>
                <w:szCs w:val="20"/>
                <w:color w:val="auto"/>
              </w:rPr>
            </w:pPr>
            <w:r>
              <w:rPr>
                <w:rFonts w:ascii="Arial" w:cs="Arial" w:eastAsia="Arial" w:hAnsi="Arial"/>
                <w:sz w:val="18"/>
                <w:szCs w:val="18"/>
                <w:color w:val="auto"/>
              </w:rPr>
              <w:t>Article IV</w:t>
            </w:r>
          </w:p>
        </w:tc>
        <w:tc>
          <w:tcPr>
            <w:tcW w:w="156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DEPOSITARY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4.1</w:t>
            </w:r>
          </w:p>
        </w:tc>
        <w:tc>
          <w:tcPr>
            <w:tcW w:w="8720" w:type="dxa"/>
            <w:vAlign w:val="bottom"/>
          </w:tcPr>
          <w:p>
            <w:pPr>
              <w:ind w:left="240"/>
              <w:spacing w:after="0"/>
              <w:rPr>
                <w:sz w:val="20"/>
                <w:szCs w:val="20"/>
                <w:color w:val="auto"/>
              </w:rPr>
            </w:pPr>
            <w:r>
              <w:rPr>
                <w:rFonts w:ascii="Arial" w:cs="Arial" w:eastAsia="Arial" w:hAnsi="Arial"/>
                <w:sz w:val="18"/>
                <w:szCs w:val="18"/>
                <w:color w:val="auto"/>
              </w:rPr>
              <w:t>Appointment, Authorization and Action</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4.2</w:t>
            </w:r>
          </w:p>
        </w:tc>
        <w:tc>
          <w:tcPr>
            <w:tcW w:w="8720" w:type="dxa"/>
            <w:vAlign w:val="bottom"/>
          </w:tcPr>
          <w:p>
            <w:pPr>
              <w:ind w:left="240"/>
              <w:spacing w:after="0"/>
              <w:rPr>
                <w:sz w:val="20"/>
                <w:szCs w:val="20"/>
                <w:color w:val="auto"/>
              </w:rPr>
            </w:pPr>
            <w:r>
              <w:rPr>
                <w:rFonts w:ascii="Arial" w:cs="Arial" w:eastAsia="Arial" w:hAnsi="Arial"/>
                <w:sz w:val="18"/>
                <w:szCs w:val="18"/>
                <w:color w:val="auto"/>
              </w:rPr>
              <w:t>Reliance by Depositary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4.3</w:t>
            </w:r>
          </w:p>
        </w:tc>
        <w:tc>
          <w:tcPr>
            <w:tcW w:w="8720" w:type="dxa"/>
            <w:vAlign w:val="bottom"/>
          </w:tcPr>
          <w:p>
            <w:pPr>
              <w:ind w:left="240"/>
              <w:spacing w:after="0"/>
              <w:rPr>
                <w:sz w:val="20"/>
                <w:szCs w:val="20"/>
                <w:color w:val="auto"/>
              </w:rPr>
            </w:pPr>
            <w:r>
              <w:rPr>
                <w:rFonts w:ascii="Arial" w:cs="Arial" w:eastAsia="Arial" w:hAnsi="Arial"/>
                <w:sz w:val="18"/>
                <w:szCs w:val="18"/>
                <w:color w:val="auto"/>
              </w:rPr>
              <w:t>Court Orders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4.4</w:t>
            </w:r>
          </w:p>
        </w:tc>
        <w:tc>
          <w:tcPr>
            <w:tcW w:w="8720" w:type="dxa"/>
            <w:vAlign w:val="bottom"/>
          </w:tcPr>
          <w:p>
            <w:pPr>
              <w:ind w:left="240"/>
              <w:spacing w:after="0"/>
              <w:rPr>
                <w:sz w:val="20"/>
                <w:szCs w:val="20"/>
                <w:color w:val="auto"/>
              </w:rPr>
            </w:pPr>
            <w:r>
              <w:rPr>
                <w:rFonts w:ascii="Arial" w:cs="Arial" w:eastAsia="Arial" w:hAnsi="Arial"/>
                <w:sz w:val="18"/>
                <w:szCs w:val="18"/>
                <w:color w:val="auto"/>
              </w:rPr>
              <w:t>Resignation or Removal</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140" w:type="dxa"/>
            <w:vAlign w:val="bottom"/>
          </w:tcPr>
          <w:p>
            <w:pPr>
              <w:spacing w:after="0"/>
              <w:rPr>
                <w:sz w:val="24"/>
                <w:szCs w:val="24"/>
                <w:color w:val="auto"/>
              </w:rPr>
            </w:pPr>
          </w:p>
        </w:tc>
        <w:tc>
          <w:tcPr>
            <w:tcW w:w="8720" w:type="dxa"/>
            <w:vAlign w:val="bottom"/>
          </w:tcPr>
          <w:p>
            <w:pPr>
              <w:jc w:val="center"/>
              <w:ind w:left="350"/>
              <w:spacing w:after="0"/>
              <w:rPr>
                <w:sz w:val="20"/>
                <w:szCs w:val="20"/>
                <w:color w:val="auto"/>
              </w:rPr>
            </w:pPr>
            <w:r>
              <w:rPr>
                <w:rFonts w:ascii="Arial" w:cs="Arial" w:eastAsia="Arial" w:hAnsi="Arial"/>
                <w:sz w:val="18"/>
                <w:szCs w:val="18"/>
                <w:color w:val="auto"/>
              </w:rPr>
              <w:t>Article V</w:t>
            </w:r>
          </w:p>
        </w:tc>
        <w:tc>
          <w:tcPr>
            <w:tcW w:w="156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EXPENSES; INDEMNIFICATION; FEES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5.1</w:t>
            </w:r>
          </w:p>
        </w:tc>
        <w:tc>
          <w:tcPr>
            <w:tcW w:w="8720" w:type="dxa"/>
            <w:vAlign w:val="bottom"/>
          </w:tcPr>
          <w:p>
            <w:pPr>
              <w:ind w:left="240"/>
              <w:spacing w:after="0"/>
              <w:rPr>
                <w:sz w:val="20"/>
                <w:szCs w:val="20"/>
                <w:color w:val="auto"/>
              </w:rPr>
            </w:pPr>
            <w:r>
              <w:rPr>
                <w:rFonts w:ascii="Arial" w:cs="Arial" w:eastAsia="Arial" w:hAnsi="Arial"/>
                <w:sz w:val="18"/>
                <w:szCs w:val="18"/>
                <w:color w:val="auto"/>
              </w:rPr>
              <w:t>Compensation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114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1" w:name="page342"/>
    <w:bookmarkEnd w:id="3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Section 5.2</w:t>
            </w:r>
          </w:p>
        </w:tc>
        <w:tc>
          <w:tcPr>
            <w:tcW w:w="260" w:type="dxa"/>
            <w:vAlign w:val="bottom"/>
          </w:tcPr>
          <w:p>
            <w:pPr>
              <w:spacing w:after="0"/>
              <w:rPr>
                <w:sz w:val="20"/>
                <w:szCs w:val="20"/>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460" w:type="dxa"/>
            <w:vAlign w:val="bottom"/>
          </w:tcPr>
          <w:p>
            <w:pPr>
              <w:jc w:val="right"/>
              <w:ind w:right="5250"/>
              <w:spacing w:after="0"/>
              <w:rPr>
                <w:sz w:val="20"/>
                <w:szCs w:val="20"/>
                <w:color w:val="auto"/>
              </w:rPr>
            </w:pPr>
            <w:r>
              <w:rPr>
                <w:rFonts w:ascii="Arial" w:cs="Arial" w:eastAsia="Arial" w:hAnsi="Arial"/>
                <w:sz w:val="18"/>
                <w:szCs w:val="18"/>
                <w:color w:val="auto"/>
              </w:rPr>
              <w:t>Article VI</w:t>
            </w:r>
          </w:p>
        </w:tc>
      </w:tr>
      <w:tr>
        <w:trPr>
          <w:trHeight w:val="230"/>
        </w:trPr>
        <w:tc>
          <w:tcPr>
            <w:tcW w:w="496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6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Section 6.1</w:t>
            </w:r>
          </w:p>
        </w:tc>
        <w:tc>
          <w:tcPr>
            <w:tcW w:w="260" w:type="dxa"/>
            <w:vAlign w:val="bottom"/>
          </w:tcPr>
          <w:p>
            <w:pPr>
              <w:spacing w:after="0"/>
              <w:rPr>
                <w:sz w:val="24"/>
                <w:szCs w:val="24"/>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Amendments, Etc</w:t>
            </w:r>
          </w:p>
        </w:tc>
        <w:tc>
          <w:tcPr>
            <w:tcW w:w="6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6.2</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Notice and Other Communications</w:t>
            </w:r>
          </w:p>
        </w:tc>
        <w:tc>
          <w:tcPr>
            <w:tcW w:w="6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6.3</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6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6.4</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WAIVER OF RIGHT TO TRIAL BY JURY</w:t>
            </w:r>
          </w:p>
        </w:tc>
        <w:tc>
          <w:tcPr>
            <w:tcW w:w="6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6.5</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6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6.6</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6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6.7</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No Waiver; Cumulative Remedies</w:t>
            </w:r>
          </w:p>
        </w:tc>
        <w:tc>
          <w:tcPr>
            <w:tcW w:w="6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6.8</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6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6.9</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6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Section 6.10</w:t>
            </w:r>
          </w:p>
        </w:tc>
        <w:tc>
          <w:tcPr>
            <w:tcW w:w="2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Headings</w:t>
            </w:r>
          </w:p>
        </w:tc>
        <w:tc>
          <w:tcPr>
            <w:tcW w:w="6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Section 6.11</w:t>
            </w:r>
          </w:p>
        </w:tc>
        <w:tc>
          <w:tcPr>
            <w:tcW w:w="260" w:type="dxa"/>
            <w:vAlign w:val="bottom"/>
          </w:tcPr>
          <w:p>
            <w:pPr>
              <w:spacing w:after="0"/>
              <w:rPr>
                <w:sz w:val="20"/>
                <w:szCs w:val="20"/>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6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4960" w:type="dxa"/>
            <w:vAlign w:val="bottom"/>
            <w:gridSpan w:val="4"/>
          </w:tcPr>
          <w:p>
            <w:pPr>
              <w:spacing w:after="0"/>
              <w:rPr>
                <w:sz w:val="20"/>
                <w:szCs w:val="20"/>
                <w:color w:val="auto"/>
              </w:rPr>
            </w:pPr>
            <w:r>
              <w:rPr>
                <w:rFonts w:ascii="Arial" w:cs="Arial" w:eastAsia="Arial" w:hAnsi="Arial"/>
                <w:sz w:val="18"/>
                <w:szCs w:val="18"/>
                <w:color w:val="auto"/>
              </w:rPr>
              <w:t>Debt Service Reserve Account</w:t>
            </w:r>
          </w:p>
        </w:tc>
        <w:tc>
          <w:tcPr>
            <w:tcW w:w="6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10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453"/>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60" w:type="dxa"/>
            <w:vAlign w:val="bottom"/>
          </w:tcPr>
          <w:p>
            <w:pPr>
              <w:ind w:left="360"/>
              <w:spacing w:after="0"/>
              <w:rPr>
                <w:sz w:val="20"/>
                <w:szCs w:val="20"/>
                <w:color w:val="auto"/>
              </w:rPr>
            </w:pPr>
            <w:r>
              <w:rPr>
                <w:rFonts w:ascii="Arial" w:cs="Arial" w:eastAsia="Arial" w:hAnsi="Arial"/>
                <w:sz w:val="18"/>
                <w:szCs w:val="18"/>
                <w:color w:val="auto"/>
              </w:rPr>
              <w:t>Form of Withdrawal Certificate</w:t>
            </w:r>
          </w:p>
        </w:tc>
        <w:tc>
          <w:tcPr>
            <w:tcW w:w="6460" w:type="dxa"/>
            <w:vAlign w:val="bottom"/>
          </w:tcPr>
          <w:p>
            <w:pPr>
              <w:spacing w:after="0"/>
              <w:rPr>
                <w:sz w:val="24"/>
                <w:szCs w:val="24"/>
                <w:color w:val="auto"/>
              </w:rPr>
            </w:pPr>
          </w:p>
        </w:tc>
      </w:tr>
      <w:tr>
        <w:trPr>
          <w:trHeight w:val="399"/>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2" w:name="page343"/>
    <w:bookmarkEnd w:id="342"/>
    <w:p>
      <w:pPr>
        <w:jc w:val="both"/>
        <w:ind w:firstLine="648"/>
        <w:spacing w:after="0" w:line="255" w:lineRule="auto"/>
        <w:rPr>
          <w:sz w:val="20"/>
          <w:szCs w:val="20"/>
          <w:color w:val="auto"/>
        </w:rPr>
      </w:pPr>
      <w:r>
        <w:rPr>
          <w:rFonts w:ascii="Arial" w:cs="Arial" w:eastAsia="Arial" w:hAnsi="Arial"/>
          <w:sz w:val="18"/>
          <w:szCs w:val="18"/>
          <w:color w:val="auto"/>
        </w:rPr>
        <w:t>This SECURITY DEPOSIT AGREEMENT, dated as of November 24, 2014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among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MORGAN STANLEY SENIOR FUNDING, INC., as administrative agent pursuant to the Credit Agreement (in such capacity, together with any permitted successor, assign or permitted replacement,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MORGAN STANLEY SENIOR FUNDING, INC., as both a “securities intermediary” (as defined in Section 8-102 of the UCC) and a “bank” (as defined in Section 9-102 of the UCC) (“</w:t>
      </w:r>
      <w:r>
        <w:rPr>
          <w:rFonts w:ascii="Arial" w:cs="Arial" w:eastAsia="Arial" w:hAnsi="Arial"/>
          <w:sz w:val="18"/>
          <w:szCs w:val="18"/>
          <w:u w:val="single" w:color="auto"/>
          <w:color w:val="auto"/>
        </w:rPr>
        <w:t>MSSFI</w:t>
      </w:r>
      <w:r>
        <w:rPr>
          <w:rFonts w:ascii="Arial" w:cs="Arial" w:eastAsia="Arial" w:hAnsi="Arial"/>
          <w:sz w:val="18"/>
          <w:szCs w:val="18"/>
          <w:color w:val="auto"/>
        </w:rPr>
        <w:t>” in such capacities, together with any permitted successor, assign or permitted replacement bank and securities intermediary thereto, the “</w:t>
      </w:r>
      <w:r>
        <w:rPr>
          <w:rFonts w:ascii="Arial" w:cs="Arial" w:eastAsia="Arial" w:hAnsi="Arial"/>
          <w:sz w:val="18"/>
          <w:szCs w:val="18"/>
          <w:u w:val="single" w:color="auto"/>
          <w:color w:val="auto"/>
        </w:rPr>
        <w:t>Depositary Agent</w:t>
      </w:r>
      <w:r>
        <w:rPr>
          <w:rFonts w:ascii="Arial" w:cs="Arial" w:eastAsia="Arial" w:hAnsi="Arial"/>
          <w:sz w:val="18"/>
          <w:szCs w:val="18"/>
          <w:color w:val="auto"/>
        </w:rPr>
        <w:t xml:space="preserve">”). Capitalized terms used in this Agreement (including in this preamble and the recitals below) have the meanings assigned to such terms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LNG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the Borrower, the lenders party thereto from time to time and the Administrative Agent are entering into that certain Credit Agreement, dated as of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which provides, among other things, for the borrowing of Term Loans for uses as contemplated by the Credit Agreement;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Holdings, the Borrower, Administrative Agent, and each of the other Grantors named therein are entering into that certain Security Agreement, dated as of the date hereof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to, among other things, define the rights, duties, authorities and responsibilities of the Administrative Agent and the respective rights and remedies among the Secured Parties with respect to the Collateral;</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on the date hereof, the Administrative Agent and the Borrower desire to, among other things, appoint MSSFI as the Depositary Agent pursuant to the terms hereof to hold and administer money deposited in or credited to the Debt Service Reserve Account; and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is a condition precedent to the making of the extensions of credit under the Credit Agreement that the parties hereto enter into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foregoing, the mutual covenants and obligations herein set forth and for other good and valuable consideration, the adequacy and receipt of which are hereby acknowledged and in reliance upon the representations, warranties and covenants contained herein, the parties hereto, intending to be legally bound, hereby agree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INTERPRETATION</w:t>
      </w:r>
    </w:p>
    <w:p>
      <w:pPr>
        <w:spacing w:after="0" w:line="2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Section 1.1 Certain Defined Terms. Unless otherwise defined herein, terms defined in the Credit Agreement and used herein (including in the preamble, recitals, exhibits and schedules hereto) shall have the meanings given to them in the Credit Agreement. In the event that a term is not defined in the Credit Agreement, but it is used herein (including in the preamble, recitals, exhibits and schedules hereto) and not defined herein, such term shall have the meaning given to such term in the Security Agreement. In addition, as used in this Agreement, the following terms shall have the following meanings: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Collateral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3" w:name="page344"/>
    <w:bookmarkEnd w:id="3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specified in the recitals to this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 to this Agreement, as may be amended, restated, supplemented, refinanced, replaced or otherwise modified from time to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specified in the recitals to this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w:t>
      </w:r>
      <w:r>
        <w:rPr>
          <w:rFonts w:ascii="Arial" w:cs="Arial" w:eastAsia="Arial" w:hAnsi="Arial"/>
          <w:sz w:val="18"/>
          <w:szCs w:val="18"/>
          <w:color w:val="auto"/>
        </w:rPr>
        <w:t>” means, for any period, all payments of principal, interest and Undrawn Commitment Fees, other fees, expenses or other changes due and payable by the Borrower in respect of all Obligations pursuant to the terms of the Loan Documents in such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Payment Deficiency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 Reserve Account</w:t>
      </w:r>
      <w:r>
        <w:rPr>
          <w:rFonts w:ascii="Arial" w:cs="Arial" w:eastAsia="Arial" w:hAnsi="Arial"/>
          <w:sz w:val="18"/>
          <w:szCs w:val="18"/>
          <w:color w:val="auto"/>
        </w:rPr>
        <w:t xml:space="preserve">” means the Account of such name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Service Reserve Requirement</w:t>
      </w:r>
      <w:r>
        <w:rPr>
          <w:rFonts w:ascii="Arial" w:cs="Arial" w:eastAsia="Arial" w:hAnsi="Arial"/>
          <w:sz w:val="16"/>
          <w:szCs w:val="16"/>
          <w:color w:val="auto"/>
        </w:rPr>
        <w:t xml:space="preserve">” means (a) on the Closing Date, $912,236.11 or (b) with respect to any DSRA Shortfall in connection with any Credit Extension made under and pursuant to the Credit Agreement on any Credit Date after the Closing Date, if the Full DSRA Funding Condition is not satisfied, an amount, certified by the Borrower pursuant to the applicable Funding Notice, equal to (i) the aggregate scheduled principal payments in respect of the Term Loans borrowed on such Credit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interest accruing and payable in respect of the Term Loans borrowed on such Credit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any Undrawn Commitment Fee payable in respect of undrawn Commitments, as adjusted for any Undrawn Commitment Fee no longer payable due to such Credit Extension, in the case of clause (b), for the period beginning on such Credit Date to the then Expected Plant Completion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 Agent</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Date</w:t>
      </w:r>
      <w:r>
        <w:rPr>
          <w:rFonts w:ascii="Arial" w:cs="Arial" w:eastAsia="Arial" w:hAnsi="Arial"/>
          <w:sz w:val="18"/>
          <w:szCs w:val="18"/>
          <w:color w:val="auto"/>
        </w:rPr>
        <w:t xml:space="preserve">” means the date on which the discharge of the Obligations has occurred, as notified to the Depositary Agent by the Administrative Agent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DSRA Excess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DSRA Shortfall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Expected Plant Completion Date</w:t>
      </w:r>
      <w:r>
        <w:rPr>
          <w:rFonts w:ascii="Arial" w:cs="Arial" w:eastAsia="Arial" w:hAnsi="Arial"/>
          <w:sz w:val="16"/>
          <w:szCs w:val="16"/>
          <w:color w:val="auto"/>
        </w:rPr>
        <w:t>” means (a) September 25, 2015 or (b) after the Closing Date, the expected Plant Completion Date as of any Credit Date, which date, if different from the date specified in clause (a), may be extended from time to time by the Borrower in consultation with the Administrative Agent, and if requested by the Administrative Agent, confirmed in writing by the Contractor under and as defined in the Design-Build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DSRA Funding Condition</w:t>
      </w:r>
      <w:r>
        <w:rPr>
          <w:rFonts w:ascii="Arial" w:cs="Arial" w:eastAsia="Arial" w:hAnsi="Arial"/>
          <w:sz w:val="18"/>
          <w:szCs w:val="18"/>
          <w:color w:val="auto"/>
        </w:rPr>
        <w:t>” means that, on any date of determination, a Responsible Officer of the Borrower has delivered a certificate, accompanied by supporting information in reasonable detail to the Administrative Agent, certifying that (a) the Plant Completion Date has occurred and (b) Borrower’s EBITDA, computed on a Pro Forma Basis, as of the date of such certificate, exceeds $10,000,000.</w:t>
      </w:r>
    </w:p>
    <w:p>
      <w:pPr>
        <w:spacing w:after="0" w:line="208" w:lineRule="exact"/>
        <w:rPr>
          <w:sz w:val="20"/>
          <w:szCs w:val="20"/>
          <w:color w:val="auto"/>
        </w:rPr>
      </w:pPr>
    </w:p>
    <w:p>
      <w:pPr>
        <w:jc w:val="right"/>
        <w:ind w:right="5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recitals to this Agreement.</w:t>
      </w:r>
    </w:p>
    <w:p>
      <w:pPr>
        <w:spacing w:after="0" w:line="185"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4" w:name="page345"/>
    <w:bookmarkEnd w:id="3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all interest and breakage costs in respect of outstanding Obligations accrued, capitalized or payable during such period (whether or not actually paid during such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Net Cash Proceeds (as defined in the Credit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any asset or property of any kind whatsoever (including Capital Stock), whether real, personal or mixed and whether tangible or intangible.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3.9(a)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Certificate</w:t>
      </w:r>
      <w:r>
        <w:rPr>
          <w:rFonts w:ascii="Arial" w:cs="Arial" w:eastAsia="Arial" w:hAnsi="Arial"/>
          <w:sz w:val="18"/>
          <w:szCs w:val="18"/>
          <w:color w:val="auto"/>
        </w:rPr>
        <w:t xml:space="preserve">” means a Withdrawal Certificate delivered by the Borrower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Interpretation; Definitions</w:t>
      </w:r>
      <w:r>
        <w:rPr>
          <w:rFonts w:ascii="Arial" w:cs="Arial" w:eastAsia="Arial" w:hAnsi="Arial"/>
          <w:sz w:val="18"/>
          <w:szCs w:val="18"/>
          <w:color w:val="auto"/>
        </w:rPr>
        <w:t xml:space="preserve">. For all purposes of this Agreement, except as otherwise expressly provided or unless the context otherwise requires, the rules of interpretation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Credit Agreement are hereby incorporated by reference, mutatis mutandis, as if fully set forth herein. All capitalized terms used herein (including the preamble and recitals hereto) and not otherwise defined herein or in the Credit Agreement or Security Agreement, have the meanings ascribed thereto in the UCC. All references herein to provisions of the UCC shall include all successor provisions under any subsequent version or amendment to any Article of the UCC. The terms “lease” and “license” shall include “sub-lease” and “sub-license,” as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APPOINTMENT OF DEPOSITARY AGENT; ESTABLISHMENT OF THE DEBT SERVICE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 ACCOUNT</w:t>
      </w: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Appointment of Depositary Agent</w:t>
      </w:r>
      <w:r>
        <w:rPr>
          <w:rFonts w:ascii="Arial" w:cs="Arial" w:eastAsia="Arial" w:hAnsi="Arial"/>
          <w:sz w:val="17"/>
          <w:szCs w:val="17"/>
          <w:color w:val="auto"/>
        </w:rPr>
        <w:t>. The Depositary Agent hereby agrees to act, as depositary agent, as “securities intermediary” (within the meaning of Section 8-102(a)(14) of the UCC) with respect to the Debt Service Reserve Account and the Financial Assets credited to such Debt Service Reserve Account, and as “bank” (within the meaning of 9-102(a)(8) of the UCC) with respect to the Debt Service Reserve Account and credit balances not constituting Financial Assets credited thereto and to accept all cash, payments, other amounts and Cash Equivalents to be delivered to or held by the Depositary Agent pursuant to the terms of this Agreement. The Depositary Agent shall hold and safeguard the Debt Service Reserve Account during the term of this Agreement in accordance with the provisions of this Agreement.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the Debt Service Reserve Account</w:t>
      </w:r>
      <w:r>
        <w:rPr>
          <w:rFonts w:ascii="Arial" w:cs="Arial" w:eastAsia="Arial" w:hAnsi="Arial"/>
          <w:sz w:val="18"/>
          <w:szCs w:val="18"/>
          <w:color w:val="auto"/>
        </w:rPr>
        <w:t xml:space="preserve">. The Depositary Agent has established the following separate account (inclusive of any sub-account (which may include a separate internal ledger)), which shall be maintained at all times upon the date hereof in accordance with the terms of this Agreement until the Discharge Date as further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 an account in the name of the Borrower entitled “Morgan Stanley Senior Funding Inc. –LNG HOLDINGS (FLORIDA) LLC DEBT SERVICE RESERVE ACCT” with account number 876-021263 (the “</w:t>
      </w:r>
      <w:r>
        <w:rPr>
          <w:rFonts w:ascii="Arial" w:cs="Arial" w:eastAsia="Arial" w:hAnsi="Arial"/>
          <w:sz w:val="18"/>
          <w:szCs w:val="18"/>
          <w:u w:val="single" w:color="auto"/>
          <w:color w:val="auto"/>
        </w:rPr>
        <w:t>Debt 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Reserve Account</w:t>
      </w:r>
      <w:r>
        <w:rPr>
          <w:rFonts w:ascii="Arial" w:cs="Arial" w:eastAsia="Arial" w:hAnsi="Arial"/>
          <w:sz w:val="18"/>
          <w:szCs w:val="18"/>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5" w:name="page346"/>
    <w:bookmarkEnd w:id="345"/>
    <w:p>
      <w:pPr>
        <w:jc w:val="both"/>
        <w:ind w:firstLine="648"/>
        <w:spacing w:after="0" w:line="286" w:lineRule="auto"/>
        <w:rPr>
          <w:sz w:val="20"/>
          <w:szCs w:val="20"/>
          <w:color w:val="auto"/>
        </w:rPr>
      </w:pPr>
      <w:r>
        <w:rPr>
          <w:rFonts w:ascii="Arial" w:cs="Arial" w:eastAsia="Arial" w:hAnsi="Arial"/>
          <w:sz w:val="17"/>
          <w:szCs w:val="17"/>
          <w:color w:val="auto"/>
        </w:rPr>
        <w:t xml:space="preserve">The Depositary Agent shall not change the name or account number of the Debt Service Reserve Account without the prior written consent of the Administrative Agent and at least ten (10) Business Days’ prior notice to the Borrower. The Borrower shall at all times maintain, or cause to be maintained, the Debt Service Reserve Account with the Depositary Agent until the Discharge Date as further set forth in </w:t>
      </w:r>
      <w:r>
        <w:rPr>
          <w:rFonts w:ascii="Arial" w:cs="Arial" w:eastAsia="Arial" w:hAnsi="Arial"/>
          <w:sz w:val="17"/>
          <w:szCs w:val="17"/>
          <w:u w:val="single" w:color="auto"/>
          <w:color w:val="auto"/>
        </w:rPr>
        <w:t>Section 3.6</w:t>
      </w:r>
      <w:r>
        <w:rPr>
          <w:rFonts w:ascii="Arial" w:cs="Arial" w:eastAsia="Arial" w:hAnsi="Arial"/>
          <w:sz w:val="17"/>
          <w:szCs w:val="17"/>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amounts from time to time held in the Debt Service Reserve Account shall be disbursed solely in accordance with the terms hereof, shall constitute the property of the Borrower, and shall be (a) subject to the Lien of the Administrative Agent (for the benefit of the Secured Parties) and (b) held in the sole custody and “control” (within the meaning of Section 8-106(d) or Section 9-104(a), as applicable, of the UCC) of the Administrative Agent for the purposes and on the terms set forth in this Agreement and all such amounts shall constitute a part of the Account Collateral and shall not constitute payment of any Obligations until applied as hereinafter provided.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hereby acknowledges that it has control of the Debt Service Reserve Account on behalf of the other Secured Parties.</w:t>
      </w:r>
    </w:p>
    <w:p>
      <w:pPr>
        <w:spacing w:after="0" w:line="29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Security Interests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68" w:lineRule="auto"/>
        <w:tabs>
          <w:tab w:leader="none" w:pos="2063"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As collateral security for the prompt and complete payment and performance when due of all Obligations, the Borrower hereby pledges, assigns, hypothecates and transfers to the Administrative Agent (for the benefit of the Secured Parties), and grants to the Administrative Agent (for the benefit of the Secured Parties), a first-priority Lien on all of the Borrower’s right, title and interest in, to and under (i) the Debt Service Reserve Account and (ii) all Cash, instruments, investment property, securities, “security entitlements” (as defined in Section 8-102(a)(17) of the UCC) and other Financial Assets at any time on deposit in or credited to the Debt Service Reserve Account, including all income, earnings and distributions thereon and all proceeds, products and accessions of and to any and all of the foregoing, including whatever is received or receivable upon any collection, exchange, sale or other disposition of any of the foregoing and any Property into which any of the foregoing is converted, whether cash or non-cash proceeds, and any and all other amounts paid or payable under or in connection with any of the foregoing together with all books and records, credit files, computer files, programs, printouts and other computer materials and records to the extent related thereto and any “general intangibles” (as defined in Article 9 of the UCC) at any time to the extent evidencing or to the extent relating to any of the foregoing (collectively, the “</w:t>
      </w:r>
      <w:r>
        <w:rPr>
          <w:rFonts w:ascii="Arial" w:cs="Arial" w:eastAsia="Arial" w:hAnsi="Arial"/>
          <w:sz w:val="17"/>
          <w:szCs w:val="17"/>
          <w:u w:val="single" w:color="auto"/>
          <w:color w:val="auto"/>
        </w:rPr>
        <w:t>Account Collateral</w:t>
      </w:r>
      <w:r>
        <w:rPr>
          <w:rFonts w:ascii="Arial" w:cs="Arial" w:eastAsia="Arial" w:hAnsi="Arial"/>
          <w:sz w:val="17"/>
          <w:szCs w:val="17"/>
          <w:color w:val="auto"/>
        </w:rPr>
        <w:t>”). The security interest of the Administrative Agent granted pursuant hereto shall at all times be valid, perfected and enforceable as a first priority security interest. Without limiting the generality of the foregoing, the Borrower hereby authorizes the Administrative Agent to file one or more UCC financing statements (including amendments thereto and continuations thereof) in such jurisdictions and filing offices and containing such description of Account Collateral as may be reasonably necessary in order to perfect the security interest granted herein.</w:t>
      </w:r>
    </w:p>
    <w:p>
      <w:pPr>
        <w:spacing w:after="0" w:line="239" w:lineRule="exact"/>
        <w:rPr>
          <w:rFonts w:ascii="Arial" w:cs="Arial" w:eastAsia="Arial" w:hAnsi="Arial"/>
          <w:sz w:val="17"/>
          <w:szCs w:val="17"/>
          <w:color w:val="auto"/>
        </w:rPr>
      </w:pPr>
    </w:p>
    <w:p>
      <w:pPr>
        <w:jc w:val="both"/>
        <w:ind w:firstLine="1305"/>
        <w:spacing w:after="0" w:line="276" w:lineRule="auto"/>
        <w:tabs>
          <w:tab w:leader="none" w:pos="199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The Depositary Agent is the agent of the Administrative Agent (for the benefit of the Secured Parties) for the purpose of receiving payments contemplated hereunder and for the purpose of perfecting the Lien of the Administrative Agent (for the benefit of the Secured Parties) in and to the Debt Service Reserve Account and the other Account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Depositary Agent shall not be responsible to take any action to perfect such Lien except through the performance of its express obligations hereunder or upon the written direction of the Administrative Agent complying with this Agreement. This Agreement constitutes a “security agreement” as defined in Article 9 of the UCC.</w:t>
      </w:r>
    </w:p>
    <w:p>
      <w:pPr>
        <w:spacing w:after="0" w:line="22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Debt Service Reserve Account Maintained as UCC “Securities Account”</w:t>
      </w:r>
      <w:r>
        <w:rPr>
          <w:rFonts w:ascii="Arial" w:cs="Arial" w:eastAsia="Arial" w:hAnsi="Arial"/>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6" w:name="page347"/>
    <w:bookmarkEnd w:id="346"/>
    <w:p>
      <w:pPr>
        <w:jc w:val="both"/>
        <w:ind w:firstLine="1305"/>
        <w:spacing w:after="0" w:line="284" w:lineRule="auto"/>
        <w:tabs>
          <w:tab w:leader="none" w:pos="215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Depositary Agent hereby agrees and confirms that it has established the Debt Service Reserve Account as set forth and defined in this Agreement. The Depositary Agent agrees that (i) the Debt Service Reserve Account established by Depositary Agent is and will be maintained as a “securities account” (within the meaning of Section 8-501 of the UCC); (ii) the Depositary Agent will treat the Account Collateral, and all rights related thereto, now or hereafter deposited in or credited to the Debt Service Reserve Account as “financial assets” (within the meaning of Section 8-102(a)(9) of the UCC and together with all such property and rights, the “</w:t>
      </w:r>
      <w:r>
        <w:rPr>
          <w:rFonts w:ascii="Arial" w:cs="Arial" w:eastAsia="Arial" w:hAnsi="Arial"/>
          <w:sz w:val="16"/>
          <w:szCs w:val="16"/>
          <w:u w:val="single" w:color="auto"/>
          <w:color w:val="auto"/>
        </w:rPr>
        <w:t>Financial Assets</w:t>
      </w:r>
      <w:r>
        <w:rPr>
          <w:rFonts w:ascii="Arial" w:cs="Arial" w:eastAsia="Arial" w:hAnsi="Arial"/>
          <w:sz w:val="16"/>
          <w:szCs w:val="16"/>
          <w:color w:val="auto"/>
        </w:rPr>
        <w:t>”), to be held by the Depositary Agent, acting as “securities intermediary” (as defined in Section 8-102(a)(14) of the UCC); (iii) the Borrower and the Administrative Agent are each an “entitlement holder” (within the meaning of Section 8-102(a)(7) of the UCC) in respect of Financial Assets credited to the Debt Service Reserve Account; (iv) all Financial Assets in registered form or payable to or to the order of and credited to the Debt Service Reserve Account shall be registered in the name of, payable to or to the order of, or specially endorsed to, the Depositary Agent or in blank, or credited to another securities account maintained in the name of the Depositary Agent as “securities intermediary” for the Borrower and the Administrative Agent; and (v) in no case will any Financial Asset credited to the Debt Service Reserve Account be registered in the name of, payable to or to the order of, or endorsed to, the Borrower except to the extent the foregoing have been subsequently endorsed by the Borrower to the Depositary Agent or in blank. Each item of Property (including a security, security entitlement, investment property, instrument or obligation, share, participation, interest or other property whatsoever) credited to the Debt Service Reserve Account shall to the fullest extent permitted by law be treated as a Financial Asset. Until the Discharge Date, the Administrative Agent shall have “control” (within the meaning of Section 8-106(d) or Section 9-104(a) (as applicable) of the UCC) of the Debt Service Reserve Account and the “security entitlements” (within the meaning of Section 8-102(a)(17) of the UCC) with respect to the Financial Assets credited to the Debt Service Reserve Account. All property delivered to the Depositary Agent pursuant to this Agreement will be promptly credited to the Debt Service Reserve Account. The Borrower hereby irrevocably directs, and the Depositary Agent (in its capacity as securities intermediary) hereby agrees, that the Depositary Agent will comply with all instructions and orders (including entitlement orders within the meaning of Section 8-102(a)(8) of the UCC) regarding the Debt Service Reserve Account and any Financial Asset therein originated by the Administrative Agent without the further consent of the Borrower, any other Loan Party or any other Person. In the case of a conflict between any instruction or order originated by the Administrative Agent and any instruction or order originated by the Borrower, any other Loan Party or any other Person other than a court of competent jurisdiction, the instruction or order originated by the Administrative Agent shall prevail. The Depositary Agent shall not change the entitlement holder in respect of any Financial Asset credited to any Account, which shall at all times be the Borrower and the Administrative Agent.</w:t>
      </w:r>
    </w:p>
    <w:p>
      <w:pPr>
        <w:spacing w:after="0" w:line="232" w:lineRule="exact"/>
        <w:rPr>
          <w:rFonts w:ascii="Arial" w:cs="Arial" w:eastAsia="Arial" w:hAnsi="Arial"/>
          <w:sz w:val="16"/>
          <w:szCs w:val="16"/>
          <w:color w:val="auto"/>
        </w:rPr>
      </w:pPr>
    </w:p>
    <w:p>
      <w:pPr>
        <w:jc w:val="both"/>
        <w:ind w:firstLine="1305"/>
        <w:spacing w:after="0" w:line="255" w:lineRule="auto"/>
        <w:tabs>
          <w:tab w:leader="none" w:pos="210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Administrative Agent hereby agrees with the Borrower that the Administrative Agent will not originate any instruction or order (including entitlement orders within the meaning of Section 8-102(a)(8) of the UCC) regarding the Debt Service Reserve Account, any Financial Asset therein or any other amounts on deposit or credited thereto unless and until a Trigger Event has occurred and is continuing. The foregoing is solely the agreement between the Administrative Agent and the Borrower; therefore, such provision (i) in no way limits or modifies the Depositary Agent’s obligations under paragraph 2.4(a) herein and (ii) imposes no duty or obligation on the Depositary Agent to investigate or inquire of any party whether a Trigger Event has occurred and is continuing.</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Jurisdiction of Depositary Agent</w:t>
      </w:r>
      <w:r>
        <w:rPr>
          <w:rFonts w:ascii="Arial" w:cs="Arial" w:eastAsia="Arial" w:hAnsi="Arial"/>
          <w:sz w:val="18"/>
          <w:szCs w:val="18"/>
          <w:color w:val="auto"/>
        </w:rPr>
        <w:t>. The Borrower, the Administrative Agent and the Depositary Agent agree that, for purposes of the UCC, notwithstanding anything to the contrary contained in any other agreement relating to the establishment and operation of the Debt Service Reserve Account, the jurisdiction of the Depositary Agent (in its capacity as the securities intermediary and bank) is the State of New York and the laws of the State of New York govern the establishment and operation of the Debt Service Reserve Account.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47" w:name="page348"/>
    <w:bookmarkEnd w:id="347"/>
    <w:p>
      <w:pPr>
        <w:jc w:val="both"/>
        <w:ind w:firstLine="648"/>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Degree of Care; Liens</w:t>
      </w:r>
      <w:r>
        <w:rPr>
          <w:rFonts w:ascii="Arial" w:cs="Arial" w:eastAsia="Arial" w:hAnsi="Arial"/>
          <w:sz w:val="18"/>
          <w:szCs w:val="18"/>
          <w:color w:val="auto"/>
        </w:rPr>
        <w:t>. The Depositary Agent shall exercise the same degree of care in administering the funds held in or credited to the Debt Service Reserve Account and the investments purchased with such funds in accordance with the terms of this Agreement as the Depositary Agent exercises in the ordinary course of its day-to-day business in administering other funds and investments for its own account and as required by Law. The Depositary Agent is not party to and shall not execute and deliver, or otherwise become bound by, any agreement under which the Depositary Agent agrees with any Person other than the Administrative Agent to comply with entitlement orders or instructions originated by such Person relating to the Debt Service Reserve Account or the Account Collateral that are the subject of this Agreement. The Depositary Agent shall not grant any Lien on any Financial Asset credited to the Debt Service Reserve Account.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Subordination of Lien</w:t>
      </w:r>
      <w:r>
        <w:rPr>
          <w:rFonts w:ascii="Arial" w:cs="Arial" w:eastAsia="Arial" w:hAnsi="Arial"/>
          <w:sz w:val="18"/>
          <w:szCs w:val="18"/>
          <w:color w:val="auto"/>
        </w:rPr>
        <w:t>. In the event that the Depositary Agent has or subsequently obtains by agreement, operation of law or otherwise a Lien on, security interest in or right of setoff to the Debt Service Reserve Account or any Account Collateral, the Depositary Agent agrees that such Lien, security interest or right of setoff shall be subordinate to the Liens of the Administrative Agent.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 Other Agreements</w:t>
      </w:r>
      <w:r>
        <w:rPr>
          <w:rFonts w:ascii="Arial" w:cs="Arial" w:eastAsia="Arial" w:hAnsi="Arial"/>
          <w:sz w:val="18"/>
          <w:szCs w:val="18"/>
          <w:color w:val="auto"/>
        </w:rPr>
        <w:t>. None of the Depositary Agent, the Administrative Agent or the Borrower have entered or will enter into any agreement with respect the Debt Service Reserve Account or any Account Collateral, other than this Agreement and Loan Documents.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Notice of Adverse Claims</w:t>
      </w:r>
      <w:r>
        <w:rPr>
          <w:rFonts w:ascii="Arial" w:cs="Arial" w:eastAsia="Arial" w:hAnsi="Arial"/>
          <w:sz w:val="17"/>
          <w:szCs w:val="17"/>
          <w:color w:val="auto"/>
        </w:rPr>
        <w:t>. The Depositary Agent hereby represents that, except for the claims and interests of the Administrative Agent and the Borrower in the Debt Service Reserve Account, the Depositary Agent, (a) as of the date hereof, has no knowledge of, and has received no notice of, and (b) as of the date on which the Debt Service Reserve Account is established pursuant to this Agreement, has received no notice of, any claim to, or interest in, the Debt Service Reserve Account or any other Account Collateral. If any Person asserts any Lien (including any writ, garnishment, judgment, warrant of attachment, execution or similar process) against the Debt Service Reserve Account or any other Account Collateral, the Depositary Agent, upon obtaining actual knowledge thereof, will promptly notify the Administrative Agent and Borrower thereof.</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Rights and Powers of the Administrative Agent</w:t>
      </w:r>
      <w:r>
        <w:rPr>
          <w:rFonts w:ascii="Arial" w:cs="Arial" w:eastAsia="Arial" w:hAnsi="Arial"/>
          <w:sz w:val="18"/>
          <w:szCs w:val="18"/>
          <w:color w:val="auto"/>
        </w:rPr>
        <w:t>. The rights and powers granted to the Administrative Agent by the Secured Parties, pursuant to the Loan Documents and the terms hereof have been granted in order to, among other things, perfect their respective Lien in the Debt Service Reserve Account and the other Account Collateral and to otherwise act, subject to the terms of the Loan Documents, as their agent with respect to such perfection. The Borrower hereby authorizes and directs the Depositary Agent to act at the direction, or on the instructions, of the Administrative Agent with respect to withdrawals, transfers and payments from and to the Debt Service Reserve Account or as otherwise specified herein, in each case in accordance with the terms hereof.</w:t>
      </w:r>
    </w:p>
    <w:p>
      <w:pPr>
        <w:spacing w:after="0" w:line="24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remain in full force and effect until the Discharge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SERVICE RESERVE ACCOUNT</w:t>
      </w:r>
    </w:p>
    <w:p>
      <w:pPr>
        <w:spacing w:after="0" w:line="2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Deposits into Debt Service Reserve Account</w:t>
      </w:r>
      <w:r>
        <w:rPr>
          <w:rFonts w:ascii="Arial" w:cs="Arial" w:eastAsia="Arial" w:hAnsi="Arial"/>
          <w:sz w:val="16"/>
          <w:szCs w:val="16"/>
          <w:color w:val="auto"/>
        </w:rPr>
        <w:t>. On the Closing Date, the Borrower shall deposit funds in the Debt Service Reserve Account in an aggregate amount, together with any other funds then on deposit in the Debt Service Reserve Account, equal to the Debt Service Reserve Requirement as of the Closing Date. Thereafter, if, on any Credit Date prior to the satisfaction of the Full DSRA Funding Condition, the aggregate funds then on deposit in or credited to the Debt Service Reserve Account is less than the Debt Service Reserve Requirement at such time (a “</w:t>
      </w:r>
      <w:r>
        <w:rPr>
          <w:rFonts w:ascii="Arial" w:cs="Arial" w:eastAsia="Arial" w:hAnsi="Arial"/>
          <w:sz w:val="16"/>
          <w:szCs w:val="16"/>
          <w:u w:val="single" w:color="auto"/>
          <w:color w:val="auto"/>
        </w:rPr>
        <w:t>DSRA Shortfall</w:t>
      </w:r>
      <w:r>
        <w:rPr>
          <w:rFonts w:ascii="Arial" w:cs="Arial" w:eastAsia="Arial" w:hAnsi="Arial"/>
          <w:sz w:val="16"/>
          <w:szCs w:val="16"/>
          <w:color w:val="auto"/>
        </w:rPr>
        <w:t>”) the Debt Service Reserve Account shall be funded with cash from the proceeds of the applicable Credit Extension in an amount equal to the DSRA Shortfall.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48" w:name="page349"/>
    <w:bookmarkEnd w:id="348"/>
    <w:p>
      <w:pPr>
        <w:jc w:val="both"/>
        <w:ind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Net Interest on Deposits</w:t>
      </w:r>
      <w:r>
        <w:rPr>
          <w:rFonts w:ascii="Arial" w:cs="Arial" w:eastAsia="Arial" w:hAnsi="Arial"/>
          <w:sz w:val="18"/>
          <w:szCs w:val="18"/>
          <w:color w:val="auto"/>
        </w:rPr>
        <w:t>. At any time that there is a DSRA Shortfall, the Borrower may elect by providing notice to the Depositary Agent (with a copy to the Administrative Agent), which may be in the form of a standing notice, that net interest, if any, earned on funds on deposit in the Debt Service Reserve Account shall be accumulated therein.</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[Reserved].Disbursements of Excess Amounts</w:t>
      </w:r>
      <w:r>
        <w:rPr>
          <w:rFonts w:ascii="Arial" w:cs="Arial" w:eastAsia="Arial" w:hAnsi="Arial"/>
          <w:sz w:val="18"/>
          <w:szCs w:val="18"/>
          <w:color w:val="auto"/>
        </w:rPr>
        <w:t>. If at any time that the funds then on deposit in, or credited to, the Debt Service Reserve Account exceed the Debt Service Reserve Requirement at such time (a “</w:t>
      </w:r>
      <w:r>
        <w:rPr>
          <w:rFonts w:ascii="Arial" w:cs="Arial" w:eastAsia="Arial" w:hAnsi="Arial"/>
          <w:sz w:val="18"/>
          <w:szCs w:val="18"/>
          <w:u w:val="single" w:color="auto"/>
          <w:color w:val="auto"/>
        </w:rPr>
        <w:t>DSRA Excess</w:t>
      </w:r>
      <w:r>
        <w:rPr>
          <w:rFonts w:ascii="Arial" w:cs="Arial" w:eastAsia="Arial" w:hAnsi="Arial"/>
          <w:sz w:val="18"/>
          <w:szCs w:val="18"/>
          <w:color w:val="auto"/>
        </w:rPr>
        <w:t>”), the Borrower may, until the DSRA Excess is eliminated, instruct the Depositary Agent to transfer an amount of funds from the Debt Service Reserve Account to the Persons specified in a certificate signed by a Responsible Office of the Borrower, which shall certify (A) the amount of such transfer and (B) that the amount of such transfer does not exceed the DSRA Excess at such time, which transfer the Depositary Agent shall make at the time specified in such certificate (it is understood that such certificate may be a part of a Withdrawal Certificate).</w:t>
      </w:r>
    </w:p>
    <w:p>
      <w:pPr>
        <w:spacing w:after="0" w:line="2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Disbursements to Pay Debt Service</w:t>
      </w:r>
      <w:r>
        <w:rPr>
          <w:rFonts w:ascii="Arial" w:cs="Arial" w:eastAsia="Arial" w:hAnsi="Arial"/>
          <w:sz w:val="16"/>
          <w:szCs w:val="16"/>
          <w:color w:val="auto"/>
        </w:rPr>
        <w:t>. On each date on which Debt Service is due under and in accordance with the Loan Documents, if the funds available for payment of Debt Service are not anticipated to be, or are not, adequate to pay the full amount of Debt Service due (any such shortfall, a “</w:t>
      </w:r>
      <w:r>
        <w:rPr>
          <w:rFonts w:ascii="Arial" w:cs="Arial" w:eastAsia="Arial" w:hAnsi="Arial"/>
          <w:sz w:val="16"/>
          <w:szCs w:val="16"/>
          <w:u w:val="single" w:color="auto"/>
          <w:color w:val="auto"/>
        </w:rPr>
        <w:t>Debt Service Payment Deficiency</w:t>
      </w:r>
      <w:r>
        <w:rPr>
          <w:rFonts w:ascii="Arial" w:cs="Arial" w:eastAsia="Arial" w:hAnsi="Arial"/>
          <w:sz w:val="16"/>
          <w:szCs w:val="16"/>
          <w:color w:val="auto"/>
        </w:rPr>
        <w:t>”), then the Depositary Agent (at the direction of (A) the Borrower pursuant to a Withdrawal Certificate or</w:t>
      </w:r>
    </w:p>
    <w:p>
      <w:pPr>
        <w:jc w:val="both"/>
        <w:ind w:firstLine="8"/>
        <w:spacing w:after="0" w:line="254" w:lineRule="auto"/>
        <w:tabs>
          <w:tab w:leader="none" w:pos="29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the Borrower has not so delivered a Withdrawal Certificate by 1:00 p.m. (New York City time) on the Business Day on which such amounts were due and not paid, the Administrative Agent) shall withdraw from the Debt Service Reserve Account and immediately transfer to the Administrative Agent cash in an amount equal to the Debt Service Payment Deficiency (or, if less, the aggregate amount of funds then on deposit in or credited to the Debt Service Reserve Account).</w:t>
      </w:r>
    </w:p>
    <w:p>
      <w:pPr>
        <w:spacing w:after="0" w:line="24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Investment of Debt Service Reserve Account</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9" w:lineRule="auto"/>
        <w:tabs>
          <w:tab w:leader="none" w:pos="217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Amounts deposited in the Debt Service Reserve Account under this Agreement shall, at the Borrower’s written request and direction, be invested by the Depositary Agent in Cash Equivalents as specifically directed by the Borrower (which may include standing instructions), subject to any investment cut-offs of any Cash Equivalent investments directed by the Borrower. Any loss shall be charged to the Debt Service Reserve Account.</w:t>
      </w:r>
    </w:p>
    <w:p>
      <w:pPr>
        <w:spacing w:after="0" w:line="240" w:lineRule="exact"/>
        <w:rPr>
          <w:rFonts w:ascii="Arial" w:cs="Arial" w:eastAsia="Arial" w:hAnsi="Arial"/>
          <w:sz w:val="18"/>
          <w:szCs w:val="18"/>
          <w:color w:val="auto"/>
        </w:rPr>
      </w:pPr>
    </w:p>
    <w:p>
      <w:pPr>
        <w:jc w:val="both"/>
        <w:ind w:firstLine="1305"/>
        <w:spacing w:after="0" w:line="259" w:lineRule="auto"/>
        <w:tabs>
          <w:tab w:leader="none" w:pos="201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the event that at any time amounts are funded into the Debt Service Reserve Account after 1:00 P.M. (New York City time) on any Business Day, the Depositary Agent shall have no obligation to invest or reinvest such amounts on the date on which such amounts are funded. Instructions with respect to the investment of amounts received into the Debt Service Reserve Account after 1:00 P.M. (New York City time) may, in the sole discretion of the Depositary Agent, be deemed to apply for the following Business Day.</w:t>
      </w:r>
    </w:p>
    <w:p>
      <w:pPr>
        <w:spacing w:after="0" w:line="240" w:lineRule="exact"/>
        <w:rPr>
          <w:rFonts w:ascii="Arial" w:cs="Arial" w:eastAsia="Arial" w:hAnsi="Arial"/>
          <w:sz w:val="18"/>
          <w:szCs w:val="18"/>
          <w:color w:val="auto"/>
        </w:rPr>
      </w:pPr>
    </w:p>
    <w:p>
      <w:pPr>
        <w:jc w:val="both"/>
        <w:ind w:firstLine="1305"/>
        <w:spacing w:after="0" w:line="276" w:lineRule="auto"/>
        <w:tabs>
          <w:tab w:leader="none" w:pos="205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If and when cash is required for the making of any transfer, disbursement or withdrawal in accordance with this Agreement, the Borrower shall cause Cash Equivalents to be sold or otherwise liquidated into cash (without regard to maturity) as and to the extent necessary in order to make such transfers, disbursements or withdrawals required pursuant to this Agreement. The Depositary Agent shall comply with any instruction from the Borrower with respect to the liquidation of such Cash Equivalents. In the event any such investments are so redeemed prior to the maturity thereof, neither the Depositary Agent nor the Administrative Agent shall be liable for any loss or penalties relating to any investment.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49" w:name="page350"/>
    <w:bookmarkEnd w:id="349"/>
    <w:p>
      <w:pPr>
        <w:ind w:firstLine="1305"/>
        <w:spacing w:after="0" w:line="277" w:lineRule="auto"/>
        <w:tabs>
          <w:tab w:leader="none" w:pos="200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For purposes of determining responsibility for any income tax payable on account of any income or gain on any Cash Equivalents hereunder, such income or gain shall be for the account of the Borrower.</w:t>
      </w:r>
    </w:p>
    <w:p>
      <w:pPr>
        <w:spacing w:after="0" w:line="22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7"/>
          <w:szCs w:val="17"/>
          <w:u w:val="single" w:color="auto"/>
          <w:color w:val="auto"/>
        </w:rPr>
        <w:t>Disposition of the Debt Service Reserve Account upon Discharge Date</w:t>
      </w:r>
      <w:r>
        <w:rPr>
          <w:rFonts w:ascii="Arial" w:cs="Arial" w:eastAsia="Arial" w:hAnsi="Arial"/>
          <w:sz w:val="17"/>
          <w:szCs w:val="17"/>
          <w:color w:val="auto"/>
        </w:rPr>
        <w:t>.  In the event that the Depositary Agent shall have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received a certificate from the Administrative Agent stating that the Discharge Date shall have occurred (and the Administrative Agent agrees to deliver such certification to the Depositary Agent immediately upon the occurrence of the Discharge Date), all amounts remaining in the Debt Service Reserve Account shall be remitted to the Borrower or as otherwise directed in writing by the Borrower.</w:t>
      </w:r>
    </w:p>
    <w:p>
      <w:pPr>
        <w:spacing w:after="0" w:line="24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Account Balance Statements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5" w:lineRule="auto"/>
        <w:tabs>
          <w:tab w:leader="none" w:pos="215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Depositary Agent shall, on a monthly basis within 15 days after the end of each month, and at such other times as the Administrative Agent or a financial officer of the Borrower on a list to be provided to the Administrative Agent (which may be supplemented from time to time) may from time to time reasonably request, provide to the Administrative Agent and the Borrower, fund balance statements in respect of the Debt Service Reserve Account and any sub-accounts. Such balance statement shall also include deposits, withdrawals and transfers from and to the Debt Service Reserve Account and any sub-account and the net investment income or gain received and collected in the Debt Service Reserve Account and each such sub-account. The Depositary Agent shall maintain records of all receipts, disbursements, and investments of funds with respect to the Debt Service Reserve Account until the third anniversary of the Discharge Date.</w:t>
      </w:r>
    </w:p>
    <w:p>
      <w:pPr>
        <w:spacing w:after="0" w:line="243" w:lineRule="exact"/>
        <w:rPr>
          <w:rFonts w:ascii="Arial" w:cs="Arial" w:eastAsia="Arial" w:hAnsi="Arial"/>
          <w:sz w:val="18"/>
          <w:szCs w:val="18"/>
          <w:color w:val="auto"/>
        </w:rPr>
      </w:pPr>
    </w:p>
    <w:p>
      <w:pPr>
        <w:jc w:val="both"/>
        <w:ind w:firstLine="1305"/>
        <w:spacing w:after="0" w:line="257" w:lineRule="auto"/>
        <w:tabs>
          <w:tab w:leader="none" w:pos="211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Upon the Borrower’s election (which the Borrower hereby elects until further notice to the Depositary Agent), the Depositary Agent also hereby agrees to provide the Borrower and the Administrative Agent with electronic access to all bank and account statements related to the Debt Service Reserve Account (subject to the Borrower and Administrative Agent providing the Depositary Agent reasonable information that is needed to provide such Person with access to such system). Such statements will be delivered via the Depositary Agent’s online trust and custody service and while electing such service, paper statements will be provided only upon request.</w:t>
      </w:r>
    </w:p>
    <w:p>
      <w:pPr>
        <w:spacing w:after="0" w:line="242" w:lineRule="exact"/>
        <w:rPr>
          <w:rFonts w:ascii="Arial" w:cs="Arial" w:eastAsia="Arial" w:hAnsi="Arial"/>
          <w:sz w:val="18"/>
          <w:szCs w:val="18"/>
          <w:color w:val="auto"/>
        </w:rPr>
      </w:pPr>
    </w:p>
    <w:p>
      <w:pPr>
        <w:jc w:val="both"/>
        <w:ind w:firstLine="1305"/>
        <w:spacing w:after="0" w:line="259" w:lineRule="auto"/>
        <w:tabs>
          <w:tab w:leader="none" w:pos="209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Borrower waives the right to receive brokerage confirmations of security transactions effected by the Depositary Agent as they occur, to the extent permitted by Law. The Borrower and Administrative Agent further understands that trade confirmations for securities transactions effected by Depositary Agent will be available upon request and at no additional cost and other trade confirmations may be obtained from the applicable broker.</w:t>
      </w:r>
    </w:p>
    <w:p>
      <w:pPr>
        <w:spacing w:after="0" w:line="24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Events of Default; Trigger Events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9" w:lineRule="auto"/>
        <w:tabs>
          <w:tab w:leader="none" w:pos="211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On and after any date on which the Depositary Agent receives written notice from the Administrative Agent that an Event of Default has occurred and is continuing and that the Administrative Agent has been instructed by the requisite Lenders under the Credit Agreement to exercise any right or remedy in respect of the Debt Service Reserve Account (such action and application, a “</w:t>
      </w:r>
      <w:r>
        <w:rPr>
          <w:rFonts w:ascii="Arial" w:cs="Arial" w:eastAsia="Arial" w:hAnsi="Arial"/>
          <w:sz w:val="16"/>
          <w:szCs w:val="16"/>
          <w:u w:val="single" w:color="auto"/>
          <w:color w:val="auto"/>
        </w:rPr>
        <w:t>Trigger Event</w:t>
      </w:r>
      <w:r>
        <w:rPr>
          <w:rFonts w:ascii="Arial" w:cs="Arial" w:eastAsia="Arial" w:hAnsi="Arial"/>
          <w:sz w:val="16"/>
          <w:szCs w:val="16"/>
          <w:color w:val="auto"/>
        </w:rPr>
        <w:t>,” and the date of receipt of such notice, the “</w:t>
      </w:r>
      <w:r>
        <w:rPr>
          <w:rFonts w:ascii="Arial" w:cs="Arial" w:eastAsia="Arial" w:hAnsi="Arial"/>
          <w:sz w:val="16"/>
          <w:szCs w:val="16"/>
          <w:u w:val="single" w:color="auto"/>
          <w:color w:val="auto"/>
        </w:rPr>
        <w:t>Trigger Event Date</w:t>
      </w:r>
      <w:r>
        <w:rPr>
          <w:rFonts w:ascii="Arial" w:cs="Arial" w:eastAsia="Arial" w:hAnsi="Arial"/>
          <w:sz w:val="16"/>
          <w:szCs w:val="16"/>
          <w:color w:val="auto"/>
        </w:rPr>
        <w:t xml:space="preserve">”), notwithstanding anything to the contrary contained herein, the Depositary Agent shall thereafter accept all notices and instructions required or permitted to be given to the Depositary Agent pursuant to the terms of this Agreement only from the Administrative Agent and not from the Borrower, any other Loan Party or any other Person and the Depositary Agent shall not withdraw, transfer, pay or otherwise distribute any monies in any of the Debt Service Reserve Account except pursuant to such notices and instructions from the Administrative Agent unless the Depositary Agent shall have received written notice from the Administrative Agent that such Event of Default has been waived, cured or no longer exists in accordance with the terms of the applicable Loan Documents, in which event the terms of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shall thereafter be inapplicable to such Event of Default.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0" w:name="page351"/>
    <w:bookmarkEnd w:id="350"/>
    <w:p>
      <w:pPr>
        <w:jc w:val="both"/>
        <w:ind w:firstLine="1305"/>
        <w:spacing w:after="0" w:line="264" w:lineRule="auto"/>
        <w:tabs>
          <w:tab w:leader="none" w:pos="220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Within three Business Days of a Trigger Event Date, the Depositary Agent shall, upon the receipt of a written request the Administrative Agent or the Borrower, provide a statement of all monies in the Debt Service Reserve Account as of such Trigger Event Date to the Administrative Agent and the Borrower.</w:t>
      </w:r>
    </w:p>
    <w:p>
      <w:pPr>
        <w:spacing w:after="0" w:line="235" w:lineRule="exact"/>
        <w:rPr>
          <w:rFonts w:ascii="Arial" w:cs="Arial" w:eastAsia="Arial" w:hAnsi="Arial"/>
          <w:sz w:val="18"/>
          <w:szCs w:val="18"/>
          <w:color w:val="auto"/>
        </w:rPr>
      </w:pPr>
    </w:p>
    <w:p>
      <w:pPr>
        <w:jc w:val="both"/>
        <w:ind w:firstLine="1305"/>
        <w:spacing w:after="0" w:line="302" w:lineRule="auto"/>
        <w:tabs>
          <w:tab w:leader="none" w:pos="199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From and after a Trigger Event Date, and notwithstanding anything herein to the contrary (but without limiting any of the Secured Parties’ rights or remedies under the Security Documents), the Administrative Agent (or the Depositary Agent at the Administrative Agent’s direction) shall have the right to control the Debt Service Reserve Account, use the Account Collateral to repay the Obligations and sell, dispose or realize on the Account Collateral and be permitted to (i) liquidate and invest in Cash Equivalents and (ii) direct the disposition of the funds in the Debt Service Reserve Account.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DEPOSITARY AGENT</w:t>
      </w:r>
    </w:p>
    <w:p>
      <w:pPr>
        <w:spacing w:after="0" w:line="2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Appointment, Authorization and Action</w:t>
      </w:r>
      <w:r>
        <w:rPr>
          <w:rFonts w:ascii="Arial" w:cs="Arial" w:eastAsia="Arial" w:hAnsi="Arial"/>
          <w:sz w:val="17"/>
          <w:szCs w:val="17"/>
          <w:color w:val="auto"/>
        </w:rPr>
        <w:t>.</w:t>
      </w:r>
    </w:p>
    <w:p>
      <w:pPr>
        <w:spacing w:after="0" w:line="279" w:lineRule="exact"/>
        <w:rPr>
          <w:sz w:val="20"/>
          <w:szCs w:val="20"/>
          <w:color w:val="auto"/>
        </w:rPr>
      </w:pPr>
    </w:p>
    <w:p>
      <w:pPr>
        <w:jc w:val="both"/>
        <w:ind w:firstLine="1305"/>
        <w:spacing w:after="0" w:line="284" w:lineRule="auto"/>
        <w:tabs>
          <w:tab w:leader="none" w:pos="198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The Borrower and the Administrative Agent on behalf of the Secured Parties hereby (i) appoint MSSFI, and MSSFI hereby agrees to act, as the Depositary Agent and (ii) authorize the Depositary Agent to take such action as agent and to exercise such powers and discretion under this Agreement as are delegated to the Depositary Agent by the terms hereof, together with such powers and discretion as are reasonably incidental thereto, with such powers as are expressly delegated to the Depositary Agent by the terms of this Agreement. As to any matters not expressly provided for by this Agreement (including enforcement of collection of the obligations of the Loan Parties), the Depositary Agent shall not be required to exercise any discretion or take any action, but shall be required to act or to refrain from acting (and shall be fully protected in so acting or refraining from acting) upon the instructions of the Administrative Agent, and such instructions shall be binding upon all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Agent shall not be required to take any action that exposes the Depositary Agent to personal liability or that is contrary to this Agreement or applicable law. The Depositary Agent shall not have any duties or responsibilities except those expressly set forth in this Agreement and no implied duties or covenants shall be read against the Depositary Agent. Without limiting the generality of the foregoing, the Depositary Agent shall take all actions as the Administrative Agent shall direct it to perform in accordance with the express provisions of this Agreement. All notices, instructions or requests to the Depositary Agent shall be in writing. Notwithstanding anything to the contrary contained herein, the Depositary Agent shall not be required to take any action which is contrary to this Agreement. Neither the Depositary Agent nor any of its Affiliates shall be responsible to the Secured Parties for any recitals, statements, representations or warranties made by the Borrower or any other Loan Party contained in this Agreement or any other Loan Document or in any certificate or other document referred to or provided for in, or received by any Secured Party under this Agreement or any other Loan Document for the value, validity, effectiveness, genuineness, enforceability or sufficiency of this Agreement or any other Loan Document or any other document referred to or provided for herein or therein or for any failure by the Borrower or any other Loan Party to perform its obligations hereunder or thereunder. The Depositary Agent shall not be required to ascertain or inquire as to the performance by the Borrower or any other Loan Party of any of its obligations under this Agreement, any other Loan Document or any other document or agreement contemplated hereby or thereby. The Depositary Agent shall not be (A) required to initiate or conduct any litigation or collection proceeding hereunder or under any other Security Document or (B) responsible for any action taken or omitted to be taken by it hereunder (except for its own gross negligence or willful misconduct, as determined by the final non-appealable judgment of a court of competent jurisdiction). Whenever in the administration of this Agreement the Depositary Agent shall deem it necessary or desirable that a factual or legal matter be proved or established in connection with the Depositary Agent taking, suffering or omitting to take any action hereunder, such matter (unless other evidence in respect thereof is herein specifically prescribed) may be deemed to be conclusively proved or established by a certificate of a Responsible Officer of the Borrower or a certificate of an officer of the Administrative Agent, if appropriate. The Depositary Agent shall have the right at any time to seek instructions concerning the administration of this Agreement from the Administrative Agent, the Borrower or any other Loan Party. The Depositary Agent shall have no obligation to expend or risk its own funds or otherwise incur any financial liability in the performance of any of its duties hereunder. The Depositary Agent shall not be liable for any error of judgment made in good faith by an officer or officers of the Depositary Agent, unless it shall be conclusively determined by a court of competent jurisdiction that the Depositary Agent was grossly negligent or acting with willful misconduct in ascertaining the pertinent facts.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1" w:name="page352"/>
    <w:bookmarkEnd w:id="351"/>
    <w:p>
      <w:pPr>
        <w:jc w:val="both"/>
        <w:ind w:firstLine="1305"/>
        <w:spacing w:after="0" w:line="287" w:lineRule="auto"/>
        <w:tabs>
          <w:tab w:leader="none" w:pos="201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Depositary Agent may execute any of the trusts or powers hereunder or perform any duties hereunder either directly or by or through agents, attorneys, custodians or nominees appointed with due care. Neither the Depositary Agent nor any of its officers, directors, employees or agents shall be liable for any action taken or omitted under this Agreement or in connection therewith except to the extent caused by the Depositary Agent’s gross negligence or willful misconduct, as determined by the final, non-appealable judgment of a court of competent jurisdiction. The Depositary Agent shall not be deemed to have knowledge of any default or an event of default (including any Event of Default) unless the Depositary Agent shall have received written notice thereof. The rights, privileges, protections and benefits given to the Depositary Agent, including its rights to be indemnified, are extended to, and shall be enforceable by, the Depositary Agent in each of its capacities hereunder, and to each agent, custodian and other Persons employed by the Administrative Agent in accordance herewith to act hereunder. The Depositary Agent may request that any Loan Party or Agent deliver a certificate setting forth the names of individuals and/or titles of officers authorized at such time to take specified actions pursuant to this Agreement, which certificate may be signed by any person authorized to sign such a certificate, including any person specified as so authorized in any such certificate previously delivered and not superseded. The permissive right of the Depositary Agent to take or refrain from taking action hereunder shall not be construed as a duty.</w:t>
      </w:r>
    </w:p>
    <w:p>
      <w:pPr>
        <w:spacing w:after="0" w:line="226" w:lineRule="exact"/>
        <w:rPr>
          <w:rFonts w:ascii="Arial" w:cs="Arial" w:eastAsia="Arial" w:hAnsi="Arial"/>
          <w:sz w:val="16"/>
          <w:szCs w:val="16"/>
          <w:color w:val="auto"/>
        </w:rPr>
      </w:pPr>
    </w:p>
    <w:p>
      <w:pPr>
        <w:ind w:right="20" w:firstLine="1305"/>
        <w:spacing w:after="0" w:line="277" w:lineRule="auto"/>
        <w:tabs>
          <w:tab w:leader="none" w:pos="210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Anything in this Agreement notwithstanding, in no event shall the Depositary Agent be liable for special, indirect, punitive or consequential loss or damage of any kind whatsoever (including loss of profit).</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Reliance by Depositary Agent</w:t>
      </w:r>
      <w:r>
        <w:rPr>
          <w:rFonts w:ascii="Arial" w:cs="Arial" w:eastAsia="Arial" w:hAnsi="Arial"/>
          <w:sz w:val="16"/>
          <w:szCs w:val="16"/>
          <w:color w:val="auto"/>
        </w:rPr>
        <w:t>. The Depositary Agent shall be entitled to conclusively rely upon and shall not be bound to make any investigation into the facts or matters stated in any certificate of the Borrower, any certificate of the Administrative Agent or any other notice or other document (including any electronic or facsimile transmission) believed by it to be genuine and to have been signed or sent by or on behalf of the proper Person or Persons, and upon advice and statement of legal counsel, independent accountants and other experts selected by the Depositary Agent and shall have no liability for its actions taken thereupon, unless due to the Depositary Agent’s willful misconduct or gross negligence, as determined by the final non-appealable judgment of a court of competent jurisdiction. The Depositary Agent shall be fully justified in failing or refusing to take any action under this Agreement (a) if such action would, in the reasonable opinion of the Depositary Agent, be contrary to applicable law or the terms of this Agreement, (b) if such action is not specifically provided for in this Agreement, it shall not have received any such advice or concurrence of the Administrative Agent as it deems appropriate or (c) if, in connection with the taking of any such action that would constitute an exercise of remedies under this Agreement (whether such action is or is intended to be an action of the Depositary Agent or the Administrative Agent), it shall not first be indemnified to its satisfaction by the Secured Parties (other than the Administrative Agent (in its individual capacity) or any other agent or trustee under any of the Loan Documents (in their respective individual capacities)) against any and all liability and expense which may be incurred by it by reason of taking or continuing to take any such action. The Depositary Agent shall in all cases be fully protected in acting, or in refraining from acting, under this Agreement in accordance with a request of the Administrative Agent, and such request and any action taken or failure to act pursuant thereto shall be binding upon all the Secured Parties.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2" w:name="page353"/>
    <w:bookmarkEnd w:id="352"/>
    <w:p>
      <w:pPr>
        <w:jc w:val="both"/>
        <w:ind w:firstLine="648"/>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Court Orders</w:t>
      </w:r>
      <w:r>
        <w:rPr>
          <w:rFonts w:ascii="Arial" w:cs="Arial" w:eastAsia="Arial" w:hAnsi="Arial"/>
          <w:sz w:val="18"/>
          <w:szCs w:val="18"/>
          <w:color w:val="auto"/>
        </w:rPr>
        <w:t>. The Depositary Agent is hereby authorized, in its exclusive discretion, to obey and comply with all writs, orders, judgments or decrees issued by any court or administrative agency affecting any money, documents or things held by the Depositary Agent. The Depositary Agent shall not be liable to any of the parties hereto or any of the Secured Parties or their successors, heirs or personal representatives by reason of the Depositary Agent’s compliance with such writs, orders, judgments or decrees, notwithstanding such writ, order, judgment or decree is later reversed, modified, set aside or vacated.</w:t>
      </w:r>
    </w:p>
    <w:p>
      <w:pPr>
        <w:spacing w:after="0" w:line="2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Resignation or Removal</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4" w:lineRule="auto"/>
        <w:tabs>
          <w:tab w:leader="none" w:pos="202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Subject to the appointment and acceptance of a successor Depositary Agent as provided below, the Depositary Agent may resign at any time by giving 30 days’ written notice thereof to the Administrative Agent and the Borrower. The Depositary Agent may be removed at any time with or without cause by the Administrative Agent. So long as no Event of Default shall have then occurred and be continuing, the Borrower shall have the right to remove the Depositary Agent for cause upon 60 days’ notice to the Depositary Agent and the Administrative Agent, subject to the consent of the Administrative Agent (not to be unreasonably withheld). In the event that the Depositary Agent shall decline to take any action without first receiving adequate indemnity (as reasonably determined by the Depositary Agent) from the Borrower, the other Loan Parties or the Secured Parties and, having received an adequate indemnity, shall continue to decline to take such action, each of the Borrower, the other Loan Parties and the Administrative Agent shall be deemed to have sufficient cause to remove the Depositary Agent. Notwithstanding anything to the contrary, no resignation or removal of the Depositary Agent shall be effective until (i) a successor Depositary Agent is appointed in accordance with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(ii) the resigning or removed Depositary Agent has transferred to its successor all of its rights and obligations in its capacity as the Depositary Agent under this Agreement and the other Loan Documents, and (iii) the successor Depositary Agent has executed and delivered an agreement to be bound by the terms hereof and perform all duties required of the Depositary Agent hereunder. Within 30 days of receipt of a written notice of any resignation or removal of the Depositary Agent, the Administrative Agent shall appoint a successor Depositary Agent with, so long as no Event of Default shall have then occurred and be continuing, the consent of the Borrower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does not confirm such acceptance or reject such appointee in writing within 30 days following selection of such successor by the Administrative Agent, then it shall be deemed to have given acceptance thereof and such successor shall be deemed appointed as the Depositary Agent hereunder. If no successor Depositary Agent shall have been appointed by the Administrative Agent and shall have accepted such appointment within 30 days after the retiring Depositary Agent’s giving of notice of resignation or the removal of the retiring Depositary Agent or if an Event of Default shall have then occurred and be continuing, then the retiring Depositary Agent may appoint a successor Depositary Agent, which shall be a bank or trust company which has an office in New York, New York and that has a combined capital surplus of at least $500,000,000 or at least $100,000,000 and is a wholly owned subsidiary of a bank or trust company that has a combined capital surplus of at least $500,000,000 and is reasonably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does not confirm such acceptance or reject such appointee in writing within 30 days following selection of such successor by the retiring Depositary Agent, then it shall be deemed to have given acceptance thereof and such successor shall be deemed appointed as the Depositary Agent hereunder.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3" w:name="page354"/>
    <w:bookmarkEnd w:id="353"/>
    <w:p>
      <w:pPr>
        <w:jc w:val="both"/>
        <w:ind w:firstLine="1305"/>
        <w:spacing w:after="0" w:line="269" w:lineRule="auto"/>
        <w:tabs>
          <w:tab w:leader="none" w:pos="208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Upon the acceptance of any appointment as Depositary Agent hereunder by the successor Depositary Agent, (i) such successor Depositary Agent shall thereupon succeed to and become vested with all the rights, powers, privileges and duties of the retiring Depositary Agent, and the retiring Depositary Agent shall be discharged from its duties and obligations hereunder and (ii) the retiring Depositary Agent shall promptly transfer all monies and Cash Equivalents within its possession or control to the possession or control of the successor Depositary Agent and shall execute and deliver such notices, instructions and assignments as may be necessary or desirable to transfer the rights of the Depositary Agent with respect to the monies and Cash Equivalents to the successor Depositary Agent. After the retiring Depositary Agent’s resignation or removal hereunder as Depositary Agent, the provisions of this Article IV and of Article V shall continue in effect for its benefit in respect of any actions taken or omitted to be taken by it while it was acting as Depositary Agent. Any corporation into which the Depositary Agent may be merged or converted or with which it may be consolidated or any corporation resulting from any merger, conversion or consolidation to which the Depositary Agent shall be a party, or any corporation succeeding to the business of the Depositary Agent shall be the successor of the Depositary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EXPENSES; INDEMNIFICATION; FEES</w:t>
      </w:r>
    </w:p>
    <w:p>
      <w:pPr>
        <w:spacing w:after="0" w:line="2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Compensation and Expenses</w:t>
      </w:r>
      <w:r>
        <w:rPr>
          <w:rFonts w:ascii="Arial" w:cs="Arial" w:eastAsia="Arial" w:hAnsi="Arial"/>
          <w:sz w:val="18"/>
          <w:szCs w:val="18"/>
          <w:color w:val="auto"/>
        </w:rPr>
        <w:t>. The Borrower agrees, if the Closing Date occurs, to pay to the Depositary Agent (a) the Depositary Agent’s fees in accordance with a fee schedule mutually agreed by the Depositary Agent and the Borrower and (b) the amount of any and all of the Depositary Agent’s reasonable and documented out-of-pocket expenses, including the reasonable and documented fees and expenses of its counsel (and one local counsel as reasonably necessary in each relevant jurisdiction material to the interests of the Depository Agent), which the Depositary Agent may incur in connection with this Agreement, including (i) the execution and administration of this Agreement, (ii) the custody or preservation of, or the sale of, collection from, or other realization upon, any of the Collateral or (iii) the exercise or enforcement (whether through negotiations, legal proceedings or otherwise) of any of the rights of the Depositary Agent under this Agreement. It is understood that, to the extent the above matters in clause (b) are set forth in a separate agreement between the Depositary Agent and the Borrower, such agreement shall govern in the event of a conflict between the provisions in clause (b) and such agreement.</w:t>
      </w:r>
    </w:p>
    <w:p>
      <w:pPr>
        <w:spacing w:after="0" w:line="2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Borrower agrees from and after the Closing Date, to indemnify and hold harmless the Depository Agent and its Affiliates, and their respective officers, directors, employees, partners, agents, advisors and other representatives of each of the foregoing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xml:space="preserve">”) from and against any and all liabilities, obligations, losses, damages, penalties, claims, demands, actions, judgments, suits, costs, expenses and disbursements (including reasonable and documented out-of-pocket legal fees, expenses, disbursements and other charges of one counsel to all Indemnitees taken as a whole) of any kind or nature whatsoever which may at any time be imposed on, incurred by or asserted against any such Indemnitee in any way relating to or arising out of or in connection with the execution, delivery, enforcement, performance or administration of this Agreement to the extent the Borrower would be required to do so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the Credit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65"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279" w:lineRule="exact"/>
        <w:rPr>
          <w:sz w:val="20"/>
          <w:szCs w:val="20"/>
          <w:color w:val="auto"/>
        </w:rPr>
      </w:pPr>
    </w:p>
    <w:p>
      <w:pPr>
        <w:ind w:left="-20" w:firstLine="1305"/>
        <w:spacing w:after="0" w:line="277" w:lineRule="auto"/>
        <w:tabs>
          <w:tab w:leader="none" w:pos="216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Credit Agreement.</w:t>
      </w:r>
    </w:p>
    <w:p>
      <w:pPr>
        <w:spacing w:after="0" w:line="224"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Notice and Other Communications</w:t>
      </w:r>
      <w:r>
        <w:rPr>
          <w:rFonts w:ascii="Arial" w:cs="Arial" w:eastAsia="Arial" w:hAnsi="Arial"/>
          <w:sz w:val="16"/>
          <w:szCs w:val="16"/>
          <w:color w:val="auto"/>
        </w:rPr>
        <w:t>.</w:t>
      </w:r>
    </w:p>
    <w:p>
      <w:pPr>
        <w:spacing w:after="0" w:line="279" w:lineRule="exact"/>
        <w:rPr>
          <w:sz w:val="20"/>
          <w:szCs w:val="20"/>
          <w:color w:val="auto"/>
        </w:rPr>
      </w:pPr>
    </w:p>
    <w:p>
      <w:pPr>
        <w:jc w:val="both"/>
        <w:ind w:left="-20" w:firstLine="1305"/>
        <w:spacing w:after="0" w:line="257" w:lineRule="auto"/>
        <w:tabs>
          <w:tab w:leader="none" w:pos="216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Unless otherwise expressly provided herein, all notices and other communications provided for hereunder shall be in writing (including by facsimile or electronic transmission;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to the Depositary Agent via electronic transmission shall include the notice in the form of an imaged or scanned attachment such as a “.pdf” file). All such written notices shall be mailed, faxed, emailed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242" w:lineRule="exact"/>
        <w:rPr>
          <w:sz w:val="20"/>
          <w:szCs w:val="20"/>
          <w:color w:val="auto"/>
        </w:rPr>
      </w:pPr>
    </w:p>
    <w:p>
      <w:pPr>
        <w:ind w:left="2760" w:hanging="827"/>
        <w:spacing w:after="0"/>
        <w:tabs>
          <w:tab w:leader="none" w:pos="27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to LNG Holdings (Florida) LLC, as the Borrower:</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LNG Holdings (Florida)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Telephone: (212) 515-4644</w:t>
      </w: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Fortress Investment Group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Attention: R. Nardone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Facsimile: (212) 798-6120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Telephone: (212) 798-6110</w:t>
      </w: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155 N. Wacker Drive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Chicago, Illinois 60606-1720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Attention: Seth E. Jacobson</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Facsimile: (312) 407-8511</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Telephone: (312) 407-0889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355" w:name="page356"/>
    <w:bookmarkEnd w:id="355"/>
    <w:p>
      <w:pPr>
        <w:ind w:left="2760" w:hanging="807"/>
        <w:spacing w:after="0"/>
        <w:tabs>
          <w:tab w:leader="none" w:pos="27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to MSSFI, as the Depositary Agent:</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Benjamin Meyers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522 Fifth Avenue, 10th Floor</w:t>
      </w: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10036</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(212) 507-3639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(212) 296-6013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Benjamin.Meyers@morganstanleypwm.com</w:t>
      </w:r>
    </w:p>
    <w:p>
      <w:pPr>
        <w:spacing w:after="0" w:line="265" w:lineRule="exact"/>
        <w:rPr>
          <w:sz w:val="20"/>
          <w:szCs w:val="20"/>
          <w:color w:val="auto"/>
        </w:rPr>
      </w:pPr>
    </w:p>
    <w:p>
      <w:pPr>
        <w:ind w:left="2760" w:hanging="807"/>
        <w:spacing w:after="0"/>
        <w:tabs>
          <w:tab w:leader="none" w:pos="27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to MSSFI, as the Administrative Agent:</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 New York Plaza, 41st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Agency Servicing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(212) 517-6680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msagency@morganstanley.com</w:t>
      </w:r>
    </w:p>
    <w:p>
      <w:pPr>
        <w:spacing w:after="0" w:line="23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or electronic mail;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Depositary Agent or the Administrative Agent shall not be effective until actually received by such Person. In no event shall a voice mail message be effective as a notice, communication or confirmation hereunder.</w:t>
      </w:r>
    </w:p>
    <w:p>
      <w:pPr>
        <w:spacing w:after="0" w:line="247" w:lineRule="exact"/>
        <w:rPr>
          <w:sz w:val="20"/>
          <w:szCs w:val="20"/>
          <w:color w:val="auto"/>
        </w:rPr>
      </w:pPr>
    </w:p>
    <w:p>
      <w:pPr>
        <w:ind w:firstLine="1305"/>
        <w:spacing w:after="0" w:line="291" w:lineRule="auto"/>
        <w:tabs>
          <w:tab w:leader="none" w:pos="2128"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Reliance by Agents and Lenders</w:t>
      </w:r>
      <w:r>
        <w:rPr>
          <w:rFonts w:ascii="Arial" w:cs="Arial" w:eastAsia="Arial" w:hAnsi="Arial"/>
          <w:sz w:val="16"/>
          <w:szCs w:val="16"/>
          <w:color w:val="auto"/>
        </w:rPr>
        <w:t>. The Administrative Agent and the Depository Agent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and the Depository Agent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the Administrative Agent or the Depository Agent may be recorded by the Administrative Agent or the Depository Agent, and each of the parties hereto hereby consents to such recording.</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w:t>
      </w:r>
    </w:p>
    <w:p>
      <w:pPr>
        <w:spacing w:after="0" w:line="279" w:lineRule="exact"/>
        <w:rPr>
          <w:sz w:val="20"/>
          <w:szCs w:val="20"/>
          <w:color w:val="auto"/>
        </w:rPr>
      </w:pPr>
    </w:p>
    <w:p>
      <w:pPr>
        <w:ind w:firstLine="1305"/>
        <w:spacing w:after="0" w:line="277" w:lineRule="auto"/>
        <w:tabs>
          <w:tab w:leader="none" w:pos="230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THIS AGREEMENT AND EACH OTHER LOAN DOCUMENT SHALL BE GOVERNED BY, AND CONSTRUED IN ACCORDANCE WITH, THE LAW OF THE STATE OF NEW YORK.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6" w:name="page357"/>
    <w:bookmarkEnd w:id="356"/>
    <w:p>
      <w:pPr>
        <w:jc w:val="both"/>
        <w:ind w:firstLine="1305"/>
        <w:spacing w:after="0" w:line="268" w:lineRule="auto"/>
        <w:tabs>
          <w:tab w:leader="none" w:pos="206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ANY LEGAL ACTION OR PROCEEDING ARISING UNDER THIS AGREEMENT OR IN ANY WAY CONNECTED WITH OR RELATED OR INCIDENTAL TO THE DEALINGS OF THE PARTIES HERETO OR ANY OF THEM WITH RESPECT TO THIS AGREEMENT, OR THE TRANSACTIONS RELATED THERETO, IN EACH CASE WHETHER NOW EXISTING OR HEREAFTER ARISING, SHALL BE BROUGHT IN THE COURTS OF THE STATE OF NEW YORK SITTING IN NEW YORK CITY OR OF THE UNITED STATES FOR THE SOUTHERN DISTRICT OF SUCH STATE, AND BY EXECUTION AND DELIVERY OF THIS AGREEMENT, EACH LOAN PARTY, THE DEPOSITARY AGENT AND EACH OTHER PARTY HERETO CONSENTS, FOR ITSELF AND IN RESPECT OF ITS PROPERTY, TO THE EXCLUSIVE JURISDICTION OF THOSE COURTS. EACH PARTY HERETO IRREVOCABLY WAIVES ANY OBJECTION, INCLUDING ANY OBJECTION TO THE LAYING OF VENUE OR BASED ON THE GROUNDS OF FORUM NON CONVENIENS, WHICH IT MAY NOW OR HEREAFTER HAVE TO THE BRINGING OF ANY ACTION OR PROCEEDING IN SUCH JURISDICTION IN RESPECT OF THIS AGREEMENT OR OTHER DOCUMENT RELATED HERETO. EACH PARTY HERETO IRREVOCABLY CONSENTS TO SERVICE OF PROCESS IN ANY ACTION OR PROCEEDING ARISING OUT OF OR RELATING TO THIS AGREEMENT OR ANY OTHER LOAN DOCUMENT IN THE MANNER PROVIDED FOR NOTICES (OTHER THAN TELECOPIER OR OTHER ELECTRONIC TRANSMISSION)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NOTHING IN THIS AGREEMENT WILL AFFECT THE RIGHT OF ANY PARTY HERETO TO SERVE PROCESS IN ANY OTHER MANNER PERMITTED BY APPLICABLE LAW.</w:t>
      </w:r>
    </w:p>
    <w:p>
      <w:pPr>
        <w:spacing w:after="0" w:line="23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TO THE EXTENT PERMITTED BY APPLICABLE LAW, EACH PARTY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TO THIS AGREEMENT HEREBY EXPRESSLY WAIVES ANY RIGHT TO TRIAL BY JURY OF ANY CLAIM, DEMAND, ACTION OR CAUSE OF ACTION ARISING UNDER THIS AGREEMENT OR IN ANY WAY CONNECTED WITH OR RELATED OR INCIDENTAL TO THE DEALINGS OF THE PARTIES HERETO OR ANY OF THEM WITH RESPECT TO THIS AGREEMENT, OR THE TRANSACTIONS RELATED 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8"/>
          <w:szCs w:val="18"/>
          <w:b w:val="1"/>
          <w:bCs w:val="1"/>
          <w:u w:val="single" w:color="auto"/>
          <w:color w:val="auto"/>
        </w:rPr>
        <w:t>SECTION 6.4</w:t>
      </w:r>
      <w:r>
        <w:rPr>
          <w:rFonts w:ascii="Arial" w:cs="Arial" w:eastAsia="Arial" w:hAnsi="Arial"/>
          <w:sz w:val="18"/>
          <w:szCs w:val="18"/>
          <w:b w:val="1"/>
          <w:bCs w:val="1"/>
          <w:color w:val="auto"/>
        </w:rPr>
        <w:t xml:space="preserve"> WITH ANY COURT AS WRITTEN EVIDENCE OF THE CONSENT OF THE SIGNATORIES HERETO TO THE WAIVER OF THEIR RIGHT TO TRIAL BY JURY.</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Depositary Agent, the Administrative Agent on behalf of the Secured Parties, and, upon reasonable request, the Borrower, agree that each of them shall take such further action and shall execute and deliver such additional documents and instruments (in recordable form, if requested) as the Administrative Agent may reasonably request to effectuate the terms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Binding Effect</w:t>
      </w:r>
      <w:r>
        <w:rPr>
          <w:rFonts w:ascii="Arial" w:cs="Arial" w:eastAsia="Arial" w:hAnsi="Arial"/>
          <w:sz w:val="17"/>
          <w:szCs w:val="17"/>
          <w:color w:val="auto"/>
        </w:rPr>
        <w:t xml:space="preserve">. This Agreement shall become effective when it shall have been executed by the Borrower, the Administrative Agent and the Depositary Agent and thereafter shall be binding upon and inure to the benefit of the Borrower, the Administrative Agent and the Depositary Agent and their respective successors and assigns, except that no Person hereto shall have the right to assign their rights hereunder or any interest herein without the prior written consent of the other Persons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foregoing shall not prohibit the Borrower from undertaking any transaction permitted by the Credit Agreement and (ii) any Person into which the Depositary Agent may be merged or converted or with which it may be consolidated, or any Person resulting from any merger, conversion or consolidation to which the Depositary Agent shall be a party, or any Person succeeding to all or substantially all of the corporate agency or corporate trust business of the Depositary Agent shall be the successor of the Depositary Agent, as the case may be, hereunder, without the execution or filing of all paper or any further act on the part of any of the parties hereto.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7" w:name="page358"/>
    <w:bookmarkEnd w:id="357"/>
    <w:p>
      <w:pPr>
        <w:jc w:val="both"/>
        <w:ind w:firstLine="648"/>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by the Administrative Agent or any other Secured Party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shall be effective as delivery of an original executed counterpart of this Agreement. Each Person party hereto may also require that any such documents and signatures delivered by telecopier or other electronic transmission be confirmed by a manually signed original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request or deliver the same shall not limit the effectiveness of any document or signature delivered by telecopier or other electronic transmission.</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together with the other Loan Documents, comprises the complete and integrated agreement of the parties on the subject matter hereof and thereof and supersedes all prior agreements, written or oral, on such subject matter. This Agreement was drafted with the joint participation of the respective parties thereto and shall be construed neither against nor in favor of any party, but rather in accordance with the fair meaning thereof.</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660"/>
              <w:spacing w:after="0"/>
              <w:rPr>
                <w:sz w:val="20"/>
                <w:szCs w:val="20"/>
                <w:color w:val="auto"/>
              </w:rPr>
            </w:pPr>
            <w:r>
              <w:rPr>
                <w:rFonts w:ascii="Arial" w:cs="Arial" w:eastAsia="Arial" w:hAnsi="Arial"/>
                <w:sz w:val="18"/>
                <w:szCs w:val="18"/>
                <w:color w:val="auto"/>
              </w:rPr>
              <w:t>Section 6.10</w:t>
            </w:r>
          </w:p>
        </w:tc>
        <w:tc>
          <w:tcPr>
            <w:tcW w:w="180" w:type="dxa"/>
            <w:vAlign w:val="bottom"/>
          </w:tcPr>
          <w:p>
            <w:pPr>
              <w:spacing w:after="0"/>
              <w:rPr>
                <w:sz w:val="17"/>
                <w:szCs w:val="17"/>
                <w:color w:val="auto"/>
              </w:rPr>
            </w:pPr>
          </w:p>
        </w:tc>
        <w:tc>
          <w:tcPr>
            <w:tcW w:w="9060" w:type="dxa"/>
            <w:vAlign w:val="bottom"/>
            <w:gridSpan w:val="2"/>
          </w:tcPr>
          <w:p>
            <w:pPr>
              <w:jc w:val="right"/>
              <w:spacing w:after="0"/>
              <w:rPr>
                <w:sz w:val="20"/>
                <w:szCs w:val="20"/>
                <w:color w:val="auto"/>
              </w:rPr>
            </w:pPr>
            <w:r>
              <w:rPr>
                <w:rFonts w:ascii="Arial" w:cs="Arial" w:eastAsia="Arial" w:hAnsi="Arial"/>
                <w:sz w:val="18"/>
                <w:szCs w:val="18"/>
                <w:color w:val="auto"/>
                <w:w w:val="95"/>
              </w:rPr>
              <w:t>Headings.  The Section headings used in this Agreement are for convenience of reference only and are not to affect the</w:t>
            </w:r>
          </w:p>
        </w:tc>
      </w:tr>
      <w:tr>
        <w:trPr>
          <w:trHeight w:val="20"/>
        </w:trPr>
        <w:tc>
          <w:tcPr>
            <w:tcW w:w="2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construction hereof or be taken into consideration in the interpretation hereof.</w:t>
            </w:r>
          </w:p>
        </w:tc>
      </w:tr>
      <w:tr>
        <w:trPr>
          <w:trHeight w:val="446"/>
        </w:trPr>
        <w:tc>
          <w:tcPr>
            <w:tcW w:w="2180" w:type="dxa"/>
            <w:vAlign w:val="bottom"/>
          </w:tcPr>
          <w:p>
            <w:pPr>
              <w:ind w:left="660"/>
              <w:spacing w:after="0"/>
              <w:rPr>
                <w:sz w:val="20"/>
                <w:szCs w:val="20"/>
                <w:color w:val="auto"/>
              </w:rPr>
            </w:pPr>
            <w:r>
              <w:rPr>
                <w:rFonts w:ascii="Arial" w:cs="Arial" w:eastAsia="Arial" w:hAnsi="Arial"/>
                <w:sz w:val="18"/>
                <w:szCs w:val="18"/>
                <w:color w:val="auto"/>
              </w:rPr>
              <w:t>Section 6.11</w:t>
            </w:r>
          </w:p>
        </w:tc>
        <w:tc>
          <w:tcPr>
            <w:tcW w:w="924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Severability. Any provision of this Agreement held to be invalid, illegal or unenforceable in any jurisdiction shall, as to such</w:t>
            </w:r>
          </w:p>
        </w:tc>
      </w:tr>
      <w:tr>
        <w:trPr>
          <w:trHeight w:val="20"/>
        </w:trPr>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80" w:type="dxa"/>
            <w:vAlign w:val="bottom"/>
            <w:tcBorders>
              <w:left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or render unenforceable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58" w:name="page359"/>
    <w:bookmarkEnd w:id="35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representatives thereunto duly authorized, as of the date first above written.</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LNG HOLDINGS (FLORIDA) LLC</w:t>
      </w:r>
      <w:r>
        <w:rPr>
          <w:rFonts w:ascii="Arial" w:cs="Arial" w:eastAsia="Arial" w:hAnsi="Arial"/>
          <w:sz w:val="18"/>
          <w:szCs w:val="18"/>
          <w:color w:val="auto"/>
        </w:rPr>
        <w:t>, a Delaware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limited liability company, as Borrower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 Page to Security Deposit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0"/>
          </w:cols>
          <w:pgMar w:left="240" w:top="125" w:right="1019" w:bottom="1440" w:gutter="0" w:footer="0" w:header="0"/>
        </w:sectPr>
      </w:pPr>
    </w:p>
    <w:bookmarkStart w:id="359" w:name="page360"/>
    <w:bookmarkEnd w:id="359"/>
    <w:p>
      <w:pPr>
        <w:ind w:left="452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Security Deposit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60" w:name="page361"/>
    <w:bookmarkEnd w:id="360"/>
    <w:p>
      <w:pPr>
        <w:ind w:left="452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Depositary Agent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Security Deposit Agreement – LNG Holdings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to the Security Deposit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WITHDRAWAL CERTIFICATE</w:t>
      </w:r>
    </w:p>
    <w:p>
      <w:pPr>
        <w:spacing w:after="0" w:line="256"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Date: _________, ____</w:t>
      </w:r>
    </w:p>
    <w:p>
      <w:pPr>
        <w:spacing w:after="0" w:line="46"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Requested Disbursement Date: __________, ____</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Benjamin Meyers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522 Fifth Avenue,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507-3639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296-6013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Benjamin.Meyers@morganstanleypwm.com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New York Plaza, 41st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6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LNG Holdings (Florida)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Reference is made to the Security Deposit Agreement, dated as of November 24, 2014 (the “</w:t>
      </w:r>
      <w:r>
        <w:rPr>
          <w:rFonts w:ascii="Arial" w:cs="Arial" w:eastAsia="Arial" w:hAnsi="Arial"/>
          <w:sz w:val="17"/>
          <w:szCs w:val="17"/>
          <w:u w:val="single" w:color="auto"/>
          <w:color w:val="auto"/>
        </w:rPr>
        <w:t>Security Deposit Agreement</w:t>
      </w:r>
      <w:r>
        <w:rPr>
          <w:rFonts w:ascii="Arial" w:cs="Arial" w:eastAsia="Arial" w:hAnsi="Arial"/>
          <w:sz w:val="17"/>
          <w:szCs w:val="17"/>
          <w:color w:val="auto"/>
        </w:rPr>
        <w:t>”), among LNG HOLDINGS (FLORIDA)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MORGAN STANLEY SENIOR FUNDING, INC., as administrative agent for the Secured Parties (in such capacity, together with any permitted successor, assign or replacement,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Morgan Stanley Senior Funding, Inc., as both a “securities intermediary” (as defined in Section 8-102 of the UCC) and a “bank” (as defined in Section 9-102 of the UCC) (in such capacity, together with any permitted successor, assign or replacement, the “</w:t>
      </w:r>
      <w:r>
        <w:rPr>
          <w:rFonts w:ascii="Arial" w:cs="Arial" w:eastAsia="Arial" w:hAnsi="Arial"/>
          <w:sz w:val="17"/>
          <w:szCs w:val="17"/>
          <w:u w:val="single" w:color="auto"/>
          <w:color w:val="auto"/>
        </w:rPr>
        <w:t>Depositary Agent</w:t>
      </w:r>
      <w:r>
        <w:rPr>
          <w:rFonts w:ascii="Arial" w:cs="Arial" w:eastAsia="Arial" w:hAnsi="Arial"/>
          <w:sz w:val="17"/>
          <w:szCs w:val="17"/>
          <w:color w:val="auto"/>
        </w:rPr>
        <w:t>”). Capitalized terms used and not otherwise defined herein shall have the meanings assigned (whether directly or by reference to another agreement) in the Security Deposit Agreement. All section references herein shall be to the Security Deposit Agreement unless otherwise expressly stated herein.</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undersigned is a Responsible Officer of the Borrower and is delivering this certificate (this “</w:t>
      </w:r>
      <w:r>
        <w:rPr>
          <w:rFonts w:ascii="Arial" w:cs="Arial" w:eastAsia="Arial" w:hAnsi="Arial"/>
          <w:sz w:val="18"/>
          <w:szCs w:val="18"/>
          <w:u w:val="single" w:color="auto"/>
          <w:color w:val="auto"/>
        </w:rPr>
        <w:t>Withdrawal Certificate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SERVICE RESERVE ACCOUNT.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[[If at any time a DSRA Excess exists] </w:t>
      </w:r>
      <w:r>
        <w:rPr>
          <w:rFonts w:ascii="Arial" w:cs="Arial" w:eastAsia="Arial" w:hAnsi="Arial"/>
          <w:sz w:val="16"/>
          <w:szCs w:val="16"/>
          <w:color w:val="auto"/>
        </w:rPr>
        <w:t>In accordance with</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we request that $[_________] be withdrawn from the Debt Service Reserve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Account and transferred to the transferred to the Persons specified in the attached Schedule I. Such amount requested does not exceed the DSRA Excess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44907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62" w:lineRule="exact"/>
        <w:rPr>
          <w:sz w:val="20"/>
          <w:szCs w:val="20"/>
          <w:color w:val="auto"/>
        </w:rPr>
      </w:pPr>
    </w:p>
    <w:p>
      <w:pPr>
        <w:ind w:right="560" w:firstLine="8"/>
        <w:spacing w:after="0" w:line="186" w:lineRule="auto"/>
        <w:tabs>
          <w:tab w:leader="none" w:pos="96" w:val="left"/>
        </w:tabs>
        <w:numPr>
          <w:ilvl w:val="0"/>
          <w:numId w:val="340"/>
        </w:numPr>
        <w:rPr>
          <w:rFonts w:ascii="Arial" w:cs="Arial" w:eastAsia="Arial" w:hAnsi="Arial"/>
          <w:sz w:val="23"/>
          <w:szCs w:val="23"/>
          <w:color w:val="auto"/>
          <w:vertAlign w:val="superscript"/>
        </w:rPr>
      </w:pPr>
      <w:r>
        <w:rPr>
          <w:rFonts w:ascii="Arial" w:cs="Arial" w:eastAsia="Arial" w:hAnsi="Arial"/>
          <w:sz w:val="14"/>
          <w:szCs w:val="14"/>
          <w:color w:val="auto"/>
        </w:rPr>
        <w:t>To the extent that an instruction is required to be delivered by a Borrower pursuant to the Security Deposit Agreement, and it is not reflected herein, reference applicable section and insert applicable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2" w:name="page363"/>
    <w:bookmarkEnd w:id="362"/>
    <w:p>
      <w:pPr>
        <w:ind w:left="660"/>
        <w:spacing w:after="0"/>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u w:val="single" w:color="auto"/>
          <w:color w:val="auto"/>
        </w:rPr>
        <w:t>Section 3.5</w:t>
      </w:r>
      <w:r>
        <w:rPr>
          <w:rFonts w:ascii="Arial" w:cs="Arial" w:eastAsia="Arial" w:hAnsi="Arial"/>
          <w:sz w:val="17"/>
          <w:szCs w:val="17"/>
          <w:color w:val="auto"/>
        </w:rPr>
        <w:t>, we request that $[_________] be withdrawn from the Debt Service Reserve Account and transferred to the</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Administrative Agent to pay the Debt Service Payment Deficiency. Such amount requested represents [an amount equal to the Debt Service Payment Deficiency] [the aggregate amount of funds on deposit in or credited to the Debt Service Reserve Account].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Begin Next Page]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3" w:name="page364"/>
    <w:bookmarkEnd w:id="363"/>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LNG HOLDINGS (FLORIDA)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Withdrawl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4" w:name="page365"/>
    <w:bookmarkEnd w:id="364"/>
    <w:tbl>
      <w:tblPr>
        <w:tblLayout w:type="fixed"/>
        <w:tblInd w:w="1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Schedule 1</w:t>
            </w:r>
          </w:p>
        </w:tc>
      </w:tr>
      <w:tr>
        <w:trPr>
          <w:trHeight w:val="190"/>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to Withdrawal Certificate</w:t>
            </w:r>
          </w:p>
        </w:tc>
      </w:tr>
      <w:tr>
        <w:trPr>
          <w:trHeight w:val="439"/>
        </w:trPr>
        <w:tc>
          <w:tcPr>
            <w:tcW w:w="4600" w:type="dxa"/>
            <w:vAlign w:val="bottom"/>
            <w:gridSpan w:val="3"/>
          </w:tcPr>
          <w:p>
            <w:pPr>
              <w:spacing w:after="0"/>
              <w:rPr>
                <w:sz w:val="20"/>
                <w:szCs w:val="20"/>
                <w:color w:val="auto"/>
              </w:rPr>
            </w:pPr>
            <w:r>
              <w:rPr>
                <w:rFonts w:ascii="Arial" w:cs="Arial" w:eastAsia="Arial" w:hAnsi="Arial"/>
                <w:sz w:val="18"/>
                <w:szCs w:val="18"/>
                <w:color w:val="auto"/>
              </w:rPr>
              <w:t>Disbursements from Debt Service Reserve Account</w:t>
            </w: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71"/>
        </w:trPr>
        <w:tc>
          <w:tcPr>
            <w:tcW w:w="212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r>
        <w:trPr>
          <w:trHeight w:val="156"/>
        </w:trPr>
        <w:tc>
          <w:tcPr>
            <w:tcW w:w="2120" w:type="dxa"/>
            <w:vAlign w:val="bottom"/>
            <w:tcBorders>
              <w:left w:val="single" w:sz="8" w:color="auto"/>
              <w:bottom w:val="single" w:sz="8" w:color="auto"/>
              <w:right w:val="single" w:sz="8" w:color="auto"/>
            </w:tcBorders>
          </w:tcPr>
          <w:p>
            <w:pPr>
              <w:ind w:left="640"/>
              <w:spacing w:after="0" w:line="149" w:lineRule="exact"/>
              <w:rPr>
                <w:sz w:val="20"/>
                <w:szCs w:val="20"/>
                <w:color w:val="auto"/>
              </w:rPr>
            </w:pPr>
            <w:r>
              <w:rPr>
                <w:rFonts w:ascii="Arial" w:cs="Arial" w:eastAsia="Arial" w:hAnsi="Arial"/>
                <w:sz w:val="14"/>
                <w:szCs w:val="14"/>
                <w:b w:val="1"/>
                <w:bCs w:val="1"/>
                <w:color w:val="auto"/>
              </w:rPr>
              <w:t>Transfer Date</w:t>
            </w:r>
          </w:p>
        </w:tc>
        <w:tc>
          <w:tcPr>
            <w:tcW w:w="2480" w:type="dxa"/>
            <w:vAlign w:val="bottom"/>
            <w:tcBorders>
              <w:bottom w:val="single" w:sz="8" w:color="auto"/>
              <w:right w:val="single" w:sz="8" w:color="auto"/>
            </w:tcBorders>
            <w:gridSpan w:val="2"/>
          </w:tcPr>
          <w:p>
            <w:pPr>
              <w:ind w:left="360"/>
              <w:spacing w:after="0" w:line="149" w:lineRule="exact"/>
              <w:rPr>
                <w:sz w:val="20"/>
                <w:szCs w:val="20"/>
                <w:color w:val="auto"/>
              </w:rPr>
            </w:pPr>
            <w:r>
              <w:rPr>
                <w:rFonts w:ascii="Arial" w:cs="Arial" w:eastAsia="Arial" w:hAnsi="Arial"/>
                <w:sz w:val="14"/>
                <w:szCs w:val="14"/>
                <w:b w:val="1"/>
                <w:bCs w:val="1"/>
                <w:color w:val="auto"/>
              </w:rPr>
              <w:t>Payee/Account and Purpose</w:t>
            </w:r>
          </w:p>
        </w:tc>
        <w:tc>
          <w:tcPr>
            <w:tcW w:w="1760" w:type="dxa"/>
            <w:vAlign w:val="bottom"/>
            <w:tcBorders>
              <w:bottom w:val="single" w:sz="8" w:color="auto"/>
              <w:right w:val="single" w:sz="8" w:color="auto"/>
            </w:tcBorders>
          </w:tcPr>
          <w:p>
            <w:pPr>
              <w:ind w:left="440"/>
              <w:spacing w:after="0" w:line="149" w:lineRule="exact"/>
              <w:rPr>
                <w:sz w:val="20"/>
                <w:szCs w:val="20"/>
                <w:color w:val="auto"/>
              </w:rPr>
            </w:pPr>
            <w:r>
              <w:rPr>
                <w:rFonts w:ascii="Arial" w:cs="Arial" w:eastAsia="Arial" w:hAnsi="Arial"/>
                <w:sz w:val="14"/>
                <w:szCs w:val="14"/>
                <w:b w:val="1"/>
                <w:bCs w:val="1"/>
                <w:color w:val="auto"/>
              </w:rPr>
              <w:t>Payment Date</w:t>
            </w:r>
          </w:p>
        </w:tc>
        <w:tc>
          <w:tcPr>
            <w:tcW w:w="2800" w:type="dxa"/>
            <w:vAlign w:val="bottom"/>
            <w:tcBorders>
              <w:bottom w:val="single" w:sz="8" w:color="auto"/>
              <w:right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Wiring or Other Payment Instructions</w:t>
            </w:r>
          </w:p>
        </w:tc>
        <w:tc>
          <w:tcPr>
            <w:tcW w:w="42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jc w:val="right"/>
              <w:ind w:right="819"/>
              <w:spacing w:after="0" w:line="149" w:lineRule="exact"/>
              <w:rPr>
                <w:sz w:val="20"/>
                <w:szCs w:val="20"/>
                <w:color w:val="auto"/>
              </w:rPr>
            </w:pPr>
            <w:r>
              <w:rPr>
                <w:rFonts w:ascii="Arial" w:cs="Arial" w:eastAsia="Arial" w:hAnsi="Arial"/>
                <w:sz w:val="14"/>
                <w:szCs w:val="14"/>
                <w:b w:val="1"/>
                <w:bCs w:val="1"/>
                <w:color w:val="auto"/>
              </w:rPr>
              <w:t>Amount</w:t>
            </w:r>
          </w:p>
        </w:tc>
      </w:tr>
      <w:tr>
        <w:trPr>
          <w:trHeight w:val="223"/>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right"/>
              <w:ind w:right="919"/>
              <w:spacing w:after="0"/>
              <w:rPr>
                <w:sz w:val="20"/>
                <w:szCs w:val="20"/>
                <w:color w:val="auto"/>
              </w:rPr>
            </w:pPr>
            <w:r>
              <w:rPr>
                <w:rFonts w:ascii="Arial" w:cs="Arial" w:eastAsia="Arial" w:hAnsi="Arial"/>
                <w:sz w:val="18"/>
                <w:szCs w:val="18"/>
                <w:color w:val="auto"/>
              </w:rPr>
              <w:t>$[__________]</w:t>
            </w:r>
          </w:p>
        </w:tc>
      </w:tr>
      <w:tr>
        <w:trPr>
          <w:trHeight w:val="223"/>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right"/>
              <w:ind w:right="919"/>
              <w:spacing w:after="0"/>
              <w:rPr>
                <w:sz w:val="20"/>
                <w:szCs w:val="20"/>
                <w:color w:val="auto"/>
              </w:rPr>
            </w:pPr>
            <w:r>
              <w:rPr>
                <w:rFonts w:ascii="Arial" w:cs="Arial" w:eastAsia="Arial" w:hAnsi="Arial"/>
                <w:sz w:val="18"/>
                <w:szCs w:val="18"/>
                <w:color w:val="auto"/>
              </w:rPr>
              <w:t>$[__________]</w:t>
            </w:r>
          </w:p>
        </w:tc>
      </w:tr>
      <w:tr>
        <w:trPr>
          <w:trHeight w:val="223"/>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right"/>
              <w:ind w:right="919"/>
              <w:spacing w:after="0"/>
              <w:rPr>
                <w:sz w:val="20"/>
                <w:szCs w:val="20"/>
                <w:color w:val="auto"/>
              </w:rPr>
            </w:pPr>
            <w:r>
              <w:rPr>
                <w:rFonts w:ascii="Arial" w:cs="Arial" w:eastAsia="Arial" w:hAnsi="Arial"/>
                <w:sz w:val="18"/>
                <w:szCs w:val="18"/>
                <w:color w:val="auto"/>
              </w:rPr>
              <w:t>$[__________]</w:t>
            </w:r>
          </w:p>
        </w:tc>
      </w:tr>
      <w:tr>
        <w:trPr>
          <w:trHeight w:val="202"/>
        </w:trPr>
        <w:tc>
          <w:tcPr>
            <w:tcW w:w="21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b w:val="1"/>
                <w:bCs w:val="1"/>
                <w:i w:val="1"/>
                <w:iCs w:val="1"/>
                <w:color w:val="auto"/>
                <w:w w:val="93"/>
              </w:rPr>
              <w:t>[</w:t>
            </w:r>
            <w:r>
              <w:rPr>
                <w:rFonts w:ascii="Arial" w:cs="Arial" w:eastAsia="Arial" w:hAnsi="Arial"/>
                <w:sz w:val="18"/>
                <w:szCs w:val="18"/>
                <w:i w:val="1"/>
                <w:iCs w:val="1"/>
                <w:color w:val="auto"/>
                <w:w w:val="93"/>
              </w:rPr>
              <w:t>Insert additional rows as</w:t>
            </w:r>
          </w:p>
        </w:tc>
        <w:tc>
          <w:tcPr>
            <w:tcW w:w="16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gridSpan w:val="2"/>
          </w:tcPr>
          <w:p>
            <w:pPr>
              <w:jc w:val="right"/>
              <w:ind w:right="919"/>
              <w:spacing w:after="0" w:line="201" w:lineRule="exact"/>
              <w:rPr>
                <w:sz w:val="20"/>
                <w:szCs w:val="20"/>
                <w:color w:val="auto"/>
              </w:rPr>
            </w:pPr>
            <w:r>
              <w:rPr>
                <w:rFonts w:ascii="Arial" w:cs="Arial" w:eastAsia="Arial" w:hAnsi="Arial"/>
                <w:sz w:val="18"/>
                <w:szCs w:val="18"/>
                <w:color w:val="auto"/>
              </w:rPr>
              <w:t>$[__________]</w:t>
            </w:r>
          </w:p>
        </w:tc>
      </w:tr>
      <w:tr>
        <w:trPr>
          <w:trHeight w:val="237"/>
        </w:trPr>
        <w:tc>
          <w:tcPr>
            <w:tcW w:w="21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i w:val="1"/>
                <w:iCs w:val="1"/>
                <w:color w:val="auto"/>
              </w:rPr>
              <w:t>necessary</w:t>
            </w:r>
            <w:r>
              <w:rPr>
                <w:rFonts w:ascii="Arial" w:cs="Arial" w:eastAsia="Arial" w:hAnsi="Arial"/>
                <w:sz w:val="18"/>
                <w:szCs w:val="18"/>
                <w:b w:val="1"/>
                <w:bCs w:val="1"/>
                <w:i w:val="1"/>
                <w:iCs w:val="1"/>
                <w:color w:val="auto"/>
              </w:rPr>
              <w:t>]</w:t>
            </w:r>
          </w:p>
        </w:tc>
        <w:tc>
          <w:tcPr>
            <w:tcW w:w="16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r>
      <w:tr>
        <w:trPr>
          <w:trHeight w:val="223"/>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260" w:type="dxa"/>
            <w:vAlign w:val="bottom"/>
            <w:tcBorders>
              <w:bottom w:val="single" w:sz="8" w:color="auto"/>
              <w:right w:val="single" w:sz="8" w:color="auto"/>
            </w:tcBorders>
            <w:gridSpan w:val="2"/>
          </w:tcPr>
          <w:p>
            <w:pPr>
              <w:jc w:val="right"/>
              <w:ind w:right="919"/>
              <w:spacing w:after="0"/>
              <w:rPr>
                <w:sz w:val="20"/>
                <w:szCs w:val="20"/>
                <w:color w:val="auto"/>
              </w:rPr>
            </w:pPr>
            <w:r>
              <w:rPr>
                <w:rFonts w:ascii="Arial" w:cs="Arial" w:eastAsia="Arial" w:hAnsi="Arial"/>
                <w:sz w:val="18"/>
                <w:szCs w:val="18"/>
                <w:color w:val="auto"/>
              </w:rPr>
              <w:t>$[__________]</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t>EXHIBIT 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INTERCOMPANY DEBT SUBORDINATION AGREEMENT</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[attached].</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66" w:name="page367"/>
    <w:bookmarkEnd w:id="366"/>
    <w:p>
      <w:pPr>
        <w:jc w:val="center"/>
        <w:ind w:right="-19"/>
        <w:spacing w:after="0"/>
        <w:rPr>
          <w:sz w:val="20"/>
          <w:szCs w:val="20"/>
          <w:color w:val="auto"/>
        </w:rPr>
      </w:pPr>
      <w:r>
        <w:rPr>
          <w:rFonts w:ascii="Arial" w:cs="Arial" w:eastAsia="Arial" w:hAnsi="Arial"/>
          <w:sz w:val="18"/>
          <w:szCs w:val="18"/>
          <w:b w:val="1"/>
          <w:bCs w:val="1"/>
          <w:u w:val="single" w:color="auto"/>
          <w:color w:val="auto"/>
        </w:rPr>
        <w:t>INTERCOMPANY DEBT SUBORDINATION AGREEMENT</w:t>
      </w:r>
    </w:p>
    <w:p>
      <w:pPr>
        <w:spacing w:after="0" w:line="256" w:lineRule="exact"/>
        <w:rPr>
          <w:sz w:val="20"/>
          <w:szCs w:val="20"/>
          <w:color w:val="auto"/>
        </w:rPr>
      </w:pPr>
    </w:p>
    <w:p>
      <w:pPr>
        <w:jc w:val="both"/>
        <w:ind w:firstLine="1621"/>
        <w:spacing w:after="0" w:line="257" w:lineRule="auto"/>
        <w:rPr>
          <w:sz w:val="20"/>
          <w:szCs w:val="20"/>
          <w:color w:val="auto"/>
        </w:rPr>
      </w:pPr>
      <w:r>
        <w:rPr>
          <w:rFonts w:ascii="Arial" w:cs="Arial" w:eastAsia="Arial" w:hAnsi="Arial"/>
          <w:sz w:val="18"/>
          <w:szCs w:val="18"/>
          <w:color w:val="auto"/>
        </w:rPr>
        <w:t>THIS INTERCOMPANY DEBT SUBORDINATION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[DATE], by and between each of the entities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from time to time (the “</w:t>
      </w:r>
      <w:r>
        <w:rPr>
          <w:rFonts w:ascii="Arial" w:cs="Arial" w:eastAsia="Arial" w:hAnsi="Arial"/>
          <w:sz w:val="18"/>
          <w:szCs w:val="18"/>
          <w:u w:val="single" w:color="auto"/>
          <w:color w:val="auto"/>
        </w:rPr>
        <w:t>Creditors</w:t>
      </w:r>
      <w:r>
        <w:rPr>
          <w:rFonts w:ascii="Arial" w:cs="Arial" w:eastAsia="Arial" w:hAnsi="Arial"/>
          <w:sz w:val="18"/>
          <w:szCs w:val="18"/>
          <w:color w:val="auto"/>
        </w:rPr>
        <w:t xml:space="preserve">”), each of the entities listed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from time to time (the “</w:t>
      </w:r>
      <w:r>
        <w:rPr>
          <w:rFonts w:ascii="Arial" w:cs="Arial" w:eastAsia="Arial" w:hAnsi="Arial"/>
          <w:sz w:val="18"/>
          <w:szCs w:val="18"/>
          <w:u w:val="single" w:color="auto"/>
          <w:color w:val="auto"/>
        </w:rPr>
        <w:t>Debtors</w:t>
      </w:r>
      <w:r>
        <w:rPr>
          <w:rFonts w:ascii="Arial" w:cs="Arial" w:eastAsia="Arial" w:hAnsi="Arial"/>
          <w:sz w:val="18"/>
          <w:szCs w:val="18"/>
          <w:color w:val="auto"/>
        </w:rPr>
        <w:t>”) and MORGAN STANLEY SENIOR FUNDING, INC., as administrative agent under the Credit Agreement (as defined below) on behalf of the Claimholders (as defined below) (together with its successors and assigns in such capacity and any replacement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in this Agreement have the meanings assigned to them in Section 1 below.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52" w:lineRule="exact"/>
        <w:rPr>
          <w:sz w:val="20"/>
          <w:szCs w:val="20"/>
          <w:color w:val="auto"/>
        </w:rPr>
      </w:pPr>
    </w:p>
    <w:p>
      <w:pPr>
        <w:jc w:val="both"/>
        <w:ind w:firstLine="1621"/>
        <w:spacing w:after="0" w:line="259" w:lineRule="auto"/>
        <w:rPr>
          <w:sz w:val="20"/>
          <w:szCs w:val="20"/>
          <w:color w:val="auto"/>
        </w:rPr>
      </w:pPr>
      <w:r>
        <w:rPr>
          <w:rFonts w:ascii="Arial" w:cs="Arial" w:eastAsia="Arial" w:hAnsi="Arial"/>
          <w:sz w:val="18"/>
          <w:szCs w:val="18"/>
          <w:color w:val="auto"/>
        </w:rPr>
        <w:t>WHEREAS, LNG HOLDINGS LLC, a Delaware limited liability company (“</w:t>
      </w:r>
      <w:r>
        <w:rPr>
          <w:rFonts w:ascii="Arial" w:cs="Arial" w:eastAsia="Arial" w:hAnsi="Arial"/>
          <w:sz w:val="18"/>
          <w:szCs w:val="18"/>
          <w:u w:val="single" w:color="auto"/>
          <w:color w:val="auto"/>
        </w:rPr>
        <w:t>Holdings 1</w:t>
      </w:r>
      <w:r>
        <w:rPr>
          <w:rFonts w:ascii="Arial" w:cs="Arial" w:eastAsia="Arial" w:hAnsi="Arial"/>
          <w:sz w:val="18"/>
          <w:szCs w:val="18"/>
          <w:color w:val="auto"/>
        </w:rPr>
        <w:t>”), FEP GP LNG HOLDINGS LLC, a Delaware limited liability company (“</w:t>
      </w:r>
      <w:r>
        <w:rPr>
          <w:rFonts w:ascii="Arial" w:cs="Arial" w:eastAsia="Arial" w:hAnsi="Arial"/>
          <w:sz w:val="18"/>
          <w:szCs w:val="18"/>
          <w:u w:val="single" w:color="auto"/>
          <w:color w:val="auto"/>
        </w:rPr>
        <w:t>Holdings 2</w:t>
      </w:r>
      <w:r>
        <w:rPr>
          <w:rFonts w:ascii="Arial" w:cs="Arial" w:eastAsia="Arial" w:hAnsi="Arial"/>
          <w:sz w:val="18"/>
          <w:szCs w:val="18"/>
          <w:color w:val="auto"/>
        </w:rPr>
        <w:t>,” and together with Holdings 1, “</w:t>
      </w:r>
      <w:r>
        <w:rPr>
          <w:rFonts w:ascii="Arial" w:cs="Arial" w:eastAsia="Arial" w:hAnsi="Arial"/>
          <w:sz w:val="18"/>
          <w:szCs w:val="18"/>
          <w:u w:val="single" w:color="auto"/>
          <w:color w:val="auto"/>
        </w:rPr>
        <w:t>Holdings</w:t>
      </w:r>
      <w:r>
        <w:rPr>
          <w:rFonts w:ascii="Arial" w:cs="Arial" w:eastAsia="Arial" w:hAnsi="Arial"/>
          <w:sz w:val="18"/>
          <w:szCs w:val="18"/>
          <w:color w:val="auto"/>
        </w:rPr>
        <w:t>”), LNG HOLDINGS (FLORIDA)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the Agent have entered into that certain Credit Agreement, dated as of [______], 2014 (as amended, restated, supplemented, modified, replaced or Refinanced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14"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WHEREAS, it is a condition precedent to the willingness of the Claimholders to enter into or maintain the Senior Loan Documents (as defined below) and make or maintain the extensions of credit thereunder, that the Creditors enter into this Agreement to, among other things, provide that the Senior Debt will be senior in priority and right of payment, as applicable, to the Subordinated Debt;</w:t>
      </w:r>
    </w:p>
    <w:p>
      <w:pPr>
        <w:spacing w:after="0" w:line="208" w:lineRule="exact"/>
        <w:rPr>
          <w:sz w:val="20"/>
          <w:szCs w:val="20"/>
          <w:color w:val="auto"/>
        </w:rPr>
      </w:pPr>
    </w:p>
    <w:p>
      <w:pPr>
        <w:jc w:val="both"/>
        <w:ind w:firstLine="1621"/>
        <w:spacing w:after="0" w:line="259" w:lineRule="auto"/>
        <w:rPr>
          <w:sz w:val="20"/>
          <w:szCs w:val="20"/>
          <w:color w:val="auto"/>
        </w:rPr>
      </w:pPr>
      <w:r>
        <w:rPr>
          <w:rFonts w:ascii="Arial" w:cs="Arial" w:eastAsia="Arial" w:hAnsi="Arial"/>
          <w:sz w:val="18"/>
          <w:szCs w:val="18"/>
          <w:color w:val="auto"/>
        </w:rPr>
        <w:t>WHEREAS, in order to induce the Claimholders to extend credit and other financial accommodations and lend monies to or for the benefit of the Debtors and Obligors (which are affiliates to one or more of the Debtors) and to induce the Claimholders to continue to suffer to exist the obligations owing to the Creditors or the security interests in favor of the Creditors, each Creditor has agreed to the intercreditor and other provisions set forth in this Agreement; and</w:t>
      </w:r>
    </w:p>
    <w:p>
      <w:pPr>
        <w:spacing w:after="0" w:line="214" w:lineRule="exact"/>
        <w:rPr>
          <w:sz w:val="20"/>
          <w:szCs w:val="20"/>
          <w:color w:val="auto"/>
        </w:rPr>
      </w:pPr>
    </w:p>
    <w:p>
      <w:pPr>
        <w:jc w:val="both"/>
        <w:ind w:firstLine="1621"/>
        <w:spacing w:after="0" w:line="277" w:lineRule="auto"/>
        <w:rPr>
          <w:sz w:val="20"/>
          <w:szCs w:val="20"/>
          <w:color w:val="auto"/>
        </w:rPr>
      </w:pPr>
      <w:r>
        <w:rPr>
          <w:rFonts w:ascii="Arial" w:cs="Arial" w:eastAsia="Arial" w:hAnsi="Arial"/>
          <w:sz w:val="18"/>
          <w:szCs w:val="18"/>
          <w:color w:val="auto"/>
        </w:rPr>
        <w:t>WHEREAS, the Creditors hereby acknowledge that each of them receive both direct and indirect benefits from Claimholders’ extension of credit to Debtors and Obligors pursuant to the Credit Agreement.</w:t>
      </w:r>
    </w:p>
    <w:p>
      <w:pPr>
        <w:spacing w:after="0" w:line="197" w:lineRule="exact"/>
        <w:rPr>
          <w:sz w:val="20"/>
          <w:szCs w:val="20"/>
          <w:color w:val="auto"/>
        </w:rPr>
      </w:pPr>
    </w:p>
    <w:p>
      <w:pPr>
        <w:jc w:val="both"/>
        <w:ind w:firstLine="1621"/>
        <w:spacing w:after="0" w:line="277" w:lineRule="auto"/>
        <w:rPr>
          <w:sz w:val="20"/>
          <w:szCs w:val="20"/>
          <w:color w:val="auto"/>
        </w:rPr>
      </w:pPr>
      <w:r>
        <w:rPr>
          <w:rFonts w:ascii="Arial" w:cs="Arial" w:eastAsia="Arial" w:hAnsi="Arial"/>
          <w:sz w:val="18"/>
          <w:szCs w:val="18"/>
          <w:color w:val="auto"/>
        </w:rPr>
        <w:t>NOW, THEREFORE, in consideration of the premises and the agreements hereinafter set forth and for good and valuable consideration, the receipt and sufficiency of which is hereby acknowledged, the parties hereto hereby agree as follows:</w:t>
      </w:r>
    </w:p>
    <w:p>
      <w:pPr>
        <w:spacing w:after="0" w:line="224" w:lineRule="exact"/>
        <w:rPr>
          <w:sz w:val="20"/>
          <w:szCs w:val="20"/>
          <w:color w:val="auto"/>
        </w:rPr>
      </w:pPr>
    </w:p>
    <w:p>
      <w:pPr>
        <w:ind w:left="2300" w:hanging="671"/>
        <w:spacing w:after="0"/>
        <w:tabs>
          <w:tab w:leader="none" w:pos="230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75" w:lineRule="exact"/>
        <w:rPr>
          <w:sz w:val="20"/>
          <w:szCs w:val="20"/>
          <w:color w:val="auto"/>
        </w:rPr>
      </w:pPr>
    </w:p>
    <w:p>
      <w:pPr>
        <w:ind w:left="2920" w:hanging="805"/>
        <w:spacing w:after="0"/>
        <w:tabs>
          <w:tab w:leader="none" w:pos="292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Each of the following terms shall have the meaning assigned in the </w:t>
      </w:r>
      <w:r>
        <w:rPr>
          <w:rFonts w:ascii="Arial" w:cs="Arial" w:eastAsia="Arial" w:hAnsi="Arial"/>
          <w:sz w:val="16"/>
          <w:szCs w:val="16"/>
          <w:b w:val="1"/>
          <w:bCs w:val="1"/>
          <w:color w:val="auto"/>
        </w:rPr>
        <w:t>Preamble</w:t>
      </w:r>
      <w:r>
        <w:rPr>
          <w:rFonts w:ascii="Arial" w:cs="Arial" w:eastAsia="Arial" w:hAnsi="Arial"/>
          <w:sz w:val="16"/>
          <w:szCs w:val="16"/>
          <w:color w:val="auto"/>
        </w:rPr>
        <w:t xml:space="preserve"> or </w:t>
      </w:r>
      <w:r>
        <w:rPr>
          <w:rFonts w:ascii="Arial" w:cs="Arial" w:eastAsia="Arial" w:hAnsi="Arial"/>
          <w:sz w:val="16"/>
          <w:szCs w:val="16"/>
          <w:b w:val="1"/>
          <w:bCs w:val="1"/>
          <w:color w:val="auto"/>
        </w:rPr>
        <w:t>Recitals</w:t>
      </w:r>
      <w:r>
        <w:rPr>
          <w:rFonts w:ascii="Arial" w:cs="Arial" w:eastAsia="Arial" w:hAnsi="Arial"/>
          <w:sz w:val="16"/>
          <w:szCs w:val="16"/>
          <w:color w:val="auto"/>
        </w:rPr>
        <w:t xml:space="preserve"> to this Agreement: Agent,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Agreement, Borrower, Credit Agreement, Creditors, Debtors and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7" w:name="page368"/>
    <w:bookmarkEnd w:id="367"/>
    <w:p>
      <w:pPr>
        <w:ind w:left="420" w:right="300" w:firstLine="495"/>
        <w:spacing w:after="0" w:line="277" w:lineRule="auto"/>
        <w:tabs>
          <w:tab w:leader="none" w:pos="16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Capitalized terms used herein and not defined herein (including, without limitation, Default and Event of Default) shall have the meanings assigned to such terms in the Credit Agreement.</w:t>
      </w:r>
    </w:p>
    <w:p>
      <w:pPr>
        <w:spacing w:after="0" w:line="224" w:lineRule="exact"/>
        <w:rPr>
          <w:rFonts w:ascii="Arial" w:cs="Arial" w:eastAsia="Arial" w:hAnsi="Arial"/>
          <w:sz w:val="18"/>
          <w:szCs w:val="18"/>
          <w:color w:val="auto"/>
        </w:rPr>
      </w:pPr>
    </w:p>
    <w:p>
      <w:pPr>
        <w:ind w:left="420" w:firstLine="495"/>
        <w:spacing w:after="0" w:line="277" w:lineRule="auto"/>
        <w:tabs>
          <w:tab w:leader="none" w:pos="16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and hereafter in effect, or any successor statute.</w:t>
      </w:r>
    </w:p>
    <w:p>
      <w:pPr>
        <w:spacing w:after="0" w:line="224" w:lineRule="exact"/>
        <w:rPr>
          <w:rFonts w:ascii="Arial" w:cs="Arial" w:eastAsia="Arial" w:hAnsi="Arial"/>
          <w:sz w:val="18"/>
          <w:szCs w:val="18"/>
          <w:color w:val="auto"/>
        </w:rPr>
      </w:pPr>
    </w:p>
    <w:p>
      <w:pPr>
        <w:ind w:left="1660" w:hanging="745"/>
        <w:spacing w:after="0"/>
        <w:tabs>
          <w:tab w:leader="none" w:pos="16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the Bankruptcy Code and any similar federal, state or foreign law for the relief of debtors.</w:t>
      </w:r>
    </w:p>
    <w:p>
      <w:pPr>
        <w:spacing w:after="0" w:line="302" w:lineRule="exact"/>
        <w:rPr>
          <w:rFonts w:ascii="Arial" w:cs="Arial" w:eastAsia="Arial" w:hAnsi="Arial"/>
          <w:sz w:val="16"/>
          <w:szCs w:val="16"/>
          <w:color w:val="auto"/>
        </w:rPr>
      </w:pPr>
    </w:p>
    <w:p>
      <w:pPr>
        <w:ind w:left="420" w:right="280" w:firstLine="495"/>
        <w:spacing w:after="0" w:line="277" w:lineRule="auto"/>
        <w:tabs>
          <w:tab w:leader="none" w:pos="16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City are authorized or required by law to close.</w:t>
      </w:r>
    </w:p>
    <w:p>
      <w:pPr>
        <w:spacing w:after="0" w:line="224" w:lineRule="exact"/>
        <w:rPr>
          <w:rFonts w:ascii="Arial" w:cs="Arial" w:eastAsia="Arial" w:hAnsi="Arial"/>
          <w:sz w:val="18"/>
          <w:szCs w:val="18"/>
          <w:color w:val="auto"/>
        </w:rPr>
      </w:pPr>
    </w:p>
    <w:p>
      <w:pPr>
        <w:ind w:left="420" w:right="220" w:firstLine="495"/>
        <w:spacing w:after="0" w:line="277" w:lineRule="auto"/>
        <w:tabs>
          <w:tab w:leader="none" w:pos="162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Claimholders</w:t>
      </w:r>
      <w:r>
        <w:rPr>
          <w:rFonts w:ascii="Arial" w:cs="Arial" w:eastAsia="Arial" w:hAnsi="Arial"/>
          <w:sz w:val="18"/>
          <w:szCs w:val="18"/>
          <w:color w:val="auto"/>
        </w:rPr>
        <w:t>” means, at any relevant time, the holders of Obligations under the Credit Agreement or any Secured Hedge Agreement and the agents party to any Senior Loan Documents related to the Credit Agreement.</w:t>
      </w:r>
    </w:p>
    <w:p>
      <w:pPr>
        <w:spacing w:after="0" w:line="224" w:lineRule="exact"/>
        <w:rPr>
          <w:rFonts w:ascii="Arial" w:cs="Arial" w:eastAsia="Arial" w:hAnsi="Arial"/>
          <w:sz w:val="18"/>
          <w:szCs w:val="18"/>
          <w:color w:val="auto"/>
        </w:rPr>
      </w:pPr>
    </w:p>
    <w:p>
      <w:pPr>
        <w:ind w:left="420" w:right="120" w:firstLine="495"/>
        <w:spacing w:after="0" w:line="264" w:lineRule="auto"/>
        <w:tabs>
          <w:tab w:leader="none" w:pos="16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Senior Debt</w:t>
      </w:r>
      <w:r>
        <w:rPr>
          <w:rFonts w:ascii="Arial" w:cs="Arial" w:eastAsia="Arial" w:hAnsi="Arial"/>
          <w:sz w:val="18"/>
          <w:szCs w:val="18"/>
          <w:color w:val="auto"/>
        </w:rPr>
        <w:t>” means payment in full in cash of the Senior Debt (other than (A) Unasserted Contingent Obligations and (B) Obligations owing to Lender Counterparties under any Secured Hedge Agreement that are not then due and payable).</w:t>
      </w:r>
    </w:p>
    <w:p>
      <w:pPr>
        <w:spacing w:after="0" w:line="235" w:lineRule="exact"/>
        <w:rPr>
          <w:rFonts w:ascii="Arial" w:cs="Arial" w:eastAsia="Arial" w:hAnsi="Arial"/>
          <w:sz w:val="18"/>
          <w:szCs w:val="18"/>
          <w:color w:val="auto"/>
        </w:rPr>
      </w:pPr>
    </w:p>
    <w:p>
      <w:pPr>
        <w:ind w:left="1660" w:hanging="745"/>
        <w:spacing w:after="0"/>
        <w:tabs>
          <w:tab w:leader="none" w:pos="1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w:t>
      </w:r>
    </w:p>
    <w:p>
      <w:pPr>
        <w:spacing w:after="0" w:line="252" w:lineRule="exact"/>
        <w:rPr>
          <w:rFonts w:ascii="Arial" w:cs="Arial" w:eastAsia="Arial" w:hAnsi="Arial"/>
          <w:sz w:val="18"/>
          <w:szCs w:val="18"/>
          <w:color w:val="auto"/>
        </w:rPr>
      </w:pPr>
    </w:p>
    <w:p>
      <w:pPr>
        <w:ind w:left="2040" w:right="100" w:hanging="477"/>
        <w:spacing w:after="0" w:line="277" w:lineRule="auto"/>
        <w:tabs>
          <w:tab w:leader="none" w:pos="20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voluntary or involuntary case or proceeding under the Bankruptcy Code or any other Bankruptcy Law with respect to any Obligor;</w:t>
      </w:r>
    </w:p>
    <w:p>
      <w:pPr>
        <w:spacing w:after="0" w:line="197" w:lineRule="exact"/>
        <w:rPr>
          <w:rFonts w:ascii="Arial" w:cs="Arial" w:eastAsia="Arial" w:hAnsi="Arial"/>
          <w:sz w:val="18"/>
          <w:szCs w:val="18"/>
          <w:color w:val="auto"/>
        </w:rPr>
      </w:pPr>
    </w:p>
    <w:p>
      <w:pPr>
        <w:ind w:left="2040" w:right="80" w:hanging="477"/>
        <w:spacing w:after="0" w:line="264" w:lineRule="auto"/>
        <w:tabs>
          <w:tab w:leader="none" w:pos="20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other voluntary or involuntary insolvency, reorganization or bankruptcy case or proceeding, or any receivership, liquidation, proposal, reorganization, plan of arrangement or other similar case or proceeding with respect to any Obligor or with respect to a material portion of its assets;</w:t>
      </w:r>
    </w:p>
    <w:p>
      <w:pPr>
        <w:spacing w:after="0" w:line="208" w:lineRule="exact"/>
        <w:rPr>
          <w:rFonts w:ascii="Arial" w:cs="Arial" w:eastAsia="Arial" w:hAnsi="Arial"/>
          <w:sz w:val="18"/>
          <w:szCs w:val="18"/>
          <w:color w:val="auto"/>
        </w:rPr>
      </w:pPr>
    </w:p>
    <w:p>
      <w:pPr>
        <w:ind w:left="2040" w:right="80" w:hanging="477"/>
        <w:spacing w:after="0" w:line="277" w:lineRule="auto"/>
        <w:tabs>
          <w:tab w:leader="none" w:pos="20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liquidation, dissolution, reorganization, or winding up of any Obligor whether voluntary or involuntary and whether or not involving insolvency or bankruptcy; or</w:t>
      </w:r>
    </w:p>
    <w:p>
      <w:pPr>
        <w:spacing w:after="0" w:line="1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52" w:right="299" w:bottom="1440" w:gutter="0" w:footer="0" w:header="0"/>
        </w:sectPr>
      </w:pPr>
    </w:p>
    <w:bookmarkStart w:id="368" w:name="page369"/>
    <w:bookmarkEnd w:id="368"/>
    <w:p>
      <w:pPr>
        <w:ind w:left="2040" w:hanging="477"/>
        <w:spacing w:after="0"/>
        <w:tabs>
          <w:tab w:leader="none" w:pos="20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assignment for the benefit of creditors or any other marshalling of assets and liabilities of any Obligor.</w:t>
      </w:r>
    </w:p>
    <w:p>
      <w:pPr>
        <w:spacing w:after="0" w:line="290" w:lineRule="exact"/>
        <w:rPr>
          <w:rFonts w:ascii="Arial" w:cs="Arial" w:eastAsia="Arial" w:hAnsi="Arial"/>
          <w:sz w:val="17"/>
          <w:szCs w:val="17"/>
          <w:color w:val="auto"/>
        </w:rPr>
      </w:pPr>
    </w:p>
    <w:p>
      <w:pPr>
        <w:ind w:left="1620" w:hanging="705"/>
        <w:spacing w:after="0"/>
        <w:tabs>
          <w:tab w:leader="none" w:pos="16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means Holdings, the Borrower and each Subsidiary of Holdings that is a party to a Senior Loan</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64" w:lineRule="exact"/>
        <w:rPr>
          <w:rFonts w:ascii="Arial" w:cs="Arial" w:eastAsia="Arial" w:hAnsi="Arial"/>
          <w:sz w:val="17"/>
          <w:szCs w:val="17"/>
          <w:color w:val="auto"/>
        </w:rPr>
      </w:pPr>
    </w:p>
    <w:p>
      <w:pPr>
        <w:ind w:left="420" w:firstLine="495"/>
        <w:spacing w:after="0" w:line="255" w:lineRule="auto"/>
        <w:tabs>
          <w:tab w:leader="none" w:pos="161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indemnities and reimbursement obligations, liabilities, obligations, covenants and duties of, any Person, whether direct or indirect (including those acquired by assumption), absolute or contingent, due or to become due, now existing or hereafter arising and including interest, fees and expenses that accrue (in accordance with the rate specified in the relevant Credit Agreement) after the commencement by or against any Person or any affiliate thereof of any proceeding under any Bankruptcy Law naming such Person as the debtor in such proceeding, regardless of whether such interest, fees or expenses are allowed claims in such proceeding.</w:t>
      </w:r>
    </w:p>
    <w:p>
      <w:pPr>
        <w:spacing w:after="0" w:line="247" w:lineRule="exact"/>
        <w:rPr>
          <w:rFonts w:ascii="Arial" w:cs="Arial" w:eastAsia="Arial" w:hAnsi="Arial"/>
          <w:sz w:val="18"/>
          <w:szCs w:val="18"/>
          <w:color w:val="auto"/>
        </w:rPr>
      </w:pPr>
    </w:p>
    <w:p>
      <w:pPr>
        <w:ind w:left="420" w:right="100" w:firstLine="495"/>
        <w:spacing w:after="0" w:line="277" w:lineRule="auto"/>
        <w:tabs>
          <w:tab w:leader="none" w:pos="16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the Borrower, each Guarantor and any other Person that now or hereafter is, or whose assets now or hereafter are, liable for all or any portion of the Senior Debt or the Subordinated Debt, as applicable.</w:t>
      </w:r>
    </w:p>
    <w:p>
      <w:pPr>
        <w:spacing w:after="0" w:line="224" w:lineRule="exact"/>
        <w:rPr>
          <w:rFonts w:ascii="Arial" w:cs="Arial" w:eastAsia="Arial" w:hAnsi="Arial"/>
          <w:sz w:val="18"/>
          <w:szCs w:val="18"/>
          <w:color w:val="auto"/>
        </w:rPr>
      </w:pPr>
    </w:p>
    <w:p>
      <w:pPr>
        <w:ind w:left="420" w:right="480" w:firstLine="495"/>
        <w:spacing w:after="0" w:line="264" w:lineRule="auto"/>
        <w:tabs>
          <w:tab w:leader="none" w:pos="161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general partnership, limited partnership, limited liability partnership, corporation, limited liability company, unlimited liability company or corporation, business trust, joint stock company, trust, unincorporated association, joint venture, Governmental Authority or other entity of whatever nature.</w:t>
      </w:r>
    </w:p>
    <w:p>
      <w:pPr>
        <w:spacing w:after="0" w:line="235" w:lineRule="exact"/>
        <w:rPr>
          <w:rFonts w:ascii="Arial" w:cs="Arial" w:eastAsia="Arial" w:hAnsi="Arial"/>
          <w:sz w:val="18"/>
          <w:szCs w:val="18"/>
          <w:color w:val="auto"/>
        </w:rPr>
      </w:pPr>
    </w:p>
    <w:p>
      <w:pPr>
        <w:ind w:left="420" w:right="20" w:firstLine="495"/>
        <w:spacing w:after="0" w:line="257" w:lineRule="auto"/>
        <w:tabs>
          <w:tab w:leader="none" w:pos="170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Senior Debt and any Senior Loan Documents, to refinance, extend, renew, defease, amend, modify, supplement, restructure, replace, refund or repay, or to issue other indebtedness, in exchange or replacement for, such Senior Debt in whole or in part, in each case with the same or different lenders, agents or arrangers and including any increase in the principal amount of the loans and commitments provided thereunder. “Refinanced” and “Refinancing” shall have correlative meanings.</w:t>
      </w:r>
    </w:p>
    <w:p>
      <w:pPr>
        <w:spacing w:after="0" w:line="242" w:lineRule="exact"/>
        <w:rPr>
          <w:rFonts w:ascii="Arial" w:cs="Arial" w:eastAsia="Arial" w:hAnsi="Arial"/>
          <w:sz w:val="18"/>
          <w:szCs w:val="18"/>
          <w:color w:val="auto"/>
        </w:rPr>
      </w:pPr>
    </w:p>
    <w:p>
      <w:pPr>
        <w:ind w:left="420" w:right="160" w:firstLine="495"/>
        <w:spacing w:after="0" w:line="277" w:lineRule="auto"/>
        <w:tabs>
          <w:tab w:leader="none" w:pos="16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means all of the Obligations due and owing by the Debtors or Obligors and their affiliates pursuant to the Credit Agreement or a Secured Hedge Agreement.</w:t>
      </w:r>
    </w:p>
    <w:p>
      <w:pPr>
        <w:spacing w:after="0" w:line="224" w:lineRule="exact"/>
        <w:rPr>
          <w:rFonts w:ascii="Arial" w:cs="Arial" w:eastAsia="Arial" w:hAnsi="Arial"/>
          <w:sz w:val="18"/>
          <w:szCs w:val="18"/>
          <w:color w:val="auto"/>
        </w:rPr>
      </w:pPr>
    </w:p>
    <w:p>
      <w:pPr>
        <w:ind w:left="420" w:right="40" w:firstLine="495"/>
        <w:spacing w:after="0" w:line="259" w:lineRule="auto"/>
        <w:tabs>
          <w:tab w:leader="none" w:pos="16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Loan Documents</w:t>
      </w:r>
      <w:r>
        <w:rPr>
          <w:rFonts w:ascii="Arial" w:cs="Arial" w:eastAsia="Arial" w:hAnsi="Arial"/>
          <w:sz w:val="18"/>
          <w:szCs w:val="18"/>
          <w:color w:val="auto"/>
        </w:rPr>
        <w:t>” means the Credit Agreement and each of the other agreements, documents and instruments providing for or evidencing any other Senior Debt, including any intercreditor or joinder agreement among holders of Senior Debt to the extent such are effective at the relevant time, as each may be amended, restated, supplemented, modified, replaced, Refinanced, renewed or extended from time to time.</w:t>
      </w:r>
    </w:p>
    <w:p>
      <w:pPr>
        <w:spacing w:after="0" w:line="1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369" w:name="page370"/>
    <w:bookmarkEnd w:id="369"/>
    <w:p>
      <w:pPr>
        <w:ind w:left="2820" w:hanging="745"/>
        <w:spacing w:after="0"/>
        <w:tabs>
          <w:tab w:leader="none" w:pos="282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means all Indebtedness (as defined in the Credit Agreement) owed at any time by any Debtor to</w:t>
      </w:r>
    </w:p>
    <w:p>
      <w:pPr>
        <w:spacing w:after="0" w:line="46"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color w:val="auto"/>
        </w:rPr>
        <w:t>any Creditor.</w:t>
      </w:r>
    </w:p>
    <w:p>
      <w:pPr>
        <w:spacing w:after="0" w:line="264" w:lineRule="exact"/>
        <w:rPr>
          <w:rFonts w:ascii="Arial" w:cs="Arial" w:eastAsia="Arial" w:hAnsi="Arial"/>
          <w:sz w:val="16"/>
          <w:szCs w:val="16"/>
          <w:color w:val="auto"/>
        </w:rPr>
      </w:pPr>
    </w:p>
    <w:p>
      <w:pPr>
        <w:ind w:left="1580" w:firstLine="495"/>
        <w:spacing w:after="0" w:line="279" w:lineRule="auto"/>
        <w:tabs>
          <w:tab w:leader="none" w:pos="2816" w:val="left"/>
        </w:tabs>
        <w:numPr>
          <w:ilvl w:val="1"/>
          <w:numId w:val="3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Unasserted Contingent Obligations</w:t>
      </w:r>
      <w:r>
        <w:rPr>
          <w:rFonts w:ascii="Arial" w:cs="Arial" w:eastAsia="Arial" w:hAnsi="Arial"/>
          <w:sz w:val="17"/>
          <w:szCs w:val="17"/>
          <w:color w:val="auto"/>
        </w:rPr>
        <w:t>” means,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225" w:lineRule="exact"/>
        <w:rPr>
          <w:rFonts w:ascii="Arial" w:cs="Arial" w:eastAsia="Arial" w:hAnsi="Arial"/>
          <w:sz w:val="17"/>
          <w:szCs w:val="17"/>
          <w:color w:val="auto"/>
        </w:rPr>
      </w:pPr>
    </w:p>
    <w:p>
      <w:pPr>
        <w:ind w:left="-40" w:firstLine="1629"/>
        <w:spacing w:after="0" w:line="287" w:lineRule="auto"/>
        <w:tabs>
          <w:tab w:leader="none" w:pos="2202"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Each Creditor hereby agrees to subordinate all of the Subordinated Debt to the full and final payment and Discharge of Senior Debt (including, without limitation, with respect to any Lien granted by any Debtor in favor of any Creditor) on the terms set forth herein. Without limiting the generality of the foregoing, in the event of any distribution, division or application, partial or complete, voluntary or involuntary, by operation of law or otherwise, of all or any part of the assets of any Debtor or the proceeds thereof to any Creditor (except to the extent such distribution, division or application is permitted under the terms of the Credit Agreement) or upon any payment or distribution to any Creditor by reason of an Insolvency Proceeding, then and in any such event any payment or distribution of any kind or character, either in cash, securities or other property, which shall be payable or deliverable upon or with respect to any of the Subordinated Debt, shall be paid or delivered directly to the Agent for application to the Senior Debt (whether or not the same is then due) until the Discharge of Senior Debt. Each Debtor’s and each Creditor’s books shall be marked to evidence the subordination of all of the Subordinated Debt to the Senior Debt. The subordination provisions of this Section 2 shall remain in full force and effect notwithstanding any amendment, supplement, restatement, replacement, Refinancing or other modification with respect to the Credit Agreement and the Obligations of the Debtors thereunder (including, without limitation, all costs, expenses and interest accruing on the Senior Debt after the commencement of any Insolvency Proceeding whether or not such costs, expenses or interest would be allowed in such Insolvency Proceeding).</w:t>
      </w:r>
    </w:p>
    <w:p>
      <w:pPr>
        <w:spacing w:after="0" w:line="222" w:lineRule="exact"/>
        <w:rPr>
          <w:rFonts w:ascii="Arial" w:cs="Arial" w:eastAsia="Arial" w:hAnsi="Arial"/>
          <w:sz w:val="16"/>
          <w:szCs w:val="16"/>
          <w:color w:val="auto"/>
        </w:rPr>
      </w:pPr>
    </w:p>
    <w:p>
      <w:pPr>
        <w:ind w:left="-40" w:right="40" w:firstLine="1629"/>
        <w:spacing w:after="0" w:line="257" w:lineRule="auto"/>
        <w:tabs>
          <w:tab w:leader="none" w:pos="2202"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Nature of Senior Debt</w:t>
      </w:r>
      <w:r>
        <w:rPr>
          <w:rFonts w:ascii="Arial" w:cs="Arial" w:eastAsia="Arial" w:hAnsi="Arial"/>
          <w:sz w:val="18"/>
          <w:szCs w:val="18"/>
          <w:color w:val="auto"/>
        </w:rPr>
        <w:t>. Each Creditor acknowledges that the terms of the Senior Debt may be modified, extended or amended from time to time, and the aggregate amount of the Senior Debt may be increased or Refinanced, in either event, without notice to or the consent of any Creditor and without affecting the provisions hereof. The payment and lien priorities provided herein shall not be altered or otherwise affected by any such amendment, modification, supplement, extension, repayment, reborrowing, increase, replacement, renewal, restatement or Refinancing of either the Senior Debt or the Subordinated Debt, or any portion thereof.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370" w:name="page371"/>
    <w:bookmarkEnd w:id="370"/>
    <w:p>
      <w:pPr>
        <w:ind w:left="2240" w:hanging="611"/>
        <w:spacing w:after="0"/>
        <w:tabs>
          <w:tab w:leader="none" w:pos="224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Warranties and Representations of Debtor and Creditor</w:t>
      </w:r>
      <w:r>
        <w:rPr>
          <w:rFonts w:ascii="Arial" w:cs="Arial" w:eastAsia="Arial" w:hAnsi="Arial"/>
          <w:sz w:val="16"/>
          <w:szCs w:val="16"/>
          <w:color w:val="auto"/>
        </w:rPr>
        <w:t>. The Debtors and Creditors hereby represent and warrant that, as of the</w:t>
      </w:r>
    </w:p>
    <w:p>
      <w:pPr>
        <w:spacing w:after="0" w:line="46"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date hereof: (a) none of the Debtors nor any of the Creditors have relied nor will rely on any representation or information of any nature made by or received from the Agent or any Claimholder in deciding to execute this Agreement; (b) each Creditor is the lawful owner of its interest in the Subordinated Debt; (c) each Creditor has not heretofore assigned or transferred any of the Subordinated Debt, any interest therein or any collateral or security pertaining thereto; and</w:t>
      </w:r>
    </w:p>
    <w:p>
      <w:pPr>
        <w:spacing w:after="0" w:line="2" w:lineRule="exact"/>
        <w:rPr>
          <w:rFonts w:ascii="Arial" w:cs="Arial" w:eastAsia="Arial" w:hAnsi="Arial"/>
          <w:sz w:val="16"/>
          <w:szCs w:val="16"/>
          <w:color w:val="auto"/>
        </w:rPr>
      </w:pPr>
    </w:p>
    <w:p>
      <w:pPr>
        <w:ind w:right="140" w:firstLine="8"/>
        <w:spacing w:after="0" w:line="255" w:lineRule="auto"/>
        <w:tabs>
          <w:tab w:leader="none" w:pos="2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each Creditor has not heretofore given any subordination in respect of any of the Subordinated Debt that remains outstanding (other than any subordination with respect to the Senior Debt); and (e) any promissory note evidencing Subordinated Debt issued after the date hereof will be marked with a legend stating that it is subject to this Agreement.</w:t>
      </w:r>
    </w:p>
    <w:p>
      <w:pPr>
        <w:spacing w:after="0" w:line="244" w:lineRule="exact"/>
        <w:rPr>
          <w:rFonts w:ascii="Arial" w:cs="Arial" w:eastAsia="Arial" w:hAnsi="Arial"/>
          <w:sz w:val="18"/>
          <w:szCs w:val="18"/>
          <w:color w:val="auto"/>
        </w:rPr>
      </w:pPr>
    </w:p>
    <w:p>
      <w:pPr>
        <w:ind w:firstLine="1629"/>
        <w:spacing w:after="0" w:line="285" w:lineRule="auto"/>
        <w:tabs>
          <w:tab w:leader="none" w:pos="2242"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Negative Covenants</w:t>
      </w:r>
      <w:r>
        <w:rPr>
          <w:rFonts w:ascii="Arial" w:cs="Arial" w:eastAsia="Arial" w:hAnsi="Arial"/>
          <w:sz w:val="16"/>
          <w:szCs w:val="16"/>
          <w:color w:val="auto"/>
        </w:rPr>
        <w:t>. Except as otherwise provided or permitted hereunder (including payments permitted to be made on account of the Subordinated Debt pursuant to Section 6), for so long as this Agreement is in effect: (a) no Debtor shall, directly or indirectly, make any payment (other than to a Loan Party and other than interest paid in kind and the accrual and addition to principal of capitalized interest) on account of the Subordinated Debt if an Event of Default under the Credit Agreement has occurred and is continuing and the Agent has given notice to the applicable Loan Parties prohibiting such payments (which notice shall be deemed to have been given immediately upon the commencement of any Insolvency Proceeding constituting an Event of Default under the Credit Agreement), or grant a security interest in, mortgage, pledge, assign or transfer any properties to secure all or any part of the Subordinated Debt; (b) no Creditor (other than a Loan Party) shall demand, collect or accept from any Debtor or any other Person or entity now or hereafter obligated, directly or indirectly, to the Agent or any Claimholder for payment or performance of the Senior Debt, any payment if an Event of Default under the Credit Agreement has occurred and is continuing and the Agent has given notice to the applicable Loan Parties prohibiting such payment (which notice shall be deemed to have been given immediately upon the commencement of any Insolvency Proceeding constituting an Event of Default under the Credit Agreement) (other than interest paid in kind and the accrual and addition to principal of capitalized interest) or collateral on account of the Subordinated Debt or any part thereof or realize upon or enforce any collateral securing the Subordinated Debt; (c) no Creditor shall set off any part of the Subordinated Debt if an Event of Default under the Credit Agreement has occurred and is continuing and the Agent has given notice to the applicable Loan Parties prohibiting such set off (which notice shall be deemed to have been given immediately upon the commencement of any Insolvency Proceeding constituting an Event of Default under the Credit Agreement); (d) no Creditor shall hereafter give any other subordination in respect of the Subordinated Debt, other than with respect to the Senior Debt; (e) no Creditor shall transfer or assign any of the Subordinated Debt to any Person, other than to the Agent or any LNG Group Member to the extent permitted by the Credit Agreement; (f) no Creditor will commence or join with any other creditors of any Debtor in commencing any bankruptcy, reorganization, receivership or Insolvency Proceeding against any Debtor; and (g) each Creditor shall give the Agent prompt written notice of any default or event of default under any promissory note or other agreement evidencing Subordinated Debt.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71" w:name="page372"/>
    <w:bookmarkEnd w:id="371"/>
    <w:p>
      <w:pPr>
        <w:ind w:left="-40" w:right="280" w:firstLine="1629"/>
        <w:spacing w:after="0" w:line="293" w:lineRule="auto"/>
        <w:tabs>
          <w:tab w:leader="none" w:pos="2202"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No payments (whether in cash or other property and whether received directly, indirectly or by set off, counterclaim or otherwise) of principal or interest of any nature (other than interest paid in kind and the accrual and addition to principal of capitalized interest) may be made on account of the Subordinated Debt or any promissory note evidencing Subordinated Debt if an Event of Default under the Credit Agreement has occurred and is continuing and the Agent has given notice to the applicable Loan Parties prohibiting such payments (which notice shall be deemed to have been given immediately upon the commencement of any Insolvency Proceeding constituting an Event of Default under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Debtor may make any payment on account of any Subordinated Debt due and owing to a Creditor that is also a Loan Party.</w:t>
      </w:r>
    </w:p>
    <w:p>
      <w:pPr>
        <w:spacing w:after="0" w:line="218" w:lineRule="exact"/>
        <w:rPr>
          <w:rFonts w:ascii="Arial" w:cs="Arial" w:eastAsia="Arial" w:hAnsi="Arial"/>
          <w:sz w:val="16"/>
          <w:szCs w:val="16"/>
          <w:color w:val="auto"/>
        </w:rPr>
      </w:pPr>
    </w:p>
    <w:p>
      <w:pPr>
        <w:ind w:left="-40" w:firstLine="1629"/>
        <w:spacing w:after="0" w:line="287" w:lineRule="auto"/>
        <w:tabs>
          <w:tab w:leader="none" w:pos="2202"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Turnover of Prohibited Transfers</w:t>
      </w:r>
      <w:r>
        <w:rPr>
          <w:rFonts w:ascii="Arial" w:cs="Arial" w:eastAsia="Arial" w:hAnsi="Arial"/>
          <w:sz w:val="16"/>
          <w:szCs w:val="16"/>
          <w:color w:val="auto"/>
        </w:rPr>
        <w:t xml:space="preserve">. If any payment, distribution or security or the proceeds thereof are received by any Creditor on account of or with respect to the Subordinated Debt in violation of this Agreement, such Creditor shall immediately deliver same to the Agent in the form received (except for the addition of any endorsement or assignment necessary to effect a transfer of all rights therein to the Agent) for application to the Senior Debt;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payments are in a form other than cash or cash equivalents (“</w:t>
      </w:r>
      <w:r>
        <w:rPr>
          <w:rFonts w:ascii="Arial" w:cs="Arial" w:eastAsia="Arial" w:hAnsi="Arial"/>
          <w:sz w:val="16"/>
          <w:szCs w:val="16"/>
          <w:u w:val="single" w:color="auto"/>
          <w:color w:val="auto"/>
        </w:rPr>
        <w:t>Non-Cash Consideration</w:t>
      </w:r>
      <w:r>
        <w:rPr>
          <w:rFonts w:ascii="Arial" w:cs="Arial" w:eastAsia="Arial" w:hAnsi="Arial"/>
          <w:sz w:val="16"/>
          <w:szCs w:val="16"/>
          <w:color w:val="auto"/>
        </w:rPr>
        <w:t>”), the Agent, for the benefit of the Claimholders, shall be authorized to, but shall have no obligation to, monetize such Non-Cash Consideration in its sole discretion and any cash proceeds shall be applied to the Senior Debt. The application of such cash proceeds shall reduce the Senior Debt only to the extent of the actual cash payment indefeasibly received by the Claimholders, net of fees, costs and commissions. Notwithstanding the foregoing, to the extent any indemnification obligation or contingent obligation becomes due and payable after such time as the remainder of the Senior Debt are paid, such Creditor is obligated to turn over any such amounts to the Agent. The Agent is hereby authorized to make any such endorsements as agent for the applicable Creditor. This authorization is coupled with an interest and is irrevocable until the Discharge of Senior Debt. The Agent is irrevocably authorized to supply any required endorsement or assignment which may have been omitted to the extent that the same would have been required by any Creditor hereunder. Until so delivered any such payment, distribution or security shall be held by such Creditor in trust for Agent and shall not be commingled with other funds or property of such Creditor.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52" w:right="259" w:bottom="1440" w:gutter="0" w:footer="0" w:header="0"/>
        </w:sectPr>
      </w:pPr>
    </w:p>
    <w:bookmarkStart w:id="372" w:name="page373"/>
    <w:bookmarkEnd w:id="372"/>
    <w:p>
      <w:pPr>
        <w:ind w:right="20" w:firstLine="1629"/>
        <w:spacing w:after="0" w:line="290" w:lineRule="auto"/>
        <w:tabs>
          <w:tab w:leader="none" w:pos="2242"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Authority to Act for Creditors</w:t>
      </w:r>
      <w:r>
        <w:rPr>
          <w:rFonts w:ascii="Arial" w:cs="Arial" w:eastAsia="Arial" w:hAnsi="Arial"/>
          <w:sz w:val="16"/>
          <w:szCs w:val="16"/>
          <w:color w:val="auto"/>
        </w:rPr>
        <w:t>. Prior to the Discharge of Senior Debt, Agent shall have the right to act as each Creditor’s attorney-in-fact for the purposes specified herein and each Creditor hereby irrevocably appoints the Agent as such Creditor’s true and lawful attorney, which appointment is coupled with an interest, with full power of substitution, in the name of such Creditor or in the name of the Agent, for the use and benefit of the Agent for itself and on behalf of the Claimholders, without notice to any Creditor or any Creditor’s representatives, successors or assigns, to perform the following acts, at the Agent’s option, at any meeting of any Creditor or any Debtor in connection with any case or proceeding, whether of a Debtor or of a Creditor, whether voluntary or involuntary, for the distribution, division or application of the assets of any Debtor or the proceeds thereof, regardless of whether such case or proceeding is for the liquidation, dissolution, winding up of the affairs, reorganization or arrangement of any Debtor, or for the composition of any Debtor, in bankruptcy or in connection with a receivership, or under an assignment for the benefit of any Creditor or otherwise:</w:t>
      </w:r>
    </w:p>
    <w:p>
      <w:pPr>
        <w:spacing w:after="0" w:line="220" w:lineRule="exact"/>
        <w:rPr>
          <w:rFonts w:ascii="Arial" w:cs="Arial" w:eastAsia="Arial" w:hAnsi="Arial"/>
          <w:sz w:val="16"/>
          <w:szCs w:val="16"/>
          <w:color w:val="auto"/>
        </w:rPr>
      </w:pPr>
    </w:p>
    <w:p>
      <w:pPr>
        <w:ind w:left="1620" w:right="360" w:firstLine="495"/>
        <w:spacing w:after="0" w:line="277" w:lineRule="auto"/>
        <w:tabs>
          <w:tab w:leader="none" w:pos="284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to enforce and collect on claims comprising the Subordinated Debt, either in its own name or in the name of any Creditor, by proof of debt, proof of claim, adversary proceeding, motion, suit or otherwise;</w:t>
      </w:r>
    </w:p>
    <w:p>
      <w:pPr>
        <w:spacing w:after="0" w:line="224" w:lineRule="exact"/>
        <w:rPr>
          <w:rFonts w:ascii="Arial" w:cs="Arial" w:eastAsia="Arial" w:hAnsi="Arial"/>
          <w:sz w:val="18"/>
          <w:szCs w:val="18"/>
          <w:color w:val="auto"/>
        </w:rPr>
      </w:pPr>
    </w:p>
    <w:p>
      <w:pPr>
        <w:ind w:left="2860" w:hanging="745"/>
        <w:spacing w:after="0"/>
        <w:tabs>
          <w:tab w:leader="none" w:pos="28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to collect any assets of any Debtor distributed, divided or applied by way of dividend or payment, or any</w:t>
      </w:r>
    </w:p>
    <w:p>
      <w:pPr>
        <w:spacing w:after="0" w:line="23" w:lineRule="exact"/>
        <w:rPr>
          <w:sz w:val="20"/>
          <w:szCs w:val="20"/>
          <w:color w:val="auto"/>
        </w:rPr>
      </w:pPr>
    </w:p>
    <w:p>
      <w:pPr>
        <w:ind w:left="1620" w:right="260"/>
        <w:spacing w:after="0" w:line="255" w:lineRule="auto"/>
        <w:rPr>
          <w:sz w:val="20"/>
          <w:szCs w:val="20"/>
          <w:color w:val="auto"/>
        </w:rPr>
      </w:pPr>
      <w:r>
        <w:rPr>
          <w:rFonts w:ascii="Arial" w:cs="Arial" w:eastAsia="Arial" w:hAnsi="Arial"/>
          <w:sz w:val="18"/>
          <w:szCs w:val="18"/>
          <w:color w:val="auto"/>
        </w:rPr>
        <w:t>securities issued, on account of the Subordinated Debt and to apply the same, or the proceeds of any realization upon the same that the Agent in its discretion elects to effect, to the Senior Debt until the Discharge of Senior Debt, rendering any surplus to the applicable Creditors if and to the extent permitted by law; and</w:t>
      </w:r>
    </w:p>
    <w:p>
      <w:pPr>
        <w:spacing w:after="0" w:line="244" w:lineRule="exact"/>
        <w:rPr>
          <w:sz w:val="20"/>
          <w:szCs w:val="20"/>
          <w:color w:val="auto"/>
        </w:rPr>
      </w:pPr>
    </w:p>
    <w:p>
      <w:pPr>
        <w:ind w:left="1620" w:right="220" w:firstLine="495"/>
        <w:spacing w:after="0" w:line="264" w:lineRule="auto"/>
        <w:tabs>
          <w:tab w:leader="none" w:pos="28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take generally any action in connection with any such meeting, case or proceeding that such Creditor would be authorized to take but for this Agreement, including without limitation casting any votes or ballots with respect to the Subordinated Debt.</w:t>
      </w:r>
    </w:p>
    <w:p>
      <w:pPr>
        <w:spacing w:after="0" w:line="208" w:lineRule="exact"/>
        <w:rPr>
          <w:sz w:val="20"/>
          <w:szCs w:val="20"/>
          <w:color w:val="auto"/>
        </w:rPr>
      </w:pPr>
    </w:p>
    <w:p>
      <w:pPr>
        <w:ind w:firstLine="1621"/>
        <w:spacing w:after="0" w:line="259" w:lineRule="auto"/>
        <w:rPr>
          <w:sz w:val="20"/>
          <w:szCs w:val="20"/>
          <w:color w:val="auto"/>
        </w:rPr>
      </w:pPr>
      <w:r>
        <w:rPr>
          <w:rFonts w:ascii="Arial" w:cs="Arial" w:eastAsia="Arial" w:hAnsi="Arial"/>
          <w:sz w:val="18"/>
          <w:szCs w:val="18"/>
          <w:color w:val="auto"/>
        </w:rPr>
        <w:t>Anything in this Section 8 to the contrary notwithstanding, the Agent agrees that it will not exercise any rights under the power of attorney provided for in this Section 8 with respect to any Creditor unless an Event of Default by an Obligor shall have occurred and be continuing under the Credit Agreement. In no event shall the Agent be liable to any Creditor for any failure to prove or file proofs of claim with respect to the Subordinated Debt, to exercise any right with respect thereto or to collect any sums payable thereon.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52" w:right="359" w:bottom="1440" w:gutter="0" w:footer="0" w:header="0"/>
        </w:sectPr>
      </w:pPr>
    </w:p>
    <w:bookmarkStart w:id="373" w:name="page374"/>
    <w:bookmarkEnd w:id="373"/>
    <w:p>
      <w:pPr>
        <w:ind w:left="-20" w:right="80" w:firstLine="1629"/>
        <w:spacing w:after="0" w:line="285" w:lineRule="auto"/>
        <w:tabs>
          <w:tab w:leader="none" w:pos="222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If any Creditor is or becomes indebted to any Debtor in any respect, whether now or in the future, then such Creditor shall not offset its indebtedness to such Debtor against any Subordinated Debt if an Event of Default under the Credit Agreement has occurred and is continuing and the Agent has given notice to the applicable Loan Parties prohibiting such offset (which notice shall be deemed to have been given immediately upon the commencement of any Insolvency Proceeding constituting an Event of Default under the Credit Agreement). Furthermore, no Debtor shall compromise or settle any present or future debts that any Creditor may owe to such Debtor if an Event of Default under the Credit Agreement has occurred and is continuing and the Agent has given notice to the applicable Loan Parties prohibiting such compromise or settlement (which notice shall be deemed to have been given immediately upon the commencement of any Insolvency Proceeding constituting an Event of Default under the Credit Agreement) unless the Agent shall grant its prior written consent to the same. Each Debtor and each Creditor hereby waive any defense based on the adequacy of a remedy at law which might be asserted as a bar to the remedy of specific performance of this Agreement in any action brought therefor by Agent. To the fullest extent permitted by law, each Debtor and each Creditor hereby further waive the following: presentment, demand, protest, notice of default or dishonor, notice of payment or nonpayment and any and all other notices and demands of any kind in connection with all negotiable instruments evidencing all or any portion of the Senior Debt or the Subordinated Debt to which such Debtor or such Creditor may be a party; the right to require Agent to marshall any security, or to enforce any security interest or lien the Agent may now or hereafter have in any collateral securing the Senior Debt or to pursue any claim it may have against any guarantor of the Senior Debt, as a condition to the Agent’s entitlement to receive any payment on account of the Subordinated Debt; notice of any loans made, extensions granted or other action taken in reliance hereon; and all other demands and notices of every kind in connection with this Agreement, the Senior Debt or the Subordinated Debt. Each Creditor assents to any release, renewal, extension, compromise or postponement of the time of payment to the Senior Debt, to any substitution, exchange or release of collateral therefor and to the addition or release of any Person primarily or secondarily liable thereon (collectively, the “</w:t>
      </w:r>
      <w:r>
        <w:rPr>
          <w:rFonts w:ascii="Arial" w:cs="Arial" w:eastAsia="Arial" w:hAnsi="Arial"/>
          <w:sz w:val="16"/>
          <w:szCs w:val="16"/>
          <w:u w:val="single" w:color="auto"/>
          <w:color w:val="auto"/>
        </w:rPr>
        <w:t>Consented Actions</w:t>
      </w:r>
      <w:r>
        <w:rPr>
          <w:rFonts w:ascii="Arial" w:cs="Arial" w:eastAsia="Arial" w:hAnsi="Arial"/>
          <w:sz w:val="16"/>
          <w:szCs w:val="16"/>
          <w:color w:val="auto"/>
        </w:rPr>
        <w:t>”). Each Debtor agrees to use its best efforts to give such Creditor notice of any Consented Actions, but the failure of such Creditor to receive such notice from such Debtor shall in no way affect the validity or enforceability of the subordination granted hereunder, or the agreements, consents or waivers of such Creditor set forth in this Agreement.</w:t>
      </w:r>
    </w:p>
    <w:p>
      <w:pPr>
        <w:spacing w:after="0" w:line="222" w:lineRule="exact"/>
        <w:rPr>
          <w:rFonts w:ascii="Arial" w:cs="Arial" w:eastAsia="Arial" w:hAnsi="Arial"/>
          <w:sz w:val="16"/>
          <w:szCs w:val="16"/>
          <w:color w:val="auto"/>
        </w:rPr>
      </w:pPr>
    </w:p>
    <w:p>
      <w:pPr>
        <w:ind w:left="-20" w:right="100" w:firstLine="1629"/>
        <w:spacing w:after="0" w:line="264" w:lineRule="auto"/>
        <w:tabs>
          <w:tab w:leader="none" w:pos="2204"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Provided that the Discharge of Senior Debt has occurred, each Creditor shall be subrogated to the rights of the Agent to receive payments or distributions of cash, property or securities payable or distributable on account of the Senior Debt, to the extent of all payments and distributions paid over to or for the benefit of Agent pursuant to this Agreement.</w:t>
      </w:r>
    </w:p>
    <w:p>
      <w:pPr>
        <w:spacing w:after="0" w:line="235" w:lineRule="exact"/>
        <w:rPr>
          <w:rFonts w:ascii="Arial" w:cs="Arial" w:eastAsia="Arial" w:hAnsi="Arial"/>
          <w:sz w:val="18"/>
          <w:szCs w:val="18"/>
          <w:color w:val="auto"/>
        </w:rPr>
      </w:pPr>
    </w:p>
    <w:p>
      <w:pPr>
        <w:ind w:left="-20" w:right="220" w:firstLine="1629"/>
        <w:spacing w:after="0" w:line="259" w:lineRule="auto"/>
        <w:tabs>
          <w:tab w:leader="none" w:pos="2197"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Statement of Account</w:t>
      </w:r>
      <w:r>
        <w:rPr>
          <w:rFonts w:ascii="Arial" w:cs="Arial" w:eastAsia="Arial" w:hAnsi="Arial"/>
          <w:sz w:val="18"/>
          <w:szCs w:val="18"/>
          <w:color w:val="auto"/>
        </w:rPr>
        <w:t>. Each Debtor and each Creditor agree to render to the Agent from time to time upon the Agent’s reasonable written request therefor a statement of such Debtor’s account with such Creditor and to afford each Agent reasonable access to the books and records of such Debtor during normal business hours in order that the Agent may make a full examination of the state of accounts of such Debtor with such Creditor.</w:t>
      </w:r>
    </w:p>
    <w:p>
      <w:pPr>
        <w:spacing w:after="0" w:line="240" w:lineRule="exact"/>
        <w:rPr>
          <w:rFonts w:ascii="Arial" w:cs="Arial" w:eastAsia="Arial" w:hAnsi="Arial"/>
          <w:sz w:val="18"/>
          <w:szCs w:val="18"/>
          <w:color w:val="auto"/>
        </w:rPr>
      </w:pPr>
    </w:p>
    <w:p>
      <w:pPr>
        <w:ind w:left="-20" w:firstLine="1629"/>
        <w:spacing w:after="0" w:line="257" w:lineRule="auto"/>
        <w:tabs>
          <w:tab w:leader="none" w:pos="2204"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Validity of Subordinated and Senior Debt</w:t>
      </w:r>
      <w:r>
        <w:rPr>
          <w:rFonts w:ascii="Arial" w:cs="Arial" w:eastAsia="Arial" w:hAnsi="Arial"/>
          <w:sz w:val="18"/>
          <w:szCs w:val="18"/>
          <w:color w:val="auto"/>
        </w:rPr>
        <w:t>. The provisions of this Agreement subordinating the Subordinated Debt are solely for the purpose of defining the relative rights of the Agent and Claimholders, on the one hand, and the Creditors, on the other hand, and shall not impair, as between each Creditor and each Debtor or between the Agent and Claimholders and the Debtors, the Borrower or other Obligors, the obligations of Debtors, the Borrower or other Obligors which are unconditional and absolute, to pay the Subordinated Debt and the Senior Debt, respectively, in accordance with their terms subject to the provisions of this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374" w:name="page375"/>
    <w:bookmarkEnd w:id="374"/>
    <w:p>
      <w:pPr>
        <w:ind w:left="-8" w:right="100" w:firstLine="1629"/>
        <w:spacing w:after="0" w:line="276" w:lineRule="auto"/>
        <w:tabs>
          <w:tab w:leader="none" w:pos="2216" w:val="left"/>
        </w:tabs>
        <w:numPr>
          <w:ilvl w:val="1"/>
          <w:numId w:val="354"/>
        </w:numPr>
        <w:rPr>
          <w:rFonts w:ascii="Arial" w:cs="Arial" w:eastAsia="Arial" w:hAnsi="Arial"/>
          <w:sz w:val="17"/>
          <w:szCs w:val="17"/>
          <w:color w:val="auto"/>
        </w:rPr>
      </w:pPr>
      <w:r>
        <w:rPr>
          <w:rFonts w:ascii="Arial" w:cs="Arial" w:eastAsia="Arial" w:hAnsi="Arial"/>
          <w:sz w:val="17"/>
          <w:szCs w:val="17"/>
          <w:u w:val="single" w:color="auto"/>
          <w:color w:val="auto"/>
        </w:rPr>
        <w:t>Indulgences Not Waivers</w:t>
      </w:r>
      <w:r>
        <w:rPr>
          <w:rFonts w:ascii="Arial" w:cs="Arial" w:eastAsia="Arial" w:hAnsi="Arial"/>
          <w:sz w:val="17"/>
          <w:szCs w:val="17"/>
          <w:color w:val="auto"/>
        </w:rPr>
        <w:t>. Neither the failure nor any delay on the part of the Agent or any Claimholder to exercise any right, remedy, power or privilege hereunder shall operate as a waiver thereof or give rise to an estoppel, nor be construed as an agreement to modify the terms of this Agreement, nor shall any single or partial exercise of any right, remedy, power or privilege with respect to any occurrence be construed as a waiver of such right, remedy, power or privilege with respect to any other occurrence. No waiver by a party hereunder shall be effective unless it is in writing and signed by the party making such waiver, and then only to the extent specifically stated in such writing.</w:t>
      </w:r>
    </w:p>
    <w:p>
      <w:pPr>
        <w:spacing w:after="0" w:line="226" w:lineRule="exact"/>
        <w:rPr>
          <w:rFonts w:ascii="Arial" w:cs="Arial" w:eastAsia="Arial" w:hAnsi="Arial"/>
          <w:sz w:val="17"/>
          <w:szCs w:val="17"/>
          <w:color w:val="auto"/>
        </w:rPr>
      </w:pPr>
    </w:p>
    <w:p>
      <w:pPr>
        <w:ind w:left="-8" w:right="80" w:firstLine="1629"/>
        <w:spacing w:after="0" w:line="273" w:lineRule="auto"/>
        <w:tabs>
          <w:tab w:leader="none" w:pos="2216" w:val="left"/>
        </w:tabs>
        <w:numPr>
          <w:ilvl w:val="1"/>
          <w:numId w:val="354"/>
        </w:numPr>
        <w:rPr>
          <w:rFonts w:ascii="Arial" w:cs="Arial" w:eastAsia="Arial" w:hAnsi="Arial"/>
          <w:sz w:val="17"/>
          <w:szCs w:val="17"/>
          <w:color w:val="auto"/>
        </w:rPr>
      </w:pPr>
      <w:r>
        <w:rPr>
          <w:rFonts w:ascii="Arial" w:cs="Arial" w:eastAsia="Arial" w:hAnsi="Arial"/>
          <w:sz w:val="17"/>
          <w:szCs w:val="17"/>
          <w:u w:val="single" w:color="auto"/>
          <w:color w:val="auto"/>
        </w:rPr>
        <w:t>Effectiveness; Duration</w:t>
      </w:r>
      <w:r>
        <w:rPr>
          <w:rFonts w:ascii="Arial" w:cs="Arial" w:eastAsia="Arial" w:hAnsi="Arial"/>
          <w:sz w:val="17"/>
          <w:szCs w:val="17"/>
          <w:color w:val="auto"/>
        </w:rPr>
        <w:t>. This Agreement shall become effective when executed by each Debtor and each Creditor, and, when so executed, shall constitute a continuing agreement of subordination, and shall remain in effect until the Discharge of Senior Debt. Claimholders may, without notice to any Creditor, extend or continue credit and make other financial accommodations to or for the account of the Debtors in reliance upon this Agreement. If, in the context of any Insolvency Proceeding, the Agent is required to or agrees to disgorge any payments received by the Agent on account of the Senior Debt, the transfer of which is challenged as avoidable by a trustee or debtor-in-possession, such amount shall be deemed not to be paid to the Agent and this Agreement shall remain in effect with respect to any such disgorged payments.</w:t>
      </w:r>
    </w:p>
    <w:p>
      <w:pPr>
        <w:spacing w:after="0" w:line="232" w:lineRule="exact"/>
        <w:rPr>
          <w:rFonts w:ascii="Arial" w:cs="Arial" w:eastAsia="Arial" w:hAnsi="Arial"/>
          <w:sz w:val="17"/>
          <w:szCs w:val="17"/>
          <w:color w:val="auto"/>
        </w:rPr>
      </w:pPr>
    </w:p>
    <w:p>
      <w:pPr>
        <w:ind w:left="-8" w:firstLine="1629"/>
        <w:spacing w:after="0" w:line="269" w:lineRule="auto"/>
        <w:tabs>
          <w:tab w:leader="none" w:pos="2216" w:val="left"/>
        </w:tabs>
        <w:numPr>
          <w:ilvl w:val="1"/>
          <w:numId w:val="354"/>
        </w:numPr>
        <w:rPr>
          <w:rFonts w:ascii="Arial" w:cs="Arial" w:eastAsia="Arial" w:hAnsi="Arial"/>
          <w:sz w:val="17"/>
          <w:szCs w:val="17"/>
          <w:color w:val="auto"/>
        </w:rPr>
      </w:pPr>
      <w:r>
        <w:rPr>
          <w:rFonts w:ascii="Arial" w:cs="Arial" w:eastAsia="Arial" w:hAnsi="Arial"/>
          <w:sz w:val="17"/>
          <w:szCs w:val="17"/>
          <w:u w:val="single" w:color="auto"/>
          <w:color w:val="auto"/>
        </w:rPr>
        <w:t>Default and Enforcement</w:t>
      </w:r>
      <w:r>
        <w:rPr>
          <w:rFonts w:ascii="Arial" w:cs="Arial" w:eastAsia="Arial" w:hAnsi="Arial"/>
          <w:sz w:val="17"/>
          <w:szCs w:val="17"/>
          <w:color w:val="auto"/>
        </w:rPr>
        <w:t>. This Agreement shall create an irrebuttable presumption and admission by each Creditor that relief against such Creditor by injunction, specific performance and/or other appropriate equitable relief is necessary to prevent irreparable harm to the Claimholders, it being understood and agreed by each Creditor that (i) the Claimholders’ damages from its actions may at that time be difficult to ascertain and may be irreparable, and (ii) such Creditor waives any defense that the Obligors and/or the Claimholders cannot demonstrate damage and/or be made whole by the awarding of damages. If at any time any Creditor fails to comply with any provision of this Agreement that is applicable to such Creditor, Agent may demand specific performance of this Agreement, whether or not any Debtor has complied with this Agreement, and may exercise any other remedy available at law or equity. Without limiting the generality of the foregoing, if any Creditor, in violation of this Agreement, shall institute or participate in any action, suit or proceeding against any Debtor, such Debtor may interpose as a defense or dilatory plea this Agreement and Agent is irrevocably authorized to intervene and to interpose such defense or plea in such Debtor’s name. If any Creditor attempts to enforce or realize upon any collateral securing the Subordinated Debt in violation of this Agreement, any Debtor or Agent (in such Debtor’s or any applicable Agent’s name) may by virtue of this Agreement restrain such realization or enforcement.</w:t>
      </w:r>
    </w:p>
    <w:p>
      <w:pPr>
        <w:spacing w:after="0" w:line="236" w:lineRule="exact"/>
        <w:rPr>
          <w:rFonts w:ascii="Arial" w:cs="Arial" w:eastAsia="Arial" w:hAnsi="Arial"/>
          <w:sz w:val="17"/>
          <w:szCs w:val="17"/>
          <w:color w:val="auto"/>
        </w:rPr>
      </w:pPr>
    </w:p>
    <w:p>
      <w:pPr>
        <w:ind w:left="-8" w:right="40" w:firstLine="1629"/>
        <w:spacing w:after="0" w:line="285" w:lineRule="auto"/>
        <w:tabs>
          <w:tab w:leader="none" w:pos="2216"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Exercise of Remedies</w:t>
      </w:r>
      <w:r>
        <w:rPr>
          <w:rFonts w:ascii="Arial" w:cs="Arial" w:eastAsia="Arial" w:hAnsi="Arial"/>
          <w:sz w:val="16"/>
          <w:szCs w:val="16"/>
          <w:color w:val="auto"/>
        </w:rPr>
        <w:t>. Notwithstanding anything to the contrary contained in this Agreement, the Credit Agreement or the other Senior Loan Documents, until the Discharge of Senior Debt has occurred, the Creditors shall not (i) take or omit to take any action or assert any claim with respect to the Subordinated Debt or otherwise (or support any other Person in taking any action or asserting any claim) which is inconsistent with the provisions of this Agreement, (ii) take any action or enforce any rights or remedies against the Loan Parties or any collateral securing the Senior Debt, (iii) exercise any rights to set-offs or recoupments and/or counterclaims in respect of any of the Subordinated Debt or any other obligation with respect thereto, or</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accept any additional collateral without the Senior Claimholders obtaining prior ranking liens on such collateral.</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52" w:right="279" w:bottom="1440" w:gutter="0" w:footer="0" w:header="0"/>
        </w:sectPr>
      </w:pPr>
    </w:p>
    <w:bookmarkStart w:id="375" w:name="page376"/>
    <w:bookmarkEnd w:id="375"/>
    <w:p>
      <w:pPr>
        <w:ind w:left="2140" w:hanging="611"/>
        <w:spacing w:after="0"/>
        <w:tabs>
          <w:tab w:leader="none" w:pos="214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Assumption and Releases</w:t>
      </w:r>
      <w:r>
        <w:rPr>
          <w:rFonts w:ascii="Arial" w:cs="Arial" w:eastAsia="Arial" w:hAnsi="Arial"/>
          <w:sz w:val="18"/>
          <w:szCs w:val="18"/>
          <w:color w:val="auto"/>
        </w:rPr>
        <w:t>.</w:t>
      </w:r>
    </w:p>
    <w:p>
      <w:pPr>
        <w:spacing w:after="0" w:line="279" w:lineRule="exact"/>
        <w:rPr>
          <w:sz w:val="20"/>
          <w:szCs w:val="20"/>
          <w:color w:val="auto"/>
        </w:rPr>
      </w:pPr>
    </w:p>
    <w:p>
      <w:pPr>
        <w:ind w:left="-100" w:right="240" w:firstLine="1629"/>
        <w:spacing w:after="0" w:line="277" w:lineRule="auto"/>
        <w:tabs>
          <w:tab w:leader="none" w:pos="212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party that elects to become a party to this Agreement shall become either a Creditor or Debtor for all purposes of this Agreement upon execution and delivery of an assumption agreement in the form of Annex C hereto.</w:t>
      </w:r>
    </w:p>
    <w:p>
      <w:pPr>
        <w:spacing w:after="0" w:line="224" w:lineRule="exact"/>
        <w:rPr>
          <w:rFonts w:ascii="Arial" w:cs="Arial" w:eastAsia="Arial" w:hAnsi="Arial"/>
          <w:sz w:val="18"/>
          <w:szCs w:val="18"/>
          <w:color w:val="auto"/>
        </w:rPr>
      </w:pPr>
    </w:p>
    <w:p>
      <w:pPr>
        <w:ind w:left="-100" w:right="300" w:firstLine="1629"/>
        <w:spacing w:after="0" w:line="273" w:lineRule="auto"/>
        <w:tabs>
          <w:tab w:leader="none" w:pos="2109"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in connection with any action by the Agent to enforce the rights and remedies of the Claimholders (whether against the collateral or otherwise), the Agent or any other Claimholder, for itself or on behalf of any of the Claimholders, releases any of its liens on any part of the collateral or releases any Obligor from its obligations under the Senior Debt, then the liens, if any, of any Creditor on such collateral, and the obligations, if any, of such Obligor as a guarantor under any Subordinated Debt, shall be automatically, unconditionally and simultaneously released. Each Creditor promptly shall execute and deliver to the Agent or such Debtor such termination statements, releases and other documents as the Agent, applicable Claimholder or such Debtor may request to effectively confirm such release.</w:t>
      </w:r>
    </w:p>
    <w:p>
      <w:pPr>
        <w:spacing w:after="0" w:line="232" w:lineRule="exact"/>
        <w:rPr>
          <w:sz w:val="20"/>
          <w:szCs w:val="20"/>
          <w:color w:val="auto"/>
        </w:rPr>
      </w:pPr>
    </w:p>
    <w:p>
      <w:pPr>
        <w:ind w:left="-100" w:firstLine="1629"/>
        <w:spacing w:after="0" w:line="255" w:lineRule="auto"/>
        <w:tabs>
          <w:tab w:leader="none" w:pos="2124"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No Motions</w:t>
      </w:r>
      <w:r>
        <w:rPr>
          <w:rFonts w:ascii="Arial" w:cs="Arial" w:eastAsia="Arial" w:hAnsi="Arial"/>
          <w:sz w:val="18"/>
          <w:szCs w:val="18"/>
          <w:color w:val="auto"/>
        </w:rPr>
        <w:t>. In connection with an Insolvency Proceeding, without the prior written consent of the Agent as to both form and substance, no Creditor shall file any motion or other application, objection, joinder or other filing in connection with sections 362, 363, 364 and/or 506 of the Bankruptcy Code (or any equivalent section of other Bankruptcy Law) or otherwise or in connection with any valuation issues, marshalling issues or otherwise make any filing adverse to the interests of the Claimholders, including, without limitation, motions seeking adequate protection, relief from the automatic stay, expense claims, motions requesting post-petition interest and/or similar relief sought pursuant to other Bankruptcy Laws. No Creditor will participate in or otherwise support the “priming” of, or granting of any “pari passu” liens with respect to, any of the liens supporting the Senior Debt in connection with a proposed debtor-in- possession facility or otherwise.</w:t>
      </w:r>
    </w:p>
    <w:p>
      <w:pPr>
        <w:spacing w:after="0" w:line="243" w:lineRule="exact"/>
        <w:rPr>
          <w:rFonts w:ascii="Arial" w:cs="Arial" w:eastAsia="Arial" w:hAnsi="Arial"/>
          <w:sz w:val="18"/>
          <w:szCs w:val="18"/>
          <w:color w:val="auto"/>
        </w:rPr>
      </w:pPr>
    </w:p>
    <w:p>
      <w:pPr>
        <w:ind w:left="-100" w:firstLine="1629"/>
        <w:spacing w:after="0" w:line="279" w:lineRule="auto"/>
        <w:tabs>
          <w:tab w:leader="none" w:pos="2124"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Effectiveness in Insolvency Proceedings</w:t>
      </w:r>
      <w:r>
        <w:rPr>
          <w:rFonts w:ascii="Arial" w:cs="Arial" w:eastAsia="Arial" w:hAnsi="Arial"/>
          <w:sz w:val="17"/>
          <w:szCs w:val="17"/>
          <w:color w:val="auto"/>
        </w:rPr>
        <w:t>. This Agreement, which the parties hereto expressly acknowledge is a “subordination agreement” under Section 510(a) of the Bankruptcy Code (or substantially equivalent or similar provisions and concepts in other Bankruptcy Laws) shall be effective before, during and after the commencement of an Insolvency Proceeding. All references in this Agreement to any Debtor or Obligor shall include such Person as a debtor-in-possession and any receiver or trustee for such Person in any Insolvency Proceeding.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2466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152" w:right="319" w:bottom="1440" w:gutter="0" w:footer="0" w:header="0"/>
        </w:sectPr>
      </w:pPr>
    </w:p>
    <w:bookmarkStart w:id="376" w:name="page377"/>
    <w:bookmarkEnd w:id="376"/>
    <w:p>
      <w:pPr>
        <w:ind w:left="-40" w:firstLine="1629"/>
        <w:spacing w:after="0" w:line="276" w:lineRule="auto"/>
        <w:tabs>
          <w:tab w:leader="none" w:pos="2184"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In the event of any litigation with respect to any matter concerned with this Agreement, each Debtor hereby waives all rights of setoff, crossclaim and counterclaim of any nature. Each Creditor and each Debtor hereby irrevocably consents to the exclusive jurisdiction of the Courts of the State of New York and of any Federal court located in the State of New York, in connection with any action or proceeding arising out of or relating to this Agreement. The exclusive choice of forum set forth herein shall not be deemed to preclude the enforcement of any judgment obtained in such forum or the taking of any action under this Agreement to enforce the same in any appropriate jurisdiction.</w:t>
      </w:r>
    </w:p>
    <w:p>
      <w:pPr>
        <w:spacing w:after="0" w:line="226" w:lineRule="exact"/>
        <w:rPr>
          <w:rFonts w:ascii="Arial" w:cs="Arial" w:eastAsia="Arial" w:hAnsi="Arial"/>
          <w:sz w:val="17"/>
          <w:szCs w:val="17"/>
          <w:color w:val="auto"/>
        </w:rPr>
      </w:pPr>
    </w:p>
    <w:p>
      <w:pPr>
        <w:ind w:left="-40" w:firstLine="1629"/>
        <w:spacing w:after="0" w:line="255" w:lineRule="auto"/>
        <w:tabs>
          <w:tab w:leader="none" w:pos="2184"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Addresses for Notices</w:t>
      </w:r>
      <w:r>
        <w:rPr>
          <w:rFonts w:ascii="Arial" w:cs="Arial" w:eastAsia="Arial" w:hAnsi="Arial"/>
          <w:sz w:val="18"/>
          <w:szCs w:val="18"/>
          <w:color w:val="auto"/>
        </w:rPr>
        <w:t xml:space="preserve">. 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telecopy, with respect to any Debtor, Creditor or the Agent as set forth in the Credit Agreement. Any party hereto may change its address or telecopy number for notices and other communications hereunder by notice to the other parties hereto. All such notices and other communications may be transmitted by overnight delivery, faxed, or mailed,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notices shall not be effective until actually received by such Person at its address specified in this section.</w:t>
      </w:r>
    </w:p>
    <w:p>
      <w:pPr>
        <w:spacing w:after="0" w:line="247" w:lineRule="exact"/>
        <w:rPr>
          <w:rFonts w:ascii="Arial" w:cs="Arial" w:eastAsia="Arial" w:hAnsi="Arial"/>
          <w:sz w:val="18"/>
          <w:szCs w:val="18"/>
          <w:color w:val="auto"/>
        </w:rPr>
      </w:pPr>
    </w:p>
    <w:p>
      <w:pPr>
        <w:ind w:left="-40" w:right="80" w:firstLine="1629"/>
        <w:spacing w:after="0" w:line="302" w:lineRule="auto"/>
        <w:tabs>
          <w:tab w:leader="none" w:pos="2184"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Agent’s Duties Limited</w:t>
      </w:r>
      <w:r>
        <w:rPr>
          <w:rFonts w:ascii="Arial" w:cs="Arial" w:eastAsia="Arial" w:hAnsi="Arial"/>
          <w:sz w:val="16"/>
          <w:szCs w:val="16"/>
          <w:color w:val="auto"/>
        </w:rPr>
        <w:t>. The rights granted to the Agent in this Agreement are solely for its protection and nothing herein contained imposes on the Agent any duties with respect to any property either of any Debtor or of any Creditor heretofore or hereafter received by the Agent beyond reasonable care in the custody and preservation of such property while in the Agent’s possession. The Agent has no duty to preserve rights against prior parties on any instrument or chattel paper received from any Debtor or any Creditor as collateral security for the Senior Debt or any portion thereof.</w:t>
      </w:r>
    </w:p>
    <w:p>
      <w:pPr>
        <w:spacing w:after="0" w:line="208" w:lineRule="exact"/>
        <w:rPr>
          <w:rFonts w:ascii="Arial" w:cs="Arial" w:eastAsia="Arial" w:hAnsi="Arial"/>
          <w:sz w:val="16"/>
          <w:szCs w:val="16"/>
          <w:color w:val="auto"/>
        </w:rPr>
      </w:pPr>
    </w:p>
    <w:p>
      <w:pPr>
        <w:ind w:left="-40" w:right="100" w:firstLine="1629"/>
        <w:spacing w:after="0" w:line="264" w:lineRule="auto"/>
        <w:tabs>
          <w:tab w:leader="none" w:pos="2184"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Continuing Nature of this Agreement</w:t>
      </w:r>
      <w:r>
        <w:rPr>
          <w:rFonts w:ascii="Arial" w:cs="Arial" w:eastAsia="Arial" w:hAnsi="Arial"/>
          <w:sz w:val="18"/>
          <w:szCs w:val="18"/>
          <w:color w:val="auto"/>
        </w:rPr>
        <w:t>. Each Creditor hereby waives any right it may have under applicable law to revoke this Agreement or any of the provisions of this Agreement. The terms of this Agreement shall survive, and shall continue in full force and effect, in any Insolvency Proceeding.</w:t>
      </w:r>
    </w:p>
    <w:p>
      <w:pPr>
        <w:spacing w:after="0" w:line="235" w:lineRule="exact"/>
        <w:rPr>
          <w:rFonts w:ascii="Arial" w:cs="Arial" w:eastAsia="Arial" w:hAnsi="Arial"/>
          <w:sz w:val="18"/>
          <w:szCs w:val="18"/>
          <w:color w:val="auto"/>
        </w:rPr>
      </w:pPr>
    </w:p>
    <w:p>
      <w:pPr>
        <w:ind w:left="-40" w:right="80" w:firstLine="1629"/>
        <w:spacing w:after="0" w:line="257" w:lineRule="auto"/>
        <w:tabs>
          <w:tab w:leader="none" w:pos="2184"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and expresses the entire understanding between the parties hereto with respect to the subject matter hereof, and supersedes all prior and contemporaneous agreements and understandings, inducements or conditions, whether express or implied, oral or written. Neither this Agreement nor any portion or provision hereof may be changed, waived or amended orally or in any manner other than by an agreement in writing signed by the Agent, Debtors and Creditors. None of the parties hereto are entering into this Agreement in reliance on any oral or other representations made by other parties or other Persons.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52" w:right="279" w:bottom="1440" w:gutter="0" w:footer="0" w:header="0"/>
        </w:sectPr>
      </w:pPr>
    </w:p>
    <w:bookmarkStart w:id="377" w:name="page378"/>
    <w:bookmarkEnd w:id="377"/>
    <w:p>
      <w:pPr>
        <w:ind w:left="-40" w:right="60" w:firstLine="1629"/>
        <w:spacing w:after="0" w:line="342" w:lineRule="auto"/>
        <w:tabs>
          <w:tab w:leader="none" w:pos="2184"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Additional Documentation</w:t>
      </w:r>
      <w:r>
        <w:rPr>
          <w:rFonts w:ascii="Arial" w:cs="Arial" w:eastAsia="Arial" w:hAnsi="Arial"/>
          <w:sz w:val="16"/>
          <w:szCs w:val="16"/>
          <w:color w:val="auto"/>
        </w:rPr>
        <w:t>. Each Debtor and each Creditor shall execute and deliver to the Agent such further instruments and shall take such further action as Agent may at any time or times reasonably request in order to carry out the provisions and intent of this Agreement.</w:t>
      </w:r>
    </w:p>
    <w:p>
      <w:pPr>
        <w:spacing w:after="0" w:line="177" w:lineRule="exact"/>
        <w:rPr>
          <w:rFonts w:ascii="Arial" w:cs="Arial" w:eastAsia="Arial" w:hAnsi="Arial"/>
          <w:sz w:val="16"/>
          <w:szCs w:val="16"/>
          <w:color w:val="auto"/>
        </w:rPr>
      </w:pPr>
    </w:p>
    <w:p>
      <w:pPr>
        <w:ind w:left="-40" w:right="160" w:firstLine="1629"/>
        <w:spacing w:after="0" w:line="297" w:lineRule="auto"/>
        <w:tabs>
          <w:tab w:leader="none" w:pos="2184"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Each Debtor agrees to pay the Agent on demand all reasonable and documented out-of-pocket expenses, including reasonable and documented attorneys’ fees, that the Agent may incur in enforcing or protecting any of Claimholders’ rights under this Agreement. Additionally, each Creditor agrees to pay each Agent on demand all reasonable and documented out-of-pocket expenses, including reasonable and documented attorneys’ fees, that the Agent may incur in enforcing or protecting the Agent’s or any of Claimholders’ rights under this Agreement resulting from a breach by such Creditor of the terms of this Agreement provided such applicable Agent or Claimholder is a prevailing party.</w:t>
      </w:r>
    </w:p>
    <w:p>
      <w:pPr>
        <w:spacing w:after="0" w:line="212" w:lineRule="exact"/>
        <w:rPr>
          <w:rFonts w:ascii="Arial" w:cs="Arial" w:eastAsia="Arial" w:hAnsi="Arial"/>
          <w:sz w:val="16"/>
          <w:szCs w:val="16"/>
          <w:color w:val="auto"/>
        </w:rPr>
      </w:pPr>
    </w:p>
    <w:p>
      <w:pPr>
        <w:ind w:left="-40" w:right="100" w:firstLine="1629"/>
        <w:spacing w:after="0" w:line="264" w:lineRule="auto"/>
        <w:tabs>
          <w:tab w:leader="none" w:pos="218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the Agent and its successors and assigns, including without limitation any financial institutions participating with the Agent or as the Agent’s successor in connection with the Senior Debt, and shall be binding upon both Debtors and Creditors and their respective successors and assigns.</w:t>
      </w:r>
    </w:p>
    <w:p>
      <w:pPr>
        <w:spacing w:after="0" w:line="235" w:lineRule="exact"/>
        <w:rPr>
          <w:rFonts w:ascii="Arial" w:cs="Arial" w:eastAsia="Arial" w:hAnsi="Arial"/>
          <w:sz w:val="18"/>
          <w:szCs w:val="18"/>
          <w:color w:val="auto"/>
        </w:rPr>
      </w:pPr>
    </w:p>
    <w:p>
      <w:pPr>
        <w:ind w:left="-40" w:right="140" w:firstLine="1629"/>
        <w:spacing w:after="0" w:line="277" w:lineRule="auto"/>
        <w:tabs>
          <w:tab w:leader="none" w:pos="218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Defects Waived</w:t>
      </w:r>
      <w:r>
        <w:rPr>
          <w:rFonts w:ascii="Arial" w:cs="Arial" w:eastAsia="Arial" w:hAnsi="Arial"/>
          <w:sz w:val="18"/>
          <w:szCs w:val="18"/>
          <w:color w:val="auto"/>
        </w:rPr>
        <w:t>. This Agreement is effective notwithstanding any defect in the validity or enforceability of any instrument or document at any time evidencing or securing the whole or any part of the Senior Debt.</w:t>
      </w:r>
    </w:p>
    <w:p>
      <w:pPr>
        <w:spacing w:after="0" w:line="224" w:lineRule="exact"/>
        <w:rPr>
          <w:rFonts w:ascii="Arial" w:cs="Arial" w:eastAsia="Arial" w:hAnsi="Arial"/>
          <w:sz w:val="18"/>
          <w:szCs w:val="18"/>
          <w:color w:val="auto"/>
        </w:rPr>
      </w:pPr>
    </w:p>
    <w:p>
      <w:pPr>
        <w:ind w:left="-40" w:firstLine="1629"/>
        <w:spacing w:after="0" w:line="259" w:lineRule="auto"/>
        <w:tabs>
          <w:tab w:leader="none" w:pos="218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UNDER THIS AGREEMENT, AND ANY CLAIM OR CONTROVERSY RELATING TO THE SUBJECT MATTER HEREOF WHETHER SOUNDING IN CONTRACT LAW OR TORT LAW, SHALL BE GOVERNED BY, AND SHALL BE CONSTRUED AND INTERPRETED IN ACCORDANCE WITH, THE LAWS OF THE STATE OF NEW YORK.</w:t>
      </w:r>
    </w:p>
    <w:p>
      <w:pPr>
        <w:spacing w:after="0" w:line="240" w:lineRule="exact"/>
        <w:rPr>
          <w:rFonts w:ascii="Arial" w:cs="Arial" w:eastAsia="Arial" w:hAnsi="Arial"/>
          <w:sz w:val="18"/>
          <w:szCs w:val="18"/>
          <w:color w:val="auto"/>
        </w:rPr>
      </w:pPr>
    </w:p>
    <w:p>
      <w:pPr>
        <w:ind w:left="-40" w:right="80" w:firstLine="1629"/>
        <w:spacing w:after="0" w:line="259" w:lineRule="auto"/>
        <w:tabs>
          <w:tab w:leader="none" w:pos="218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independent of and separable from each other. If any provision hereof shall for any reason be held invalid or unenforceable, it is the intent of the parties that such invalidity or unenforceability shall not affect the validity or enforceability of any other provision hereof, and that this Agreement shall be construed as if such invalid or unenforceable provision had never been contained herein.</w:t>
      </w:r>
    </w:p>
    <w:p>
      <w:pPr>
        <w:spacing w:after="0" w:line="240" w:lineRule="exact"/>
        <w:rPr>
          <w:rFonts w:ascii="Arial" w:cs="Arial" w:eastAsia="Arial" w:hAnsi="Arial"/>
          <w:sz w:val="18"/>
          <w:szCs w:val="18"/>
          <w:color w:val="auto"/>
        </w:rPr>
      </w:pPr>
    </w:p>
    <w:p>
      <w:pPr>
        <w:ind w:left="-40" w:right="20" w:firstLine="1629"/>
        <w:spacing w:after="0" w:line="286" w:lineRule="auto"/>
        <w:tabs>
          <w:tab w:leader="none" w:pos="218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52" w:right="25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color w:val="auto"/>
        </w:rPr>
        <w:t>IN WITNESS WHEREOF, the parties hereto have caused this Agreement to be executed and delivered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CREDITOR</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[Signature Page to Intercompany Debt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25" w:right="799" w:bottom="1440" w:gutter="0" w:footer="0" w:header="0"/>
        </w:sectPr>
      </w:pPr>
    </w:p>
    <w:bookmarkStart w:id="379" w:name="page380"/>
    <w:bookmarkEnd w:id="379"/>
    <w:p>
      <w:pPr>
        <w:ind w:left="4520"/>
        <w:spacing w:after="0"/>
        <w:rPr>
          <w:sz w:val="20"/>
          <w:szCs w:val="20"/>
          <w:color w:val="auto"/>
        </w:rPr>
      </w:pPr>
      <w:r>
        <w:rPr>
          <w:rFonts w:ascii="Arial" w:cs="Arial" w:eastAsia="Arial" w:hAnsi="Arial"/>
          <w:sz w:val="18"/>
          <w:szCs w:val="18"/>
          <w:b w:val="1"/>
          <w:bCs w:val="1"/>
          <w:u w:val="single" w:color="auto"/>
          <w:color w:val="auto"/>
        </w:rPr>
        <w:t>DEBTORS</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289560</wp:posOffset>
            </wp:positionV>
            <wp:extent cx="36188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Intercompany Debt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0" w:name="page381"/>
    <w:bookmarkEnd w:id="380"/>
    <w:p>
      <w:pPr>
        <w:ind w:left="4520"/>
        <w:spacing w:after="0"/>
        <w:rPr>
          <w:sz w:val="20"/>
          <w:szCs w:val="20"/>
          <w:color w:val="auto"/>
        </w:rPr>
      </w:pPr>
      <w:r>
        <w:rPr>
          <w:rFonts w:ascii="Arial" w:cs="Arial" w:eastAsia="Arial" w:hAnsi="Arial"/>
          <w:sz w:val="18"/>
          <w:szCs w:val="18"/>
          <w:b w:val="1"/>
          <w:bCs w:val="1"/>
          <w:u w:val="single" w:color="auto"/>
          <w:color w:val="auto"/>
        </w:rPr>
        <w:t>AGENT</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MORGAN STANLEY SENIOR FUNDING, INC., as Agent,</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Intercompany Debt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22"/>
          <w:szCs w:val="22"/>
          <w:b w:val="1"/>
          <w:bCs w:val="1"/>
          <w:u w:val="single" w:color="auto"/>
          <w:color w:val="auto"/>
        </w:rPr>
        <w:t>ANNEX A</w:t>
      </w: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u w:val="single" w:color="auto"/>
          <w:color w:val="auto"/>
        </w:rPr>
        <w:t>ANNEX 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LNG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FEP GP LNG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u w:val="single" w:color="auto"/>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ASSUMPTION AGREEMENT, dated as of ______________________, 201_, made by __________________________________</w:t>
      </w:r>
    </w:p>
    <w:p>
      <w:pPr>
        <w:spacing w:after="0" w:line="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Creditor</w:t>
      </w:r>
      <w:r>
        <w:rPr>
          <w:rFonts w:ascii="Arial" w:cs="Arial" w:eastAsia="Arial" w:hAnsi="Arial"/>
          <w:sz w:val="17"/>
          <w:szCs w:val="17"/>
          <w:color w:val="auto"/>
        </w:rPr>
        <w:t>”/”</w:t>
      </w:r>
      <w:r>
        <w:rPr>
          <w:rFonts w:ascii="Arial" w:cs="Arial" w:eastAsia="Arial" w:hAnsi="Arial"/>
          <w:sz w:val="17"/>
          <w:szCs w:val="17"/>
          <w:u w:val="single" w:color="auto"/>
          <w:color w:val="auto"/>
        </w:rPr>
        <w:t>Additional Debtor</w:t>
      </w:r>
      <w:r>
        <w:rPr>
          <w:rFonts w:ascii="Arial" w:cs="Arial" w:eastAsia="Arial" w:hAnsi="Arial"/>
          <w:sz w:val="17"/>
          <w:szCs w:val="17"/>
          <w:color w:val="auto"/>
        </w:rPr>
        <w:t>”), in favor of MORGAN STANLEY SENIOR FUNDING, INC., as the Agent for the benefit of the Claimholders. All capitalized terms not defined herein shall have the meaning ascribed to them in the Intercompany Debt Subordination Agreement, dated as of</w:t>
      </w:r>
    </w:p>
    <w:p>
      <w:pPr>
        <w:spacing w:after="0"/>
        <w:rPr>
          <w:sz w:val="20"/>
          <w:szCs w:val="20"/>
          <w:color w:val="auto"/>
        </w:rPr>
      </w:pPr>
      <w:r>
        <w:rPr>
          <w:rFonts w:ascii="Arial" w:cs="Arial" w:eastAsia="Arial" w:hAnsi="Arial"/>
          <w:sz w:val="17"/>
          <w:szCs w:val="17"/>
          <w:color w:val="auto"/>
        </w:rPr>
        <w:t>_____________________, 201_ (the “</w:t>
      </w:r>
      <w:r>
        <w:rPr>
          <w:rFonts w:ascii="Arial" w:cs="Arial" w:eastAsia="Arial" w:hAnsi="Arial"/>
          <w:sz w:val="17"/>
          <w:szCs w:val="17"/>
          <w:u w:val="single" w:color="auto"/>
          <w:color w:val="auto"/>
        </w:rPr>
        <w:t>Intercompany Debt Subordination Agreement</w:t>
      </w:r>
      <w:r>
        <w:rPr>
          <w:rFonts w:ascii="Arial" w:cs="Arial" w:eastAsia="Arial" w:hAnsi="Arial"/>
          <w:sz w:val="17"/>
          <w:szCs w:val="17"/>
          <w:color w:val="auto"/>
        </w:rPr>
        <w:t>”), by and between the Creditors, the Debtors and the Agent.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SETH:</w:t>
      </w:r>
    </w:p>
    <w:p>
      <w:pPr>
        <w:spacing w:after="0" w:line="252" w:lineRule="exact"/>
        <w:rPr>
          <w:sz w:val="20"/>
          <w:szCs w:val="20"/>
          <w:color w:val="auto"/>
        </w:rPr>
      </w:pPr>
    </w:p>
    <w:p>
      <w:pPr>
        <w:ind w:right="20" w:firstLine="1621"/>
        <w:spacing w:after="0" w:line="277" w:lineRule="auto"/>
        <w:rPr>
          <w:sz w:val="20"/>
          <w:szCs w:val="20"/>
          <w:color w:val="auto"/>
        </w:rPr>
      </w:pPr>
      <w:r>
        <w:rPr>
          <w:rFonts w:ascii="Arial" w:cs="Arial" w:eastAsia="Arial" w:hAnsi="Arial"/>
          <w:sz w:val="18"/>
          <w:szCs w:val="18"/>
          <w:color w:val="auto"/>
        </w:rPr>
        <w:t>WHEREAS, the Additional [Creditor/Debtor] has agreed to execute and deliver this Assumption Agreement in order to become a party to the Intercompany Debt Subordination Agreement.</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NOW, THEREFORE, IT IS AGREED:</w:t>
      </w:r>
    </w:p>
    <w:p>
      <w:pPr>
        <w:spacing w:after="0" w:line="279" w:lineRule="exact"/>
        <w:rPr>
          <w:sz w:val="20"/>
          <w:szCs w:val="20"/>
          <w:color w:val="auto"/>
        </w:rPr>
      </w:pPr>
    </w:p>
    <w:p>
      <w:pPr>
        <w:ind w:right="20" w:firstLine="1629"/>
        <w:spacing w:after="0" w:line="291" w:lineRule="auto"/>
        <w:tabs>
          <w:tab w:leader="none" w:pos="2242"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Intercompany Debt Subordination Agreement</w:t>
      </w:r>
      <w:r>
        <w:rPr>
          <w:rFonts w:ascii="Arial" w:cs="Arial" w:eastAsia="Arial" w:hAnsi="Arial"/>
          <w:sz w:val="16"/>
          <w:szCs w:val="16"/>
          <w:color w:val="auto"/>
        </w:rPr>
        <w:t>. By executing and delivering this Assumption Agreement, the Additional [Creditor/Debtor], hereby becomes a party to the Intercompany Debt Subordination Agreement as a [Creditor/Debtor] thereunder with the same force and effect as if originally named therein as a [Creditor/Debtor] and, without limiting the generality of the foregoing, hereby expressly assumes all obligations and liabilities of a [Creditor/Debtor] thereunder. The information set forth in Annex C-1 hereto is hereby added to the information set forth in Annex [A/B] to the Intercompany Debt Subordination Agreement and such Annex shall be deemed so amended. The Additional [Creditor/Debtor] hereby represents and warrants that each of the representations and warranties contained in the Intercompany Debt Subordination Agreement with respect to Additional [Creditor/Debtor] is true and correct on and as the date hereof (after giving effect to this Assumption Agreement) as if made on and as of such date.</w:t>
      </w:r>
    </w:p>
    <w:p>
      <w:pPr>
        <w:spacing w:after="0" w:line="221" w:lineRule="exact"/>
        <w:rPr>
          <w:rFonts w:ascii="Arial" w:cs="Arial" w:eastAsia="Arial" w:hAnsi="Arial"/>
          <w:sz w:val="16"/>
          <w:szCs w:val="16"/>
          <w:color w:val="auto"/>
        </w:rPr>
      </w:pPr>
    </w:p>
    <w:p>
      <w:pPr>
        <w:ind w:right="20" w:firstLine="1629"/>
        <w:spacing w:after="0" w:line="264" w:lineRule="auto"/>
        <w:tabs>
          <w:tab w:leader="none" w:pos="224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AND THE RIGHTS AND OBLIGATIONS OF THE PARTIES UNDER THIS ASSUMPTION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[ADDITIONAL CREDITOR/DEBTOR]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color w:val="auto"/>
        </w:rPr>
        <w:t>EXHIBIT J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COLLATERAL ASSIGNMENT</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November ____, 2014</w:t>
      </w:r>
    </w:p>
    <w:p>
      <w:pPr>
        <w:spacing w:after="0" w:line="25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Reference is made to the Design-Build Agreement, dated as of June 9, 2014 (the “</w:t>
      </w:r>
      <w:r>
        <w:rPr>
          <w:rFonts w:ascii="Arial" w:cs="Arial" w:eastAsia="Arial" w:hAnsi="Arial"/>
          <w:sz w:val="18"/>
          <w:szCs w:val="18"/>
          <w:u w:val="single" w:color="auto"/>
          <w:color w:val="auto"/>
        </w:rPr>
        <w:t>Design-Build Agreement</w:t>
      </w:r>
      <w:r>
        <w:rPr>
          <w:rFonts w:ascii="Arial" w:cs="Arial" w:eastAsia="Arial" w:hAnsi="Arial"/>
          <w:sz w:val="18"/>
          <w:szCs w:val="18"/>
          <w:color w:val="auto"/>
        </w:rPr>
        <w:t>”) by and between LNG Holdings (Florida)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OnQuest Inc., a California corporation (the “</w:t>
      </w:r>
      <w:r>
        <w:rPr>
          <w:rFonts w:ascii="Arial" w:cs="Arial" w:eastAsia="Arial" w:hAnsi="Arial"/>
          <w:sz w:val="18"/>
          <w:szCs w:val="18"/>
          <w:u w:val="single" w:color="auto"/>
          <w:color w:val="auto"/>
        </w:rPr>
        <w:t>Contractor</w:t>
      </w:r>
      <w:r>
        <w:rPr>
          <w:rFonts w:ascii="Arial" w:cs="Arial" w:eastAsia="Arial" w:hAnsi="Arial"/>
          <w:sz w:val="18"/>
          <w:szCs w:val="18"/>
          <w:color w:val="auto"/>
        </w:rPr>
        <w:t>”).</w:t>
      </w:r>
    </w:p>
    <w:p>
      <w:pPr>
        <w:spacing w:after="0" w:line="19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7"/>
          <w:szCs w:val="17"/>
          <w:color w:val="auto"/>
        </w:rPr>
        <w:t>Pursuant to Section 26.2 of the Design-Build Agreement, the Company hereby gives notice to the Contractor that the Company is collaterally assigning its interest in the Design-Build Agreement to Morgan Stanley Senior Funding, Inc., for the benefit of the secured parties as additional security for the repayment in full of the obligations under that certain Credit Agreement, dated as of November __, 2014, among LNG Holdings LLC, FEP GP LNG Holdings LLC, the Company, the several banks and other financial institutions or entities from time to time party thereto, and Morgan Stanley Senior Funding, Inc., as administrative agent (as amended, restated, supplemented or modified from time to time).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6" w:name="page387"/>
    <w:bookmarkEnd w:id="386"/>
    <w:p>
      <w:pPr>
        <w:ind w:left="4520"/>
        <w:spacing w:after="0"/>
        <w:rPr>
          <w:sz w:val="20"/>
          <w:szCs w:val="20"/>
          <w:color w:val="auto"/>
        </w:rPr>
      </w:pPr>
      <w:r>
        <w:rPr>
          <w:rFonts w:ascii="Arial" w:cs="Arial" w:eastAsia="Arial" w:hAnsi="Arial"/>
          <w:sz w:val="17"/>
          <w:szCs w:val="17"/>
          <w:color w:val="auto"/>
        </w:rPr>
        <w:t>LNG HOLDINGS (FLORIDA) LLC</w:t>
      </w:r>
    </w:p>
    <w:p>
      <w:pPr>
        <w:spacing w:after="0" w:line="26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23495</wp:posOffset>
            </wp:positionV>
            <wp:extent cx="340487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Accepted and acknowledged: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ONQUEST, INC.</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340487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71120</wp:posOffset>
            </wp:positionV>
            <wp:extent cx="72466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t>EXHIBIT K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FLORIDA CONSTRUCTION LOAN UPDATE ENDORSEMENT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CONSTRUCTION LOAN UPDATE ENDORSEMENT</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NO.___________________</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American Title Insurance Company</w:t>
      </w:r>
    </w:p>
    <w:p>
      <w:pPr>
        <w:spacing w:after="0" w:line="236" w:lineRule="exact"/>
        <w:rPr>
          <w:sz w:val="20"/>
          <w:szCs w:val="20"/>
          <w:color w:val="auto"/>
        </w:rPr>
      </w:pPr>
    </w:p>
    <w:p>
      <w:pPr>
        <w:spacing w:after="0"/>
        <w:tabs>
          <w:tab w:leader="none" w:pos="5700" w:val="left"/>
        </w:tabs>
        <w:rPr>
          <w:sz w:val="20"/>
          <w:szCs w:val="20"/>
          <w:color w:val="auto"/>
        </w:rPr>
      </w:pPr>
      <w:r>
        <w:rPr>
          <w:rFonts w:ascii="Arial" w:cs="Arial" w:eastAsia="Arial" w:hAnsi="Arial"/>
          <w:sz w:val="20"/>
          <w:szCs w:val="20"/>
          <w:color w:val="auto"/>
        </w:rPr>
        <w:t>Issuing Office File No.:</w:t>
      </w:r>
      <w:r>
        <w:rPr>
          <w:sz w:val="20"/>
          <w:szCs w:val="20"/>
          <w:color w:val="auto"/>
        </w:rPr>
        <w:tab/>
      </w:r>
      <w:r>
        <w:rPr>
          <w:rFonts w:ascii="Arial" w:cs="Arial" w:eastAsia="Arial" w:hAnsi="Arial"/>
          <w:sz w:val="18"/>
          <w:szCs w:val="18"/>
          <w:color w:val="auto"/>
        </w:rPr>
        <w:t>Attached to Policy No.:</w:t>
      </w:r>
    </w:p>
    <w:p>
      <w:pPr>
        <w:spacing w:after="0" w:line="245" w:lineRule="exact"/>
        <w:rPr>
          <w:sz w:val="20"/>
          <w:szCs w:val="20"/>
          <w:color w:val="auto"/>
        </w:rPr>
      </w:pPr>
    </w:p>
    <w:p>
      <w:pPr>
        <w:ind w:left="660" w:right="800" w:hanging="652"/>
        <w:spacing w:after="0" w:line="277" w:lineRule="auto"/>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liability of the Company is increased by $____________ to include disbursements made pursuant to requisition(s) ___________ for a cumulative total to date of $_______________.</w:t>
      </w:r>
    </w:p>
    <w:p>
      <w:pPr>
        <w:spacing w:after="0" w:line="197"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insures there have been no instruments filed among the Public Records of _____________ County, affecting title to the lands described in Schedule A from ____________ through ____________, other than the following:</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insures each of the foregoing is subordinate to the lien of the mortgage insured except:</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endorsement is made a part of the policy and is subject to all of the terms and provisions thereof and of any prior endorsements thereto. Except to the extent expressly stated, it neither modifies any of the terms and provisions of the policy and any prior endorsements, nor does it extend the effective date of the policy and any prior endorsements, nor does it increase the face amount thereof.</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endorsement shall not be valid or binding unless signed by either a duly authorized officer or agent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Issue Date: _____________</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219519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95195" cy="17145"/>
                    </a:xfrm>
                    <a:prstGeom prst="rect">
                      <a:avLst/>
                    </a:prstGeom>
                    <a:noFill/>
                  </pic:spPr>
                </pic:pic>
              </a:graphicData>
            </a:graphic>
          </wp:anchor>
        </w:drawing>
      </w:r>
    </w:p>
    <w:p>
      <w:pPr>
        <w:spacing w:after="0" w:line="7"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Authorized Signatory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t>EXHIBIT L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GENERAL CONTRACTOR CERTIFICATE</w:t>
      </w:r>
    </w:p>
    <w:p>
      <w:pPr>
        <w:spacing w:after="0" w:line="25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 201[_]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New York Plaza, 41st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Anil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(917) 260-5329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msagency@morganstanley.com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LNG Holdings (Florida)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1345 Avenue of the Americas, 46th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Fortress Investment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 Nardone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798-6110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798-6120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Re:</w:t>
            </w:r>
          </w:p>
        </w:tc>
        <w:tc>
          <w:tcPr>
            <w:tcW w:w="10920" w:type="dxa"/>
            <w:vAlign w:val="bottom"/>
            <w:gridSpan w:val="9"/>
          </w:tcPr>
          <w:p>
            <w:pPr>
              <w:ind w:left="200"/>
              <w:spacing w:after="0"/>
              <w:rPr>
                <w:sz w:val="20"/>
                <w:szCs w:val="20"/>
                <w:color w:val="auto"/>
              </w:rPr>
            </w:pPr>
            <w:r>
              <w:rPr>
                <w:rFonts w:ascii="Arial" w:cs="Arial" w:eastAsia="Arial" w:hAnsi="Arial"/>
                <w:sz w:val="18"/>
                <w:szCs w:val="18"/>
                <w:color w:val="auto"/>
                <w:w w:val="90"/>
              </w:rPr>
              <w:t>Senior Secured Delayed Draw Term Loan Credit Agreement dated as of November 24, 2014 (as amended, restated, supplemented or modified from</w:t>
            </w:r>
          </w:p>
        </w:tc>
      </w:tr>
      <w:tr>
        <w:trPr>
          <w:trHeight w:val="190"/>
        </w:trPr>
        <w:tc>
          <w:tcPr>
            <w:tcW w:w="460" w:type="dxa"/>
            <w:vAlign w:val="bottom"/>
          </w:tcPr>
          <w:p>
            <w:pPr>
              <w:spacing w:after="0"/>
              <w:rPr>
                <w:sz w:val="16"/>
                <w:szCs w:val="16"/>
                <w:color w:val="auto"/>
              </w:rPr>
            </w:pPr>
          </w:p>
        </w:tc>
        <w:tc>
          <w:tcPr>
            <w:tcW w:w="10920" w:type="dxa"/>
            <w:vAlign w:val="bottom"/>
            <w:gridSpan w:val="9"/>
          </w:tcPr>
          <w:p>
            <w:pPr>
              <w:ind w:left="200"/>
              <w:spacing w:after="0" w:line="190" w:lineRule="exact"/>
              <w:rPr>
                <w:sz w:val="20"/>
                <w:szCs w:val="20"/>
                <w:color w:val="auto"/>
              </w:rPr>
            </w:pPr>
            <w:r>
              <w:rPr>
                <w:rFonts w:ascii="Arial" w:cs="Arial" w:eastAsia="Arial" w:hAnsi="Arial"/>
                <w:sz w:val="18"/>
                <w:szCs w:val="18"/>
                <w:color w:val="auto"/>
                <w:w w:val="97"/>
              </w:rPr>
              <w:t>time to time, the “Credit Agreement”) among LNG HOLDINGS LLC, a Delaware limited liability company, FEP GP LNG HOLDINGS LLC, a</w:t>
            </w:r>
          </w:p>
        </w:tc>
      </w:tr>
      <w:tr>
        <w:trPr>
          <w:trHeight w:val="20"/>
        </w:trPr>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920" w:type="dxa"/>
            <w:vAlign w:val="bottom"/>
            <w:gridSpan w:val="9"/>
          </w:tcPr>
          <w:p>
            <w:pPr>
              <w:ind w:left="200"/>
              <w:spacing w:after="0" w:line="196" w:lineRule="exact"/>
              <w:rPr>
                <w:sz w:val="20"/>
                <w:szCs w:val="20"/>
                <w:color w:val="auto"/>
              </w:rPr>
            </w:pPr>
            <w:r>
              <w:rPr>
                <w:rFonts w:ascii="Arial" w:cs="Arial" w:eastAsia="Arial" w:hAnsi="Arial"/>
                <w:sz w:val="18"/>
                <w:szCs w:val="18"/>
                <w:color w:val="auto"/>
                <w:w w:val="94"/>
              </w:rPr>
              <w:t>Delaware limited liability company, LNG HOLDINGS (FLORIDA) LLC, a Delaware limited liability company (the “Borrower”), the several banks</w:t>
            </w:r>
          </w:p>
        </w:tc>
      </w:tr>
      <w:tr>
        <w:trPr>
          <w:trHeight w:val="20"/>
        </w:trPr>
        <w:tc>
          <w:tcPr>
            <w:tcW w:w="46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920" w:type="dxa"/>
            <w:vAlign w:val="bottom"/>
            <w:gridSpan w:val="9"/>
          </w:tcPr>
          <w:p>
            <w:pPr>
              <w:ind w:left="200"/>
              <w:spacing w:after="0"/>
              <w:rPr>
                <w:sz w:val="20"/>
                <w:szCs w:val="20"/>
                <w:color w:val="auto"/>
              </w:rPr>
            </w:pPr>
            <w:r>
              <w:rPr>
                <w:rFonts w:ascii="Arial" w:cs="Arial" w:eastAsia="Arial" w:hAnsi="Arial"/>
                <w:sz w:val="18"/>
                <w:szCs w:val="18"/>
                <w:color w:val="auto"/>
                <w:w w:val="95"/>
              </w:rPr>
              <w:t>and other financial institutions or entities from time to time party thereto and MORGAN STANLEY SENIOR FUNDING, INC., as administrative</w:t>
            </w:r>
          </w:p>
        </w:tc>
      </w:tr>
      <w:tr>
        <w:trPr>
          <w:trHeight w:val="190"/>
        </w:trPr>
        <w:tc>
          <w:tcPr>
            <w:tcW w:w="460" w:type="dxa"/>
            <w:vAlign w:val="bottom"/>
          </w:tcPr>
          <w:p>
            <w:pPr>
              <w:spacing w:after="0"/>
              <w:rPr>
                <w:sz w:val="16"/>
                <w:szCs w:val="16"/>
                <w:color w:val="auto"/>
              </w:rPr>
            </w:pPr>
          </w:p>
        </w:tc>
        <w:tc>
          <w:tcPr>
            <w:tcW w:w="10920" w:type="dxa"/>
            <w:vAlign w:val="bottom"/>
            <w:gridSpan w:val="9"/>
          </w:tcPr>
          <w:p>
            <w:pPr>
              <w:ind w:left="200"/>
              <w:spacing w:after="0" w:line="190" w:lineRule="exact"/>
              <w:rPr>
                <w:sz w:val="20"/>
                <w:szCs w:val="20"/>
                <w:color w:val="auto"/>
              </w:rPr>
            </w:pPr>
            <w:r>
              <w:rPr>
                <w:rFonts w:ascii="Arial" w:cs="Arial" w:eastAsia="Arial" w:hAnsi="Arial"/>
                <w:sz w:val="18"/>
                <w:szCs w:val="18"/>
                <w:color w:val="auto"/>
                <w:w w:val="91"/>
              </w:rPr>
              <w:t>agent (in such capacity, together with any successor appointed in accordance with Section 8.6 of the Credit Agreement, the “Administrative Agent”).</w:t>
            </w:r>
          </w:p>
        </w:tc>
      </w:tr>
      <w:tr>
        <w:trPr>
          <w:trHeight w:val="20"/>
        </w:trPr>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 xml:space="preserve">This General Contractor Certificate is being delivered pursuant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of the Credit Agreement and Section 9.21 of the Design-Build Agreement dated June 9, 2014 (the “</w:t>
      </w:r>
      <w:r>
        <w:rPr>
          <w:rFonts w:ascii="Arial" w:cs="Arial" w:eastAsia="Arial" w:hAnsi="Arial"/>
          <w:sz w:val="16"/>
          <w:szCs w:val="16"/>
          <w:u w:val="single" w:color="auto"/>
          <w:color w:val="auto"/>
        </w:rPr>
        <w:t>Design Build Agreement</w:t>
      </w:r>
      <w:r>
        <w:rPr>
          <w:rFonts w:ascii="Arial" w:cs="Arial" w:eastAsia="Arial" w:hAnsi="Arial"/>
          <w:sz w:val="16"/>
          <w:szCs w:val="16"/>
          <w:color w:val="auto"/>
        </w:rPr>
        <w:t>”) with the Company for the completion of the Hialeah LNG Project (the “</w:t>
      </w:r>
      <w:r>
        <w:rPr>
          <w:rFonts w:ascii="Arial" w:cs="Arial" w:eastAsia="Arial" w:hAnsi="Arial"/>
          <w:sz w:val="16"/>
          <w:szCs w:val="16"/>
          <w:u w:val="single" w:color="auto"/>
          <w:color w:val="auto"/>
        </w:rPr>
        <w:t>Project</w:t>
      </w:r>
      <w:r>
        <w:rPr>
          <w:rFonts w:ascii="Arial" w:cs="Arial" w:eastAsia="Arial" w:hAnsi="Arial"/>
          <w:sz w:val="16"/>
          <w:szCs w:val="16"/>
          <w:color w:val="auto"/>
        </w:rPr>
        <w: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OnQuest, Inc. (the “</w:t>
      </w:r>
      <w:r>
        <w:rPr>
          <w:rFonts w:ascii="Arial" w:cs="Arial" w:eastAsia="Arial" w:hAnsi="Arial"/>
          <w:sz w:val="18"/>
          <w:szCs w:val="18"/>
          <w:u w:val="single" w:color="auto"/>
          <w:color w:val="auto"/>
        </w:rPr>
        <w:t>General Contractor</w:t>
      </w:r>
      <w:r>
        <w:rPr>
          <w:rFonts w:ascii="Arial" w:cs="Arial" w:eastAsia="Arial" w:hAnsi="Arial"/>
          <w:sz w:val="18"/>
          <w:szCs w:val="18"/>
          <w:color w:val="auto"/>
        </w:rPr>
        <w:t>”) hereby certifies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9" w:name="page390"/>
    <w:bookmarkEnd w:id="389"/>
    <w:p>
      <w:pPr>
        <w:ind w:left="760" w:hanging="655"/>
        <w:spacing w:after="0" w:line="277" w:lineRule="auto"/>
        <w:tabs>
          <w:tab w:leader="none" w:pos="7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construction performed as of the date hereof is substantially in accordance with the plans and specifications of the Plant as set forth in the Design-Build Agreement;</w:t>
      </w:r>
    </w:p>
    <w:p>
      <w:pPr>
        <w:sectPr>
          <w:pgSz w:w="11900" w:h="16838" w:orient="portrait"/>
          <w:cols w:equalWidth="0" w:num="1">
            <w:col w:w="10140"/>
          </w:cols>
          <w:pgMar w:left="1440" w:top="125" w:right="319" w:bottom="1440" w:gutter="0" w:footer="0" w:header="0"/>
        </w:sectPr>
      </w:pPr>
    </w:p>
    <w:p>
      <w:pPr>
        <w:spacing w:after="0" w:line="19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As of the date hereof, the total current contract sum under the Design-Build Agreement is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440" w:space="720"/>
            <w:col w:w="1980"/>
          </w:cols>
          <w:pgMar w:left="1440" w:top="125" w:right="319" w:bottom="1440" w:gutter="0" w:footer="0" w:header="0"/>
          <w:type w:val="continuous"/>
        </w:sectPr>
      </w:pPr>
    </w:p>
    <w:p>
      <w:pPr>
        <w:spacing w:after="0" w:line="52"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That as of the date hereof, the remaining unpaid balance of the Design-Build Agreement is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520" w:space="720"/>
            <w:col w:w="1900"/>
          </w:cols>
          <w:pgMar w:left="1440" w:top="125" w:right="319" w:bottom="1440" w:gutter="0" w:footer="0" w:header="0"/>
          <w:type w:val="continuous"/>
        </w:sectPr>
      </w:pPr>
    </w:p>
    <w:p>
      <w:pPr>
        <w:spacing w:after="0" w:line="52" w:lineRule="exact"/>
        <w:rPr>
          <w:sz w:val="20"/>
          <w:szCs w:val="20"/>
          <w:color w:val="auto"/>
        </w:rPr>
      </w:pPr>
    </w:p>
    <w:p>
      <w:pPr>
        <w:ind w:left="760" w:right="80" w:hanging="655"/>
        <w:spacing w:after="0" w:line="264" w:lineRule="auto"/>
        <w:tabs>
          <w:tab w:leader="none" w:pos="7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the best of its knowledge as of the date hereof, that under, with respect to the Plant to be constructed pursuant to the Design-Build Agreement, the date of completion under the Design-Build Agreement is likely to occur on or about [September 25, 2015], which is prior to the scheduled expiration or termination of the Design-Build Agreement; and</w:t>
      </w:r>
    </w:p>
    <w:p>
      <w:pPr>
        <w:spacing w:after="0" w:line="208" w:lineRule="exact"/>
        <w:rPr>
          <w:rFonts w:ascii="Arial" w:cs="Arial" w:eastAsia="Arial" w:hAnsi="Arial"/>
          <w:sz w:val="18"/>
          <w:szCs w:val="18"/>
          <w:color w:val="auto"/>
        </w:rPr>
      </w:pPr>
    </w:p>
    <w:p>
      <w:pPr>
        <w:ind w:left="760" w:right="60" w:hanging="655"/>
        <w:spacing w:after="0" w:line="264" w:lineRule="auto"/>
        <w:tabs>
          <w:tab w:leader="none" w:pos="7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the best of its knowledge, solely with respect to the Design-Build Agreement, the Plant will be constructed in accordance with the Plant documents, including the Budget (as defined in the Credit Agreement) and the total current contract sum made a part thereof.</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Administrative Agent is entitled to rely on the foregoing certifications in au-thorizing and making the credit extension requested.</w:t>
      </w:r>
    </w:p>
    <w:p>
      <w:pPr>
        <w:spacing w:after="0" w:line="26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type w:val="continuous"/>
        </w:sectPr>
      </w:pPr>
    </w:p>
    <w:bookmarkStart w:id="390" w:name="page391"/>
    <w:bookmarkEnd w:id="390"/>
    <w:p>
      <w:pPr>
        <w:ind w:left="1300"/>
        <w:spacing w:after="0"/>
        <w:rPr>
          <w:sz w:val="20"/>
          <w:szCs w:val="20"/>
          <w:color w:val="auto"/>
        </w:rPr>
      </w:pPr>
      <w:r>
        <w:rPr>
          <w:rFonts w:ascii="Arial" w:cs="Arial" w:eastAsia="Arial" w:hAnsi="Arial"/>
          <w:sz w:val="16"/>
          <w:szCs w:val="16"/>
          <w:color w:val="auto"/>
        </w:rPr>
        <w:t>IN WITNESS WHEREOF, the undersigned has executed this Certificate of General Contractor as of this [____] day of [_________],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201[__].</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ONQUEST,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00"/>
          </w:cols>
          <w:pgMar w:left="240" w:top="125" w:right="759" w:bottom="1440" w:gutter="0" w:footer="0" w:header="0"/>
        </w:sectPr>
      </w:pPr>
    </w:p>
    <w:bookmarkStart w:id="391" w:name="page392"/>
    <w:bookmarkEnd w:id="391"/>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80" w:type="dxa"/>
            <w:vAlign w:val="bottom"/>
            <w:gridSpan w:val="4"/>
          </w:tcPr>
          <w:p>
            <w:pPr>
              <w:ind w:left="480"/>
              <w:spacing w:after="0"/>
              <w:rPr>
                <w:sz w:val="20"/>
                <w:szCs w:val="20"/>
                <w:color w:val="auto"/>
              </w:rPr>
            </w:pPr>
            <w:r>
              <w:rPr>
                <w:rFonts w:ascii="Arial" w:cs="Arial" w:eastAsia="Arial" w:hAnsi="Arial"/>
                <w:sz w:val="18"/>
                <w:szCs w:val="18"/>
                <w:b w:val="1"/>
                <w:bCs w:val="1"/>
                <w:color w:val="auto"/>
              </w:rPr>
              <w:t>SCHEDULE 1.1A</w:t>
            </w:r>
          </w:p>
        </w:tc>
      </w:tr>
      <w:tr>
        <w:trPr>
          <w:trHeight w:val="459"/>
        </w:trPr>
        <w:tc>
          <w:tcPr>
            <w:tcW w:w="2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80" w:type="dxa"/>
            <w:vAlign w:val="bottom"/>
            <w:gridSpan w:val="4"/>
          </w:tcPr>
          <w:p>
            <w:pPr>
              <w:ind w:left="460"/>
              <w:spacing w:after="0"/>
              <w:rPr>
                <w:sz w:val="20"/>
                <w:szCs w:val="20"/>
                <w:color w:val="auto"/>
              </w:rPr>
            </w:pPr>
            <w:r>
              <w:rPr>
                <w:rFonts w:ascii="Arial" w:cs="Arial" w:eastAsia="Arial" w:hAnsi="Arial"/>
                <w:sz w:val="18"/>
                <w:szCs w:val="18"/>
                <w:b w:val="1"/>
                <w:bCs w:val="1"/>
                <w:color w:val="auto"/>
              </w:rPr>
              <w:t>COMMITMENTS</w:t>
            </w:r>
          </w:p>
        </w:tc>
      </w:tr>
      <w:tr>
        <w:trPr>
          <w:trHeight w:val="250"/>
        </w:trPr>
        <w:tc>
          <w:tcPr>
            <w:tcW w:w="2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r>
      <w:tr>
        <w:trPr>
          <w:trHeight w:val="189"/>
        </w:trPr>
        <w:tc>
          <w:tcPr>
            <w:tcW w:w="4540" w:type="dxa"/>
            <w:vAlign w:val="bottom"/>
            <w:tcBorders>
              <w:left w:val="single" w:sz="8" w:color="auto"/>
            </w:tcBorders>
            <w:gridSpan w:val="3"/>
          </w:tcPr>
          <w:p>
            <w:pPr>
              <w:jc w:val="center"/>
              <w:ind w:left="1136"/>
              <w:spacing w:after="0"/>
              <w:rPr>
                <w:sz w:val="20"/>
                <w:szCs w:val="20"/>
                <w:color w:val="auto"/>
              </w:rPr>
            </w:pPr>
            <w:r>
              <w:rPr>
                <w:rFonts w:ascii="Arial" w:cs="Arial" w:eastAsia="Arial" w:hAnsi="Arial"/>
                <w:sz w:val="14"/>
                <w:szCs w:val="14"/>
                <w:b w:val="1"/>
                <w:bCs w:val="1"/>
                <w:color w:val="auto"/>
              </w:rPr>
              <w:t>LENDER</w:t>
            </w:r>
          </w:p>
        </w:tc>
        <w:tc>
          <w:tcPr>
            <w:tcW w:w="1200" w:type="dxa"/>
            <w:vAlign w:val="bottom"/>
            <w:tcBorders>
              <w:right w:val="single" w:sz="8" w:color="auto"/>
            </w:tcBorders>
          </w:tcPr>
          <w:p>
            <w:pPr>
              <w:spacing w:after="0"/>
              <w:rPr>
                <w:sz w:val="16"/>
                <w:szCs w:val="16"/>
                <w:color w:val="auto"/>
              </w:rPr>
            </w:pPr>
          </w:p>
        </w:tc>
        <w:tc>
          <w:tcPr>
            <w:tcW w:w="56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rPr>
              <w:t>COMMITMENT</w:t>
            </w:r>
          </w:p>
        </w:tc>
      </w:tr>
      <w:tr>
        <w:trPr>
          <w:trHeight w:val="55"/>
        </w:trPr>
        <w:tc>
          <w:tcPr>
            <w:tcW w:w="258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r>
      <w:tr>
        <w:trPr>
          <w:trHeight w:val="270"/>
        </w:trPr>
        <w:tc>
          <w:tcPr>
            <w:tcW w:w="4540" w:type="dxa"/>
            <w:vAlign w:val="bottom"/>
            <w:tcBorders>
              <w:left w:val="single" w:sz="8" w:color="auto"/>
            </w:tcBorders>
            <w:gridSpan w:val="3"/>
          </w:tcPr>
          <w:p>
            <w:pPr>
              <w:jc w:val="center"/>
              <w:ind w:left="1116"/>
              <w:spacing w:after="0"/>
              <w:rPr>
                <w:sz w:val="20"/>
                <w:szCs w:val="20"/>
                <w:color w:val="auto"/>
              </w:rPr>
            </w:pPr>
            <w:r>
              <w:rPr>
                <w:rFonts w:ascii="Arial" w:cs="Arial" w:eastAsia="Arial" w:hAnsi="Arial"/>
                <w:sz w:val="18"/>
                <w:szCs w:val="18"/>
                <w:color w:val="auto"/>
                <w:w w:val="93"/>
              </w:rPr>
              <w:t>Morgan Stanley Bank, N.A.</w:t>
            </w:r>
          </w:p>
        </w:tc>
        <w:tc>
          <w:tcPr>
            <w:tcW w:w="1200" w:type="dxa"/>
            <w:vAlign w:val="bottom"/>
            <w:tcBorders>
              <w:right w:val="single" w:sz="8" w:color="auto"/>
            </w:tcBorders>
          </w:tcPr>
          <w:p>
            <w:pPr>
              <w:spacing w:after="0"/>
              <w:rPr>
                <w:sz w:val="23"/>
                <w:szCs w:val="23"/>
                <w:color w:val="auto"/>
              </w:rPr>
            </w:pPr>
          </w:p>
        </w:tc>
        <w:tc>
          <w:tcPr>
            <w:tcW w:w="3360" w:type="dxa"/>
            <w:vAlign w:val="bottom"/>
            <w:gridSpan w:val="2"/>
          </w:tcPr>
          <w:p>
            <w:pPr>
              <w:jc w:val="center"/>
              <w:ind w:left="2214"/>
              <w:spacing w:after="0"/>
              <w:rPr>
                <w:sz w:val="20"/>
                <w:szCs w:val="20"/>
                <w:color w:val="auto"/>
              </w:rPr>
            </w:pPr>
            <w:r>
              <w:rPr>
                <w:rFonts w:ascii="Arial" w:cs="Arial" w:eastAsia="Arial" w:hAnsi="Arial"/>
                <w:sz w:val="18"/>
                <w:szCs w:val="18"/>
                <w:color w:val="auto"/>
                <w:w w:val="89"/>
              </w:rPr>
              <w:t>$20,000,000</w:t>
            </w:r>
          </w:p>
        </w:tc>
        <w:tc>
          <w:tcPr>
            <w:tcW w:w="2320" w:type="dxa"/>
            <w:vAlign w:val="bottom"/>
            <w:tcBorders>
              <w:right w:val="single" w:sz="8" w:color="auto"/>
            </w:tcBorders>
          </w:tcPr>
          <w:p>
            <w:pPr>
              <w:spacing w:after="0"/>
              <w:rPr>
                <w:sz w:val="23"/>
                <w:szCs w:val="23"/>
                <w:color w:val="auto"/>
              </w:rPr>
            </w:pPr>
          </w:p>
        </w:tc>
      </w:tr>
      <w:tr>
        <w:trPr>
          <w:trHeight w:val="61"/>
        </w:trPr>
        <w:tc>
          <w:tcPr>
            <w:tcW w:w="2580" w:type="dxa"/>
            <w:vAlign w:val="bottom"/>
            <w:tcBorders>
              <w:left w:val="single" w:sz="8" w:color="auto"/>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r>
        <w:trPr>
          <w:trHeight w:val="270"/>
        </w:trPr>
        <w:tc>
          <w:tcPr>
            <w:tcW w:w="4540" w:type="dxa"/>
            <w:vAlign w:val="bottom"/>
            <w:tcBorders>
              <w:left w:val="single" w:sz="8" w:color="auto"/>
            </w:tcBorders>
            <w:gridSpan w:val="3"/>
          </w:tcPr>
          <w:p>
            <w:pPr>
              <w:jc w:val="center"/>
              <w:ind w:left="1136"/>
              <w:spacing w:after="0"/>
              <w:rPr>
                <w:sz w:val="20"/>
                <w:szCs w:val="20"/>
                <w:color w:val="auto"/>
              </w:rPr>
            </w:pPr>
            <w:r>
              <w:rPr>
                <w:rFonts w:ascii="Arial" w:cs="Arial" w:eastAsia="Arial" w:hAnsi="Arial"/>
                <w:sz w:val="18"/>
                <w:szCs w:val="18"/>
                <w:color w:val="auto"/>
                <w:w w:val="92"/>
              </w:rPr>
              <w:t>Credit Suisse Loan Funding LLC</w:t>
            </w:r>
          </w:p>
        </w:tc>
        <w:tc>
          <w:tcPr>
            <w:tcW w:w="1200" w:type="dxa"/>
            <w:vAlign w:val="bottom"/>
            <w:tcBorders>
              <w:right w:val="single" w:sz="8" w:color="auto"/>
            </w:tcBorders>
          </w:tcPr>
          <w:p>
            <w:pPr>
              <w:spacing w:after="0"/>
              <w:rPr>
                <w:sz w:val="23"/>
                <w:szCs w:val="23"/>
                <w:color w:val="auto"/>
              </w:rPr>
            </w:pPr>
          </w:p>
        </w:tc>
        <w:tc>
          <w:tcPr>
            <w:tcW w:w="3360" w:type="dxa"/>
            <w:vAlign w:val="bottom"/>
            <w:gridSpan w:val="2"/>
          </w:tcPr>
          <w:p>
            <w:pPr>
              <w:jc w:val="center"/>
              <w:ind w:left="2214"/>
              <w:spacing w:after="0"/>
              <w:rPr>
                <w:sz w:val="20"/>
                <w:szCs w:val="20"/>
                <w:color w:val="auto"/>
              </w:rPr>
            </w:pPr>
            <w:r>
              <w:rPr>
                <w:rFonts w:ascii="Arial" w:cs="Arial" w:eastAsia="Arial" w:hAnsi="Arial"/>
                <w:sz w:val="18"/>
                <w:szCs w:val="18"/>
                <w:color w:val="auto"/>
                <w:w w:val="89"/>
              </w:rPr>
              <w:t>$20,000,000</w:t>
            </w:r>
          </w:p>
        </w:tc>
        <w:tc>
          <w:tcPr>
            <w:tcW w:w="2320" w:type="dxa"/>
            <w:vAlign w:val="bottom"/>
            <w:tcBorders>
              <w:right w:val="single" w:sz="8" w:color="auto"/>
            </w:tcBorders>
          </w:tcPr>
          <w:p>
            <w:pPr>
              <w:spacing w:after="0"/>
              <w:rPr>
                <w:sz w:val="23"/>
                <w:szCs w:val="23"/>
                <w:color w:val="auto"/>
              </w:rPr>
            </w:pPr>
          </w:p>
        </w:tc>
      </w:tr>
      <w:tr>
        <w:trPr>
          <w:trHeight w:val="61"/>
        </w:trPr>
        <w:tc>
          <w:tcPr>
            <w:tcW w:w="2580" w:type="dxa"/>
            <w:vAlign w:val="bottom"/>
            <w:tcBorders>
              <w:left w:val="single" w:sz="8" w:color="auto"/>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r>
        <w:trPr>
          <w:trHeight w:val="270"/>
        </w:trPr>
        <w:tc>
          <w:tcPr>
            <w:tcW w:w="2580" w:type="dxa"/>
            <w:vAlign w:val="bottom"/>
            <w:tcBorders>
              <w:left w:val="single" w:sz="8" w:color="auto"/>
            </w:tcBorders>
          </w:tcPr>
          <w:p>
            <w:pPr>
              <w:spacing w:after="0"/>
              <w:rPr>
                <w:sz w:val="23"/>
                <w:szCs w:val="23"/>
                <w:color w:val="auto"/>
              </w:rPr>
            </w:pPr>
          </w:p>
        </w:tc>
        <w:tc>
          <w:tcPr>
            <w:tcW w:w="1960" w:type="dxa"/>
            <w:vAlign w:val="bottom"/>
            <w:gridSpan w:val="2"/>
          </w:tcPr>
          <w:p>
            <w:pPr>
              <w:jc w:val="center"/>
              <w:ind w:right="1380"/>
              <w:spacing w:after="0"/>
              <w:rPr>
                <w:sz w:val="20"/>
                <w:szCs w:val="20"/>
                <w:color w:val="auto"/>
              </w:rPr>
            </w:pPr>
            <w:r>
              <w:rPr>
                <w:rFonts w:ascii="Arial" w:cs="Arial" w:eastAsia="Arial" w:hAnsi="Arial"/>
                <w:sz w:val="18"/>
                <w:szCs w:val="18"/>
                <w:color w:val="auto"/>
                <w:w w:val="94"/>
              </w:rPr>
              <w:t>Total</w:t>
            </w:r>
          </w:p>
        </w:tc>
        <w:tc>
          <w:tcPr>
            <w:tcW w:w="1200" w:type="dxa"/>
            <w:vAlign w:val="bottom"/>
            <w:tcBorders>
              <w:right w:val="single" w:sz="8" w:color="auto"/>
            </w:tcBorders>
          </w:tcPr>
          <w:p>
            <w:pPr>
              <w:spacing w:after="0"/>
              <w:rPr>
                <w:sz w:val="23"/>
                <w:szCs w:val="23"/>
                <w:color w:val="auto"/>
              </w:rPr>
            </w:pPr>
          </w:p>
        </w:tc>
        <w:tc>
          <w:tcPr>
            <w:tcW w:w="3360" w:type="dxa"/>
            <w:vAlign w:val="bottom"/>
            <w:gridSpan w:val="2"/>
          </w:tcPr>
          <w:p>
            <w:pPr>
              <w:jc w:val="center"/>
              <w:ind w:left="2214"/>
              <w:spacing w:after="0"/>
              <w:rPr>
                <w:sz w:val="20"/>
                <w:szCs w:val="20"/>
                <w:color w:val="auto"/>
              </w:rPr>
            </w:pPr>
            <w:r>
              <w:rPr>
                <w:rFonts w:ascii="Arial" w:cs="Arial" w:eastAsia="Arial" w:hAnsi="Arial"/>
                <w:sz w:val="18"/>
                <w:szCs w:val="18"/>
                <w:color w:val="auto"/>
                <w:w w:val="89"/>
              </w:rPr>
              <w:t>$40,000,000</w:t>
            </w:r>
          </w:p>
        </w:tc>
        <w:tc>
          <w:tcPr>
            <w:tcW w:w="2320" w:type="dxa"/>
            <w:vAlign w:val="bottom"/>
            <w:tcBorders>
              <w:right w:val="single" w:sz="8" w:color="auto"/>
            </w:tcBorders>
          </w:tcPr>
          <w:p>
            <w:pPr>
              <w:spacing w:after="0"/>
              <w:rPr>
                <w:sz w:val="23"/>
                <w:szCs w:val="23"/>
                <w:color w:val="auto"/>
              </w:rPr>
            </w:pPr>
          </w:p>
        </w:tc>
      </w:tr>
      <w:tr>
        <w:trPr>
          <w:trHeight w:val="61"/>
        </w:trPr>
        <w:tc>
          <w:tcPr>
            <w:tcW w:w="2580" w:type="dxa"/>
            <w:vAlign w:val="bottom"/>
            <w:tcBorders>
              <w:left w:val="single" w:sz="8" w:color="auto"/>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r>
        <w:trPr>
          <w:trHeight w:val="426"/>
        </w:trPr>
        <w:tc>
          <w:tcPr>
            <w:tcW w:w="2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2" w:name="page393"/>
    <w:bookmarkEnd w:id="392"/>
    <w:p>
      <w:pPr>
        <w:jc w:val="center"/>
        <w:ind w:right="-79"/>
        <w:spacing w:after="0"/>
        <w:rPr>
          <w:sz w:val="20"/>
          <w:szCs w:val="20"/>
          <w:color w:val="auto"/>
        </w:rPr>
      </w:pPr>
      <w:r>
        <w:rPr>
          <w:rFonts w:ascii="Arial" w:cs="Arial" w:eastAsia="Arial" w:hAnsi="Arial"/>
          <w:sz w:val="18"/>
          <w:szCs w:val="18"/>
          <w:b w:val="1"/>
          <w:bCs w:val="1"/>
          <w:color w:val="auto"/>
        </w:rPr>
        <w:t>SCHEDULE 1.1C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MORTGAGED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LEGAL DESCRIPTION: (LAND LEASE PARCEL)</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PARCEL OF LAND BEING A PORTION OF LOTS 72, 75, 77 AND 88 AND CERTAIN RIGHTS-OF-WAY WITHIN THE "AMENDED PLAT OF E 1/2 OF SEC. 14 TWP. 53S RGE. 40E", ACCORDING TO THE PLAT THEREOF, AS RECORDED IN PLATBOOK 13, PAGE 63, OF THE PUBLIC RECORDS OF MIAMI-DADE COUNTY, FLORIDA, LYING WITHIN THE NORTHEAST 1/4 OF SECTION 14, TOWNSHIP 53 SOUTH, RANGE 40 EAST, BEING MORE PARTICULARLY DESCRIBED AS FOLLOWS;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COMMENCE AT THE NORTHEAST CORNER OF SAID NORTHEAST 1/4 OF SECTION 14; THENCE SOUTH 01°39'24" EAST ON THE EAST LINE OF SAID NORTHEAST 1/4 FOR 457.33 FEET TO THE POINT OF BEGINNING; THENCE CONTINUE SOUTH 01°39'24" EAST ON SAID EAST LINE 119.26 FEET; THENCE SOUTH 54°57'45' WEST 405.80 FEET TO THE BEGINNING OF A NON-TANGENT CURVE CONCAVE SOUTHEASTERLY, WHOSE RADIUS POINT BEARS SOUTH 33°36'34" EAST; THENCE SOUTHWESTERLY ON THE ARC OF SAID CURVE TO THE LEFT, HAVING A RADIUS OF 2,277.65 FEET, A CENTRAL ANGLE OF 11°13'26", AN ARC DISTANCE OF 446.17 FEET; A CHORD BEARING OF SOUTH 50°46'43" WEST AND A CHORD DISTANCE OF 445.46 FEET TO A POINT OF NON-TANGENCY; THENCE SOUTH 46°15'46" WEST 360.84 FEET; THENCE NORTH 14°12'49" WEST 70.74 FEET; THENCE NORTH 16°27'49" WEST 715.15 FEET; THENCE NORTH 22°25'39" WEST 113.14 FEET; THENCE NORTH 89°46'21" EAST 356.40 FEET; THENCE NORTH 78°46'03" EAST 219.56 FEET; THENCE SOUTH 84°06'08" EAST 326.53 FEET TO THE BEGINNING OF A TANGENT CURVE CONCAVE NORTHERLY; THENCE EASTERLY ON THE ARC OF SAID CURVE TO THE LEFT, HAVING A RADIUS OF 600.00 FEET, A CENTRAL ANGLE OF 10°21'44", FOR AN ARC DISTANCE OF 108.51 FEET TO A POINT OF TANGENCY; THENCE NORTH 85°32'08" EAST 193.52 FEET TO THE POINT OF BEGINNING.</w:t>
      </w:r>
    </w:p>
    <w:p>
      <w:pPr>
        <w:spacing w:after="0" w:line="2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SAID LAND SITUATE, LYING AND BEING IN MIAMI-DADE COUNTY, FLORIDA, CONTAINING 545,521 SQUARE FEET (12.5234 ACRES), MORE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3" w:name="page394"/>
    <w:bookmarkEnd w:id="393"/>
    <w:p>
      <w:pPr>
        <w:jc w:val="center"/>
        <w:ind w:right="-1200"/>
        <w:spacing w:after="0"/>
        <w:rPr>
          <w:sz w:val="20"/>
          <w:szCs w:val="20"/>
          <w:color w:val="auto"/>
        </w:rPr>
      </w:pPr>
      <w:r>
        <w:rPr>
          <w:rFonts w:ascii="Arial" w:cs="Arial" w:eastAsia="Arial" w:hAnsi="Arial"/>
          <w:sz w:val="18"/>
          <w:szCs w:val="18"/>
          <w:b w:val="1"/>
          <w:bCs w:val="1"/>
          <w:color w:val="auto"/>
        </w:rPr>
        <w:t>SCHEDULE 1.1H</w:t>
      </w:r>
    </w:p>
    <w:p>
      <w:pPr>
        <w:spacing w:after="0" w:line="252"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DISQUALIFIED ASSIGNEES</w:t>
      </w:r>
    </w:p>
    <w:p>
      <w:pPr>
        <w:spacing w:after="0" w:line="256"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Lone Star</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Terra Firma</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Apollo Group</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Cerberus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Oaktree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Icahn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KKR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Blackstone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GSO Capital Partners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Warburg Pincus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First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t>SCHEDULE 3.15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20" w:type="dxa"/>
            <w:vAlign w:val="bottom"/>
            <w:tcBorders>
              <w:top w:val="single" w:sz="8" w:color="auto"/>
              <w:left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28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Percentage of each</w:t>
            </w: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right w:val="single" w:sz="8" w:color="auto"/>
            </w:tcBorders>
            <w:gridSpan w:val="3"/>
            <w:vMerge w:val="restart"/>
          </w:tcPr>
          <w:p>
            <w:pPr>
              <w:ind w:left="1220"/>
              <w:spacing w:after="0"/>
              <w:rPr>
                <w:sz w:val="20"/>
                <w:szCs w:val="20"/>
                <w:color w:val="auto"/>
              </w:rPr>
            </w:pPr>
            <w:r>
              <w:rPr>
                <w:rFonts w:ascii="Arial" w:cs="Arial" w:eastAsia="Arial" w:hAnsi="Arial"/>
                <w:sz w:val="14"/>
                <w:szCs w:val="14"/>
                <w:b w:val="1"/>
                <w:bCs w:val="1"/>
                <w:color w:val="auto"/>
              </w:rPr>
              <w:t>Subsidiary</w:t>
            </w:r>
          </w:p>
        </w:tc>
        <w:tc>
          <w:tcPr>
            <w:tcW w:w="1860" w:type="dxa"/>
            <w:vAlign w:val="bottom"/>
            <w:tcBorders>
              <w:right w:val="single" w:sz="8" w:color="auto"/>
            </w:tcBorders>
            <w:gridSpan w:val="3"/>
            <w:vMerge w:val="restart"/>
          </w:tcPr>
          <w:p>
            <w:pPr>
              <w:ind w:left="560"/>
              <w:spacing w:after="0"/>
              <w:rPr>
                <w:sz w:val="20"/>
                <w:szCs w:val="20"/>
                <w:color w:val="auto"/>
              </w:rPr>
            </w:pPr>
            <w:r>
              <w:rPr>
                <w:rFonts w:ascii="Arial" w:cs="Arial" w:eastAsia="Arial" w:hAnsi="Arial"/>
                <w:sz w:val="14"/>
                <w:szCs w:val="14"/>
                <w:b w:val="1"/>
                <w:bCs w:val="1"/>
                <w:color w:val="auto"/>
              </w:rPr>
              <w:t>Jurisdiction</w:t>
            </w:r>
          </w:p>
        </w:tc>
        <w:tc>
          <w:tcPr>
            <w:tcW w:w="3620" w:type="dxa"/>
            <w:vAlign w:val="bottom"/>
            <w:tcBorders>
              <w:right w:val="single" w:sz="8" w:color="auto"/>
            </w:tcBorders>
            <w:gridSpan w:val="3"/>
            <w:vMerge w:val="restart"/>
          </w:tcPr>
          <w:p>
            <w:pPr>
              <w:ind w:left="1600"/>
              <w:spacing w:after="0"/>
              <w:rPr>
                <w:sz w:val="20"/>
                <w:szCs w:val="20"/>
                <w:color w:val="auto"/>
              </w:rPr>
            </w:pPr>
            <w:r>
              <w:rPr>
                <w:rFonts w:ascii="Arial" w:cs="Arial" w:eastAsia="Arial" w:hAnsi="Arial"/>
                <w:sz w:val="14"/>
                <w:szCs w:val="14"/>
                <w:b w:val="1"/>
                <w:bCs w:val="1"/>
                <w:color w:val="auto"/>
              </w:rPr>
              <w:t>Parent</w:t>
            </w:r>
          </w:p>
        </w:tc>
        <w:tc>
          <w:tcPr>
            <w:tcW w:w="284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class of Capital Stock</w:t>
            </w:r>
          </w:p>
        </w:tc>
        <w:tc>
          <w:tcPr>
            <w:tcW w:w="0" w:type="dxa"/>
            <w:vAlign w:val="bottom"/>
          </w:tcPr>
          <w:p>
            <w:pPr>
              <w:spacing w:after="0"/>
              <w:rPr>
                <w:sz w:val="1"/>
                <w:szCs w:val="1"/>
                <w:color w:val="auto"/>
              </w:rPr>
            </w:pPr>
          </w:p>
        </w:tc>
      </w:tr>
      <w:tr>
        <w:trPr>
          <w:trHeight w:val="158"/>
        </w:trPr>
        <w:tc>
          <w:tcPr>
            <w:tcW w:w="3100" w:type="dxa"/>
            <w:vAlign w:val="bottom"/>
            <w:tcBorders>
              <w:left w:val="single" w:sz="8" w:color="auto"/>
              <w:right w:val="single" w:sz="8" w:color="auto"/>
            </w:tcBorders>
            <w:gridSpan w:val="3"/>
            <w:vMerge w:val="continue"/>
          </w:tcPr>
          <w:p>
            <w:pPr>
              <w:spacing w:after="0"/>
              <w:rPr>
                <w:sz w:val="13"/>
                <w:szCs w:val="13"/>
                <w:color w:val="auto"/>
              </w:rPr>
            </w:pPr>
          </w:p>
        </w:tc>
        <w:tc>
          <w:tcPr>
            <w:tcW w:w="1860" w:type="dxa"/>
            <w:vAlign w:val="bottom"/>
            <w:tcBorders>
              <w:right w:val="single" w:sz="8" w:color="auto"/>
            </w:tcBorders>
            <w:gridSpan w:val="3"/>
            <w:vMerge w:val="continue"/>
          </w:tcPr>
          <w:p>
            <w:pPr>
              <w:spacing w:after="0"/>
              <w:rPr>
                <w:sz w:val="13"/>
                <w:szCs w:val="13"/>
                <w:color w:val="auto"/>
              </w:rPr>
            </w:pPr>
          </w:p>
        </w:tc>
        <w:tc>
          <w:tcPr>
            <w:tcW w:w="3620" w:type="dxa"/>
            <w:vAlign w:val="bottom"/>
            <w:tcBorders>
              <w:right w:val="single" w:sz="8" w:color="auto"/>
            </w:tcBorders>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Borders>
              <w:right w:val="single" w:sz="8" w:color="auto"/>
            </w:tcBorders>
            <w:gridSpan w:val="2"/>
          </w:tcPr>
          <w:p>
            <w:pPr>
              <w:jc w:val="center"/>
              <w:ind w:right="1240"/>
              <w:spacing w:after="0" w:line="158"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55"/>
        </w:trPr>
        <w:tc>
          <w:tcPr>
            <w:tcW w:w="1220" w:type="dxa"/>
            <w:vAlign w:val="bottom"/>
            <w:tcBorders>
              <w:left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LLC</w:t>
            </w:r>
          </w:p>
        </w:tc>
        <w:tc>
          <w:tcPr>
            <w:tcW w:w="560" w:type="dxa"/>
            <w:vAlign w:val="bottom"/>
          </w:tcPr>
          <w:p>
            <w:pPr>
              <w:spacing w:after="0"/>
              <w:rPr>
                <w:sz w:val="22"/>
                <w:szCs w:val="22"/>
                <w:color w:val="auto"/>
              </w:rPr>
            </w:pPr>
          </w:p>
        </w:tc>
        <w:tc>
          <w:tcPr>
            <w:tcW w:w="13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3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Fortress Equity Partners (A) LP</w:t>
            </w: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100 percent of the limited liability</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company membership interests</w:t>
            </w:r>
          </w:p>
        </w:tc>
        <w:tc>
          <w:tcPr>
            <w:tcW w:w="0" w:type="dxa"/>
            <w:vAlign w:val="bottom"/>
          </w:tcPr>
          <w:p>
            <w:pPr>
              <w:spacing w:after="0"/>
              <w:rPr>
                <w:sz w:val="1"/>
                <w:szCs w:val="1"/>
                <w:color w:val="auto"/>
              </w:rPr>
            </w:pPr>
          </w:p>
        </w:tc>
      </w:tr>
      <w:tr>
        <w:trPr>
          <w:trHeight w:val="61"/>
        </w:trPr>
        <w:tc>
          <w:tcPr>
            <w:tcW w:w="122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(Florida) LLC</w:t>
            </w:r>
          </w:p>
        </w:tc>
        <w:tc>
          <w:tcPr>
            <w:tcW w:w="560" w:type="dxa"/>
            <w:vAlign w:val="bottom"/>
          </w:tcPr>
          <w:p>
            <w:pPr>
              <w:spacing w:after="0"/>
              <w:rPr>
                <w:sz w:val="22"/>
                <w:szCs w:val="22"/>
                <w:color w:val="auto"/>
              </w:rPr>
            </w:pPr>
          </w:p>
        </w:tc>
        <w:tc>
          <w:tcPr>
            <w:tcW w:w="13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3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LNG Holdings LLC</w:t>
            </w: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100 percent of the limited liability</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FEP GP LNG Holdings LLC</w:t>
            </w: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company membership interests</w:t>
            </w:r>
          </w:p>
        </w:tc>
        <w:tc>
          <w:tcPr>
            <w:tcW w:w="0" w:type="dxa"/>
            <w:vAlign w:val="bottom"/>
          </w:tcPr>
          <w:p>
            <w:pPr>
              <w:spacing w:after="0"/>
              <w:rPr>
                <w:sz w:val="1"/>
                <w:szCs w:val="1"/>
                <w:color w:val="auto"/>
              </w:rPr>
            </w:pPr>
          </w:p>
        </w:tc>
      </w:tr>
      <w:tr>
        <w:trPr>
          <w:trHeight w:val="61"/>
        </w:trPr>
        <w:tc>
          <w:tcPr>
            <w:tcW w:w="122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FEP GP LNG Holdings LLC</w:t>
            </w:r>
          </w:p>
        </w:tc>
        <w:tc>
          <w:tcPr>
            <w:tcW w:w="560" w:type="dxa"/>
            <w:vAlign w:val="bottom"/>
          </w:tcPr>
          <w:p>
            <w:pPr>
              <w:spacing w:after="0"/>
              <w:rPr>
                <w:sz w:val="22"/>
                <w:szCs w:val="22"/>
                <w:color w:val="auto"/>
              </w:rPr>
            </w:pPr>
          </w:p>
        </w:tc>
        <w:tc>
          <w:tcPr>
            <w:tcW w:w="13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3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Fortress Equity Partners GP, LLC</w:t>
            </w: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100 percent of the limited liability</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company membership interests</w:t>
            </w:r>
          </w:p>
        </w:tc>
        <w:tc>
          <w:tcPr>
            <w:tcW w:w="0" w:type="dxa"/>
            <w:vAlign w:val="bottom"/>
          </w:tcPr>
          <w:p>
            <w:pPr>
              <w:spacing w:after="0"/>
              <w:rPr>
                <w:sz w:val="1"/>
                <w:szCs w:val="1"/>
                <w:color w:val="auto"/>
              </w:rPr>
            </w:pPr>
          </w:p>
        </w:tc>
      </w:tr>
      <w:tr>
        <w:trPr>
          <w:trHeight w:val="61"/>
        </w:trPr>
        <w:tc>
          <w:tcPr>
            <w:tcW w:w="122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t>SCHEDULE 3.19(A)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UCC FILING OFFICES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Entity Name</w:t>
            </w:r>
          </w:p>
        </w:tc>
        <w:tc>
          <w:tcPr>
            <w:tcW w:w="1500" w:type="dxa"/>
            <w:vAlign w:val="bottom"/>
            <w:tcBorders>
              <w:top w:val="single" w:sz="8" w:color="auto"/>
            </w:tcBorders>
          </w:tcPr>
          <w:p>
            <w:pPr>
              <w:spacing w:after="0"/>
              <w:rPr>
                <w:sz w:val="18"/>
                <w:szCs w:val="18"/>
                <w:color w:val="auto"/>
              </w:rPr>
            </w:pPr>
          </w:p>
        </w:tc>
        <w:tc>
          <w:tcPr>
            <w:tcW w:w="22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Jurisdiction</w:t>
            </w:r>
          </w:p>
        </w:tc>
        <w:tc>
          <w:tcPr>
            <w:tcW w:w="1700" w:type="dxa"/>
            <w:vAlign w:val="bottom"/>
            <w:tcBorders>
              <w:top w:val="single" w:sz="8" w:color="auto"/>
            </w:tcBorders>
          </w:tcPr>
          <w:p>
            <w:pPr>
              <w:spacing w:after="0"/>
              <w:rPr>
                <w:sz w:val="18"/>
                <w:szCs w:val="18"/>
                <w:color w:val="auto"/>
              </w:rPr>
            </w:pPr>
          </w:p>
        </w:tc>
        <w:tc>
          <w:tcPr>
            <w:tcW w:w="2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Office</w:t>
            </w:r>
          </w:p>
        </w:tc>
      </w:tr>
      <w:tr>
        <w:trPr>
          <w:trHeight w:val="55"/>
        </w:trPr>
        <w:tc>
          <w:tcPr>
            <w:tcW w:w="1520" w:type="dxa"/>
            <w:vAlign w:val="bottom"/>
            <w:tcBorders>
              <w:left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70"/>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LLC</w:t>
            </w:r>
          </w:p>
        </w:tc>
        <w:tc>
          <w:tcPr>
            <w:tcW w:w="37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3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Secretary of State</w:t>
            </w:r>
          </w:p>
        </w:tc>
      </w:tr>
      <w:tr>
        <w:trPr>
          <w:trHeight w:val="61"/>
        </w:trPr>
        <w:tc>
          <w:tcPr>
            <w:tcW w:w="152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r>
      <w:tr>
        <w:trPr>
          <w:trHeight w:val="270"/>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(Florida) LLC</w:t>
            </w:r>
          </w:p>
        </w:tc>
        <w:tc>
          <w:tcPr>
            <w:tcW w:w="37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3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Secretary of State</w:t>
            </w:r>
          </w:p>
        </w:tc>
      </w:tr>
      <w:tr>
        <w:trPr>
          <w:trHeight w:val="61"/>
        </w:trPr>
        <w:tc>
          <w:tcPr>
            <w:tcW w:w="152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r>
      <w:tr>
        <w:trPr>
          <w:trHeight w:val="270"/>
        </w:trPr>
        <w:tc>
          <w:tcPr>
            <w:tcW w:w="38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FEP GP LNG Holdings LLC</w:t>
            </w:r>
          </w:p>
        </w:tc>
        <w:tc>
          <w:tcPr>
            <w:tcW w:w="37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38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Secretary of State</w:t>
            </w:r>
          </w:p>
        </w:tc>
      </w:tr>
      <w:tr>
        <w:trPr>
          <w:trHeight w:val="61"/>
        </w:trPr>
        <w:tc>
          <w:tcPr>
            <w:tcW w:w="152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r>
      <w:tr>
        <w:trPr>
          <w:trHeight w:val="426"/>
        </w:trPr>
        <w:tc>
          <w:tcPr>
            <w:tcW w:w="1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6" w:name="page397"/>
    <w:bookmarkEnd w:id="396"/>
    <w:p>
      <w:pPr>
        <w:jc w:val="center"/>
        <w:ind w:right="-1200"/>
        <w:spacing w:after="0"/>
        <w:rPr>
          <w:sz w:val="20"/>
          <w:szCs w:val="20"/>
          <w:color w:val="auto"/>
        </w:rPr>
      </w:pPr>
      <w:r>
        <w:rPr>
          <w:rFonts w:ascii="Arial" w:cs="Arial" w:eastAsia="Arial" w:hAnsi="Arial"/>
          <w:sz w:val="18"/>
          <w:szCs w:val="18"/>
          <w:b w:val="1"/>
          <w:bCs w:val="1"/>
          <w:color w:val="auto"/>
        </w:rPr>
        <w:t>SCHEDULE 3.19(B)</w:t>
      </w:r>
    </w:p>
    <w:p>
      <w:pPr>
        <w:spacing w:after="0" w:line="252"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color w:val="auto"/>
        </w:rPr>
        <w:t>MORTGAGE FILING JURISDICTIONS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Miami-Dade County,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97" w:name="page398"/>
    <w:bookmarkEnd w:id="397"/>
    <w:p>
      <w:pPr>
        <w:jc w:val="center"/>
        <w:ind w:right="-11"/>
        <w:spacing w:after="0"/>
        <w:rPr>
          <w:sz w:val="20"/>
          <w:szCs w:val="20"/>
          <w:color w:val="auto"/>
        </w:rPr>
      </w:pPr>
      <w:r>
        <w:rPr>
          <w:rFonts w:ascii="Arial" w:cs="Arial" w:eastAsia="Arial" w:hAnsi="Arial"/>
          <w:sz w:val="18"/>
          <w:szCs w:val="18"/>
          <w:b w:val="1"/>
          <w:bCs w:val="1"/>
          <w:color w:val="auto"/>
        </w:rPr>
        <w:t>SCHEDULE 3.24</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MATERIAL CONSTRUCTION-RELATED CONTRACTS</w:t>
      </w:r>
    </w:p>
    <w:p>
      <w:pPr>
        <w:spacing w:after="0" w:line="256" w:lineRule="exact"/>
        <w:rPr>
          <w:sz w:val="20"/>
          <w:szCs w:val="20"/>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Purchase Order, dated as of May 27, 2014, by and between LNG Holdings (Florida) LLC and Chart Energy &amp; Chemicals Inc.</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Design-Build Agreement dated as of June 9, 2014, by and between LNG Holdings (Florida) LLC and OnQuest, Inc.</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Ground Lease Agreement, dated as of November 20, 2014, by and between FDG LR 7 LLC and LNG Holdings (Florida) LLC</w:t>
      </w:r>
    </w:p>
    <w:p>
      <w:pPr>
        <w:spacing w:after="0" w:line="25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LNG Sale and Purchase Agreement, dated as of November 21, 2014, by and between LNG Holdings (Florida) LLC and Florida East Coast Railway, L.L.C.</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Letter agreement, dated December 17, 2013, with Neptune Fire Protection Engineering LLC for fire protection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2466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SCHEDULE 4.1(F)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DATE LIEN SEARCHES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480" w:type="dxa"/>
            <w:vAlign w:val="bottom"/>
            <w:tcBorders>
              <w:top w:val="single" w:sz="8" w:color="auto"/>
              <w:left w:val="single" w:sz="8" w:color="auto"/>
              <w:right w:val="single" w:sz="8" w:color="auto"/>
            </w:tcBorders>
            <w:gridSpan w:val="3"/>
          </w:tcPr>
          <w:p>
            <w:pPr>
              <w:ind w:left="3720"/>
              <w:spacing w:after="0"/>
              <w:rPr>
                <w:sz w:val="20"/>
                <w:szCs w:val="20"/>
                <w:color w:val="auto"/>
              </w:rPr>
            </w:pPr>
            <w:r>
              <w:rPr>
                <w:rFonts w:ascii="Arial" w:cs="Arial" w:eastAsia="Arial" w:hAnsi="Arial"/>
                <w:sz w:val="14"/>
                <w:szCs w:val="14"/>
                <w:b w:val="1"/>
                <w:bCs w:val="1"/>
                <w:color w:val="auto"/>
              </w:rPr>
              <w:t>ENTITY NAME</w:t>
            </w:r>
          </w:p>
        </w:tc>
        <w:tc>
          <w:tcPr>
            <w:tcW w:w="2940" w:type="dxa"/>
            <w:vAlign w:val="bottom"/>
            <w:tcBorders>
              <w:top w:val="single" w:sz="8" w:color="auto"/>
              <w:right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JURISDICTION</w:t>
            </w:r>
          </w:p>
        </w:tc>
      </w:tr>
      <w:tr>
        <w:trPr>
          <w:trHeight w:val="55"/>
        </w:trPr>
        <w:tc>
          <w:tcPr>
            <w:tcW w:w="3720" w:type="dxa"/>
            <w:vAlign w:val="bottom"/>
            <w:tcBorders>
              <w:left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0"/>
        </w:trPr>
        <w:tc>
          <w:tcPr>
            <w:tcW w:w="84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LLC</w:t>
            </w:r>
          </w:p>
        </w:tc>
        <w:tc>
          <w:tcPr>
            <w:tcW w:w="2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r>
      <w:tr>
        <w:trPr>
          <w:trHeight w:val="61"/>
        </w:trPr>
        <w:tc>
          <w:tcPr>
            <w:tcW w:w="3720" w:type="dxa"/>
            <w:vAlign w:val="bottom"/>
            <w:tcBorders>
              <w:left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r>
      <w:tr>
        <w:trPr>
          <w:trHeight w:val="270"/>
        </w:trPr>
        <w:tc>
          <w:tcPr>
            <w:tcW w:w="84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LNG Holdings (Florida) LLC</w:t>
            </w:r>
          </w:p>
        </w:tc>
        <w:tc>
          <w:tcPr>
            <w:tcW w:w="2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r>
      <w:tr>
        <w:trPr>
          <w:trHeight w:val="61"/>
        </w:trPr>
        <w:tc>
          <w:tcPr>
            <w:tcW w:w="3720" w:type="dxa"/>
            <w:vAlign w:val="bottom"/>
            <w:tcBorders>
              <w:left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r>
      <w:tr>
        <w:trPr>
          <w:trHeight w:val="270"/>
        </w:trPr>
        <w:tc>
          <w:tcPr>
            <w:tcW w:w="84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FEP GP LNG Holdings LLC</w:t>
            </w:r>
          </w:p>
        </w:tc>
        <w:tc>
          <w:tcPr>
            <w:tcW w:w="2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r>
      <w:tr>
        <w:trPr>
          <w:trHeight w:val="61"/>
        </w:trPr>
        <w:tc>
          <w:tcPr>
            <w:tcW w:w="3720" w:type="dxa"/>
            <w:vAlign w:val="bottom"/>
            <w:tcBorders>
              <w:left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r>
      <w:tr>
        <w:trPr>
          <w:trHeight w:val="426"/>
        </w:trPr>
        <w:tc>
          <w:tcPr>
            <w:tcW w:w="3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SCHEDULE 5.12</w:t>
      </w: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POST CLOSING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Within 90 days following the Closing Date, the Administrative Agent shall have received:</w:t>
      </w:r>
    </w:p>
    <w:p>
      <w:pPr>
        <w:spacing w:after="0" w:line="275" w:lineRule="exact"/>
        <w:rPr>
          <w:sz w:val="20"/>
          <w:szCs w:val="20"/>
          <w:color w:val="auto"/>
        </w:rPr>
      </w:pPr>
    </w:p>
    <w:p>
      <w:pPr>
        <w:ind w:left="340" w:right="120" w:firstLine="640"/>
        <w:spacing w:after="0" w:line="258" w:lineRule="auto"/>
        <w:tabs>
          <w:tab w:leader="none" w:pos="1806"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Mortgage</w:t>
      </w:r>
      <w:r>
        <w:rPr>
          <w:rFonts w:ascii="Arial" w:cs="Arial" w:eastAsia="Arial" w:hAnsi="Arial"/>
          <w:sz w:val="18"/>
          <w:szCs w:val="18"/>
          <w:color w:val="auto"/>
        </w:rPr>
        <w:t>. A Mortgage encumbering each Mortgaged Property in favor of the Administrative Agent, for the benefit of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duly executed and acknowledged by each Loan Party that is the owner or holder of any interest in such Mortgaged Property, in proper form for recording in the land records in the jurisdiction in which such Mortgaged Property is located (the “</w:t>
      </w:r>
      <w:r>
        <w:rPr>
          <w:rFonts w:ascii="Arial" w:cs="Arial" w:eastAsia="Arial" w:hAnsi="Arial"/>
          <w:sz w:val="18"/>
          <w:szCs w:val="18"/>
          <w:b w:val="1"/>
          <w:bCs w:val="1"/>
          <w:color w:val="auto"/>
        </w:rPr>
        <w:t>Land Records</w:t>
      </w:r>
      <w:r>
        <w:rPr>
          <w:rFonts w:ascii="Arial" w:cs="Arial" w:eastAsia="Arial" w:hAnsi="Arial"/>
          <w:sz w:val="18"/>
          <w:szCs w:val="18"/>
          <w:color w:val="auto"/>
        </w:rPr>
        <w:t xml:space="preserve">”), and in form and substance reasonably satisfactory to the Administrative Agent and sufficient to create a valid and enforceable first priority mortgage lien on such Mortgaged Property subject to the Liens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340" w:right="60" w:firstLine="640"/>
        <w:spacing w:after="0" w:line="274" w:lineRule="auto"/>
        <w:tabs>
          <w:tab w:leader="none" w:pos="1802"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Title Insurance</w:t>
      </w:r>
      <w:r>
        <w:rPr>
          <w:rFonts w:ascii="Arial" w:cs="Arial" w:eastAsia="Arial" w:hAnsi="Arial"/>
          <w:sz w:val="17"/>
          <w:szCs w:val="17"/>
          <w:color w:val="auto"/>
        </w:rPr>
        <w:t>. A lender’s policy of title insurance (or commitment to issue such a policy having the effect of a policy of title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issued by First American title Insurance Company or such other title insurance company reasonably acceptable to the Administrative Agent (the “</w:t>
      </w:r>
      <w:r>
        <w:rPr>
          <w:rFonts w:ascii="Arial" w:cs="Arial" w:eastAsia="Arial" w:hAnsi="Arial"/>
          <w:sz w:val="17"/>
          <w:szCs w:val="17"/>
          <w:b w:val="1"/>
          <w:bCs w:val="1"/>
          <w:color w:val="auto"/>
        </w:rPr>
        <w:t>Title Company</w:t>
      </w:r>
      <w:r>
        <w:rPr>
          <w:rFonts w:ascii="Arial" w:cs="Arial" w:eastAsia="Arial" w:hAnsi="Arial"/>
          <w:sz w:val="17"/>
          <w:szCs w:val="17"/>
          <w:color w:val="auto"/>
        </w:rPr>
        <w:t xml:space="preserve">”) insuring (or committing to insure) the lien of the applicable Mortgage as valid and enforceable first priority mortgage lien on the Mortgaged Property described therein subject only to the Liens permitted by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(each, a “</w:t>
      </w:r>
      <w:r>
        <w:rPr>
          <w:rFonts w:ascii="Arial" w:cs="Arial" w:eastAsia="Arial" w:hAnsi="Arial"/>
          <w:sz w:val="17"/>
          <w:szCs w:val="17"/>
          <w:b w:val="1"/>
          <w:bCs w:val="1"/>
          <w:color w:val="auto"/>
        </w:rPr>
        <w:t>Title Policy</w:t>
      </w:r>
      <w:r>
        <w:rPr>
          <w:rFonts w:ascii="Arial" w:cs="Arial" w:eastAsia="Arial" w:hAnsi="Arial"/>
          <w:sz w:val="17"/>
          <w:szCs w:val="17"/>
          <w:color w:val="auto"/>
        </w:rPr>
        <w:t>”), in an amount equal to the aggregate principal amount of the Term Loan Facility, together with such endorsements as the Administrative Agent reasonably requests and such Title Policy shall not include an exception for mechanics’ liens, or shall provide for affirmative insurance over such mechanics liens;</w:t>
      </w:r>
    </w:p>
    <w:p>
      <w:pPr>
        <w:spacing w:after="0" w:line="227" w:lineRule="exact"/>
        <w:rPr>
          <w:rFonts w:ascii="Arial" w:cs="Arial" w:eastAsia="Arial" w:hAnsi="Arial"/>
          <w:sz w:val="17"/>
          <w:szCs w:val="17"/>
          <w:color w:val="auto"/>
        </w:rPr>
      </w:pPr>
    </w:p>
    <w:p>
      <w:pPr>
        <w:ind w:left="340" w:firstLine="640"/>
        <w:spacing w:after="0" w:line="256" w:lineRule="auto"/>
        <w:tabs>
          <w:tab w:leader="none" w:pos="1798"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Leasehold Documents</w:t>
      </w:r>
      <w:r>
        <w:rPr>
          <w:rFonts w:ascii="Arial" w:cs="Arial" w:eastAsia="Arial" w:hAnsi="Arial"/>
          <w:sz w:val="18"/>
          <w:szCs w:val="18"/>
          <w:color w:val="auto"/>
        </w:rPr>
        <w:t>. With respect to the Mortgaged Property (w) a copy of the executed Ground lease, (x) an estoppel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form and substance reasonably acceptable to the Administrative Agent, (y) a memorandum of lease with respect to the Mortgaged Property, duly executed and delivered by the landlord and the applicable Loan Party, as tenant, in proper form for recording in the Land Records, and (z), such other consents, approvals, affidavits, indemnifications, amendments, supplements or other instruments executed by the Loan Parties in order for the Loan Party, as tenant to grant the lien contemplated by the Mortgage or sufficient to enable the Title Company to issue the Title Policy and endorsements contemplated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w:t>
      </w:r>
    </w:p>
    <w:p>
      <w:pPr>
        <w:spacing w:after="0" w:line="241" w:lineRule="exact"/>
        <w:rPr>
          <w:rFonts w:ascii="Arial" w:cs="Arial" w:eastAsia="Arial" w:hAnsi="Arial"/>
          <w:sz w:val="18"/>
          <w:szCs w:val="18"/>
          <w:color w:val="auto"/>
        </w:rPr>
      </w:pPr>
    </w:p>
    <w:p>
      <w:pPr>
        <w:ind w:left="340" w:right="160" w:firstLine="640"/>
        <w:spacing w:after="0" w:line="274" w:lineRule="auto"/>
        <w:tabs>
          <w:tab w:leader="none" w:pos="1788"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Survey</w:t>
      </w:r>
      <w:r>
        <w:rPr>
          <w:rFonts w:ascii="Arial" w:cs="Arial" w:eastAsia="Arial" w:hAnsi="Arial"/>
          <w:sz w:val="17"/>
          <w:szCs w:val="17"/>
          <w:color w:val="auto"/>
        </w:rPr>
        <w:t>. A survey of the Mortgaged Property which is (a) (i) prepared by a surveyor or engineer licensed to perform surveys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where such Mortgaged Property is located, (ii) certified by the surveyor (in a manner reasonably acceptable to the Administrative Agent) to the Administrative Agent and the Title Company, (iii) complying in all respects with the minimum detail requirements of the American Land Title Association as such requirements are in effect on the date of preparation of such survey and (iv) sufficient for the Title Company to remove all standard survey exceptions from the title insurance policy (or commitment) relating to such Mortgaged Property and issue the endorsements of the type required by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(b) otherwise acceptable to the Administrative Agent;</w:t>
      </w:r>
    </w:p>
    <w:p>
      <w:pPr>
        <w:spacing w:after="0" w:line="227" w:lineRule="exact"/>
        <w:rPr>
          <w:rFonts w:ascii="Arial" w:cs="Arial" w:eastAsia="Arial" w:hAnsi="Arial"/>
          <w:sz w:val="17"/>
          <w:szCs w:val="17"/>
          <w:color w:val="auto"/>
        </w:rPr>
      </w:pPr>
    </w:p>
    <w:p>
      <w:pPr>
        <w:ind w:left="340" w:right="80" w:firstLine="640"/>
        <w:spacing w:after="0" w:line="261" w:lineRule="auto"/>
        <w:tabs>
          <w:tab w:leader="none" w:pos="1738"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Counsel Opinions</w:t>
      </w:r>
      <w:r>
        <w:rPr>
          <w:rFonts w:ascii="Arial" w:cs="Arial" w:eastAsia="Arial" w:hAnsi="Arial"/>
          <w:sz w:val="18"/>
          <w:szCs w:val="18"/>
          <w:color w:val="auto"/>
        </w:rPr>
        <w:t>. Opinions addressed to the Administrative Agent for the benefit of the Secured Parties of (i) local counsel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where the Mortgaged Property is located with respect to the enforceability and perfection of the Mortgages and other matters customarily included in such opinions and (ii) counsel for the Borrower regarding due authorization, execution and delivery of the Mortgages, in each case, in form and substance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0" w:name="page401"/>
    <w:bookmarkEnd w:id="400"/>
    <w:p>
      <w:pPr>
        <w:ind w:left="-640" w:right="40" w:firstLine="640"/>
        <w:spacing w:after="0" w:line="273" w:lineRule="auto"/>
        <w:tabs>
          <w:tab w:leader="none" w:pos="808" w:val="left"/>
        </w:tabs>
        <w:numPr>
          <w:ilvl w:val="0"/>
          <w:numId w:val="368"/>
        </w:numPr>
        <w:rPr>
          <w:rFonts w:ascii="Arial" w:cs="Arial" w:eastAsia="Arial" w:hAnsi="Arial"/>
          <w:sz w:val="17"/>
          <w:szCs w:val="17"/>
          <w:color w:val="auto"/>
        </w:rPr>
      </w:pPr>
      <w:r>
        <w:rPr>
          <w:rFonts w:ascii="Arial" w:cs="Arial" w:eastAsia="Arial" w:hAnsi="Arial"/>
          <w:sz w:val="17"/>
          <w:szCs w:val="17"/>
          <w:b w:val="1"/>
          <w:bCs w:val="1"/>
          <w:color w:val="auto"/>
        </w:rPr>
        <w:t>Flood Hazard Determinations</w:t>
      </w:r>
      <w:r>
        <w:rPr>
          <w:rFonts w:ascii="Arial" w:cs="Arial" w:eastAsia="Arial" w:hAnsi="Arial"/>
          <w:sz w:val="17"/>
          <w:szCs w:val="17"/>
          <w:color w:val="auto"/>
        </w:rPr>
        <w:t>. A completed “Life-of Loan” Federal Emergency Management Agency Standard Flood Hazard</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with respect to any Mortgaged Property (together with a notice about special flood hazard area status and flood disaster assistance duly executed by the Borrower and each Loan Party relating thereto), and if any portion of any Mortgaged Property is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evidence of flood insurance in an amount and otherwise sufficient to comply with all applicable rules and regulations promulgated pursuant to the Flood Insurance Laws and otherwise in form and substance acceptable to the Administrative Agent; and</w:t>
      </w:r>
    </w:p>
    <w:p>
      <w:pPr>
        <w:spacing w:after="0" w:line="226" w:lineRule="exact"/>
        <w:rPr>
          <w:rFonts w:ascii="Arial" w:cs="Arial" w:eastAsia="Arial" w:hAnsi="Arial"/>
          <w:sz w:val="17"/>
          <w:szCs w:val="17"/>
          <w:color w:val="auto"/>
        </w:rPr>
      </w:pPr>
    </w:p>
    <w:p>
      <w:pPr>
        <w:ind w:left="-640" w:firstLine="640"/>
        <w:spacing w:after="0" w:line="266" w:lineRule="auto"/>
        <w:tabs>
          <w:tab w:leader="none" w:pos="858"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Real Property Collateral Fees and Expenses</w:t>
      </w:r>
      <w:r>
        <w:rPr>
          <w:rFonts w:ascii="Arial" w:cs="Arial" w:eastAsia="Arial" w:hAnsi="Arial"/>
          <w:sz w:val="18"/>
          <w:szCs w:val="18"/>
          <w:color w:val="auto"/>
        </w:rPr>
        <w:t>. Evidence reasonably satisfactory to the Administrative Agent of payment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of all costs and expenses for the issuance of the and payment of the Title Policy, mortgage recording taxes, and, costs and expenses required for the recording of the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252095</wp:posOffset>
            </wp:positionV>
            <wp:extent cx="72466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20"/>
          </w:cols>
          <w:pgMar w:left="1220" w:top="148" w:right="259" w:bottom="1440" w:gutter="0" w:footer="0" w:header="0"/>
        </w:sectPr>
      </w:pPr>
    </w:p>
    <w:bookmarkStart w:id="401" w:name="page402"/>
    <w:bookmarkEnd w:id="401"/>
    <w:p>
      <w:pPr>
        <w:jc w:val="center"/>
        <w:ind w:right="-20"/>
        <w:spacing w:after="0"/>
        <w:rPr>
          <w:sz w:val="20"/>
          <w:szCs w:val="20"/>
          <w:color w:val="auto"/>
        </w:rPr>
      </w:pPr>
      <w:r>
        <w:rPr>
          <w:rFonts w:ascii="Arial" w:cs="Arial" w:eastAsia="Arial" w:hAnsi="Arial"/>
          <w:sz w:val="18"/>
          <w:szCs w:val="18"/>
          <w:b w:val="1"/>
          <w:bCs w:val="1"/>
          <w:color w:val="auto"/>
        </w:rPr>
        <w:t>SCHEDULE 6.2(D)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EXISTING INDEBTEDNESS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2" w:name="page403"/>
    <w:bookmarkEnd w:id="402"/>
    <w:p>
      <w:pPr>
        <w:jc w:val="center"/>
        <w:spacing w:after="0"/>
        <w:rPr>
          <w:sz w:val="20"/>
          <w:szCs w:val="20"/>
          <w:color w:val="auto"/>
        </w:rPr>
      </w:pPr>
      <w:r>
        <w:rPr>
          <w:rFonts w:ascii="Arial" w:cs="Arial" w:eastAsia="Arial" w:hAnsi="Arial"/>
          <w:sz w:val="17"/>
          <w:szCs w:val="17"/>
          <w:b w:val="1"/>
          <w:bCs w:val="1"/>
          <w:color w:val="auto"/>
        </w:rPr>
        <w:t>SCHEDULE 6.3(O) EXISTING LIENS</w:t>
      </w:r>
    </w:p>
    <w:p>
      <w:pPr>
        <w:sectPr>
          <w:pgSz w:w="11900" w:h="16838" w:orient="portrait"/>
          <w:cols w:equalWidth="0" w:num="1">
            <w:col w:w="9019"/>
          </w:cols>
          <w:pgMar w:left="1440" w:top="121" w:right="1440" w:bottom="1440" w:gutter="0" w:footer="0" w:header="0"/>
        </w:sect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66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t>SCHEDULE 6.8(I) EXISTING INVESTMENTS</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66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404" w:name="page405"/>
    <w:bookmarkEnd w:id="404"/>
    <w:p>
      <w:pPr>
        <w:jc w:val="center"/>
        <w:ind w:right="-71"/>
        <w:spacing w:after="0"/>
        <w:rPr>
          <w:sz w:val="20"/>
          <w:szCs w:val="20"/>
          <w:color w:val="auto"/>
        </w:rPr>
      </w:pPr>
      <w:r>
        <w:rPr>
          <w:rFonts w:ascii="Arial" w:cs="Arial" w:eastAsia="Arial" w:hAnsi="Arial"/>
          <w:sz w:val="18"/>
          <w:szCs w:val="18"/>
          <w:b w:val="1"/>
          <w:bCs w:val="1"/>
          <w:color w:val="auto"/>
        </w:rPr>
        <w:t>SCHEDULE 6.10</w:t>
      </w:r>
    </w:p>
    <w:p>
      <w:pPr>
        <w:spacing w:after="0" w:line="252"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TRANSACTIONS WITH AFFILIATES</w:t>
      </w:r>
    </w:p>
    <w:p>
      <w:pPr>
        <w:spacing w:after="0" w:line="256" w:lineRule="exact"/>
        <w:rPr>
          <w:sz w:val="20"/>
          <w:szCs w:val="20"/>
          <w:color w:val="auto"/>
        </w:rPr>
      </w:pPr>
    </w:p>
    <w:p>
      <w:pPr>
        <w:ind w:left="652" w:hanging="652"/>
        <w:spacing w:after="0"/>
        <w:tabs>
          <w:tab w:leader="none" w:pos="6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Ground Lease Agreement, dated as of November 20, 2014, by and between FDG LR 7 LLC and LNG Holdings (Florida) LLC</w:t>
      </w:r>
    </w:p>
    <w:p>
      <w:pPr>
        <w:spacing w:after="0" w:line="25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LNG Sale and Purchase Agreement, dated as of November 21, 2014, by and between LNG Holdings (Florida) LLC and Florida East Coast Railway,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122" w:right="31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10.10</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SYNDICATED LOAN AGREEMENT</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NFE NORTH HOLDINGS LIMITED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Borrower)</w:t>
      </w: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NATIONAL COMMERCIAL BANK JAMAICA LIMITED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Arranger)</w:t>
      </w: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LISTED IN SCHEDULE 1</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w:t>
      </w: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JCSD TRUSTEE SERVICES LIMITED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203200</wp:posOffset>
            </wp:positionV>
            <wp:extent cx="7246620" cy="6686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PATTERSON MAIR HAMILTON</w:t>
      </w:r>
    </w:p>
    <w:p>
      <w:pPr>
        <w:spacing w:after="0" w:line="1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Attorneys-at-Law</w:t>
      </w:r>
    </w:p>
    <w:p>
      <w:pPr>
        <w:spacing w:after="0" w:line="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Temple Court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85 Hope Road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Kingston 6</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Tel: (876) 920-4000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Fax (876) 920-0244</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E-mail: info@pmhlaw.net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271780</wp:posOffset>
            </wp:positionV>
            <wp:extent cx="72466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color w:val="auto"/>
        </w:rPr>
        <w:t>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SYNDICATED LOAN AGREEMENT</w:t>
      </w:r>
    </w:p>
    <w:p>
      <w:pPr>
        <w:spacing w:after="0" w:line="252"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the</w:t>
      </w:r>
      <w:r>
        <w:rPr>
          <w:sz w:val="20"/>
          <w:szCs w:val="20"/>
          <w:color w:val="auto"/>
        </w:rPr>
        <w:tab/>
      </w:r>
      <w:r>
        <w:rPr>
          <w:rFonts w:ascii="Arial" w:cs="Arial" w:eastAsia="Arial" w:hAnsi="Arial"/>
          <w:sz w:val="16"/>
          <w:szCs w:val="16"/>
          <w:color w:val="auto"/>
        </w:rPr>
        <w:t>day of May.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both"/>
        <w:ind w:left="660" w:hanging="652"/>
        <w:spacing w:after="0" w:line="266" w:lineRule="auto"/>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NFE NORTH HOLDINGS LIMITED</w:t>
      </w:r>
      <w:r>
        <w:rPr>
          <w:rFonts w:ascii="Arial" w:cs="Arial" w:eastAsia="Arial" w:hAnsi="Arial"/>
          <w:sz w:val="18"/>
          <w:szCs w:val="18"/>
          <w:color w:val="auto"/>
        </w:rPr>
        <w:t>, a company incorporated under the laws of Jamaica with its registered with offices situate at and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situated at Montego Bay Freeport, Berth #1 at the Port of Montego Bay. Montego Bay in the Parish of Saint James, Jamaica. (hereinafter called “the Borrower”):</w:t>
      </w:r>
    </w:p>
    <w:p>
      <w:pPr>
        <w:spacing w:after="0" w:line="203" w:lineRule="exact"/>
        <w:rPr>
          <w:rFonts w:ascii="Arial" w:cs="Arial" w:eastAsia="Arial" w:hAnsi="Arial"/>
          <w:sz w:val="18"/>
          <w:szCs w:val="18"/>
          <w:color w:val="auto"/>
        </w:rPr>
      </w:pPr>
    </w:p>
    <w:p>
      <w:pPr>
        <w:ind w:left="660" w:hanging="652"/>
        <w:spacing w:after="0" w:line="313" w:lineRule="auto"/>
        <w:tabs>
          <w:tab w:leader="none" w:pos="660" w:val="left"/>
        </w:tabs>
        <w:numPr>
          <w:ilvl w:val="0"/>
          <w:numId w:val="370"/>
        </w:numPr>
        <w:rPr>
          <w:rFonts w:ascii="Arial" w:cs="Arial" w:eastAsia="Arial" w:hAnsi="Arial"/>
          <w:sz w:val="17"/>
          <w:szCs w:val="17"/>
          <w:color w:val="auto"/>
        </w:rPr>
      </w:pPr>
      <w:r>
        <w:rPr>
          <w:rFonts w:ascii="Arial" w:cs="Arial" w:eastAsia="Arial" w:hAnsi="Arial"/>
          <w:sz w:val="17"/>
          <w:szCs w:val="17"/>
          <w:b w:val="1"/>
          <w:bCs w:val="1"/>
          <w:color w:val="auto"/>
        </w:rPr>
        <w:t xml:space="preserve">NATIONAL COMMERCIAL BANK JAMAICA LIMITED </w:t>
      </w:r>
      <w:r>
        <w:rPr>
          <w:rFonts w:ascii="Arial" w:cs="Arial" w:eastAsia="Arial" w:hAnsi="Arial"/>
          <w:sz w:val="17"/>
          <w:szCs w:val="17"/>
          <w:color w:val="auto"/>
        </w:rPr>
        <w:t>a bank duly incorporated under the Banking Act and having its registered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situate at “The Atrium”, 32 Trafalgar Road, Kingston 10 in the parish of Saint Andrew, Jamaica as arranger (herein “the Arranger”);</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 xml:space="preserve">The lending institutions </w:t>
      </w:r>
      <w:r>
        <w:rPr>
          <w:rFonts w:ascii="Arial" w:cs="Arial" w:eastAsia="Arial" w:hAnsi="Arial"/>
          <w:sz w:val="18"/>
          <w:szCs w:val="18"/>
          <w:color w:val="auto"/>
        </w:rPr>
        <w:t>listed in Schedule I (herein “the Lenders”, each a “Lender”); and</w:t>
      </w:r>
    </w:p>
    <w:p>
      <w:pPr>
        <w:spacing w:after="0" w:line="252"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JCSD TRUSTEE SERVICES LIMITED</w:t>
      </w:r>
      <w:r>
        <w:rPr>
          <w:rFonts w:ascii="Arial" w:cs="Arial" w:eastAsia="Arial" w:hAnsi="Arial"/>
          <w:sz w:val="18"/>
          <w:szCs w:val="18"/>
          <w:color w:val="auto"/>
        </w:rPr>
        <w:t>, a company incorporated under the laws of Jamaica and having its registered office at 40 Harbour Street,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city and Parish of Kingston, Jamaica, W.I. (herein “the Agent”)</w:t>
      </w:r>
    </w:p>
    <w:p>
      <w:pPr>
        <w:spacing w:after="0" w:line="193" w:lineRule="exact"/>
        <w:rPr>
          <w:sz w:val="20"/>
          <w:szCs w:val="20"/>
          <w:color w:val="auto"/>
        </w:rPr>
      </w:pPr>
    </w:p>
    <w:p>
      <w:pPr>
        <w:ind w:left="660" w:hanging="652"/>
        <w:spacing w:after="0" w:line="308" w:lineRule="auto"/>
        <w:tabs>
          <w:tab w:leader="none" w:pos="660"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The Borrower has requested and the Lenders have agreed to make available to the Borrower a term loan of up to an aggregate principal amount of Forty-Four Million United States Dollars (US$44,000,000.00) upon the terms and subject to the conditions hereinafter set forth.</w:t>
      </w:r>
    </w:p>
    <w:p>
      <w:pPr>
        <w:spacing w:after="0" w:line="173" w:lineRule="exact"/>
        <w:rPr>
          <w:rFonts w:ascii="Arial" w:cs="Arial" w:eastAsia="Arial" w:hAnsi="Arial"/>
          <w:sz w:val="17"/>
          <w:szCs w:val="17"/>
          <w:b w:val="1"/>
          <w:bCs w:val="1"/>
          <w:color w:val="auto"/>
        </w:rPr>
      </w:pPr>
    </w:p>
    <w:p>
      <w:pPr>
        <w:ind w:left="660" w:hanging="652"/>
        <w:spacing w:after="0" w:line="277" w:lineRule="auto"/>
        <w:tabs>
          <w:tab w:leader="none" w:pos="660" w:val="left"/>
        </w:tabs>
        <w:numPr>
          <w:ilvl w:val="0"/>
          <w:numId w:val="371"/>
        </w:numPr>
        <w:rPr>
          <w:rFonts w:ascii="Arial" w:cs="Arial" w:eastAsia="Arial" w:hAnsi="Arial"/>
          <w:sz w:val="18"/>
          <w:szCs w:val="18"/>
          <w:b w:val="1"/>
          <w:bCs w:val="1"/>
          <w:color w:val="auto"/>
        </w:rPr>
      </w:pPr>
      <w:r>
        <w:rPr>
          <w:rFonts w:ascii="Arial" w:cs="Arial" w:eastAsia="Arial" w:hAnsi="Arial"/>
          <w:sz w:val="18"/>
          <w:szCs w:val="18"/>
          <w:color w:val="auto"/>
        </w:rPr>
        <w:t>The obligation of the Lenders to make any amount available to the Borrower under this Agreement shall be subject to the conditions precedent and other terms and conditions provided for herein.</w:t>
      </w:r>
    </w:p>
    <w:p>
      <w:pPr>
        <w:spacing w:after="0" w:line="197" w:lineRule="exact"/>
        <w:rPr>
          <w:rFonts w:ascii="Arial" w:cs="Arial" w:eastAsia="Arial" w:hAnsi="Arial"/>
          <w:sz w:val="18"/>
          <w:szCs w:val="18"/>
          <w:b w:val="1"/>
          <w:bCs w:val="1"/>
          <w:color w:val="auto"/>
        </w:rPr>
      </w:pPr>
    </w:p>
    <w:p>
      <w:pPr>
        <w:ind w:left="660" w:hanging="652"/>
        <w:spacing w:after="0"/>
        <w:tabs>
          <w:tab w:leader="none" w:pos="660"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It is intended that the security interests under the Security Documents will be held by the Agent, as agent, for the benefit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48" w:lineRule="exact"/>
        <w:rPr>
          <w:sz w:val="20"/>
          <w:szCs w:val="20"/>
          <w:color w:val="auto"/>
        </w:rPr>
      </w:pPr>
    </w:p>
    <w:p>
      <w:pPr>
        <w:ind w:left="840" w:hanging="832"/>
        <w:spacing w:after="0"/>
        <w:tabs>
          <w:tab w:leader="none" w:pos="840"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p>
    <w:p>
      <w:pPr>
        <w:spacing w:after="0" w:line="2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In this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Acting in Concert</w:t>
      </w:r>
      <w:r>
        <w:rPr>
          <w:rFonts w:ascii="Arial" w:cs="Arial" w:eastAsia="Arial" w:hAnsi="Arial"/>
          <w:sz w:val="18"/>
          <w:szCs w:val="18"/>
          <w:color w:val="auto"/>
        </w:rPr>
        <w:t>” means Persons who, pursuant to .an agreement (whether formal or informal), actively cooperate to obtain Control of a company by acquiring its shares.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director or officer of such Person. For purposes of this definition and the definition of the term “Subsidiary”, the term “control” (including the terms “controlling,” “controlled by” and “under common control with”) of a Person means the possession, direct or indirect, of the power to vote 50% or more of the voting shares of such Person.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JCSD TRUSTEE SERVICES LIMITED or any other agent for the Lenders appointed pursuant to clause 17.15.</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Fee Letter</w:t>
      </w:r>
      <w:r>
        <w:rPr>
          <w:rFonts w:ascii="Arial" w:cs="Arial" w:eastAsia="Arial" w:hAnsi="Arial"/>
          <w:sz w:val="18"/>
          <w:szCs w:val="18"/>
          <w:color w:val="auto"/>
        </w:rPr>
        <w:t>” means a letter dated on or before the date hereof between the Arranger and the Borrower setting out the amount of various fees referred to in clause 18 (“Fees”).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(1) during the continuance of an Event of Default which remains uncured or unremedied following receipt of notice of default, 14.10% per annum; and (2) at all other times, 8.10% per annum.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Syndicated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a Saturday or Sunday or public holiday) on which banks are open for business generally in Jamaica.</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failure of (i) the Sponsor to maintain Control (as hereinafter defined) of Borrower or Guarantor; and (ii) Atlantic Energy Holdings Limited to maintain Control of the Borrower.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being a Business Day, confirmed in writing by the Agent to the Borrower and the Lenders (following execution of this Agreement) as being the date on which all the conditions precedent set out in clause 4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2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the amount set opposite the name of a Lender in Schedule I to the extent not cancelled or reduced under this Agreement OR such amount as a Lender may undertake to make available to the Borrower pursuant to the terms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the period from the date of this Agreement to the Term Date (both days inclusive).</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Obligations</w:t>
      </w:r>
      <w:r>
        <w:rPr>
          <w:rFonts w:ascii="Arial" w:cs="Arial" w:eastAsia="Arial" w:hAnsi="Arial"/>
          <w:sz w:val="16"/>
          <w:szCs w:val="16"/>
          <w:color w:val="auto"/>
        </w:rPr>
        <w:t>” means, as to any Person, any provision of any security issued by such Person or of any contract, indenture, mortgage, deed of trust, lease, instrument or other undertaking affecting such Person or to which such Person is a party or by which it or any of its property is bound.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“controlled by” and “under common control with”) means:</w:t>
      </w:r>
    </w:p>
    <w:p>
      <w:pPr>
        <w:spacing w:after="0" w:line="279" w:lineRule="exact"/>
        <w:rPr>
          <w:sz w:val="20"/>
          <w:szCs w:val="20"/>
          <w:color w:val="auto"/>
        </w:rPr>
      </w:pPr>
    </w:p>
    <w:p>
      <w:pPr>
        <w:ind w:firstLine="8"/>
        <w:spacing w:after="0" w:line="277" w:lineRule="auto"/>
        <w:tabs>
          <w:tab w:leader="none" w:pos="88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holding, or aggregate holdings, of shares carrying more than 50% of the voting rights attributable to the share capital of a company which are currently exercisable at a general meeting, irrespective of whether the holding or holdings gives de facto control; or</w:t>
      </w:r>
    </w:p>
    <w:p>
      <w:pPr>
        <w:spacing w:after="0" w:line="224" w:lineRule="exact"/>
        <w:rPr>
          <w:rFonts w:ascii="Arial" w:cs="Arial" w:eastAsia="Arial" w:hAnsi="Arial"/>
          <w:sz w:val="18"/>
          <w:szCs w:val="18"/>
          <w:color w:val="auto"/>
        </w:rPr>
      </w:pPr>
    </w:p>
    <w:p>
      <w:pPr>
        <w:ind w:left="820" w:hanging="812"/>
        <w:spacing w:after="0"/>
        <w:tabs>
          <w:tab w:leader="none" w:pos="8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right to elect directly or indirectly more than one half of the board of directors of a company; or</w:t>
      </w:r>
    </w:p>
    <w:p>
      <w:pPr>
        <w:spacing w:after="0" w:line="279" w:lineRule="exact"/>
        <w:rPr>
          <w:rFonts w:ascii="Arial" w:cs="Arial" w:eastAsia="Arial" w:hAnsi="Arial"/>
          <w:sz w:val="18"/>
          <w:szCs w:val="18"/>
          <w:color w:val="auto"/>
        </w:rPr>
      </w:pPr>
    </w:p>
    <w:p>
      <w:pPr>
        <w:ind w:left="800" w:hanging="792"/>
        <w:spacing w:after="0"/>
        <w:tabs>
          <w:tab w:leader="none" w:pos="8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ability (directly or indirectly) to control or to exercise a decisive influence over the policy of a company.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Disbursement</w:t>
      </w:r>
      <w:r>
        <w:rPr>
          <w:rFonts w:ascii="Arial" w:cs="Arial" w:eastAsia="Arial" w:hAnsi="Arial"/>
          <w:sz w:val="18"/>
          <w:szCs w:val="18"/>
          <w:color w:val="auto"/>
        </w:rPr>
        <w:t>” means the date on which the first or only disbursement is made of any Loan hereunder PROVIDED THAT the expression “date of disbursement” when used shall bear a separate meaning, as the context requires.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action, suit, demand, demand letter, claim, notice of non-compliance or violation, notice of liability or potential liability, investigation, proceeding, consent order or consent agreement relating in any way to any Environmental Law, any Environmental Permit or Hazardous Material or arising from alleged injury or threat to health, safety or the environment, including, without limitation, (a) by any governmental or regulatory authority for enforcement, cleanup, removal, response, remedial or other actions or damages; and (b) by any governmental or regulatory authority or third party for damages, contribution, indemnification, cost recovery, compensation or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color w:val="auto"/>
        </w:rPr>
        <w:t>5</w:t>
      </w:r>
    </w:p>
    <w:p>
      <w:pPr>
        <w:spacing w:after="0" w:line="18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statutes, regulations, rules, orders, directions, codes, ordinances, decrees and requirements of the Government of Jamaica or any agency, department or statutory authority thereof regulating, relating to, or imposing, liability or standards of conduct concerning the protection of human health or other living organism or the protection of the environment or the prevention of noise or other nuisances, as are in effect at the time of the relevant representation.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licence, permit, approval or other authorization granted to the Borrower under any Environmental Law.</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of the events or circumstances set out in sub-clause 16.1 and “</w:t>
      </w:r>
      <w:r>
        <w:rPr>
          <w:rFonts w:ascii="Arial" w:cs="Arial" w:eastAsia="Arial" w:hAnsi="Arial"/>
          <w:sz w:val="18"/>
          <w:szCs w:val="18"/>
          <w:u w:val="single" w:color="auto"/>
          <w:color w:val="auto"/>
        </w:rPr>
        <w:t>Potential Event of Default</w:t>
      </w:r>
      <w:r>
        <w:rPr>
          <w:rFonts w:ascii="Arial" w:cs="Arial" w:eastAsia="Arial" w:hAnsi="Arial"/>
          <w:sz w:val="18"/>
          <w:szCs w:val="18"/>
          <w:color w:val="auto"/>
        </w:rPr>
        <w:t>” means any event which, with the giving of notice, the lapse of time, or both would constitute an Event of Default.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or “</w:t>
      </w:r>
      <w:r>
        <w:rPr>
          <w:rFonts w:ascii="Arial" w:cs="Arial" w:eastAsia="Arial" w:hAnsi="Arial"/>
          <w:sz w:val="18"/>
          <w:szCs w:val="18"/>
          <w:u w:val="single" w:color="auto"/>
          <w:color w:val="auto"/>
        </w:rPr>
        <w:t>Term Loan</w:t>
      </w:r>
      <w:r>
        <w:rPr>
          <w:rFonts w:ascii="Arial" w:cs="Arial" w:eastAsia="Arial" w:hAnsi="Arial"/>
          <w:sz w:val="18"/>
          <w:szCs w:val="18"/>
          <w:color w:val="auto"/>
        </w:rPr>
        <w:t>” means the term loan facility of up to Forty-Four Million United States Dollars (US$44,000,000) to be granted pursuant to clause 2.1.</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a letter dated on or before the date hereof between the Arranger and the Borrower setting out the amount of various fees referred to in clause 1$ (“Fees”).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Parties</w:t>
      </w:r>
      <w:r>
        <w:rPr>
          <w:rFonts w:ascii="Arial" w:cs="Arial" w:eastAsia="Arial" w:hAnsi="Arial"/>
          <w:sz w:val="18"/>
          <w:szCs w:val="18"/>
          <w:color w:val="auto"/>
        </w:rPr>
        <w:t>” means the Arranger, the Lenders and the Agent and “</w:t>
      </w:r>
      <w:r>
        <w:rPr>
          <w:rFonts w:ascii="Arial" w:cs="Arial" w:eastAsia="Arial" w:hAnsi="Arial"/>
          <w:sz w:val="18"/>
          <w:szCs w:val="18"/>
          <w:u w:val="single" w:color="auto"/>
          <w:color w:val="auto"/>
        </w:rPr>
        <w:t>Finance Party</w:t>
      </w:r>
      <w:r>
        <w:rPr>
          <w:rFonts w:ascii="Arial" w:cs="Arial" w:eastAsia="Arial" w:hAnsi="Arial"/>
          <w:sz w:val="18"/>
          <w:szCs w:val="18"/>
          <w:color w:val="auto"/>
        </w:rPr>
        <w:t>” means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color w:val="auto"/>
        </w:rPr>
        <w:t>6</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Indebtedness</w:t>
      </w:r>
      <w:r>
        <w:rPr>
          <w:rFonts w:ascii="Arial" w:cs="Arial" w:eastAsia="Arial" w:hAnsi="Arial"/>
          <w:sz w:val="16"/>
          <w:szCs w:val="16"/>
          <w:color w:val="auto"/>
        </w:rPr>
        <w:t xml:space="preserve">” of any Person means, without double counting, (a) all indebtedness of such Person for borrowed money (including debit balances at any bank or other financial institution); (b) all Obligations of such Person for the deferred purchase price of property or services (other than trade payables not overdue by more than 60 days unless the subject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and incurred in the ordinary course of such Person’s business); (c) all Obligations of such Person evidenced by notes, bonds, debentures, loan stock or other security or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Person as lessee under finance leases; (f) all Obligations of such Person under acceptances, letters of credit or similar facilities;</w:t>
      </w:r>
    </w:p>
    <w:p>
      <w:pPr>
        <w:spacing w:after="0" w:line="25" w:lineRule="exact"/>
        <w:rPr>
          <w:sz w:val="20"/>
          <w:szCs w:val="20"/>
          <w:color w:val="auto"/>
        </w:rPr>
      </w:pPr>
    </w:p>
    <w:p>
      <w:pPr>
        <w:jc w:val="both"/>
        <w:ind w:firstLine="8"/>
        <w:spacing w:after="0" w:line="243" w:lineRule="auto"/>
        <w:tabs>
          <w:tab w:leader="none" w:pos="31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 xml:space="preserve">all Obligations of a Person under any agreement whereby </w:t>
      </w:r>
      <w:r>
        <w:rPr>
          <w:rFonts w:ascii="Arial" w:cs="Arial" w:eastAsia="Arial" w:hAnsi="Arial"/>
          <w:sz w:val="17"/>
          <w:szCs w:val="17"/>
          <w:color w:val="auto"/>
        </w:rPr>
        <w:t>its</w:t>
      </w:r>
      <w:r>
        <w:rPr>
          <w:rFonts w:ascii="Arial" w:cs="Arial" w:eastAsia="Arial" w:hAnsi="Arial"/>
          <w:sz w:val="21"/>
          <w:szCs w:val="21"/>
          <w:color w:val="auto"/>
        </w:rPr>
        <w:t xml:space="preserve"> receivables </w:t>
      </w:r>
      <w:r>
        <w:rPr>
          <w:rFonts w:ascii="Arial" w:cs="Arial" w:eastAsia="Arial" w:hAnsi="Arial"/>
          <w:sz w:val="17"/>
          <w:szCs w:val="17"/>
          <w:color w:val="auto"/>
        </w:rPr>
        <w:t>are sold</w:t>
      </w:r>
      <w:r>
        <w:rPr>
          <w:rFonts w:ascii="Arial" w:cs="Arial" w:eastAsia="Arial" w:hAnsi="Arial"/>
          <w:sz w:val="21"/>
          <w:szCs w:val="21"/>
          <w:color w:val="auto"/>
        </w:rPr>
        <w:t xml:space="preserve"> (otherwise than on a non-recourse basis); (h) all Obligations of </w:t>
      </w:r>
      <w:r>
        <w:rPr>
          <w:rFonts w:ascii="Arial" w:cs="Arial" w:eastAsia="Arial" w:hAnsi="Arial"/>
          <w:sz w:val="17"/>
          <w:szCs w:val="17"/>
          <w:color w:val="auto"/>
        </w:rPr>
        <w:t>such Person arising under guarantees, indemnities</w:t>
      </w:r>
      <w:r>
        <w:rPr>
          <w:rFonts w:ascii="Arial" w:cs="Arial" w:eastAsia="Arial" w:hAnsi="Arial"/>
          <w:sz w:val="21"/>
          <w:szCs w:val="21"/>
          <w:color w:val="auto"/>
        </w:rPr>
        <w:t xml:space="preserve"> or similar assurance in respect of borrowed money and (i) all indebtedness and other payment Obligations referred to in clauses (a) through (h) </w:t>
      </w:r>
      <w:r>
        <w:rPr>
          <w:rFonts w:ascii="Arial" w:cs="Arial" w:eastAsia="Arial" w:hAnsi="Arial"/>
          <w:sz w:val="17"/>
          <w:szCs w:val="17"/>
          <w:color w:val="auto"/>
        </w:rPr>
        <w:t>above of another Person guaranteed by</w:t>
      </w:r>
      <w:r>
        <w:rPr>
          <w:rFonts w:ascii="Arial" w:cs="Arial" w:eastAsia="Arial" w:hAnsi="Arial"/>
          <w:sz w:val="21"/>
          <w:szCs w:val="21"/>
          <w:color w:val="auto"/>
        </w:rPr>
        <w:t xml:space="preserve"> such Person or secured by (or for which the holder of such debt has an existing right, contingent or otherwise, to be secured by) any Security Interest on property (</w:t>
      </w:r>
      <w:r>
        <w:rPr>
          <w:rFonts w:ascii="Arial" w:cs="Arial" w:eastAsia="Arial" w:hAnsi="Arial"/>
          <w:sz w:val="17"/>
          <w:szCs w:val="17"/>
          <w:color w:val="auto"/>
        </w:rPr>
        <w:t>including, without limitati</w:t>
      </w:r>
      <w:r>
        <w:rPr>
          <w:rFonts w:ascii="Arial" w:cs="Arial" w:eastAsia="Arial" w:hAnsi="Arial"/>
          <w:sz w:val="21"/>
          <w:szCs w:val="21"/>
          <w:color w:val="auto"/>
        </w:rPr>
        <w:t xml:space="preserve">on, accounts and contract rights) owned by such Person or to sell such Financial Indebtedness to such Person, even though such Person has not assumed or become liable for the payment of </w:t>
      </w:r>
      <w:r>
        <w:rPr>
          <w:rFonts w:ascii="Arial" w:cs="Arial" w:eastAsia="Arial" w:hAnsi="Arial"/>
          <w:sz w:val="17"/>
          <w:szCs w:val="17"/>
          <w:color w:val="auto"/>
        </w:rPr>
        <w:t>such indebtedness or other payment</w:t>
      </w:r>
      <w:r>
        <w:rPr>
          <w:rFonts w:ascii="Arial" w:cs="Arial" w:eastAsia="Arial" w:hAnsi="Arial"/>
          <w:sz w:val="21"/>
          <w:szCs w:val="21"/>
          <w:color w:val="auto"/>
        </w:rPr>
        <w:t xml:space="preserve"> Obligations. To the intent that Financial Indebtedness shall be determined on a consolidated basis, references to “</w:t>
      </w:r>
      <w:r>
        <w:rPr>
          <w:rFonts w:ascii="Arial" w:cs="Arial" w:eastAsia="Arial" w:hAnsi="Arial"/>
          <w:sz w:val="17"/>
          <w:szCs w:val="17"/>
          <w:u w:val="single" w:color="auto"/>
          <w:color w:val="auto"/>
        </w:rPr>
        <w:t>Person</w:t>
      </w:r>
      <w:r>
        <w:rPr>
          <w:rFonts w:ascii="Arial" w:cs="Arial" w:eastAsia="Arial" w:hAnsi="Arial"/>
          <w:sz w:val="21"/>
          <w:szCs w:val="21"/>
          <w:color w:val="auto"/>
        </w:rPr>
        <w:t>” in this definition shall include a Person and all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color w:val="auto"/>
        </w:rPr>
        <w:t>7</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the entity more particularly described in PART A of SCHEDULE 3 or other Security Issuer(s) as the Lenders may accept as a party/parties providing Security Document(s) who shall provide guarantee(s) and or security documents in favour of the Agent for the benefit of the Lenders, with respect to the obligations of the Borrower under this Agreement but shall not include NFE Bermuda.</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or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means interest rate swap, cap or collar agreements, interest rate future or option contracts, currency swap agreements, currency future or option contracts and any other hedging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2" w:name="page413"/>
    <w:bookmarkEnd w:id="412"/>
    <w:p>
      <w:pPr>
        <w:jc w:val="center"/>
        <w:ind w:right="-19"/>
        <w:spacing w:after="0"/>
        <w:rPr>
          <w:sz w:val="20"/>
          <w:szCs w:val="20"/>
          <w:color w:val="auto"/>
        </w:rPr>
      </w:pPr>
      <w:r>
        <w:rPr>
          <w:rFonts w:ascii="Arial" w:cs="Arial" w:eastAsia="Arial" w:hAnsi="Arial"/>
          <w:sz w:val="18"/>
          <w:szCs w:val="18"/>
          <w:color w:val="auto"/>
        </w:rPr>
        <w:t>8</w:t>
      </w:r>
    </w:p>
    <w:p>
      <w:pPr>
        <w:spacing w:after="0" w:line="1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an agreement to be entered into by relevant parties governing the relationship between the Lenders and the Agent (in its capacity as collateral agent for the Lenders) in each case for the benefit of the parties entitled to the protection of the Security Documents.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accounts prepared according to the generally accepted accounting principles in the United States of America as in in effect from time to time and reconciled by the Borrower with the International Financial Reporting Standards as adopted and applied generally in Jamaica.</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patents, trade marks and service marks, rights in designs, trade or business names, copyrights and database rights (whether or not any of these is registered and including applications for registration of any such thing) and all rights or forms of protection of a similar nature or having equivalent or similar effect to any of these in any part of the world;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as applicable (i) the last Business Day in the month following the month in which the Date of Disbursement shall occur (ii) the last Business Day of each subsequent calendar month (iii) the Maturity Date and (iv) the date upon which interest may be payable pursuant to a Notice of Acceleration.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in the first instance, the period commencing on the date of disbursement of the respective Loan and ending on and including the day immediately before the first Interest Payment Date and thereafter commencing with the last previous Interest Payment Date and ending on and including the day immediately prior to the next Interest Payment Date.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LNG Supplier Agreements</w:t>
      </w:r>
      <w:r>
        <w:rPr>
          <w:rFonts w:ascii="Arial" w:cs="Arial" w:eastAsia="Arial" w:hAnsi="Arial"/>
          <w:sz w:val="18"/>
          <w:szCs w:val="18"/>
          <w:color w:val="auto"/>
        </w:rPr>
        <w:t>” means any agreement to supply LNG to Borrower or one of its Affiliates.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respect any Lender, the office as notified to the Agent by such Lender as the office through which it will perform all or any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color w:val="auto"/>
        </w:rPr>
        <w:t>9</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the principal amount of each secured borrowing by the Borrower under this Agreement or the principal amount outstanding of that borrowing and “Loans” means the secured borrowings under the Facility.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Related Documents the Notes or any other document designated as such by the Agent in writing and the Borrower and Loan Document shall be construed accordingly.</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Lenders</w:t>
      </w:r>
      <w:r>
        <w:rPr>
          <w:rFonts w:ascii="Arial" w:cs="Arial" w:eastAsia="Arial" w:hAnsi="Arial"/>
          <w:sz w:val="16"/>
          <w:szCs w:val="16"/>
          <w:color w:val="auto"/>
        </w:rPr>
        <w:t>” means, at any time, one or more Lender(s): (a) whose participation(s) in the Loans then outstanding aggregate 75% or more of all the Loans then outstanding; or (b) if there are no Loans then outstanding, whose Commitments then aggregate 75%] or more of the Total Commitments.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Mandatory Prepayment</w:t>
      </w:r>
      <w:r>
        <w:rPr>
          <w:rFonts w:ascii="Arial" w:cs="Arial" w:eastAsia="Arial" w:hAnsi="Arial"/>
          <w:sz w:val="16"/>
          <w:szCs w:val="16"/>
          <w:color w:val="auto"/>
        </w:rPr>
        <w:t>” means any mandatory payment together with interest thereon required to be paid by the Borrower pursuant to clause 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event, development or circumstance that has had or would reasonably be expected to have a Material Adverse Effect.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condition (financial or otherwise) operations, performance, properties or prospects of the Borrower, any Guarantor and/or NFE Bermuda, taken as a whole; (b) the validity, legality or enforceability of any Loan Document; (c) the rights and remedies of the Agent or any Lender under any of the Loan Documents; (d) material reductions in security margins or values including minimum credit balances, where applicable; or (e) the ability of the Borrower to perform its Obligations under any of the Loan Documents OR of a Security Issuer to perform its Obligations under any Security Document.</w:t>
      </w:r>
    </w:p>
    <w:p>
      <w:pPr>
        <w:spacing w:after="0" w:line="205" w:lineRule="exact"/>
        <w:rPr>
          <w:sz w:val="20"/>
          <w:szCs w:val="20"/>
          <w:color w:val="auto"/>
        </w:rPr>
      </w:pPr>
    </w:p>
    <w:p>
      <w:pPr>
        <w:jc w:val="both"/>
        <w:ind w:right="20" w:firstLine="648"/>
        <w:spacing w:after="0" w:line="19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with respect to any of the Loans the day immediately preceding the seventh (7</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Date of Disbursement or such later date as the Lenders and the Borrower may agree in writing.</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means with respect to the Borrower any amalgamation de-merge, merger or reconstruction or conveyance or transfer of its properties and assets substantially or in its entirety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4" w:name="page415"/>
    <w:bookmarkEnd w:id="414"/>
    <w:p>
      <w:pPr>
        <w:ind w:left="5620"/>
        <w:spacing w:after="0"/>
        <w:rPr>
          <w:sz w:val="20"/>
          <w:szCs w:val="20"/>
          <w:color w:val="auto"/>
        </w:rPr>
      </w:pPr>
      <w:r>
        <w:rPr>
          <w:rFonts w:ascii="Arial" w:cs="Arial" w:eastAsia="Arial" w:hAnsi="Arial"/>
          <w:sz w:val="18"/>
          <w:szCs w:val="18"/>
          <w:color w:val="auto"/>
        </w:rPr>
        <w:t>10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NFE Bermuda</w:t>
      </w:r>
      <w:r>
        <w:rPr>
          <w:rFonts w:ascii="Arial" w:cs="Arial" w:eastAsia="Arial" w:hAnsi="Arial"/>
          <w:sz w:val="18"/>
          <w:szCs w:val="18"/>
          <w:color w:val="auto"/>
        </w:rPr>
        <w:t>” means NFE North Holdings Limited, a Bermuda exempted limited liability company, an Affiliate of the Borrower;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issued in accordance with clause 10A and Notes shall be construed accordingly.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Acceleration</w:t>
      </w:r>
      <w:r>
        <w:rPr>
          <w:rFonts w:ascii="Arial" w:cs="Arial" w:eastAsia="Arial" w:hAnsi="Arial"/>
          <w:sz w:val="18"/>
          <w:szCs w:val="18"/>
          <w:color w:val="auto"/>
        </w:rPr>
        <w:t>” means a notice issued to the Borrower pursuant to clause 7.2 (ii) or clause 16.2(b).</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w:t>
      </w:r>
      <w:r>
        <w:rPr>
          <w:rFonts w:ascii="Arial" w:cs="Arial" w:eastAsia="Arial" w:hAnsi="Arial"/>
          <w:sz w:val="18"/>
          <w:szCs w:val="18"/>
          <w:color w:val="auto"/>
        </w:rPr>
        <w:t>”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stayed or otherwise affected by any proceeding. Without limiting the generality of the foregoing, the Obligations of the Borrower under the Loan Documents include the obligation to pay principal, interest, charges, expenses, fees, reasonable attorneys’ fees and disbursements, indemnities and other amounts payable by the Borrower under any Loan Document.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either a Finance Party or the Borrower.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a Business Day on which any installment of principal is payable under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Financial Indebtedness</w:t>
      </w:r>
      <w:r>
        <w:rPr>
          <w:rFonts w:ascii="Arial" w:cs="Arial" w:eastAsia="Arial" w:hAnsi="Arial"/>
          <w:sz w:val="18"/>
          <w:szCs w:val="18"/>
          <w:color w:val="auto"/>
        </w:rPr>
        <w:t>” means:</w:t>
      </w:r>
    </w:p>
    <w:p>
      <w:pPr>
        <w:spacing w:after="0" w:line="23" w:lineRule="exact"/>
        <w:rPr>
          <w:sz w:val="20"/>
          <w:szCs w:val="20"/>
          <w:color w:val="auto"/>
        </w:rPr>
      </w:pPr>
    </w:p>
    <w:p>
      <w:pPr>
        <w:ind w:left="1300" w:hanging="644"/>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current liabilities and trade credits arising in the normal course of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incremental facilities arranged by the Arranger;</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incremental debt on a fully subordinated basis to the Facility subject to there being no compromise of present or future financial and other covenants;</w:t>
      </w:r>
    </w:p>
    <w:p>
      <w:pPr>
        <w:ind w:left="1300" w:hanging="644"/>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leases of property in the normal course of business of the Borrower;</w:t>
      </w:r>
    </w:p>
    <w:p>
      <w:pPr>
        <w:spacing w:after="0" w:line="9" w:lineRule="exact"/>
        <w:rPr>
          <w:rFonts w:ascii="Arial" w:cs="Arial" w:eastAsia="Arial" w:hAnsi="Arial"/>
          <w:sz w:val="18"/>
          <w:szCs w:val="18"/>
          <w:color w:val="auto"/>
        </w:rPr>
      </w:pPr>
    </w:p>
    <w:p>
      <w:pPr>
        <w:ind w:left="1300" w:right="20" w:hanging="644"/>
        <w:spacing w:after="0" w:line="290" w:lineRule="auto"/>
        <w:tabs>
          <w:tab w:leader="none" w:pos="13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guarantee obligations or indebtedness under or in respect of surety, performance bid or appeal bonds or performance or completion guarantees up to a maximum amount of US$1,000,000 in any one instance and up to US$3.000.000 in aggregate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color w:val="auto"/>
        </w:rPr>
        <w:t>11</w:t>
      </w:r>
    </w:p>
    <w:p>
      <w:pPr>
        <w:spacing w:after="0" w:line="185" w:lineRule="exact"/>
        <w:rPr>
          <w:sz w:val="20"/>
          <w:szCs w:val="20"/>
          <w:color w:val="auto"/>
        </w:rPr>
      </w:pPr>
    </w:p>
    <w:p>
      <w:pPr>
        <w:ind w:left="1300" w:hanging="644"/>
        <w:spacing w:after="0" w:line="258"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obligations in respect of letters of credit, bank guarantees, bankers’ acceptances or similar instruments up to a maximum amount of US$1,000,000 in any one instance and up to US$3,000,000 in aggregate on an annual basis:</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cash management obligations, netting services, overdraft protection and similar services up to maximum amount(s) from time to time permitted by National Commercial Bank Jamaica Limited, the Borrower’s banker;</w:t>
      </w: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Financing of insurance premiums: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Qualified Shareholder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Financial indebtedness otherwise permitted under Clause 15.2 (j);</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Financial indebtedness arising under the Transaction Documents; or</w:t>
      </w:r>
    </w:p>
    <w:p>
      <w:pPr>
        <w:spacing w:after="0" w:line="9" w:lineRule="exact"/>
        <w:rPr>
          <w:sz w:val="20"/>
          <w:szCs w:val="20"/>
          <w:color w:val="auto"/>
        </w:rPr>
      </w:pPr>
    </w:p>
    <w:p>
      <w:pPr>
        <w:jc w:val="both"/>
        <w:ind w:left="1300" w:hanging="644"/>
        <w:spacing w:after="0" w:line="255"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Financial Indebtedness under any finance or capital leases of vehicles, plant, equipment or computers provided that the aggregate capital value of all such items so leased under outstanding leases by the Borrower does not exceed US$250,000 (or its equivalent in other currencies).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Guarantee</w:t>
      </w:r>
      <w:r>
        <w:rPr>
          <w:rFonts w:ascii="Arial" w:cs="Arial" w:eastAsia="Arial" w:hAnsi="Arial"/>
          <w:sz w:val="18"/>
          <w:szCs w:val="18"/>
          <w:color w:val="auto"/>
        </w:rPr>
        <w:t>” means:</w:t>
      </w:r>
    </w:p>
    <w:p>
      <w:pPr>
        <w:spacing w:after="0" w:line="23" w:lineRule="exact"/>
        <w:rPr>
          <w:sz w:val="20"/>
          <w:szCs w:val="20"/>
          <w:color w:val="auto"/>
        </w:rPr>
      </w:pPr>
    </w:p>
    <w:p>
      <w:pPr>
        <w:ind w:left="1300" w:hanging="644"/>
        <w:spacing w:after="0" w:line="290" w:lineRule="auto"/>
        <w:tabs>
          <w:tab w:leader="none" w:pos="130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any performance or similar bond, guaranteeing performance by the Borrower under any contract entered into in the ordinary course of such trade, such guarantee should not exceed US$500,000 (or its equivalent) in aggregate in each financial year of the Borrower; or</w:t>
      </w:r>
    </w:p>
    <w:p>
      <w:pPr>
        <w:spacing w:after="0" w:line="188" w:lineRule="exact"/>
        <w:rPr>
          <w:rFonts w:ascii="Arial" w:cs="Arial" w:eastAsia="Arial" w:hAnsi="Arial"/>
          <w:sz w:val="17"/>
          <w:szCs w:val="17"/>
          <w:color w:val="auto"/>
        </w:rPr>
      </w:pPr>
    </w:p>
    <w:p>
      <w:pPr>
        <w:ind w:left="1300" w:hanging="644"/>
        <w:spacing w:after="0"/>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guarantee or indemnity issued pursuant to the Transaction Documents or in the ordinary course of business.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Security Interest</w:t>
      </w:r>
      <w:r>
        <w:rPr>
          <w:rFonts w:ascii="Arial" w:cs="Arial" w:eastAsia="Arial" w:hAnsi="Arial"/>
          <w:sz w:val="18"/>
          <w:szCs w:val="18"/>
          <w:color w:val="auto"/>
        </w:rPr>
        <w:t>” means such of the following as to which no enforcement, collection, execution, levy or foreclosure proceeding shall have been commenced or if commenced, which are being contested in good faith:</w:t>
      </w:r>
    </w:p>
    <w:p>
      <w:pPr>
        <w:spacing w:after="0" w:line="197" w:lineRule="exact"/>
        <w:rPr>
          <w:sz w:val="20"/>
          <w:szCs w:val="20"/>
          <w:color w:val="auto"/>
        </w:rPr>
      </w:pPr>
    </w:p>
    <w:p>
      <w:pPr>
        <w:ind w:left="1140" w:right="20" w:hanging="484"/>
        <w:spacing w:after="0" w:line="277" w:lineRule="auto"/>
        <w:tabs>
          <w:tab w:leader="none" w:pos="11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Security Interest for taxes, assessments and governmental charges or levies either (i) not yet due and payable or (ii) being contested in good faith;</w:t>
      </w:r>
    </w:p>
    <w:p>
      <w:pPr>
        <w:spacing w:after="0" w:line="197" w:lineRule="exact"/>
        <w:rPr>
          <w:rFonts w:ascii="Arial" w:cs="Arial" w:eastAsia="Arial" w:hAnsi="Arial"/>
          <w:sz w:val="18"/>
          <w:szCs w:val="18"/>
          <w:color w:val="auto"/>
        </w:rPr>
      </w:pPr>
    </w:p>
    <w:p>
      <w:pPr>
        <w:ind w:left="1140" w:right="20" w:hanging="484"/>
        <w:spacing w:after="0" w:line="308" w:lineRule="auto"/>
        <w:tabs>
          <w:tab w:leader="none" w:pos="11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deposits or pledges to secure bids, tenders, contracts, leases, performance bonds or other statutory obligations or other obligations of like nature (other than, in each case, obligations that constitute Financial indebtedness arising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28" w:lineRule="exact"/>
        <w:rPr>
          <w:sz w:val="20"/>
          <w:szCs w:val="20"/>
          <w:color w:val="auto"/>
        </w:rPr>
      </w:pPr>
    </w:p>
    <w:p>
      <w:pPr>
        <w:ind w:left="1220" w:hanging="564"/>
        <w:spacing w:after="0"/>
        <w:tabs>
          <w:tab w:leader="none" w:pos="12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surety or appeal bonds or other obligations of like nature arising in the ordinary course of business:</w:t>
      </w:r>
    </w:p>
    <w:p>
      <w:pPr>
        <w:spacing w:after="0" w:line="252"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warehousemen’s, materialmen’s, repairers’, mechanics’. carriers’. suppliers’ and similar liens arising by operation of law, payment of which is not overdue by more than sixty (60) days or that are being contested in good faith;</w:t>
      </w:r>
    </w:p>
    <w:p>
      <w:pPr>
        <w:spacing w:after="0" w:line="197"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or similar arrangements covering goods purchased by the Borrower that secure the purchase price thereof;</w:t>
      </w:r>
    </w:p>
    <w:p>
      <w:pPr>
        <w:spacing w:after="0" w:line="19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casements, rights of way and other encumbrances appearing on title to real property or which are obvious or apparent;</w:t>
      </w:r>
    </w:p>
    <w:p>
      <w:pPr>
        <w:spacing w:after="0" w:line="252" w:lineRule="exact"/>
        <w:rPr>
          <w:sz w:val="20"/>
          <w:szCs w:val="20"/>
          <w:color w:val="auto"/>
        </w:rPr>
      </w:pPr>
    </w:p>
    <w:p>
      <w:pPr>
        <w:ind w:left="1220" w:hanging="564"/>
        <w:spacing w:after="0"/>
        <w:tabs>
          <w:tab w:leader="none" w:pos="12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Security Interests existing as of the date hereof and disclosed in writing to the Agent by the Borrower;</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Security Interests upon property created at the time of the purchase thereof solely as security for the payment of the purchase price thereof;</w:t>
      </w:r>
    </w:p>
    <w:p>
      <w:pPr>
        <w:spacing w:after="0" w:line="275" w:lineRule="exact"/>
        <w:rPr>
          <w:rFonts w:ascii="Arial" w:cs="Arial" w:eastAsia="Arial" w:hAnsi="Arial"/>
          <w:sz w:val="16"/>
          <w:szCs w:val="16"/>
          <w:color w:val="auto"/>
        </w:rPr>
      </w:pPr>
    </w:p>
    <w:p>
      <w:pPr>
        <w:ind w:left="1220" w:hanging="564"/>
        <w:spacing w:after="0"/>
        <w:tabs>
          <w:tab w:leader="none" w:pos="12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customers’ security deposits;</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Security Interests arising under retention of title arrangement entered into in the ordinary course of business;</w:t>
      </w:r>
    </w:p>
    <w:p>
      <w:pPr>
        <w:spacing w:after="0" w:line="252" w:lineRule="exact"/>
        <w:rPr>
          <w:rFonts w:ascii="Arial" w:cs="Arial" w:eastAsia="Arial" w:hAnsi="Arial"/>
          <w:sz w:val="18"/>
          <w:szCs w:val="18"/>
          <w:color w:val="auto"/>
        </w:rPr>
      </w:pPr>
    </w:p>
    <w:p>
      <w:pPr>
        <w:ind w:left="1220" w:hanging="564"/>
        <w:spacing w:after="0"/>
        <w:tabs>
          <w:tab w:leader="none" w:pos="12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Security Interests over goods or documents of title to goods arising in the ordinary course of documentary credit transactions;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shall bear the meaning ascribed to this expression in Clause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color w:val="auto"/>
        </w:rPr>
        <w:t>13</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Shareholder Debt</w:t>
      </w:r>
      <w:r>
        <w:rPr>
          <w:rFonts w:ascii="Arial" w:cs="Arial" w:eastAsia="Arial" w:hAnsi="Arial"/>
          <w:sz w:val="18"/>
          <w:szCs w:val="18"/>
          <w:color w:val="auto"/>
        </w:rPr>
        <w:t>” means any unsecured subordinated indebtedness between the Guarantor or the Borrower on the one hand and any direct or indirect parent company of the Borrower or the Guarantor on the other hand.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Document</w:t>
      </w:r>
      <w:r>
        <w:rPr>
          <w:rFonts w:ascii="Arial" w:cs="Arial" w:eastAsia="Arial" w:hAnsi="Arial"/>
          <w:sz w:val="16"/>
          <w:szCs w:val="16"/>
          <w:color w:val="auto"/>
        </w:rPr>
        <w:t>” means the Fee Letter, the Security Documents, and any other agreement between the Borrower and the Lenders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Disbursement</w:t>
      </w:r>
      <w:r>
        <w:rPr>
          <w:rFonts w:ascii="Arial" w:cs="Arial" w:eastAsia="Arial" w:hAnsi="Arial"/>
          <w:sz w:val="18"/>
          <w:szCs w:val="18"/>
          <w:color w:val="auto"/>
        </w:rPr>
        <w:t xml:space="preserve">” means a request for disbursement in the form set out in </w:t>
      </w:r>
      <w:r>
        <w:rPr>
          <w:rFonts w:ascii="Arial" w:cs="Arial" w:eastAsia="Arial" w:hAnsi="Arial"/>
          <w:sz w:val="18"/>
          <w:szCs w:val="18"/>
          <w:u w:val="single" w:color="auto"/>
          <w:color w:val="auto"/>
        </w:rPr>
        <w:t>Appendix 2</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the articles of incorporation. memorandum of association and articles of association, by-laws or other organizational or governing documents of such Person, and any law, treaty, rule, permit, license, administrative position or regulation or determination of an arbitrator or a court or other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security documents issued by the Borrower or the Guarantor as described in PART B of SCHEDULE 3 and/or any other security document issued by the Borrower or any Security Issuer as the Lenders may accept, the same to be security for the whole or any part of the Borrower’s obligations to the Lenders.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means, whether arising by operation of law or otherwise, any mortgage, lien, pledge, charge (whether fixed or floating), assignment, hypothecation, security interest, title retention, preferential right, trust arrangement, right of set-off, counterclaim or banker’s lien, privilege, or priority of any kind having the effect of security, any designation of loss payees or beneficiaries or any similar arrangement under or with respect to any insurance policy or any preference of one creditor over another arising by operation of law and any transaction which, although in legal terms is not a secured borrowing, has an economic or financial effect similar to that of a secured borrowing.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Issuer</w:t>
      </w:r>
      <w:r>
        <w:rPr>
          <w:rFonts w:ascii="Arial" w:cs="Arial" w:eastAsia="Arial" w:hAnsi="Arial"/>
          <w:sz w:val="18"/>
          <w:szCs w:val="18"/>
          <w:color w:val="auto"/>
        </w:rPr>
        <w:t>” means an issuer of a Security Document as required by the Agent for the benefit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means, with respect to any Person on a particular date, that on such date (a) the fair value of the property of such Person is greater than the total amount of liabilities of such Person, including, without limitation, contingent liabilities, of such Person, (b) the present fair saleable value of the assets of such Person is not less than the amount that will be required to pay the liabilities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is reasonably expected to become an actual or matured liability. For the purposes of this definition and this Agreement, Qualified Shareholder Debt shall be treated as a part of the equity base of the Borrower and not liabilities.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Fortress Investment Group LLC or any other Person or Persons that, directly or indirectly, Controls, is Controlled by or is under common control with the Sponsor.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as to any company, any other company or other corporate body directly or indirectly controlled by such first-mentioned company and </w:t>
      </w:r>
      <w:r>
        <w:rPr>
          <w:rFonts w:ascii="Arial" w:cs="Arial" w:eastAsia="Arial" w:hAnsi="Arial"/>
          <w:sz w:val="18"/>
          <w:szCs w:val="18"/>
          <w:u w:val="single" w:color="auto"/>
          <w:color w:val="auto"/>
        </w:rPr>
        <w:t>“Subsidiaries” shall be construed accordingly.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means, at any time, as respects the Borrower, the aggregate of;</w:t>
      </w:r>
    </w:p>
    <w:p>
      <w:pPr>
        <w:spacing w:after="0" w:line="225" w:lineRule="exact"/>
        <w:rPr>
          <w:sz w:val="20"/>
          <w:szCs w:val="20"/>
          <w:color w:val="auto"/>
        </w:rPr>
      </w:pPr>
    </w:p>
    <w:p>
      <w:pPr>
        <w:ind w:left="1220" w:hanging="564"/>
        <w:spacing w:after="0"/>
        <w:tabs>
          <w:tab w:leader="none" w:pos="12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amount paid up or credited as paid up on the issued share capital 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9" w:name="page420"/>
    <w:bookmarkEnd w:id="419"/>
    <w:p>
      <w:pPr>
        <w:jc w:val="center"/>
        <w:ind w:right="-19"/>
        <w:spacing w:after="0"/>
        <w:rPr>
          <w:sz w:val="20"/>
          <w:szCs w:val="20"/>
          <w:color w:val="auto"/>
        </w:rPr>
      </w:pPr>
      <w:r>
        <w:rPr>
          <w:rFonts w:ascii="Arial" w:cs="Arial" w:eastAsia="Arial" w:hAnsi="Arial"/>
          <w:sz w:val="18"/>
          <w:szCs w:val="18"/>
          <w:color w:val="auto"/>
        </w:rPr>
        <w:t>15</w:t>
      </w:r>
    </w:p>
    <w:p>
      <w:pPr>
        <w:spacing w:after="0" w:line="185" w:lineRule="exact"/>
        <w:rPr>
          <w:sz w:val="20"/>
          <w:szCs w:val="20"/>
          <w:color w:val="auto"/>
        </w:rPr>
      </w:pPr>
    </w:p>
    <w:p>
      <w:pPr>
        <w:ind w:left="1300" w:hanging="644"/>
        <w:spacing w:after="0" w:line="277" w:lineRule="auto"/>
        <w:tabs>
          <w:tab w:leader="none" w:pos="134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amount standing to the credit of the capital and revenue reserves of the Borrower; based on the relevant Balance Sheet of the Borrower but adjusted by:</w:t>
      </w:r>
    </w:p>
    <w:p>
      <w:pPr>
        <w:spacing w:after="0" w:line="190" w:lineRule="exact"/>
        <w:rPr>
          <w:sz w:val="20"/>
          <w:szCs w:val="20"/>
          <w:color w:val="auto"/>
        </w:rPr>
      </w:pPr>
    </w:p>
    <w:p>
      <w:pPr>
        <w:ind w:left="1300" w:right="240" w:firstLine="5"/>
        <w:spacing w:after="0" w:line="287" w:lineRule="auto"/>
        <w:tabs>
          <w:tab w:leader="none" w:pos="2032" w:val="left"/>
        </w:tabs>
        <w:numPr>
          <w:ilvl w:val="1"/>
          <w:numId w:val="384"/>
        </w:numPr>
        <w:rPr>
          <w:rFonts w:ascii="Arial" w:cs="Arial" w:eastAsia="Arial" w:hAnsi="Arial"/>
          <w:sz w:val="19"/>
          <w:szCs w:val="19"/>
          <w:color w:val="auto"/>
        </w:rPr>
      </w:pPr>
      <w:r>
        <w:rPr>
          <w:rFonts w:ascii="Arial" w:cs="Arial" w:eastAsia="Arial" w:hAnsi="Arial"/>
          <w:sz w:val="19"/>
          <w:szCs w:val="19"/>
          <w:color w:val="auto"/>
        </w:rPr>
        <w:t>adding any amount standing to the credit of the profit and loss account of the period ending on the date of such Balance Sheet to the extent not included in sub-paragraph (ii) above and to the extent the amount is not attributable to any dividend or other distribution declared, recommended or made by the Borrower AND any Financial Indebtedness of the Borrower subordinated to the Lenders including any Qualified Shareholder Debt;</w:t>
      </w:r>
    </w:p>
    <w:p>
      <w:pPr>
        <w:spacing w:after="0" w:line="177" w:lineRule="exact"/>
        <w:rPr>
          <w:rFonts w:ascii="Arial" w:cs="Arial" w:eastAsia="Arial" w:hAnsi="Arial"/>
          <w:sz w:val="19"/>
          <w:szCs w:val="19"/>
          <w:color w:val="auto"/>
        </w:rPr>
      </w:pPr>
    </w:p>
    <w:p>
      <w:pPr>
        <w:ind w:left="1380" w:hanging="724"/>
        <w:spacing w:after="0"/>
        <w:tabs>
          <w:tab w:leader="none" w:pos="138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deducting any amount standing to the debit or the profit and loss account of the Borrower for the period ending on the date of the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color w:val="auto"/>
        </w:rPr>
        <w:t>16</w:t>
      </w:r>
    </w:p>
    <w:p>
      <w:pPr>
        <w:spacing w:after="0" w:line="185" w:lineRule="exact"/>
        <w:rPr>
          <w:sz w:val="20"/>
          <w:szCs w:val="20"/>
          <w:color w:val="auto"/>
        </w:rPr>
      </w:pPr>
    </w:p>
    <w:p>
      <w:pPr>
        <w:ind w:left="1340" w:hanging="684"/>
        <w:spacing w:after="0"/>
        <w:tabs>
          <w:tab w:leader="none" w:pos="13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deducting any amount attributable to goodwill or any other intangible asset;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deducting any amount attributable to a revaluation of assets after the date of the latest Balance Sheet before the date hereof;</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reflecting any variation in the amount of the issued share capital of the Borrower;</w:t>
      </w:r>
    </w:p>
    <w:p>
      <w:pPr>
        <w:spacing w:after="0" w:line="225" w:lineRule="exact"/>
        <w:rPr>
          <w:rFonts w:ascii="Arial" w:cs="Arial" w:eastAsia="Arial" w:hAnsi="Arial"/>
          <w:sz w:val="18"/>
          <w:szCs w:val="18"/>
          <w:color w:val="auto"/>
        </w:rPr>
      </w:pPr>
    </w:p>
    <w:p>
      <w:pPr>
        <w:ind w:left="660" w:hanging="4"/>
        <w:spacing w:after="0" w:line="277" w:lineRule="auto"/>
        <w:tabs>
          <w:tab w:leader="none" w:pos="13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reflecting any variation in the interest of the Borrower in any other company since the date of the latest Balance Sheet to the extent same impacts the issued share capital of the Borrower;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excluding any amount attributable to minority interests;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excluding any loans or credit facilities to their directors and Affiliates.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and future taxes, levies, imposts, duties, fees, charges or withholdings of whatever nature and wherever levied, charged or assessed, together with any interest thereon and any penalties in respect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Date</w:t>
      </w:r>
      <w:r>
        <w:rPr>
          <w:rFonts w:ascii="Arial" w:cs="Arial" w:eastAsia="Arial" w:hAnsi="Arial"/>
          <w:sz w:val="18"/>
          <w:szCs w:val="18"/>
          <w:color w:val="auto"/>
        </w:rPr>
        <w:t>” means the One Hundred and Twentieth (120”) day following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Commitments</w:t>
      </w:r>
      <w:r>
        <w:rPr>
          <w:rFonts w:ascii="Arial" w:cs="Arial" w:eastAsia="Arial" w:hAnsi="Arial"/>
          <w:sz w:val="16"/>
          <w:szCs w:val="16"/>
          <w:color w:val="auto"/>
        </w:rPr>
        <w:t>” means the aggregate for the time being of the Commitments being up to US$44,000,000.00 at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1" w:name="page422"/>
    <w:bookmarkEnd w:id="421"/>
    <w:p>
      <w:pPr>
        <w:jc w:val="center"/>
        <w:ind w:right="-19"/>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Construction</w:t>
      </w:r>
    </w:p>
    <w:p>
      <w:pPr>
        <w:spacing w:after="0" w:line="252"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 this Agreement, unless the contrary intention appears. a reference to:</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an “authorization” includes an, authorization, consent, approval, resolution, licence, exemption, filing and registration;</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a “month” is a reference to a period starting on one day in a calendar month and ending on the numerically corresponding day in the next calendar month, except that, if there is no numerically corresponding day in the month in which that period ends, then that period shall end on the last day in that calendar month;</w:t>
      </w:r>
    </w:p>
    <w:p>
      <w:pPr>
        <w:spacing w:after="0" w:line="208" w:lineRule="exact"/>
        <w:rPr>
          <w:rFonts w:ascii="Arial" w:cs="Arial" w:eastAsia="Arial" w:hAnsi="Arial"/>
          <w:sz w:val="18"/>
          <w:szCs w:val="18"/>
          <w:color w:val="auto"/>
        </w:rPr>
      </w:pPr>
    </w:p>
    <w:p>
      <w:pPr>
        <w:ind w:left="1960"/>
        <w:spacing w:after="0" w:line="277" w:lineRule="auto"/>
        <w:rPr>
          <w:rFonts w:ascii="Arial" w:cs="Arial" w:eastAsia="Arial" w:hAnsi="Arial"/>
          <w:sz w:val="18"/>
          <w:szCs w:val="18"/>
          <w:color w:val="auto"/>
        </w:rPr>
      </w:pPr>
      <w:r>
        <w:rPr>
          <w:rFonts w:ascii="Arial" w:cs="Arial" w:eastAsia="Arial" w:hAnsi="Arial"/>
          <w:sz w:val="18"/>
          <w:szCs w:val="18"/>
          <w:color w:val="auto"/>
        </w:rPr>
        <w:t>a “regulation” includes any regulation, rule. official directive, request or guideline (whether or not having the force of law) of any governmental body, agency, department or regulatory. self-regulatory or other authority or authorization;</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clause or Schedule or Appendix is a reference to a clause or Schedule or Appendix to this Agreement;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person includes its successors and assigns;</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Loan Document or another document is a reference to that Loan Document or other document as amended, novated or supplemented;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time of day is a reference to Jamaican time.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only and are to be ignored in construing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28" w:lineRule="exact"/>
        <w:rPr>
          <w:sz w:val="20"/>
          <w:szCs w:val="20"/>
          <w:color w:val="auto"/>
        </w:rPr>
      </w:pPr>
    </w:p>
    <w:p>
      <w:pPr>
        <w:ind w:left="1300" w:hanging="644"/>
        <w:spacing w:after="0" w:line="308" w:lineRule="auto"/>
        <w:tabs>
          <w:tab w:leader="none" w:pos="130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References to a document being in “the agreed form” means in the form of a draft agreed between the Arranger (on behalf of the Lenders) and the Borrower and signed for the purpose of identification by them or by their respective attorneys on their behalf.</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 this Agreement, words imposing the singular shall include the plural and vice versa and reference to one gender includes all other genders.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“US$” and “United States Dollars” mean lawful currency from time to time of the United States of America.</w:t>
      </w:r>
    </w:p>
    <w:p>
      <w:pPr>
        <w:spacing w:after="0" w:line="252" w:lineRule="exact"/>
        <w:rPr>
          <w:rFonts w:ascii="Arial" w:cs="Arial" w:eastAsia="Arial" w:hAnsi="Arial"/>
          <w:sz w:val="18"/>
          <w:szCs w:val="18"/>
          <w:color w:val="auto"/>
        </w:rPr>
      </w:pPr>
    </w:p>
    <w:p>
      <w:pPr>
        <w:ind w:left="1300" w:right="4800" w:hanging="644"/>
        <w:spacing w:after="0" w:line="277" w:lineRule="auto"/>
        <w:tabs>
          <w:tab w:leader="none" w:pos="13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“JA$” and “Jamaican Dollars” mean lawful currency from time to time of Jamaica.</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 this Agreement the term “senior” used with reference to indebtedness arising under this Agreement or any other indebtedness of the Borrower means that such indebtedness —</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ranks equal in right of payment with existing and future unsubordinated indebtedness of the Borrower; and</w:t>
      </w:r>
    </w:p>
    <w:p>
      <w:pPr>
        <w:spacing w:after="0" w:line="279" w:lineRule="exact"/>
        <w:rPr>
          <w:rFonts w:ascii="Arial" w:cs="Arial" w:eastAsia="Arial" w:hAnsi="Arial"/>
          <w:sz w:val="18"/>
          <w:szCs w:val="18"/>
          <w:color w:val="auto"/>
        </w:rPr>
      </w:pPr>
    </w:p>
    <w:p>
      <w:pPr>
        <w:ind w:left="2660" w:hanging="707"/>
        <w:spacing w:after="0"/>
        <w:tabs>
          <w:tab w:leader="none" w:pos="266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ranks prior in right of payment with existing (if any) and future subordinated indebtedness of the Borrower.</w:t>
      </w:r>
    </w:p>
    <w:p>
      <w:pPr>
        <w:spacing w:after="0" w:line="275" w:lineRule="exact"/>
        <w:rPr>
          <w:rFonts w:ascii="Arial" w:cs="Arial" w:eastAsia="Arial" w:hAnsi="Arial"/>
          <w:sz w:val="18"/>
          <w:szCs w:val="18"/>
          <w:color w:val="auto"/>
        </w:rPr>
      </w:pPr>
    </w:p>
    <w:p>
      <w:pPr>
        <w:ind w:left="840" w:hanging="832"/>
        <w:spacing w:after="0"/>
        <w:tabs>
          <w:tab w:leader="none" w:pos="840" w:val="left"/>
        </w:tabs>
        <w:numPr>
          <w:ilvl w:val="0"/>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The Facility</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Facility</w:t>
      </w:r>
      <w:r>
        <w:rPr>
          <w:rFonts w:ascii="Arial" w:cs="Arial" w:eastAsia="Arial" w:hAnsi="Arial"/>
          <w:sz w:val="17"/>
          <w:szCs w:val="17"/>
          <w:color w:val="auto"/>
        </w:rPr>
        <w:t>: Subject to the terms of this Agreement, the Lenders agree to make the Facility available during the Commitment Period to the Borrower up to the aggregate principal amounts not exceeding the Total Commitments. The principal sum of the Facility may be drawn down in a single advance equal to the Total Commitments or multiple advances equal to the Total Commitments. No Lender is obliged to lend more than its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Severability of a Finance Party’s rights and obligations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obligations of each Lender under this Agreement are several. The failure of any Lender to carry out its obligations under this Agreement shall not relieve any other Lender, the Agent or the Borrower from any of its or their respective obligations under this Agreement. The Agent shall not be responsible for the obligation of any Lender nor shall any Lender be responsible for the obligations of any other Lender under this Agreement.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2.3 Notwithstanding any other term of this Agreement, the interests of the Lenders are several and the aggregate of the amounts outstanding at any time under this Agreement from the Borrower to each Lender or to the Agent in its capacity as such is a separate and independent debt. The Agent and every Lender shall each have the right to enforce its rights arising out of this Agreement without having, in the case of the Agent, to join the Lender or, in the case of a Lender, to join the Agent, as an additional party in any proceedings to enforce such rights.</w:t>
      </w:r>
    </w:p>
    <w:p>
      <w:pPr>
        <w:spacing w:after="0" w:line="237" w:lineRule="exact"/>
        <w:rPr>
          <w:sz w:val="20"/>
          <w:szCs w:val="20"/>
          <w:color w:val="auto"/>
        </w:rPr>
      </w:pPr>
    </w:p>
    <w:p>
      <w:pPr>
        <w:ind w:left="840" w:hanging="832"/>
        <w:spacing w:after="0"/>
        <w:tabs>
          <w:tab w:leader="none" w:pos="840" w:val="left"/>
        </w:tabs>
        <w:numPr>
          <w:ilvl w:val="0"/>
          <w:numId w:val="39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Borrower shall apply the Loans to (a) assisting with the construction and development of a LNG terminal at the Port of Montego Bay, in the Parish of Saint James, Jamaica, and related infrastructure (the “Project”): (b) the purchase of equipment, machinery and other property in relation to the Project; (c) pay fees and expenses related to the Facility and (d) any other use that is permitted by, or not expressly prohibited by, this Agreement. Neither the Agent, the Arranger nor the Lenders nor any of them shall be obliged to concern themselves with such application.</w:t>
      </w:r>
    </w:p>
    <w:p>
      <w:pPr>
        <w:spacing w:after="0" w:line="221" w:lineRule="exact"/>
        <w:rPr>
          <w:sz w:val="20"/>
          <w:szCs w:val="20"/>
          <w:color w:val="auto"/>
        </w:rPr>
      </w:pPr>
    </w:p>
    <w:p>
      <w:pPr>
        <w:ind w:left="840" w:hanging="832"/>
        <w:spacing w:after="0"/>
        <w:tabs>
          <w:tab w:leader="none" w:pos="840" w:val="left"/>
        </w:tabs>
        <w:numPr>
          <w:ilvl w:val="0"/>
          <w:numId w:val="39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Documentary conditions precedent</w:t>
      </w:r>
      <w:r>
        <w:rPr>
          <w:rFonts w:ascii="Arial" w:cs="Arial" w:eastAsia="Arial" w:hAnsi="Arial"/>
          <w:sz w:val="18"/>
          <w:szCs w:val="18"/>
          <w:color w:val="auto"/>
        </w:rPr>
        <w:t xml:space="preserve">: The obligations of each Lender to the Borrower under this Agreement are subject to the conditions precedent that the Agent has notified to the Borrower and the Lenders that it has received all of the documents set out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in form and substance satisfactory to the Agent.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Further conditions precedent</w:t>
      </w:r>
      <w:r>
        <w:rPr>
          <w:rFonts w:ascii="Arial" w:cs="Arial" w:eastAsia="Arial" w:hAnsi="Arial"/>
          <w:sz w:val="18"/>
          <w:szCs w:val="18"/>
          <w:color w:val="auto"/>
        </w:rPr>
        <w:t>: The obligation of each Lender to make any amount available under sub-clause 5.3 (Advance of Loans) is subject to the further conditions precedent that:</w:t>
      </w:r>
    </w:p>
    <w:p>
      <w:pPr>
        <w:spacing w:after="0" w:line="197" w:lineRule="exact"/>
        <w:rPr>
          <w:sz w:val="20"/>
          <w:szCs w:val="20"/>
          <w:color w:val="auto"/>
        </w:rPr>
      </w:pPr>
    </w:p>
    <w:p>
      <w:pPr>
        <w:ind w:left="1300" w:hanging="644"/>
        <w:spacing w:after="0"/>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on both the date of the request for a Loan and the date for the advance of the amount:</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representations and warranties in sub-clause 14.1 (Representations and Warranties) to be repeated on those dates are correct and will be correct immediately after the Loan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4" w:name="page425"/>
    <w:bookmarkEnd w:id="424"/>
    <w:p>
      <w:pPr>
        <w:ind w:left="4964"/>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28" w:lineRule="exact"/>
        <w:rPr>
          <w:sz w:val="20"/>
          <w:szCs w:val="20"/>
          <w:color w:val="auto"/>
        </w:rPr>
      </w:pPr>
    </w:p>
    <w:p>
      <w:pPr>
        <w:ind w:left="1304" w:hanging="655"/>
        <w:spacing w:after="0"/>
        <w:tabs>
          <w:tab w:leader="none" w:pos="130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is continuing or would result from the making of the Loan;</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Agent has received all other documents, opinions, certificates, consents assurances as it may reasonably request in connection with the Loan; and</w:t>
      </w:r>
    </w:p>
    <w:p>
      <w:pPr>
        <w:spacing w:after="0" w:line="197"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Borrower shall have paid to the Agent (or issued written instructions to the Agent for payment by way of deduction from the proceeds of the Loans) (i) the amounts stated in the Fee Letter to be payable by it; (ii) such of the legal fees and out-of-pocket expenses of the Lenders’ attorneys-at-law which are payable by the Borrower and which have been invoiced and (iii) all commitment, participation and/or agency fees and expenses (if any) due and payable by the Borrower to any of the Lenders or the Agent;</w:t>
      </w:r>
    </w:p>
    <w:p>
      <w:pPr>
        <w:spacing w:after="0" w:line="198"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event or circumstance has occurred and is continuing that, in the reasonable opinion of the Majority Lenders, would have a Material Adverse Effect;</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there has been no material adverse circumstance, change or condition in or affecting:</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financial, economic, political or other condition of Jamaica or Caribbean region (or in the financial markets of any such countries or region) or in the international or regional markets for loans and debt securities for issuers from such countries or region; and</w:t>
      </w:r>
    </w:p>
    <w:p>
      <w:pPr>
        <w:spacing w:after="0" w:line="208" w:lineRule="exact"/>
        <w:rPr>
          <w:sz w:val="20"/>
          <w:szCs w:val="20"/>
          <w:color w:val="auto"/>
        </w:rPr>
      </w:pPr>
    </w:p>
    <w:p>
      <w:pPr>
        <w:ind w:left="1304" w:hanging="655"/>
        <w:spacing w:after="0" w:line="277" w:lineRule="auto"/>
        <w:tabs>
          <w:tab w:leader="none" w:pos="130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loan syndication, financial or capital markets generally that, in the sole judgment of the Arranger, could reasonably be expected to materially impair the syndication of the Facility</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without regard, in either case, to the effect of any such Material Adverse Change on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289560</wp:posOffset>
            </wp:positionV>
            <wp:extent cx="72466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25" w:name="page426"/>
    <w:bookmarkEnd w:id="425"/>
    <w:p>
      <w:pPr>
        <w:ind w:left="4964"/>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28" w:lineRule="exact"/>
        <w:rPr>
          <w:sz w:val="20"/>
          <w:szCs w:val="20"/>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there shall be no Requirement of Law that would reasonably be expected:</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to render the consummation of any of the transactions contemplated by any of the Loan Documents by any of the parties thereto illegal; or</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to restrain, prevent or impose materially adverse conditions on such transactions,</w:t>
      </w:r>
    </w:p>
    <w:p>
      <w:pPr>
        <w:spacing w:after="0" w:line="252" w:lineRule="exact"/>
        <w:rPr>
          <w:rFonts w:ascii="Arial" w:cs="Arial" w:eastAsia="Arial" w:hAnsi="Arial"/>
          <w:sz w:val="18"/>
          <w:szCs w:val="18"/>
          <w:color w:val="auto"/>
        </w:rPr>
      </w:pPr>
    </w:p>
    <w:p>
      <w:pPr>
        <w:jc w:val="both"/>
        <w:ind w:left="644" w:hanging="644"/>
        <w:spacing w:after="0" w:line="297" w:lineRule="auto"/>
        <w:tabs>
          <w:tab w:leader="none" w:pos="64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Lenders shall have completed a due diligence investigation (including all legal, regulatory and financial reviews) of the Borrower in scope, and with results, satisfactory to the Lenders, and nothing shall have come to the attention of the Lenders during the course of such due diligence investigation to lead them to reasonably believe that any information, exhibit or report furnished by or on behalf of the Borrower to the Agent or any Lender in connection with the negotiation of the Loan Documents or delivered pursuant to the terms of the Loan Documents was or has become misleading, incorrect or incomplete in any material respect prior to the Date of Disbursement;</w:t>
      </w:r>
    </w:p>
    <w:p>
      <w:pPr>
        <w:spacing w:after="0" w:line="185"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of the Loan Documents shall have been duly executed, stamped and delivered by each of the parties thereto and shall be in full force and effect:</w:t>
      </w:r>
    </w:p>
    <w:p>
      <w:pPr>
        <w:spacing w:after="0" w:line="197"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all governmental and third-party consents, approvals, authorizations, rights, licenses, permits, registrations, and any other regulatory approvals required in connection with the execution of the proposed loan facility and required to perform the activities and programs Borrower is currently conducting in connection with the project as at the date hereof, shall have been obtained (without the imposition of any conditions that are not acceptable to the Lenders) and shall remain in effect and all applicable waiting periods shall have expired without any action being taken by any competent authority; (j) there shall exist no action, suit, investigation, litigation or proceeding pending or threatened in court or before any arbitrator or governmental instrumentality of which the Borrower is aware that:</w:t>
      </w:r>
    </w:p>
    <w:p>
      <w:pPr>
        <w:spacing w:after="0" w:line="205" w:lineRule="exact"/>
        <w:rPr>
          <w:rFonts w:ascii="Arial" w:cs="Arial" w:eastAsia="Arial" w:hAnsi="Arial"/>
          <w:sz w:val="17"/>
          <w:szCs w:val="17"/>
          <w:color w:val="auto"/>
        </w:rPr>
      </w:pPr>
    </w:p>
    <w:p>
      <w:pPr>
        <w:ind w:left="1304" w:hanging="655"/>
        <w:spacing w:after="0"/>
        <w:tabs>
          <w:tab w:leader="none" w:pos="130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would reasonably likely have a Material Adverse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135255</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28" w:lineRule="exact"/>
        <w:rPr>
          <w:sz w:val="20"/>
          <w:szCs w:val="20"/>
          <w:color w:val="auto"/>
        </w:rPr>
      </w:pPr>
    </w:p>
    <w:p>
      <w:pPr>
        <w:ind w:left="1960" w:hanging="655"/>
        <w:spacing w:after="0"/>
        <w:tabs>
          <w:tab w:leader="none" w:pos="196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affects adversely or purports to adversely affect any of the transactions contemplated by the Loan Documents;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applicable, the Borrower shall have delivered to the Agent a Note compliant with clause 10A payable to each of the Lenders in respect of such Lender’s portion of each of the Loans to be disbursed;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Borrower shall have established the Debt Service Reserve Account;</w:t>
      </w:r>
    </w:p>
    <w:p>
      <w:pPr>
        <w:spacing w:after="0" w:line="252"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Borrower shall have completed FATCA Certification forms, as applicable.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4.2A </w:t>
      </w:r>
      <w:r>
        <w:rPr>
          <w:rFonts w:ascii="Arial" w:cs="Arial" w:eastAsia="Arial" w:hAnsi="Arial"/>
          <w:sz w:val="18"/>
          <w:szCs w:val="18"/>
          <w:u w:val="single" w:color="auto"/>
          <w:color w:val="auto"/>
        </w:rPr>
        <w:t>Special Conditions</w:t>
      </w:r>
      <w:r>
        <w:rPr>
          <w:rFonts w:ascii="Arial" w:cs="Arial" w:eastAsia="Arial" w:hAnsi="Arial"/>
          <w:sz w:val="18"/>
          <w:szCs w:val="18"/>
          <w:color w:val="auto"/>
        </w:rPr>
        <w:t xml:space="preserve">: The obligation of each Lender to make any amount available under sub-clause 5.3 (Advance of Loans) is subject also to the Special Conditions set forth in Part B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Conditions Subsequent</w:t>
      </w:r>
      <w:r>
        <w:rPr>
          <w:rFonts w:ascii="Arial" w:cs="Arial" w:eastAsia="Arial" w:hAnsi="Arial"/>
          <w:sz w:val="18"/>
          <w:szCs w:val="18"/>
          <w:color w:val="auto"/>
        </w:rPr>
        <w:t xml:space="preserve">: The Borrower shall be required to prepay the Loans in the event that the Borrower fails to satisfy (and the Agent (on behalf of the Lenders) shall not have waived in writing) any of the condition(s) subsequent set forth in PART C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0" w:lineRule="exact"/>
        <w:rPr>
          <w:sz w:val="20"/>
          <w:szCs w:val="20"/>
          <w:color w:val="auto"/>
        </w:rPr>
      </w:pPr>
    </w:p>
    <w:p>
      <w:pPr>
        <w:ind w:left="840" w:hanging="832"/>
        <w:spacing w:after="0"/>
        <w:tabs>
          <w:tab w:leader="none" w:pos="84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Drawdown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Commitment Period</w:t>
      </w:r>
      <w:r>
        <w:rPr>
          <w:rFonts w:ascii="Arial" w:cs="Arial" w:eastAsia="Arial" w:hAnsi="Arial"/>
          <w:sz w:val="18"/>
          <w:szCs w:val="18"/>
          <w:color w:val="auto"/>
        </w:rPr>
        <w:t>: The Borrower may borrow a Loan during the Commitment Period if the Agent receives, not later than three (3) Business Days before the proposed drawdown date, a duly completed Request for Disbursement. The undrawn amount (if any) of the Facility shall automatically be cancelled at close of business on the Term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5.2</w:t>
            </w:r>
          </w:p>
        </w:tc>
        <w:tc>
          <w:tcPr>
            <w:tcW w:w="10720" w:type="dxa"/>
            <w:vAlign w:val="bottom"/>
            <w:gridSpan w:val="3"/>
          </w:tcPr>
          <w:p>
            <w:pPr>
              <w:ind w:left="200"/>
              <w:spacing w:after="0"/>
              <w:rPr>
                <w:sz w:val="20"/>
                <w:szCs w:val="20"/>
                <w:color w:val="auto"/>
              </w:rPr>
            </w:pPr>
            <w:r>
              <w:rPr>
                <w:rFonts w:ascii="Arial" w:cs="Arial" w:eastAsia="Arial" w:hAnsi="Arial"/>
                <w:sz w:val="18"/>
                <w:szCs w:val="18"/>
                <w:color w:val="auto"/>
                <w:w w:val="92"/>
              </w:rPr>
              <w:t>Completion of requests for Loans: A request for a Loan or an advance in respect of a Loan will not be regarded as having been duly completed</w:t>
            </w: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unless:</w:t>
            </w:r>
          </w:p>
        </w:tc>
        <w:tc>
          <w:tcPr>
            <w:tcW w:w="200" w:type="dxa"/>
            <w:vAlign w:val="bottom"/>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8060" w:type="dxa"/>
            <w:vAlign w:val="bottom"/>
          </w:tcPr>
          <w:p>
            <w:pPr>
              <w:spacing w:after="0"/>
              <w:rPr>
                <w:sz w:val="20"/>
                <w:szCs w:val="20"/>
                <w:color w:val="auto"/>
              </w:rPr>
            </w:pPr>
          </w:p>
        </w:tc>
      </w:tr>
    </w:tbl>
    <w:p>
      <w:pPr>
        <w:spacing w:after="0" w:line="229" w:lineRule="exact"/>
        <w:rPr>
          <w:sz w:val="20"/>
          <w:szCs w:val="20"/>
          <w:color w:val="auto"/>
        </w:rPr>
      </w:pPr>
    </w:p>
    <w:p>
      <w:pPr>
        <w:ind w:left="1300" w:hanging="644"/>
        <w:spacing w:after="0"/>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date for the borrowing of the Loan or the advance in respect of a Loan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principal amount of the Loan or the advance in respect of a Loan is not more than the total of Commitments undrawn;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payment instructions comply with clause 10 (Other Payment Provisions);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request is made following the Closing Date but no later than the Term 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request must specify one Loan only, but the Borrower may, subject to the other terms of this Agreement, deliver more than one request on any one day.</w:t>
      </w:r>
    </w:p>
    <w:p>
      <w:pPr>
        <w:spacing w:after="0" w:line="3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Advance of Loans</w:t>
      </w:r>
      <w:r>
        <w:rPr>
          <w:rFonts w:ascii="Arial" w:cs="Arial" w:eastAsia="Arial" w:hAnsi="Arial"/>
          <w:sz w:val="16"/>
          <w:szCs w:val="16"/>
          <w:color w:val="auto"/>
        </w:rPr>
        <w:t>: The Agent shall promptly notify each Lender of the details of the requested Loans. Subject to the terms of this Agreement:</w:t>
      </w:r>
    </w:p>
    <w:p>
      <w:pPr>
        <w:spacing w:after="0" w:line="252" w:lineRule="exact"/>
        <w:rPr>
          <w:sz w:val="20"/>
          <w:szCs w:val="20"/>
          <w:color w:val="auto"/>
        </w:rPr>
      </w:pPr>
    </w:p>
    <w:p>
      <w:pPr>
        <w:ind w:left="1300" w:right="20" w:hanging="644"/>
        <w:spacing w:after="0" w:line="277" w:lineRule="auto"/>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If applicable, the respective Lender(s) shall on the relevant date for borrowing specified in the Request for Disbursement make or cause to be. made through its Lending Office an advance in United States Dollars to the Borrower;</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Subject to paragraph (a) above, each of the Lenders shall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on the relevant date for borrowing specified in the Request for Disbursement (“the Requested Disbursement Date”) pay the amount of its participation in the Loans into an account of the Borrower with such Lender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make such participation available to the Agent not later than the Business Day immediately preceding the Requested Disbursement Date.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a Lender’s participation in the Loans will be the proportion of such Loans which its Commitment in respect of such Loans bears to all Commitments for such Loans. Every advance made by a Lender and applied in accordance with (a) of this clause 5.3 shall be deemed to be a borrowing in accordance with that Lender’s Commitment.</w:t>
      </w:r>
    </w:p>
    <w:p>
      <w:pPr>
        <w:spacing w:after="0" w:line="231" w:lineRule="exact"/>
        <w:rPr>
          <w:sz w:val="20"/>
          <w:szCs w:val="20"/>
          <w:color w:val="auto"/>
        </w:rPr>
      </w:pPr>
    </w:p>
    <w:p>
      <w:pPr>
        <w:ind w:left="840" w:hanging="832"/>
        <w:spacing w:after="0"/>
        <w:tabs>
          <w:tab w:leader="none" w:pos="840" w:val="left"/>
        </w:tabs>
        <w:numPr>
          <w:ilvl w:val="0"/>
          <w:numId w:val="404"/>
        </w:numPr>
        <w:rPr>
          <w:rFonts w:ascii="Arial" w:cs="Arial" w:eastAsia="Arial" w:hAnsi="Arial"/>
          <w:sz w:val="18"/>
          <w:szCs w:val="18"/>
          <w:color w:val="auto"/>
        </w:rPr>
      </w:pPr>
      <w:r>
        <w:rPr>
          <w:rFonts w:ascii="Arial" w:cs="Arial" w:eastAsia="Arial" w:hAnsi="Arial"/>
          <w:sz w:val="18"/>
          <w:szCs w:val="18"/>
          <w:b w:val="1"/>
          <w:bCs w:val="1"/>
          <w:u w:val="single" w:color="auto"/>
          <w:color w:val="auto"/>
        </w:rPr>
        <w:t>Repayment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Borrower shall repay the aggregate of principal amounts drawn down under the Facility as follows, (each date of payment, a “</w:t>
      </w:r>
      <w:r>
        <w:rPr>
          <w:rFonts w:ascii="Arial" w:cs="Arial" w:eastAsia="Arial" w:hAnsi="Arial"/>
          <w:sz w:val="16"/>
          <w:szCs w:val="16"/>
          <w:u w:val="single" w:color="auto"/>
          <w:color w:val="auto"/>
        </w:rPr>
        <w:t>Payment Date</w:t>
      </w:r>
      <w:r>
        <w:rPr>
          <w:rFonts w:ascii="Arial" w:cs="Arial" w:eastAsia="Arial" w:hAnsi="Arial"/>
          <w:sz w:val="16"/>
          <w:szCs w:val="16"/>
          <w:color w:val="auto"/>
        </w:rPr>
        <w:t>”):</w:t>
      </w:r>
    </w:p>
    <w:p>
      <w:pPr>
        <w:spacing w:after="0" w:line="275" w:lineRule="exact"/>
        <w:rPr>
          <w:sz w:val="20"/>
          <w:szCs w:val="20"/>
          <w:color w:val="auto"/>
        </w:rPr>
      </w:pPr>
    </w:p>
    <w:p>
      <w:pPr>
        <w:ind w:left="1300" w:hanging="644"/>
        <w:spacing w:after="0" w:line="277" w:lineRule="auto"/>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 seventy-seven (77) payments of US$452.307.69 in consecutive monthly installments beginning on the next Payment Date immediately following the end of the Moratorium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28" w:lineRule="exact"/>
        <w:rPr>
          <w:sz w:val="20"/>
          <w:szCs w:val="20"/>
          <w:color w:val="auto"/>
        </w:rPr>
      </w:pPr>
    </w:p>
    <w:p>
      <w:pPr>
        <w:ind w:left="1300" w:hanging="644"/>
        <w:spacing w:after="0" w:line="277" w:lineRule="auto"/>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balloon payment of the US$9,172,307,87 (or where the provisions in Clauses 6 (c) and 7.1apply, the outstanding principal) on the Maturity Date;</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in the event that the Loan is not fully drawn, in consecutive monthly installments (in lieu of the payments indicated in Clause 6 (a) above) each equal to (A) US$452,307.69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(i) the aggregate drawn and outstanding principal amount under the Facility as at the Term Date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(ii) US$44,000,000.00.</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the foregoing, “Moratorium Period” means “a moratorium applied to repayment of the principal sum of the Loan for a period of six (6) months from the Date of Disbursement”.</w:t>
      </w:r>
    </w:p>
    <w:p>
      <w:pPr>
        <w:spacing w:after="0" w:line="220" w:lineRule="exact"/>
        <w:rPr>
          <w:sz w:val="20"/>
          <w:szCs w:val="20"/>
          <w:color w:val="auto"/>
        </w:rPr>
      </w:pPr>
    </w:p>
    <w:p>
      <w:pPr>
        <w:ind w:left="840" w:hanging="832"/>
        <w:spacing w:after="0"/>
        <w:tabs>
          <w:tab w:leader="none" w:pos="840" w:val="left"/>
        </w:tabs>
        <w:numPr>
          <w:ilvl w:val="0"/>
          <w:numId w:val="407"/>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Prepayment and Cancellation</w:t>
      </w:r>
    </w:p>
    <w:p>
      <w:pPr>
        <w:spacing w:after="0" w:line="28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Voluntary Prepayment</w:t>
      </w:r>
      <w:r>
        <w:rPr>
          <w:rFonts w:ascii="Arial" w:cs="Arial" w:eastAsia="Arial" w:hAnsi="Arial"/>
          <w:sz w:val="17"/>
          <w:szCs w:val="17"/>
          <w:color w:val="auto"/>
        </w:rPr>
        <w:t>: The Borrower may, at any time, upon giving to the Agent not less than thirty (30) days’ prior written notice specifying the date and intended amount of the payment, prepay the Loans on the last day of an Interest Period in whole or in part (but, if in part, in an integral multiple of five hundred thousand United States Dollars (US$500,000.00) but not less than one million United States Dollars (US$1,000,000.00) paying (1) during the period of one (1) year from the Date of Disbursement a pre-payment fee of two percent (2%) of any amount being prepaid; and during the period commencing one (1) year from the Date of Disbursement and expiring on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such date, a pre-payment fee of one percent (1%) of any amount being prepaid. For the avoidance of doubt, after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aforesaid there shall be no prepayment penalty. All prepayments shall be made together with accrued interest thereon up to the date of prepayment. Any such prepayment shall be applied pro rata against the repayment installments payable to the Lenders in inverse order of maturity. No amount prepaid may be re-borrowed</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Mandatory Prepayment</w:t>
      </w:r>
      <w:r>
        <w:rPr>
          <w:rFonts w:ascii="Arial" w:cs="Arial" w:eastAsia="Arial" w:hAnsi="Arial"/>
          <w:sz w:val="18"/>
          <w:szCs w:val="18"/>
          <w:color w:val="auto"/>
        </w:rPr>
        <w:t>: If there shall occur, (i) without the prior consent of the Lenders in writing given by the Agent on the direction of all the Lenders, a Change of Control or a Merger of the Borrower; or (ii) any Material Adverse Change, then the Agent may at the direction of the Majority Lenders by notice in writing to the Borrower:</w:t>
      </w:r>
    </w:p>
    <w:p>
      <w:pPr>
        <w:spacing w:after="0" w:line="208" w:lineRule="exact"/>
        <w:rPr>
          <w:sz w:val="20"/>
          <w:szCs w:val="20"/>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declare the Commitments of the Lenders to be immediately cancelled;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color w:val="auto"/>
        </w:rPr>
        <w:t>25</w:t>
      </w:r>
    </w:p>
    <w:p>
      <w:pPr>
        <w:spacing w:after="0" w:line="185" w:lineRule="exact"/>
        <w:rPr>
          <w:sz w:val="20"/>
          <w:szCs w:val="20"/>
          <w:color w:val="auto"/>
        </w:rPr>
      </w:pPr>
    </w:p>
    <w:p>
      <w:pPr>
        <w:ind w:left="1300" w:right="20" w:hanging="644"/>
        <w:spacing w:after="0" w:line="308" w:lineRule="auto"/>
        <w:tabs>
          <w:tab w:leader="none" w:pos="130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require the Borrower to prepay to each Lender a sum equivalent to 100% of the outstanding principal amount of the Loan made by the Lender and accrued and unpaid interest thereon to date of payment within thirty (30) days of service of the notice on the Borrower,</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thereupon the said Commitment shall be Cancelled and the Borrower shall be obliged to prepay the Loan in accordance with the notice. Mandatory prepayments shall be made without premium or penalty.</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Restrictions on Prepayments</w:t>
      </w:r>
      <w:r>
        <w:rPr>
          <w:rFonts w:ascii="Arial" w:cs="Arial" w:eastAsia="Arial" w:hAnsi="Arial"/>
          <w:sz w:val="16"/>
          <w:szCs w:val="16"/>
          <w:color w:val="auto"/>
        </w:rPr>
        <w:t>:</w:t>
      </w:r>
    </w:p>
    <w:p>
      <w:pPr>
        <w:spacing w:after="0" w:line="252" w:lineRule="exact"/>
        <w:rPr>
          <w:sz w:val="20"/>
          <w:szCs w:val="20"/>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prepayments shall be made together with accrued interest thereon up to the date of prepayment.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Borrower shall not be entitled to prepay the Loans or any part thereof otherwise than in accordance with this clause.</w:t>
      </w:r>
    </w:p>
    <w:p>
      <w:pPr>
        <w:spacing w:after="0" w:line="275" w:lineRule="exact"/>
        <w:rPr>
          <w:sz w:val="20"/>
          <w:szCs w:val="20"/>
          <w:color w:val="auto"/>
        </w:rPr>
      </w:pPr>
    </w:p>
    <w:p>
      <w:pPr>
        <w:ind w:left="840" w:hanging="832"/>
        <w:spacing w:after="0"/>
        <w:tabs>
          <w:tab w:leader="none" w:pos="840"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8.1</w:t>
            </w:r>
          </w:p>
        </w:tc>
        <w:tc>
          <w:tcPr>
            <w:tcW w:w="860" w:type="dxa"/>
            <w:vAlign w:val="bottom"/>
          </w:tcPr>
          <w:p>
            <w:pPr>
              <w:ind w:left="22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7"/>
                <w:szCs w:val="17"/>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w w:val="91"/>
              </w:rPr>
              <w:t>Interest Rate: The Borrower shall pay to the Agent for the account of each Lender in respect of the Facility, interest on each Advance made</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by such Lender at the Agreed Rate for each Interest Period.</w:t>
            </w:r>
          </w:p>
        </w:tc>
      </w:tr>
      <w:tr>
        <w:trPr>
          <w:trHeight w:val="419"/>
        </w:trPr>
        <w:tc>
          <w:tcPr>
            <w:tcW w:w="44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(b)</w:t>
            </w:r>
          </w:p>
        </w:tc>
        <w:tc>
          <w:tcPr>
            <w:tcW w:w="10120" w:type="dxa"/>
            <w:vAlign w:val="bottom"/>
            <w:gridSpan w:val="4"/>
          </w:tcPr>
          <w:p>
            <w:pPr>
              <w:spacing w:after="0"/>
              <w:rPr>
                <w:sz w:val="20"/>
                <w:szCs w:val="20"/>
                <w:color w:val="auto"/>
              </w:rPr>
            </w:pPr>
            <w:r>
              <w:rPr>
                <w:rFonts w:ascii="Arial" w:cs="Arial" w:eastAsia="Arial" w:hAnsi="Arial"/>
                <w:sz w:val="18"/>
                <w:szCs w:val="18"/>
                <w:color w:val="auto"/>
                <w:w w:val="95"/>
              </w:rPr>
              <w:t>Interest Period: The first Interest Period shall commence on the date of disbursement of the respective Loan and shall end on the day</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89"/>
              </w:rPr>
              <w:t>immediately before the next succeeding Interest Payment Date, and each subsequent Interest Period shall commence on an Interest Payment</w:t>
            </w:r>
          </w:p>
        </w:tc>
      </w:tr>
      <w:tr>
        <w:trPr>
          <w:trHeight w:val="230"/>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Date and shall end on the date immediately before the next Interest Payment Date.</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Interest Calculation</w:t>
      </w:r>
      <w:r>
        <w:rPr>
          <w:rFonts w:ascii="Arial" w:cs="Arial" w:eastAsia="Arial" w:hAnsi="Arial"/>
          <w:sz w:val="18"/>
          <w:szCs w:val="18"/>
          <w:color w:val="auto"/>
        </w:rPr>
        <w:t>: All interest shall accrue from day to day and be calculated on the basis of the actual number of days elapsed and a 365-day year (and 366 days in a leap year). Any certificate or determination by the Agent as to interest payable under this Agreement for any Interest Period shall, in the absence of manifest or proven error, be conclusive and binding on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Interest Payment</w:t>
      </w:r>
      <w:r>
        <w:rPr>
          <w:rFonts w:ascii="Arial" w:cs="Arial" w:eastAsia="Arial" w:hAnsi="Arial"/>
          <w:sz w:val="15"/>
          <w:szCs w:val="15"/>
          <w:color w:val="auto"/>
        </w:rPr>
        <w:t>: Interest calculated at the rate and in the manner set out above, shall be due and payable on each Interest Payment Date.</w:t>
      </w:r>
    </w:p>
    <w:p>
      <w:pPr>
        <w:spacing w:after="0" w:line="275" w:lineRule="exact"/>
        <w:rPr>
          <w:sz w:val="20"/>
          <w:szCs w:val="20"/>
          <w:color w:val="auto"/>
        </w:rPr>
      </w:pPr>
    </w:p>
    <w:p>
      <w:pPr>
        <w:ind w:left="840" w:hanging="832"/>
        <w:spacing w:after="0"/>
        <w:tabs>
          <w:tab w:leader="none" w:pos="840" w:val="left"/>
        </w:tabs>
        <w:numPr>
          <w:ilvl w:val="0"/>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Rate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Default interest</w:t>
      </w:r>
      <w:r>
        <w:rPr>
          <w:rFonts w:ascii="Arial" w:cs="Arial" w:eastAsia="Arial" w:hAnsi="Arial"/>
          <w:sz w:val="18"/>
          <w:szCs w:val="18"/>
          <w:color w:val="auto"/>
        </w:rPr>
        <w:t>: If the Borrower fails to pay any amount (including interest) payable by it under this Agreement on the due date, it shall forthwith on demand by the Agent pay interest on the overdue amount from the day immediately following the expiry of any grace period before default provided for in clause 16.1(a) herein up to the date of actual payment, as well after as before judgment, at a rate per annum (the “Default Rate”) determined by the Agent to be the aggregate of the 8.10% per annum plus 6 % per annum.</w:t>
      </w: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Compounding</w:t>
      </w:r>
      <w:r>
        <w:rPr>
          <w:rFonts w:ascii="Arial" w:cs="Arial" w:eastAsia="Arial" w:hAnsi="Arial"/>
          <w:sz w:val="16"/>
          <w:szCs w:val="16"/>
          <w:color w:val="auto"/>
        </w:rPr>
        <w:t>: Default Interest will be compounded as at each Interest Payment Date by adding same to principal.</w:t>
      </w:r>
    </w:p>
    <w:p>
      <w:pPr>
        <w:spacing w:after="0" w:line="275" w:lineRule="exact"/>
        <w:rPr>
          <w:sz w:val="20"/>
          <w:szCs w:val="20"/>
          <w:color w:val="auto"/>
        </w:rPr>
      </w:pPr>
    </w:p>
    <w:p>
      <w:pPr>
        <w:ind w:left="820" w:hanging="812"/>
        <w:spacing w:after="0"/>
        <w:tabs>
          <w:tab w:leader="none" w:pos="820" w:val="left"/>
        </w:tabs>
        <w:numPr>
          <w:ilvl w:val="0"/>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Payment Provisions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Place</w:t>
      </w:r>
      <w:r>
        <w:rPr>
          <w:rFonts w:ascii="Arial" w:cs="Arial" w:eastAsia="Arial" w:hAnsi="Arial"/>
          <w:sz w:val="16"/>
          <w:szCs w:val="16"/>
          <w:color w:val="auto"/>
        </w:rPr>
        <w:t>: Subject to any subsequent notice in writing from the Agent to the Borrower or, as the case may be, to Lenders varying instructions for method of payment, all payments by the Borrower or a Lender under this Agreement shall be made one (1) Business Day before the respective payment/due date, by wire transfer in the case of payment made in United States Dollars to such account(s) and by such instructions as the Agent shall notify in writing.</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Funds</w:t>
      </w:r>
      <w:r>
        <w:rPr>
          <w:rFonts w:ascii="Arial" w:cs="Arial" w:eastAsia="Arial" w:hAnsi="Arial"/>
          <w:sz w:val="16"/>
          <w:szCs w:val="16"/>
          <w:color w:val="auto"/>
        </w:rPr>
        <w:t>: Payments under this Agreement to the Agent shall be made for value on the due date</w:t>
      </w:r>
    </w:p>
    <w:p>
      <w:pPr>
        <w:spacing w:after="0" w:line="2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Distribution</w:t>
      </w:r>
    </w:p>
    <w:p>
      <w:pPr>
        <w:spacing w:after="0" w:line="252" w:lineRule="exact"/>
        <w:rPr>
          <w:sz w:val="20"/>
          <w:szCs w:val="20"/>
          <w:color w:val="auto"/>
        </w:rPr>
      </w:pPr>
    </w:p>
    <w:p>
      <w:pPr>
        <w:jc w:val="both"/>
        <w:ind w:left="1960" w:right="20" w:hanging="655"/>
        <w:spacing w:after="0" w:line="264" w:lineRule="auto"/>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Each payment received by the Agent under this Agreement for another Party shall, subject to paragraphs (b) and (c) below, be made available by the Agent to that Party by prompt payment to such account of such Party as it may notify to the Agent for such purpose.</w:t>
      </w:r>
    </w:p>
    <w:p>
      <w:pPr>
        <w:spacing w:after="0" w:line="208"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payments made by or on behalf of the Borrower and received by the Agent, whether before or after the exercise of any rights arising under clause 16.2, shall be paid to each Lender in accordance with the provisions of this Agreement and/or any relevant Promissory Note. Payment by the Agent shall be made promptly following receipt and, in any event, the Agent shall use its reasonable efforts to pay to each Lender at the applicable Lender’s Lending Office the applicable amount on the same Business Day as the amount is received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960" w:hanging="655"/>
        <w:spacing w:after="0" w:line="293" w:lineRule="auto"/>
        <w:tabs>
          <w:tab w:leader="none" w:pos="196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Where a sum is to be paid to the Agent under this Agreement for another Party, the Agent is not obliged to pay that sum to that Party until it has established that it has actually received cleared funds. The Agent may, however, assume that the sum has been paid to it in accordance with this Agreement, and, in reliance on that assumption, make available to that Party a corresponding amount. If the sum has not been made available but the Agent has paid a corresponding amount to another Party, that Party shall forthwith on demand by the Agent refund the corresponding amount together with interest on that amount from the date of payment to the date of receipt, calculated at a rate determined by the Agent to reflect its cost of funds.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Currency</w:t>
      </w:r>
    </w:p>
    <w:p>
      <w:pPr>
        <w:spacing w:after="0" w:line="252" w:lineRule="exact"/>
        <w:rPr>
          <w:sz w:val="20"/>
          <w:szCs w:val="20"/>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Amounts payable in respect of costs, expenses, Taxes and the like are payable in the currency in which they are incurred.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Principal and interest and any other amount payable under this Agreement are, except as otherwise provided in this Agreement, payable in United States dollars.</w:t>
      </w:r>
    </w:p>
    <w:p>
      <w:pPr>
        <w:spacing w:after="0" w:line="2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 xml:space="preserve">Set-off and counterclaim </w:t>
      </w:r>
      <w:r>
        <w:rPr>
          <w:rFonts w:ascii="Arial" w:cs="Arial" w:eastAsia="Arial" w:hAnsi="Arial"/>
          <w:sz w:val="16"/>
          <w:szCs w:val="16"/>
          <w:color w:val="auto"/>
        </w:rPr>
        <w:t>All payments made by the Borrower under this Agreement shall be made without set-off or counterclaim.</w:t>
      </w:r>
    </w:p>
    <w:p>
      <w:pPr>
        <w:spacing w:after="0" w:line="2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Non-Business Days</w:t>
      </w:r>
    </w:p>
    <w:p>
      <w:pPr>
        <w:spacing w:after="0" w:line="252" w:lineRule="exact"/>
        <w:rPr>
          <w:sz w:val="20"/>
          <w:szCs w:val="20"/>
          <w:color w:val="auto"/>
        </w:rPr>
      </w:pPr>
    </w:p>
    <w:p>
      <w:pPr>
        <w:ind w:left="1300" w:hanging="644"/>
        <w:spacing w:after="0" w:line="277" w:lineRule="auto"/>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a payment under this Agreement is due on a day which is not a Business Day, the due date for that payment shall instead be the next Business Day in the same calendar month (if there is one) or the preceding Business Day (if there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28" w:lineRule="exact"/>
        <w:rPr>
          <w:sz w:val="20"/>
          <w:szCs w:val="20"/>
          <w:color w:val="auto"/>
        </w:rPr>
      </w:pPr>
    </w:p>
    <w:p>
      <w:pPr>
        <w:ind w:left="1300" w:hanging="644"/>
        <w:spacing w:after="0" w:line="277" w:lineRule="auto"/>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under this Agreement, interest is payable on that principal at the rate payable on the original due date.</w:t>
      </w:r>
    </w:p>
    <w:p>
      <w:pPr>
        <w:spacing w:after="0" w:line="2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Partial payments</w:t>
      </w:r>
    </w:p>
    <w:p>
      <w:pPr>
        <w:spacing w:after="0" w:line="252" w:lineRule="exact"/>
        <w:rPr>
          <w:sz w:val="20"/>
          <w:szCs w:val="20"/>
          <w:color w:val="auto"/>
        </w:rPr>
      </w:pPr>
    </w:p>
    <w:p>
      <w:pPr>
        <w:ind w:left="1300" w:hanging="644"/>
        <w:spacing w:after="0" w:line="308" w:lineRule="auto"/>
        <w:tabs>
          <w:tab w:leader="none" w:pos="130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If the Agent receives a payment insufficient to discharge all the amounts then due and payable by the Borrower under this Agreement, the Agent shall apply that payment towards the obligations of the Borrower under this Agreement in the following order:</w:t>
      </w:r>
    </w:p>
    <w:p>
      <w:pPr>
        <w:spacing w:after="0" w:line="173" w:lineRule="exact"/>
        <w:rPr>
          <w:rFonts w:ascii="Arial" w:cs="Arial" w:eastAsia="Arial" w:hAnsi="Arial"/>
          <w:sz w:val="17"/>
          <w:szCs w:val="17"/>
          <w:color w:val="auto"/>
        </w:rPr>
      </w:pPr>
    </w:p>
    <w:p>
      <w:pPr>
        <w:ind w:left="1960" w:hanging="655"/>
        <w:spacing w:after="0"/>
        <w:tabs>
          <w:tab w:leader="none" w:pos="19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first, in or towards payment of any unpaid costs and expenses of the Agent under this Agreement;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secondly, in or towards payment pro rata of any accrued interest due but unpaid under this Agreement;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thirdly, in or towards payment pro rata of any principal due but unpaid under this Agreement;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fourthly, in or towards payment pro rata of any other sum due but unpaid under this Agreement.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sub-paragraphs (a) (ii) to (iv) above.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Paragraphs (a) and (b) above shall override any appropriation made by the Borrower.</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10A</w:t>
      </w:r>
      <w:r>
        <w:rPr>
          <w:sz w:val="20"/>
          <w:szCs w:val="20"/>
          <w:color w:val="auto"/>
        </w:rPr>
        <w:tab/>
      </w:r>
      <w:r>
        <w:rPr>
          <w:rFonts w:ascii="Arial" w:cs="Arial" w:eastAsia="Arial" w:hAnsi="Arial"/>
          <w:sz w:val="18"/>
          <w:szCs w:val="18"/>
          <w:b w:val="1"/>
          <w:bCs w:val="1"/>
          <w:color w:val="auto"/>
        </w:rPr>
        <w:t>Promissory Notes</w:t>
      </w:r>
    </w:p>
    <w:p>
      <w:pPr>
        <w:spacing w:after="0" w:line="256" w:lineRule="exact"/>
        <w:rPr>
          <w:sz w:val="20"/>
          <w:szCs w:val="20"/>
          <w:color w:val="auto"/>
        </w:rPr>
      </w:pPr>
    </w:p>
    <w:p>
      <w:pPr>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10A.1</w:t>
      </w:r>
      <w:r>
        <w:rPr>
          <w:sz w:val="20"/>
          <w:szCs w:val="20"/>
          <w:color w:val="auto"/>
        </w:rPr>
        <w:tab/>
      </w:r>
      <w:r>
        <w:rPr>
          <w:rFonts w:ascii="Arial" w:cs="Arial" w:eastAsia="Arial" w:hAnsi="Arial"/>
          <w:sz w:val="16"/>
          <w:szCs w:val="16"/>
          <w:color w:val="auto"/>
        </w:rPr>
        <w:t>The obligation to repay the Loans and all moneys becoming due and payable by the Borrower to each of the Lenders in connection therewith shall be evidenced by promissory notes (Notes) duly executed and delivered by the Borrower which shall be substantially in the form set out at 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2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10A.2</w:t>
        <w:tab/>
        <w:t>A Note in respect of each Lender’s participation in an advance of Loans to be disbursed through the agency of the Agent shall be executed and delivered to the Agent as agent of the Lender as and when such disbursement is made.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10A.3</w:t>
      </w:r>
      <w:r>
        <w:rPr>
          <w:sz w:val="20"/>
          <w:szCs w:val="20"/>
          <w:color w:val="auto"/>
        </w:rPr>
        <w:tab/>
      </w:r>
      <w:r>
        <w:rPr>
          <w:rFonts w:ascii="Arial" w:cs="Arial" w:eastAsia="Arial" w:hAnsi="Arial"/>
          <w:sz w:val="17"/>
          <w:szCs w:val="17"/>
          <w:color w:val="auto"/>
        </w:rPr>
        <w:t>Intentionally Omitted,</w:t>
      </w:r>
    </w:p>
    <w:p>
      <w:pPr>
        <w:spacing w:after="0" w:line="25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10A.4</w:t>
        <w:tab/>
        <w:t>In the event that any Note shall at any time become mutilated or be destroyed or lost then (i) in the case of loss or destruction, upon receipt by the Borrower of indemnity reasonably satisfactory to it or (ii) in the case of mutilation, upon surrender to the Borrower of the mutilated Note a new Note of like tenor and amount shall on demand be executed and delivered by the Borrower to the Lender and the old Note shall be deemed to be of no effect and the Agent shall so confirm in writing to the Borrower. All terms and conditions herein previously applicable to the old Note shall apply mutatis mutandis to any replacement thereof.</w:t>
      </w:r>
    </w:p>
    <w:p>
      <w:pPr>
        <w:spacing w:after="0" w:line="238" w:lineRule="exact"/>
        <w:rPr>
          <w:sz w:val="20"/>
          <w:szCs w:val="20"/>
          <w:color w:val="auto"/>
        </w:rPr>
      </w:pPr>
    </w:p>
    <w:p>
      <w:pPr>
        <w:ind w:left="820" w:hanging="812"/>
        <w:spacing w:after="0"/>
        <w:tabs>
          <w:tab w:leader="none" w:pos="820"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Gross-up</w:t>
      </w:r>
      <w:r>
        <w:rPr>
          <w:rFonts w:ascii="Arial" w:cs="Arial" w:eastAsia="Arial" w:hAnsi="Arial"/>
          <w:sz w:val="17"/>
          <w:szCs w:val="17"/>
          <w:color w:val="auto"/>
        </w:rPr>
        <w:t>: All payments by the Borrower under the Loan Documents shall be made without any deduction and free and clear of and without deduction for or on account of any Taxes, except to the extent that the Borrower is required by law to make payment subject to any Taxes. If any Tax or amounts in respect of Tax must be deducted, or any other deductions must be made, from any amounts payable or paid by the Borrower, or paid or payable by the Agent to a Lender, under the Loan Documents the Borrower shall pay such additional amounts as may be necessary to ensure that the relevant Lender receives a net amount equal to the full amount which it would have received had payment not been made subject to Tax.</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the foregoing, following a transfer by an existing Lender to a new Lender of any commitment or loans under this Agreement, the Borrower shall not be obligated to pay any additional amounts with respect to Tax that would not have been imposed on the existing Lender for or on account of Taxes without the prior written consent of the Borrower PROVIDED THAT the Borrower is not then in default (after the expiration of any applicable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receipts</w:t>
      </w:r>
      <w:r>
        <w:rPr>
          <w:rFonts w:ascii="Arial" w:cs="Arial" w:eastAsia="Arial" w:hAnsi="Arial"/>
          <w:sz w:val="18"/>
          <w:szCs w:val="18"/>
          <w:color w:val="auto"/>
        </w:rPr>
        <w:t>: All Taxes required by law to be deducted or withheld by the Borrower from any amounts paid or payable under the Loan Documents shall be paid by the Borrower when due. Upon the written request of the Agent, the Borrower shall, within 15 days of the payment being made, deliver to the Agent for the relevant Lender evidence satisfactory to that Lender (including all relevant Tax receipts) that the payment has been duly remitted to the appropriate authority.</w:t>
      </w:r>
    </w:p>
    <w:p>
      <w:pPr>
        <w:spacing w:after="0" w:line="237" w:lineRule="exact"/>
        <w:rPr>
          <w:sz w:val="20"/>
          <w:szCs w:val="20"/>
          <w:color w:val="auto"/>
        </w:rPr>
      </w:pPr>
    </w:p>
    <w:p>
      <w:pPr>
        <w:ind w:left="820" w:hanging="812"/>
        <w:spacing w:after="0"/>
        <w:tabs>
          <w:tab w:leader="none" w:pos="820" w:val="left"/>
        </w:tabs>
        <w:numPr>
          <w:ilvl w:val="0"/>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Increased Costs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12.1</w:t>
            </w: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10220" w:type="dxa"/>
            <w:vAlign w:val="bottom"/>
          </w:tcPr>
          <w:p>
            <w:pPr>
              <w:ind w:left="240"/>
              <w:spacing w:after="0"/>
              <w:rPr>
                <w:sz w:val="20"/>
                <w:szCs w:val="20"/>
                <w:color w:val="auto"/>
              </w:rPr>
            </w:pPr>
            <w:r>
              <w:rPr>
                <w:rFonts w:ascii="Arial" w:cs="Arial" w:eastAsia="Arial" w:hAnsi="Arial"/>
                <w:sz w:val="18"/>
                <w:szCs w:val="18"/>
                <w:color w:val="auto"/>
                <w:w w:val="94"/>
              </w:rPr>
              <w:t>Subject to clause 12.2 (Exceptions), the Borrower shalt forthwith on written demand by a Finance Party pay to that Finance Party the</w:t>
            </w:r>
          </w:p>
        </w:tc>
      </w:tr>
      <w:tr>
        <w:trPr>
          <w:trHeight w:val="216"/>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tcPr>
          <w:p>
            <w:pPr>
              <w:ind w:left="240"/>
              <w:spacing w:after="0"/>
              <w:rPr>
                <w:sz w:val="20"/>
                <w:szCs w:val="20"/>
                <w:color w:val="auto"/>
              </w:rPr>
            </w:pPr>
            <w:r>
              <w:rPr>
                <w:rFonts w:ascii="Arial" w:cs="Arial" w:eastAsia="Arial" w:hAnsi="Arial"/>
                <w:sz w:val="18"/>
                <w:szCs w:val="18"/>
                <w:color w:val="auto"/>
                <w:w w:val="95"/>
              </w:rPr>
              <w:t>amount of any increased cost incurred by it as a result of any change in law or regulation (including any law or regulation relating to</w:t>
            </w:r>
          </w:p>
        </w:tc>
      </w:tr>
      <w:tr>
        <w:trPr>
          <w:trHeight w:val="216"/>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tcPr>
          <w:p>
            <w:pPr>
              <w:ind w:left="240"/>
              <w:spacing w:after="0"/>
              <w:rPr>
                <w:sz w:val="20"/>
                <w:szCs w:val="20"/>
                <w:color w:val="auto"/>
              </w:rPr>
            </w:pPr>
            <w:r>
              <w:rPr>
                <w:rFonts w:ascii="Arial" w:cs="Arial" w:eastAsia="Arial" w:hAnsi="Arial"/>
                <w:sz w:val="18"/>
                <w:szCs w:val="18"/>
                <w:color w:val="auto"/>
                <w:w w:val="91"/>
              </w:rPr>
              <w:t>taxation, or reserve asset, special deposit, cash ratio, liquidity or capital adequacy requirements or any other form of banking or monetary</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20" w:type="dxa"/>
            <w:vAlign w:val="bottom"/>
          </w:tcPr>
          <w:p>
            <w:pPr>
              <w:ind w:left="240"/>
              <w:spacing w:after="0"/>
              <w:rPr>
                <w:sz w:val="20"/>
                <w:szCs w:val="20"/>
                <w:color w:val="auto"/>
              </w:rPr>
            </w:pPr>
            <w:r>
              <w:rPr>
                <w:rFonts w:ascii="Arial" w:cs="Arial" w:eastAsia="Arial" w:hAnsi="Arial"/>
                <w:sz w:val="18"/>
                <w:szCs w:val="18"/>
                <w:color w:val="auto"/>
              </w:rPr>
              <w:t>control) such written demand to state the change in law or regulation giving rise to the increased cost.</w:t>
            </w:r>
          </w:p>
        </w:tc>
      </w:tr>
    </w:tbl>
    <w:p>
      <w:pPr>
        <w:spacing w:after="0" w:line="229"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 this Agreement “increased cost” means:</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an additional cost incurred by a Finance Party as a result of it having entered into, or performing, maintaining or funding its obligations under, this Agreement; or</w:t>
      </w:r>
    </w:p>
    <w:p>
      <w:pPr>
        <w:spacing w:after="0" w:line="197"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that portion of an additional cost incurred by a Finance Party in making, funding or maintaining all or any advances comprised in a class of advances formed by or including its participation in the Loans made or to be made under this Agreement as is attributable to it making, funding or maintaining those participations; or</w:t>
      </w:r>
    </w:p>
    <w:p>
      <w:pPr>
        <w:spacing w:after="0" w:line="208"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 reduction in any amount payable to a Finance Party or the effective return to a Finance Party under this Agreement or on its capital; or</w:t>
      </w:r>
    </w:p>
    <w:p>
      <w:pPr>
        <w:spacing w:after="0" w:line="197"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22"/>
        </w:numPr>
        <w:rPr>
          <w:rFonts w:ascii="Arial" w:cs="Arial" w:eastAsia="Arial" w:hAnsi="Arial"/>
          <w:sz w:val="16"/>
          <w:szCs w:val="16"/>
          <w:color w:val="auto"/>
        </w:rPr>
      </w:pPr>
      <w:r>
        <w:rPr>
          <w:rFonts w:ascii="Arial" w:cs="Arial" w:eastAsia="Arial" w:hAnsi="Arial"/>
          <w:sz w:val="16"/>
          <w:szCs w:val="16"/>
          <w:color w:val="auto"/>
        </w:rPr>
        <w:t>the amount of any payment made by a Finance Party, or the amount of any interest or other return foregone by a Finance Party, calculated by reference to any amount received or receivable by that Finance Party from any other Party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5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 clause 12.1 (Increased costs) does not apply to any increased cost:</w:t>
      </w:r>
    </w:p>
    <w:p>
      <w:pPr>
        <w:spacing w:after="0" w:line="252" w:lineRule="exact"/>
        <w:rPr>
          <w:sz w:val="20"/>
          <w:szCs w:val="20"/>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compensated for under clause 11 (Taxes); or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attributable to any change in the rate of Tax on the overall net income of a Lender (or the overall net income of a division or branch of a Lender) imposed in the jurisdiction in which its principal office or lending office for the time being is situated.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Prepayment</w:t>
      </w:r>
      <w:r>
        <w:rPr>
          <w:rFonts w:ascii="Arial" w:cs="Arial" w:eastAsia="Arial" w:hAnsi="Arial"/>
          <w:sz w:val="18"/>
          <w:szCs w:val="18"/>
          <w:color w:val="auto"/>
        </w:rPr>
        <w:t>: Notwithstanding any provision to the contrary contained in this Agreement, in event that any increased costs become due and payable by Borrower pursuant to clauses 11 12 and 13. the Borrower may, without premium or penalty. including but not limited to any prepayment fee under clause 7.1, prepay the outstanding Loans together with any accrued and unpaid interest.</w:t>
      </w:r>
    </w:p>
    <w:p>
      <w:pPr>
        <w:spacing w:after="0" w:line="231" w:lineRule="exact"/>
        <w:rPr>
          <w:sz w:val="20"/>
          <w:szCs w:val="20"/>
          <w:color w:val="auto"/>
        </w:rPr>
      </w:pPr>
    </w:p>
    <w:p>
      <w:pPr>
        <w:ind w:left="820" w:hanging="812"/>
        <w:spacing w:after="0"/>
        <w:tabs>
          <w:tab w:leader="none" w:pos="820" w:val="left"/>
        </w:tabs>
        <w:numPr>
          <w:ilvl w:val="0"/>
          <w:numId w:val="424"/>
        </w:numPr>
        <w:rPr>
          <w:rFonts w:ascii="Arial" w:cs="Arial" w:eastAsia="Arial" w:hAnsi="Arial"/>
          <w:sz w:val="18"/>
          <w:szCs w:val="18"/>
          <w:color w:val="auto"/>
        </w:rPr>
      </w:pPr>
      <w:r>
        <w:rPr>
          <w:rFonts w:ascii="Arial" w:cs="Arial" w:eastAsia="Arial" w:hAnsi="Arial"/>
          <w:sz w:val="18"/>
          <w:szCs w:val="18"/>
          <w:b w:val="1"/>
          <w:bCs w:val="1"/>
          <w:u w:val="single" w:color="auto"/>
          <w:color w:val="auto"/>
        </w:rPr>
        <w:t>Illegality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it is or becomes unlawful in Jamaica for a Lender to give effect to any of its obligations as contemplated by this Agreement or to fund or maintain its participation in any Loan, then:</w:t>
      </w:r>
    </w:p>
    <w:p>
      <w:pPr>
        <w:spacing w:after="0" w:line="197"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Lender shall notify the Borrower through the Agent accordingly; and</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Lenders shall use all reasonable efforts to avoid such illegality including without limitation, by transferring the Facility to another financial institution(s) not affected by such law, order, regulation or directive; and</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if the illegality cannot be so avoided, the Borrower shall forthwith prepay without premium or penalty that Lender’s participation in all the Loans together with all other amounts payable by it to that Lender under this Agreement as of the date, certified by the Lender that prepayment is required in order to enable the Lender to comply with the relevant law or, if no date is provided, within 60 days from the date of the notice provided under clause 13(a);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28" w:lineRule="exact"/>
        <w:rPr>
          <w:sz w:val="20"/>
          <w:szCs w:val="20"/>
          <w:color w:val="auto"/>
        </w:rPr>
      </w:pPr>
    </w:p>
    <w:p>
      <w:pPr>
        <w:ind w:left="1300" w:hanging="644"/>
        <w:spacing w:after="0"/>
        <w:tabs>
          <w:tab w:leader="none" w:pos="130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Lender’s un-drawn Commitment shall forthwith be cancelled.</w:t>
      </w:r>
    </w:p>
    <w:p>
      <w:pPr>
        <w:spacing w:after="0" w:line="275" w:lineRule="exact"/>
        <w:rPr>
          <w:rFonts w:ascii="Arial" w:cs="Arial" w:eastAsia="Arial" w:hAnsi="Arial"/>
          <w:sz w:val="18"/>
          <w:szCs w:val="18"/>
          <w:color w:val="auto"/>
        </w:rPr>
      </w:pPr>
    </w:p>
    <w:p>
      <w:pPr>
        <w:ind w:left="820" w:hanging="812"/>
        <w:spacing w:after="0"/>
        <w:tabs>
          <w:tab w:leader="none" w:pos="820"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2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Representations and warranties by the Borrower</w:t>
      </w:r>
      <w:r>
        <w:rPr>
          <w:rFonts w:ascii="Arial" w:cs="Arial" w:eastAsia="Arial" w:hAnsi="Arial"/>
          <w:sz w:val="16"/>
          <w:szCs w:val="16"/>
          <w:color w:val="auto"/>
        </w:rPr>
        <w:t>: The Borrower represents and warrants to each Finance Party that:</w:t>
      </w:r>
    </w:p>
    <w:p>
      <w:pPr>
        <w:spacing w:after="0" w:line="252" w:lineRule="exact"/>
        <w:rPr>
          <w:sz w:val="20"/>
          <w:szCs w:val="20"/>
          <w:color w:val="auto"/>
        </w:rPr>
      </w:pPr>
    </w:p>
    <w:p>
      <w:pPr>
        <w:ind w:left="1300" w:hanging="644"/>
        <w:spacing w:after="0" w:line="308" w:lineRule="auto"/>
        <w:tabs>
          <w:tab w:leader="none" w:pos="1300"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Status</w:t>
      </w:r>
      <w:r>
        <w:rPr>
          <w:rFonts w:ascii="Arial" w:cs="Arial" w:eastAsia="Arial" w:hAnsi="Arial"/>
          <w:sz w:val="17"/>
          <w:szCs w:val="17"/>
          <w:color w:val="auto"/>
        </w:rPr>
        <w:t>: The Borrower is a limited liability company, duly incorporated, validly existing and in good standing under the laws of Jamaica. The Guarantor is duly incorporated, validly existing and in good standing under the laws of its jurisdiction of incorporation;</w:t>
      </w:r>
    </w:p>
    <w:p>
      <w:pPr>
        <w:spacing w:after="0" w:line="173"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Powers and authority</w:t>
      </w:r>
      <w:r>
        <w:rPr>
          <w:rFonts w:ascii="Arial" w:cs="Arial" w:eastAsia="Arial" w:hAnsi="Arial"/>
          <w:sz w:val="18"/>
          <w:szCs w:val="18"/>
          <w:color w:val="auto"/>
        </w:rPr>
        <w:t>: The Borrower has the power to enter into and perform, and has taken all necessary action to authorize the entry into, performance and delivery of, the Loan Documents to which it is or will be a party and the transactions contemplated by those Loan Documents. The Guarantor has the power to enter into and perform, and has taken all necessary action to authorize the entry into, performance and delivery of, the Security Documents to which it is or will be a party and the transactions contemplated by those Security Documents;</w:t>
      </w:r>
    </w:p>
    <w:p>
      <w:pPr>
        <w:spacing w:after="0" w:line="215"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Legal validity</w:t>
      </w:r>
      <w:r>
        <w:rPr>
          <w:rFonts w:ascii="Arial" w:cs="Arial" w:eastAsia="Arial" w:hAnsi="Arial"/>
          <w:sz w:val="17"/>
          <w:szCs w:val="17"/>
          <w:color w:val="auto"/>
        </w:rPr>
        <w:t>: Each Loan Document to which the Borrower is or will be a party is in proper legal form for the enforcement thereof in Jamaica and constitutes, or when executed in accordance with its terms will constitute, the Borrower’s legal, valid and binding obligation enforceable in accordance with its terms. Each Security Document to which the Guarantor is or will be a party is in proper legal form for the enforcement thereof in its jurisdiction of incorporation and constitutes, or when executed in accordance with its terms will constitute, the Guarantor’s legal, valid and binding obligation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7" w:name="page438"/>
    <w:bookmarkEnd w:id="437"/>
    <w:p>
      <w:pPr>
        <w:ind w:left="4964"/>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9" w:lineRule="auto"/>
        <w:tabs>
          <w:tab w:leader="none" w:pos="64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Title to properties</w:t>
      </w:r>
      <w:r>
        <w:rPr>
          <w:rFonts w:ascii="Arial" w:cs="Arial" w:eastAsia="Arial" w:hAnsi="Arial"/>
          <w:sz w:val="18"/>
          <w:szCs w:val="18"/>
          <w:color w:val="auto"/>
        </w:rPr>
        <w:t>: It and the Guarantor has good marketable title to, or valid and subsisting leasehold interest in, all real and personal properties reflected in its books and records as being owned or leased by it except (i) for minor defects in title that do not interfere with its ability to conduct its business as currently conducted or to utilize such properties for their intended purposes or (ii) as otherwise disclosed in writing by the Borrower to the Agent;</w:t>
      </w:r>
    </w:p>
    <w:p>
      <w:pPr>
        <w:spacing w:after="0" w:line="21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Non-conflict</w:t>
      </w:r>
      <w:r>
        <w:rPr>
          <w:rFonts w:ascii="Arial" w:cs="Arial" w:eastAsia="Arial" w:hAnsi="Arial"/>
          <w:sz w:val="18"/>
          <w:szCs w:val="18"/>
          <w:color w:val="auto"/>
        </w:rPr>
        <w:t>: The entry into and performance by it and the Guarantor of, and the transactions contemplated by, the Loan Documents do not and will not in any material respect:</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conflict with or violate any law or regulation or judicial or official order, or</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conflict with or violate its constitutional documents; or</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cause any limitation on any of its powers whatsoever and however imposed, or on the right or ability of its directors to exercise such powers, to be exceeded; or</w:t>
      </w:r>
    </w:p>
    <w:p>
      <w:pPr>
        <w:spacing w:after="0" w:line="197" w:lineRule="exact"/>
        <w:rPr>
          <w:rFonts w:ascii="Arial" w:cs="Arial" w:eastAsia="Arial" w:hAnsi="Arial"/>
          <w:sz w:val="18"/>
          <w:szCs w:val="18"/>
          <w:color w:val="auto"/>
        </w:rPr>
      </w:pPr>
    </w:p>
    <w:p>
      <w:pPr>
        <w:ind w:left="1304" w:hanging="655"/>
        <w:spacing w:after="0"/>
        <w:tabs>
          <w:tab w:leader="none" w:pos="130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conflict with or violate any agreement, indenture or other document which is binding upon it or any of its assets.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No Event of Default or Potential Event of Default has occurred and is continuing un-remedied at the date of this Agreement;</w:t>
      </w:r>
    </w:p>
    <w:p>
      <w:pPr>
        <w:spacing w:after="0" w:line="275" w:lineRule="exact"/>
        <w:rPr>
          <w:rFonts w:ascii="Arial" w:cs="Arial" w:eastAsia="Arial" w:hAnsi="Arial"/>
          <w:sz w:val="16"/>
          <w:szCs w:val="16"/>
          <w:color w:val="auto"/>
        </w:rPr>
      </w:pPr>
    </w:p>
    <w:p>
      <w:pPr>
        <w:ind w:left="644" w:hanging="644"/>
        <w:spacing w:after="0" w:line="308" w:lineRule="auto"/>
        <w:tabs>
          <w:tab w:leader="none" w:pos="644"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Security Interest</w:t>
      </w:r>
      <w:r>
        <w:rPr>
          <w:rFonts w:ascii="Arial" w:cs="Arial" w:eastAsia="Arial" w:hAnsi="Arial"/>
          <w:sz w:val="17"/>
          <w:szCs w:val="17"/>
          <w:color w:val="auto"/>
        </w:rPr>
        <w:t>: There exists no Security Interest (other than Permitted Security Interests) over the whole or any part of its or the Guarantor’s present or future real property, personal property. or revenues and no obligation to create any such Security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239395</wp:posOffset>
            </wp:positionV>
            <wp:extent cx="72466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38" w:name="page439"/>
    <w:bookmarkEnd w:id="438"/>
    <w:p>
      <w:pPr>
        <w:ind w:left="4964"/>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5" w:lineRule="auto"/>
        <w:tabs>
          <w:tab w:leader="none" w:pos="644"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It has filed or caused to be filed or has been included in all tax returns required to be filed and has paid all taxes, if any, shown thereon to be due or on any assessments made against it or any of its property, together with applicable interest and penalties and all other taxes, fees or other charges imposed on it or any of its property by any Governmental Authority (other than the amount or validity of which are currently being contested in good faith by appropriate proceedings and with respect to which reserves in conformity with IFRS have been provided on its books) and no tax lien has been filed against it and no claim is being asserted by a Governmental Authority with respect to any such tax, interest, penalty or other charge which default, in any of the foregoing cases set out in this sub-paragraph (h) would be likely to have a Material Adverse Effect;</w:t>
      </w:r>
    </w:p>
    <w:p>
      <w:pPr>
        <w:spacing w:after="0" w:line="216" w:lineRule="exact"/>
        <w:rPr>
          <w:rFonts w:ascii="Arial" w:cs="Arial" w:eastAsia="Arial" w:hAnsi="Arial"/>
          <w:sz w:val="18"/>
          <w:szCs w:val="18"/>
          <w:color w:val="auto"/>
        </w:rPr>
      </w:pPr>
    </w:p>
    <w:p>
      <w:pPr>
        <w:ind w:left="644" w:hanging="644"/>
        <w:spacing w:after="0" w:line="308" w:lineRule="auto"/>
        <w:tabs>
          <w:tab w:leader="none" w:pos="644" w:val="left"/>
        </w:tabs>
        <w:numPr>
          <w:ilvl w:val="0"/>
          <w:numId w:val="430"/>
        </w:numPr>
        <w:rPr>
          <w:rFonts w:ascii="Arial" w:cs="Arial" w:eastAsia="Arial" w:hAnsi="Arial"/>
          <w:sz w:val="17"/>
          <w:szCs w:val="17"/>
          <w:color w:val="auto"/>
        </w:rPr>
      </w:pPr>
      <w:r>
        <w:rPr>
          <w:rFonts w:ascii="Arial" w:cs="Arial" w:eastAsia="Arial" w:hAnsi="Arial"/>
          <w:sz w:val="17"/>
          <w:szCs w:val="17"/>
          <w:i w:val="1"/>
          <w:iCs w:val="1"/>
          <w:u w:val="single" w:color="auto"/>
          <w:color w:val="auto"/>
        </w:rPr>
        <w:t>Senior Ranking</w:t>
      </w:r>
      <w:r>
        <w:rPr>
          <w:rFonts w:ascii="Arial" w:cs="Arial" w:eastAsia="Arial" w:hAnsi="Arial"/>
          <w:sz w:val="17"/>
          <w:szCs w:val="17"/>
          <w:color w:val="auto"/>
        </w:rPr>
        <w:t>. Its obligations under this Agreement and the Guarantor’s obligations under each Security Document, as applicable, rank</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rank senior to any Financial Indebtedness of the Borrower except for those mandatorily preferred by law;</w:t>
      </w:r>
    </w:p>
    <w:p>
      <w:pPr>
        <w:spacing w:after="0" w:line="174" w:lineRule="exact"/>
        <w:rPr>
          <w:sz w:val="20"/>
          <w:szCs w:val="20"/>
          <w:color w:val="auto"/>
        </w:rPr>
      </w:pPr>
    </w:p>
    <w:p>
      <w:pPr>
        <w:jc w:val="both"/>
        <w:ind w:left="644" w:hanging="644"/>
        <w:spacing w:after="0" w:line="264" w:lineRule="auto"/>
        <w:tabs>
          <w:tab w:leader="none" w:pos="644"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Authorisations</w:t>
      </w:r>
      <w:r>
        <w:rPr>
          <w:rFonts w:ascii="Arial" w:cs="Arial" w:eastAsia="Arial" w:hAnsi="Arial"/>
          <w:sz w:val="18"/>
          <w:szCs w:val="18"/>
          <w:color w:val="auto"/>
        </w:rPr>
        <w:t>: All authorisations required to be obtained by the Borrower in connection with the entry into, performance. validity and enforceability of, and the transactions contemplated by, the Loan Documents have been obtained or effected (as appropriate) and are in full force and effect;</w:t>
      </w:r>
    </w:p>
    <w:p>
      <w:pPr>
        <w:spacing w:after="0" w:line="208" w:lineRule="exact"/>
        <w:rPr>
          <w:sz w:val="20"/>
          <w:szCs w:val="20"/>
          <w:color w:val="auto"/>
        </w:rPr>
      </w:pPr>
    </w:p>
    <w:p>
      <w:pPr>
        <w:ind w:left="644" w:hanging="644"/>
        <w:spacing w:after="0"/>
        <w:tabs>
          <w:tab w:leader="none" w:pos="64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Its unaudited quarterly accounts for the quarter ending March 31, 2016:</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32"/>
        </w:numPr>
        <w:rPr>
          <w:rFonts w:ascii="Arial" w:cs="Arial" w:eastAsia="Arial" w:hAnsi="Arial"/>
          <w:sz w:val="18"/>
          <w:szCs w:val="18"/>
          <w:color w:val="auto"/>
        </w:rPr>
      </w:pPr>
      <w:r>
        <w:rPr>
          <w:rFonts w:ascii="Arial" w:cs="Arial" w:eastAsia="Arial" w:hAnsi="Arial"/>
          <w:sz w:val="18"/>
          <w:szCs w:val="18"/>
          <w:color w:val="auto"/>
        </w:rPr>
        <w:t>have been prepared in accordance with IFRS; and</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32"/>
        </w:numPr>
        <w:rPr>
          <w:rFonts w:ascii="Arial" w:cs="Arial" w:eastAsia="Arial" w:hAnsi="Arial"/>
          <w:sz w:val="17"/>
          <w:szCs w:val="17"/>
          <w:color w:val="auto"/>
        </w:rPr>
      </w:pPr>
      <w:r>
        <w:rPr>
          <w:rFonts w:ascii="Arial" w:cs="Arial" w:eastAsia="Arial" w:hAnsi="Arial"/>
          <w:sz w:val="17"/>
          <w:szCs w:val="17"/>
          <w:color w:val="auto"/>
        </w:rPr>
        <w:t>fairly represent in all material respects the financial condition of the Borrower as at the date to which they were drawn up;</w:t>
      </w:r>
    </w:p>
    <w:p>
      <w:pPr>
        <w:spacing w:after="0" w:line="263"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Non-financial Information</w:t>
      </w:r>
      <w:r>
        <w:rPr>
          <w:rFonts w:ascii="Arial" w:cs="Arial" w:eastAsia="Arial" w:hAnsi="Arial"/>
          <w:sz w:val="18"/>
          <w:szCs w:val="18"/>
          <w:color w:val="auto"/>
        </w:rPr>
        <w:t>: No written information, exhibit or report furnished by or on its behalf to the Arranger or any of the Lenders in connection with the negotiation of the Loan Documents or delivered pursuant to the terms of the Loan Documents as of the date such information, exhibit or report was furnished, contained any untrue statement of a material fact or omitted to state a material fact necessary to make the statements made therein (taken as a whole) not misleading at such time in light of the circumstances under which such information, report financial statement or schedule was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420370</wp:posOffset>
            </wp:positionV>
            <wp:extent cx="72466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39" w:name="page440"/>
    <w:bookmarkEnd w:id="439"/>
    <w:p>
      <w:pPr>
        <w:ind w:left="4964"/>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5" w:lineRule="auto"/>
        <w:tabs>
          <w:tab w:leader="none" w:pos="644"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To the best of the Borrower’s knowledge and information the operations and properties of the Borrower and the Guarantor complies in all material respects with all applicable Environmental Laws and Environmental Permits, all past non-compliance with such Environmental Laws and Environmental Permits has been resolved without ongoing obligations or costs, and no circumstances exist that would reasonably be expected to (a) form the basis of an Environmental Action against the Borrower or the Guarantor or any of its/their properties that would reasonably be expected to have a Material Adverse Effect or (b) cause any such property to be subject to any restrictions on ownership, occupancy, use or transferability under any Environmental Law that would be reasonably expected to have a Material Adverse Effect;</w:t>
      </w:r>
    </w:p>
    <w:p>
      <w:pPr>
        <w:spacing w:after="0" w:line="216"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writing to the Arranger and the Agent on behalf of each Finance Party no litigation, arbitration or administrative or regulatory proceedings or investigation are current or, to the Borrower’s knowledge, pending or threatened, against it or the Guarantor which might, if adversely determined, have a Material Adverse Effect;</w:t>
      </w:r>
    </w:p>
    <w:p>
      <w:pPr>
        <w:spacing w:after="0" w:line="20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Except as disclosed in writing to the Arranger and the Agent on behalf of each Finance Party neither Borrower nor the Guarantor is (nor would, with the giving of notice or lapse of time or any certificate or the making of any determination or any combination thereof be) and subject to any applicable grace period in breach of, or in default under, any agreement relating to Financial Indebtedness to which it is a party or by which it is bound and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2466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0" w:name="page441"/>
    <w:bookmarkEnd w:id="440"/>
    <w:p>
      <w:pPr>
        <w:ind w:left="4964"/>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28" w:lineRule="exact"/>
        <w:rPr>
          <w:sz w:val="20"/>
          <w:szCs w:val="20"/>
          <w:color w:val="auto"/>
        </w:rPr>
      </w:pPr>
    </w:p>
    <w:p>
      <w:pPr>
        <w:ind w:left="644" w:hanging="644"/>
        <w:spacing w:after="0"/>
        <w:tabs>
          <w:tab w:leader="none" w:pos="644"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(i) There has not occurred since March 31, 2016,</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any event, development or circumstance that has had or would reasonably be expected to have a Material Adverse Effect under item (a) or (d) of the definition of “Material Adverse Effect”; and</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to the Borrower’s knowledge, any event, development or circumstance that has had or would reasonably be expected to have, a Material Adverse Effect under item (b) or (c) of the definition of “Material Adverse Effect”;</w:t>
      </w:r>
    </w:p>
    <w:p>
      <w:pPr>
        <w:spacing w:after="0" w:line="197" w:lineRule="exact"/>
        <w:rPr>
          <w:sz w:val="20"/>
          <w:szCs w:val="20"/>
          <w:color w:val="auto"/>
        </w:rPr>
      </w:pPr>
    </w:p>
    <w:p>
      <w:pPr>
        <w:jc w:val="both"/>
        <w:ind w:left="644"/>
        <w:spacing w:after="0" w:line="264" w:lineRule="auto"/>
        <w:rPr>
          <w:sz w:val="20"/>
          <w:szCs w:val="20"/>
          <w:color w:val="auto"/>
        </w:rPr>
      </w:pPr>
      <w:r>
        <w:rPr>
          <w:rFonts w:ascii="Arial" w:cs="Arial" w:eastAsia="Arial" w:hAnsi="Arial"/>
          <w:sz w:val="18"/>
          <w:szCs w:val="18"/>
          <w:color w:val="auto"/>
        </w:rPr>
        <w:t>(ii) Neither of the Guarantor nor the Borrower has taken any action which would result in an event, development or circumstance that has had or would reasonably be expected to have a Material Adverse Effect under items (b) or (c) of the definition of “Material Adverse Effect”;</w:t>
      </w:r>
    </w:p>
    <w:p>
      <w:pPr>
        <w:spacing w:after="0" w:line="208" w:lineRule="exact"/>
        <w:rPr>
          <w:sz w:val="20"/>
          <w:szCs w:val="20"/>
          <w:color w:val="auto"/>
        </w:rPr>
      </w:pPr>
    </w:p>
    <w:p>
      <w:pPr>
        <w:jc w:val="both"/>
        <w:ind w:left="644" w:hanging="644"/>
        <w:spacing w:after="0" w:line="286" w:lineRule="auto"/>
        <w:tabs>
          <w:tab w:leader="none" w:pos="644"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To the best of the Borrower’s knowledge and belief it, the Guarantor and each of its Subsidiaries is in compliance with all applicable laws and regulations and all material agreements except as respects failure to comply with any such applicable laws and regulations which do not (whether taken individually or in the aggregate) constitute a Material Adverse Change;</w:t>
      </w:r>
    </w:p>
    <w:p>
      <w:pPr>
        <w:spacing w:after="0" w:line="192"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Each of the Borrower and the Guarantor is Solvent and to the best of the Borrower’s knowledge and belief after due enquiry, no proceedings are pending or threatened against it, the Guarantor or any of the Guarantor’s Subsidiaries for the dissolution of it or any of its Subsidiaries aforesaid;</w:t>
      </w:r>
    </w:p>
    <w:p>
      <w:pPr>
        <w:spacing w:after="0" w:line="208"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435"/>
        </w:numPr>
        <w:rPr>
          <w:rFonts w:ascii="Arial" w:cs="Arial" w:eastAsia="Arial" w:hAnsi="Arial"/>
          <w:sz w:val="17"/>
          <w:szCs w:val="17"/>
          <w:color w:val="auto"/>
        </w:rPr>
      </w:pPr>
      <w:r>
        <w:rPr>
          <w:rFonts w:ascii="Arial" w:cs="Arial" w:eastAsia="Arial" w:hAnsi="Arial"/>
          <w:sz w:val="17"/>
          <w:szCs w:val="17"/>
          <w:u w:val="single" w:color="auto"/>
          <w:color w:val="auto"/>
        </w:rPr>
        <w:t>No Filing or Registration Required</w:t>
      </w:r>
      <w:r>
        <w:rPr>
          <w:rFonts w:ascii="Arial" w:cs="Arial" w:eastAsia="Arial" w:hAnsi="Arial"/>
          <w:sz w:val="17"/>
          <w:szCs w:val="17"/>
          <w:color w:val="auto"/>
        </w:rPr>
        <w:t>: To ensure the legality, validity, enforceability or admissibility in evidence of this Agreement and each of the other Loan Documents (including the Notes) in Jamaica or elsewhere, as applicable, it is not necessary that this Agreement or any of the other Loan Documents be filed or recorded or registered with any court or other authority in Jamaica or elsewhere, EXCEPT as advised to the Agent by such opinions of Counsel as the Agent or Borrower shall procure and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100965</wp:posOffset>
            </wp:positionV>
            <wp:extent cx="72466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Times for making representations and warranties</w:t>
      </w:r>
      <w:r>
        <w:rPr>
          <w:rFonts w:ascii="Arial" w:cs="Arial" w:eastAsia="Arial" w:hAnsi="Arial"/>
          <w:sz w:val="16"/>
          <w:szCs w:val="16"/>
          <w:color w:val="auto"/>
        </w:rPr>
        <w:t>:</w:t>
      </w:r>
    </w:p>
    <w:p>
      <w:pPr>
        <w:spacing w:after="0" w:line="252" w:lineRule="exact"/>
        <w:rPr>
          <w:sz w:val="20"/>
          <w:szCs w:val="20"/>
          <w:color w:val="auto"/>
        </w:rPr>
      </w:pPr>
    </w:p>
    <w:p>
      <w:pPr>
        <w:ind w:left="1300" w:hanging="644"/>
        <w:spacing w:after="0" w:line="308" w:lineRule="auto"/>
        <w:tabs>
          <w:tab w:leader="none" w:pos="130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representations and warranties set out in sub-clause 14.1 are made (i) on the date of this Agreement and (ii) are deemed to be repeated by the Borrower on the date of each request for a Loan with reference to the facts and circumstances then existing.</w:t>
      </w:r>
    </w:p>
    <w:p>
      <w:pPr>
        <w:spacing w:after="0" w:line="173"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representations and warranties set out in sub-clause 14.1 above other than in paragraphs (k) and (l) are also deemed to be repeated annually by the Borrower on the first day immediately following the Interest Payment Date closest to the anniversary of the Closing Date with reference to the facts and circumstances then existing.</w:t>
      </w:r>
    </w:p>
    <w:p>
      <w:pPr>
        <w:spacing w:after="0" w:line="20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representations and warranties set out in paragraph (k) of sub-clause 14.1 above are also deemed to be repeated on the delivery of the accounts for each financial year end with reference to the facts and circumstances then existing.</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Effect of Investigation</w:t>
      </w:r>
      <w:r>
        <w:rPr>
          <w:rFonts w:ascii="Arial" w:cs="Arial" w:eastAsia="Arial" w:hAnsi="Arial"/>
          <w:sz w:val="17"/>
          <w:szCs w:val="17"/>
          <w:color w:val="auto"/>
        </w:rPr>
        <w:t>: The rights and remedies of each Finance Party in respect of any misrepresentation or breach of warranty on the part of the Borrower shall not be prejudiced or affected by any investigation of the Borrower or its affairs by the Arranger or any of the other Finance Parties or without limitation. any other act or matter which, but for the provision would or might prejudice or affect any such right or remedies.</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u w:val="single" w:color="auto"/>
          <w:color w:val="auto"/>
        </w:rPr>
        <w:t>Representations and Warranties by the Lenders</w:t>
      </w:r>
      <w:r>
        <w:rPr>
          <w:rFonts w:ascii="Arial" w:cs="Arial" w:eastAsia="Arial" w:hAnsi="Arial"/>
          <w:sz w:val="16"/>
          <w:szCs w:val="16"/>
          <w:color w:val="auto"/>
        </w:rPr>
        <w:t>: Each of the Lenders hereby represents and warrants to the Borrower that:</w:t>
      </w:r>
    </w:p>
    <w:p>
      <w:pPr>
        <w:spacing w:after="0" w:line="252" w:lineRule="exact"/>
        <w:rPr>
          <w:sz w:val="20"/>
          <w:szCs w:val="20"/>
          <w:color w:val="auto"/>
        </w:rPr>
      </w:pPr>
    </w:p>
    <w:p>
      <w:pPr>
        <w:ind w:left="1300" w:hanging="644"/>
        <w:spacing w:after="0" w:line="277" w:lineRule="auto"/>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it is not aware of any current event and/or fact presently giving rise to a situation which makes it doubtful that it will be able to discharge its obligations hereunder;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it is duly incorporated, validly existing and in good standing under the laws of its jurisdiction of incorporation and it has power to own is property and assets, to carry on its business as presently conducted and to enter into and perform this Agreement;</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it and constitutes legal, valid and binding obligations, enforceable in accordance with its express terms;</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neither the making of this Agreement nor the lending by it of any sum pursuant to this Agreement will conflict with or result in a breach of any of the terms. conditions or provisions of or constitute a default or require any consent under any indenture, agreement or other instrument to which it is a party or by which it is bound or violate any of the terms or provisions of any judgment, decree or order or any statute, rule or regulation applicable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28" w:lineRule="exact"/>
        <w:rPr>
          <w:sz w:val="20"/>
          <w:szCs w:val="20"/>
          <w:color w:val="auto"/>
        </w:rPr>
      </w:pPr>
    </w:p>
    <w:p>
      <w:pPr>
        <w:ind w:left="1300" w:right="20" w:hanging="644"/>
        <w:spacing w:after="0" w:line="277" w:lineRule="auto"/>
        <w:tabs>
          <w:tab w:leader="none" w:pos="130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it is not engaged in any litigation or arbitration proceedings which may material affect its ability to perform its obligations under this Agreement;</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as at the date hereof. the Borrower is not liable to make any deductions (with respect to Taxes) from payments to be made to the Lenders pursuant to the terms hereof.</w:t>
      </w:r>
    </w:p>
    <w:p>
      <w:pPr>
        <w:spacing w:after="0" w:line="220" w:lineRule="exact"/>
        <w:rPr>
          <w:rFonts w:ascii="Arial" w:cs="Arial" w:eastAsia="Arial" w:hAnsi="Arial"/>
          <w:sz w:val="18"/>
          <w:szCs w:val="18"/>
          <w:color w:val="auto"/>
        </w:rPr>
      </w:pPr>
    </w:p>
    <w:p>
      <w:pPr>
        <w:ind w:left="820" w:hanging="812"/>
        <w:spacing w:after="0"/>
        <w:tabs>
          <w:tab w:leader="none" w:pos="820"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Positive covenants</w:t>
      </w:r>
      <w:r>
        <w:rPr>
          <w:rFonts w:ascii="Arial" w:cs="Arial" w:eastAsia="Arial" w:hAnsi="Arial"/>
          <w:sz w:val="18"/>
          <w:szCs w:val="18"/>
          <w:color w:val="auto"/>
        </w:rPr>
        <w:t>: So long as any Commitment remains in effect or any amount is owing to any Finance Party hereunder or under any other Loan Document (and save as specifically otherwise provided for hereunder):</w:t>
      </w:r>
    </w:p>
    <w:p>
      <w:pPr>
        <w:spacing w:after="0" w:line="197" w:lineRule="exact"/>
        <w:rPr>
          <w:sz w:val="20"/>
          <w:szCs w:val="20"/>
          <w:color w:val="auto"/>
        </w:rPr>
      </w:pPr>
    </w:p>
    <w:p>
      <w:pPr>
        <w:ind w:left="1300" w:hanging="644"/>
        <w:spacing w:after="0" w:line="277" w:lineRule="auto"/>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Borrower shall supply to the Agent in sufficient copies for all the Lenders and prepared in compliance with IFRS:</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within one hundred and twenty (120) days of the end of each of its and the Guarantor’s financial years, its audited accounts for that financial year;</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within ninety (90) days of the end of each financial quarter, its and the Guarantor’s un-audited accounts for that financial quarter showing a comparison of the results for the corresponding period of the preceding financial year; and</w:t>
      </w:r>
    </w:p>
    <w:p>
      <w:pPr>
        <w:spacing w:after="0" w:line="197"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together with the accounts specified in paragraph (i) or, as the case may be, paragraph (ii), above, a certificate signed by its Chief Financial Officer setting out in reasonable detail the computations establishing compliance with the financial covenants set out in sub-clause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3" w:name="page444"/>
    <w:bookmarkEnd w:id="443"/>
    <w:p>
      <w:pPr>
        <w:ind w:left="4964"/>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28" w:lineRule="exact"/>
        <w:rPr>
          <w:sz w:val="20"/>
          <w:szCs w:val="20"/>
          <w:color w:val="auto"/>
        </w:rPr>
      </w:pPr>
    </w:p>
    <w:p>
      <w:pPr>
        <w:ind w:left="1304" w:hanging="655"/>
        <w:spacing w:after="0" w:line="277" w:lineRule="auto"/>
        <w:tabs>
          <w:tab w:leader="none" w:pos="1304" w:val="left"/>
        </w:tabs>
        <w:numPr>
          <w:ilvl w:val="1"/>
          <w:numId w:val="441"/>
        </w:numPr>
        <w:rPr>
          <w:rFonts w:ascii="Arial" w:cs="Arial" w:eastAsia="Arial" w:hAnsi="Arial"/>
          <w:sz w:val="18"/>
          <w:szCs w:val="18"/>
          <w:color w:val="auto"/>
        </w:rPr>
      </w:pPr>
      <w:r>
        <w:rPr>
          <w:rFonts w:ascii="Arial" w:cs="Arial" w:eastAsia="Arial" w:hAnsi="Arial"/>
          <w:sz w:val="18"/>
          <w:szCs w:val="18"/>
          <w:color w:val="auto"/>
        </w:rPr>
        <w:t>within forty-five (45) days prior to the commencement of each financial year, provide annual financial projections and estimated capital expenditure budget for the next ensuing financial year of the Borrower and the Guarantor.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The Borrower shall supply to the Agent:</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as soon as reasonably possible and in any event within five (5) Business Days after the occurrence of an Event of Default, a statement of the chief financial officer of the Borrower setting forth details of such Event of Default and the action that the Borrower or the Guarantor, as applicable, has taken and proposes to take with respect thereto;</w:t>
      </w:r>
    </w:p>
    <w:p>
      <w:pPr>
        <w:spacing w:after="0" w:line="208"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all official documents dispatched by it to its shareholders in order to receive the formal approval of shareholders in their capacity as such at the same time as they are dispatched;</w:t>
      </w:r>
    </w:p>
    <w:p>
      <w:pPr>
        <w:spacing w:after="0" w:line="197"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442"/>
        </w:numPr>
        <w:rPr>
          <w:rFonts w:ascii="Arial" w:cs="Arial" w:eastAsia="Arial" w:hAnsi="Arial"/>
          <w:sz w:val="17"/>
          <w:szCs w:val="17"/>
          <w:color w:val="auto"/>
        </w:rPr>
      </w:pPr>
      <w:r>
        <w:rPr>
          <w:rFonts w:ascii="Arial" w:cs="Arial" w:eastAsia="Arial" w:hAnsi="Arial"/>
          <w:sz w:val="17"/>
          <w:szCs w:val="17"/>
          <w:color w:val="auto"/>
        </w:rPr>
        <w:t>promptly upon a senior officer of the Borrower becoming aware of them, details of any litigation, arbitration or administrative proceedings which are current, threatened or pending against the Borrower, and which might, if adversely determined, have a Material Adverse Effect on the financial condition of the Borrower or the Guarantor (considered separately or on a consolidated basis with the Guarantor’s Subsidiaries) or on the ability of the Borrower to perform its obligations under this Agreement or on the ability of the Guarantor to perform its obligations under any Security Document;</w:t>
      </w:r>
    </w:p>
    <w:p>
      <w:pPr>
        <w:spacing w:after="0" w:line="199" w:lineRule="exact"/>
        <w:rPr>
          <w:rFonts w:ascii="Arial" w:cs="Arial" w:eastAsia="Arial" w:hAnsi="Arial"/>
          <w:sz w:val="17"/>
          <w:szCs w:val="17"/>
          <w:color w:val="auto"/>
        </w:rPr>
      </w:pPr>
    </w:p>
    <w:p>
      <w:pPr>
        <w:ind w:left="1304" w:hanging="655"/>
        <w:spacing w:after="0"/>
        <w:tabs>
          <w:tab w:leader="none" w:pos="130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information with respect to, and copies of, all environmental notices and claims arising under any Environmental Laws;</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promptly, such further information in the possession or control of the Borrower, or the Guarantor or any of its Subsidiaries regarding its financial condition and operations as any Finance Party may reasonably request;</w:t>
      </w:r>
    </w:p>
    <w:p>
      <w:pPr>
        <w:spacing w:after="0" w:line="197"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promptly upon the cancellation or suspension of any commitment for, or underwriting of, any Financial Indebtedness of the Borrower or the Guarantor as a result of an event of default (howsoever described) under the document relating to such Financial Indebtedness notice of such cancellation or suspension and details of the reason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2466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4" w:name="page445"/>
    <w:bookmarkEnd w:id="444"/>
    <w:p>
      <w:pPr>
        <w:ind w:left="4964"/>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28" w:lineRule="exact"/>
        <w:rPr>
          <w:sz w:val="20"/>
          <w:szCs w:val="20"/>
          <w:color w:val="auto"/>
        </w:rPr>
      </w:pPr>
    </w:p>
    <w:p>
      <w:pPr>
        <w:ind w:left="1304" w:hanging="655"/>
        <w:spacing w:after="0" w:line="277" w:lineRule="auto"/>
        <w:tabs>
          <w:tab w:leader="none" w:pos="130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such information as the Agent may reasonably request on behalf of any given Lender to facilitate the Lender completing appropriate “Know Your Customer” due diligence investigations.</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in sufficient copies for all of the Lenders. if the Agent so requests;</w:t>
      </w:r>
    </w:p>
    <w:p>
      <w:pPr>
        <w:spacing w:after="0" w:line="252" w:lineRule="exact"/>
        <w:rPr>
          <w:sz w:val="20"/>
          <w:szCs w:val="20"/>
          <w:color w:val="auto"/>
        </w:rPr>
      </w:pPr>
    </w:p>
    <w:p>
      <w:pPr>
        <w:ind w:left="644" w:hanging="644"/>
        <w:spacing w:after="0"/>
        <w:tabs>
          <w:tab w:leader="none" w:pos="644"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Borrower shall supply to the Agent:</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together with the accounts specified in paragraph (a) above (Financial information); and</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promptly at any other time, if the Agent so requests.</w:t>
      </w:r>
    </w:p>
    <w:p>
      <w:pPr>
        <w:spacing w:after="0" w:line="252"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a certificate signed by two of its senior officers or directors on its behalf certifying that no Event of Default is outstanding or. if an Event of Default is outstanding, specifying the Event of Default and the steps, if any, being taken to remedy it;</w:t>
      </w:r>
    </w:p>
    <w:p>
      <w:pPr>
        <w:spacing w:after="0" w:line="197" w:lineRule="exact"/>
        <w:rPr>
          <w:sz w:val="20"/>
          <w:szCs w:val="20"/>
          <w:color w:val="auto"/>
        </w:rPr>
      </w:pPr>
    </w:p>
    <w:p>
      <w:pPr>
        <w:ind w:left="644" w:hanging="644"/>
        <w:spacing w:after="0"/>
        <w:tabs>
          <w:tab w:leader="none" w:pos="644"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Authorisations:</w:t>
      </w:r>
      <w:r>
        <w:rPr>
          <w:rFonts w:ascii="Arial" w:cs="Arial" w:eastAsia="Arial" w:hAnsi="Arial"/>
          <w:sz w:val="18"/>
          <w:szCs w:val="18"/>
          <w:color w:val="auto"/>
        </w:rPr>
        <w:t xml:space="preserve"> The Borrower shall promptly:</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obtain, maintain and comply with the terms of; and</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52"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any authorization required to be obtained by the Borrower under any law or regulation to enable it to perform its obligations under. or for the validity or enforceability of,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2466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5" w:name="page446"/>
    <w:bookmarkEnd w:id="445"/>
    <w:p>
      <w:pPr>
        <w:ind w:left="4964"/>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64" w:lineRule="auto"/>
        <w:tabs>
          <w:tab w:leader="none" w:pos="64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Senior ranking</w:t>
      </w:r>
      <w:r>
        <w:rPr>
          <w:rFonts w:ascii="Arial" w:cs="Arial" w:eastAsia="Arial" w:hAnsi="Arial"/>
          <w:sz w:val="18"/>
          <w:szCs w:val="18"/>
          <w:color w:val="auto"/>
        </w:rPr>
        <w:t>: The Borrower shall procure that its obligations under the Loan Documents and each Security Issuer’s obligations under each Security Document, as applicable do and will rank senior to all its/their other present and future senior secured and unsecured obligations (except for those mandatorily preferred by law);</w:t>
      </w:r>
    </w:p>
    <w:p>
      <w:pPr>
        <w:spacing w:after="0" w:line="20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Change of Business</w:t>
      </w:r>
      <w:r>
        <w:rPr>
          <w:rFonts w:ascii="Arial" w:cs="Arial" w:eastAsia="Arial" w:hAnsi="Arial"/>
          <w:sz w:val="18"/>
          <w:szCs w:val="18"/>
          <w:color w:val="auto"/>
        </w:rPr>
        <w:t>: The Borrower shall procure that no substantial change is made to the general nature or scope of the business of the Borrower or the Guarantor from that carried on at the date of this Agreement/proposed to be carried on by virtue of application of the Loans as contemplated hereby, except changes contemplated by any business plan provided to the Lenders in connection with the loan facilities provided for in this Agreement;</w:t>
      </w:r>
    </w:p>
    <w:p>
      <w:pPr>
        <w:spacing w:after="0" w:line="213"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The Borrower shall comply with and procure that the Guarantor and NFE Bermuda comply with all Requirements of Law and Contractual Obligations, except where the failure to comply would not reasonably be expected to result in a Material Adverse Effect;</w:t>
      </w:r>
    </w:p>
    <w:p>
      <w:pPr>
        <w:spacing w:after="0" w:line="208"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Payment of Obligations, Etc</w:t>
      </w:r>
      <w:r>
        <w:rPr>
          <w:rFonts w:ascii="Arial" w:cs="Arial" w:eastAsia="Arial" w:hAnsi="Arial"/>
          <w:sz w:val="18"/>
          <w:szCs w:val="18"/>
          <w:color w:val="auto"/>
        </w:rPr>
        <w:t xml:space="preserve">. The Borrower shall pay and discharge, its obligations, including tax liabilities, that if not paid before the same shall become delinquent or in default, would reasonably be expected to result in a Material Adverse Effect including (a) all taxes, assessments and governmental charges or levies imposed upon it or upon its property promptly upon the same becoming due and (b) all lawful claims that, if unpaid, would by law result in a Security Interest arising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pay or discharge any such obligation (i) the validity or amount of which is being contested in good faith and by proper proceedings, (ii) as to which appropriate reserves are being maintained and (iii) as to which no enforcement action has been commenced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266700</wp:posOffset>
            </wp:positionV>
            <wp:extent cx="72466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6" w:name="page447"/>
    <w:bookmarkEnd w:id="446"/>
    <w:p>
      <w:pPr>
        <w:ind w:left="4964"/>
        <w:spacing w:after="0"/>
        <w:rPr>
          <w:sz w:val="20"/>
          <w:szCs w:val="20"/>
          <w:color w:val="auto"/>
        </w:rPr>
      </w:pPr>
      <w:r>
        <w:rPr>
          <w:rFonts w:ascii="Arial" w:cs="Arial" w:eastAsia="Arial" w:hAnsi="Arial"/>
          <w:sz w:val="18"/>
          <w:szCs w:val="18"/>
          <w:color w:val="auto"/>
        </w:rPr>
        <w:t>42</w:t>
      </w:r>
    </w:p>
    <w:p>
      <w:pPr>
        <w:spacing w:after="0" w:line="185" w:lineRule="exact"/>
        <w:rPr>
          <w:sz w:val="20"/>
          <w:szCs w:val="20"/>
          <w:color w:val="auto"/>
        </w:rPr>
      </w:pPr>
    </w:p>
    <w:p>
      <w:pPr>
        <w:jc w:val="both"/>
        <w:ind w:left="644" w:hanging="644"/>
        <w:spacing w:after="0" w:line="257" w:lineRule="auto"/>
        <w:tabs>
          <w:tab w:leader="none" w:pos="644"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xml:space="preserve"> The Borrower shall comply with and, so far as it is reasonably able to do so, ensure compliance, by all tenants, sub-tenants, lessees and other persons operating on or occupying its properties, with all applicable Environmental Laws and Environmental Permits and obtain, renew, maintain, comply with and ensure that all tenants, sub-tenants, lessees and other persons operating on or occupying its properties, obtain, renew, maintain and comply with Environmental Permits, except as would not reasonably he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2466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7" w:name="page448"/>
    <w:bookmarkEnd w:id="447"/>
    <w:p>
      <w:pPr>
        <w:ind w:left="4964"/>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9" w:lineRule="auto"/>
        <w:tabs>
          <w:tab w:leader="none" w:pos="644"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xml:space="preserve"> The borrower shall preserve and maintain, and, as far as it is reasonable so to do, cause NFE Bermuda, the Guarantor and the Borrower to preserve and maintain, its existence, legal structure, legal name, rights (charter and statutory), approvals, privileges and franchises in connection with its right to engage in business of the same general type as now conducted by it except as would not reasonably be expected to have a Material Adverse Effect;</w:t>
      </w:r>
    </w:p>
    <w:p>
      <w:pPr>
        <w:spacing w:after="0" w:line="214" w:lineRule="exact"/>
        <w:rPr>
          <w:sz w:val="20"/>
          <w:szCs w:val="20"/>
          <w:color w:val="auto"/>
        </w:rPr>
      </w:pPr>
    </w:p>
    <w:p>
      <w:pPr>
        <w:jc w:val="both"/>
        <w:ind w:left="644" w:hanging="644"/>
        <w:spacing w:after="0" w:line="273" w:lineRule="auto"/>
        <w:tabs>
          <w:tab w:leader="none" w:pos="644"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Visitation Rights</w:t>
      </w:r>
      <w:r>
        <w:rPr>
          <w:rFonts w:ascii="Arial" w:cs="Arial" w:eastAsia="Arial" w:hAnsi="Arial"/>
          <w:sz w:val="17"/>
          <w:szCs w:val="17"/>
          <w:color w:val="auto"/>
        </w:rPr>
        <w:t>: The Borrower shall at any reasonable time and from time to time and as may be reasonably required (a) provide the lenders such information as they may reasonably request through the Agent; and (b) permit the Agent, any of the Lenders or any of their authorized agents or representatives (i) to examine and make copies of and abstracts from the records and books or account of the Borrower, the Guarantor and NFE Bermuda; (ii) to visit the offices and other facilities and properties of the Borrower, the Guarantor and any of its Subsidiaries upon reasonable notice; and (iii) to discuss the affairs, finances, accounts, and condition of the Borrower, the Guarantor and any of its Subsidiaries with an of their respective officers and executives.</w:t>
      </w:r>
    </w:p>
    <w:p>
      <w:pPr>
        <w:spacing w:after="0" w:line="205" w:lineRule="exact"/>
        <w:rPr>
          <w:sz w:val="20"/>
          <w:szCs w:val="20"/>
          <w:color w:val="auto"/>
        </w:rPr>
      </w:pPr>
    </w:p>
    <w:p>
      <w:pPr>
        <w:ind w:left="644" w:hanging="644"/>
        <w:spacing w:after="0"/>
        <w:tabs>
          <w:tab w:leader="none" w:pos="644"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w:t>
      </w:r>
    </w:p>
    <w:p>
      <w:pPr>
        <w:spacing w:after="0" w:line="252" w:lineRule="exact"/>
        <w:rPr>
          <w:sz w:val="20"/>
          <w:szCs w:val="20"/>
          <w:color w:val="auto"/>
        </w:rPr>
      </w:pPr>
    </w:p>
    <w:p>
      <w:pPr>
        <w:jc w:val="both"/>
        <w:ind w:left="644"/>
        <w:spacing w:after="0" w:line="264" w:lineRule="auto"/>
        <w:rPr>
          <w:sz w:val="20"/>
          <w:szCs w:val="20"/>
          <w:color w:val="auto"/>
        </w:rPr>
      </w:pPr>
      <w:r>
        <w:rPr>
          <w:rFonts w:ascii="Arial" w:cs="Arial" w:eastAsia="Arial" w:hAnsi="Arial"/>
          <w:sz w:val="18"/>
          <w:szCs w:val="18"/>
          <w:color w:val="auto"/>
        </w:rPr>
        <w:t>The Borrower shall maintain and preserve, and cause the Guarantor to maintain and preserve, all of its properties that are used or useful in the conduct of its business in good working order and condition, ordinary wear and tear excepted to the extent that failure to do so would be likely to have a Material Adverse Effect;</w:t>
      </w:r>
    </w:p>
    <w:p>
      <w:pPr>
        <w:spacing w:after="0" w:line="208" w:lineRule="exact"/>
        <w:rPr>
          <w:sz w:val="20"/>
          <w:szCs w:val="20"/>
          <w:color w:val="auto"/>
        </w:rPr>
      </w:pPr>
    </w:p>
    <w:p>
      <w:pPr>
        <w:jc w:val="both"/>
        <w:ind w:left="644" w:hanging="644"/>
        <w:spacing w:after="0" w:line="259" w:lineRule="auto"/>
        <w:tabs>
          <w:tab w:leader="none" w:pos="644"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Maintenance of License</w:t>
      </w:r>
      <w:r>
        <w:rPr>
          <w:rFonts w:ascii="Arial" w:cs="Arial" w:eastAsia="Arial" w:hAnsi="Arial"/>
          <w:sz w:val="18"/>
          <w:szCs w:val="18"/>
          <w:color w:val="auto"/>
        </w:rPr>
        <w:t xml:space="preserve"> The Borrower shall preserve and maintain, and use its bests efforts to cause the Guarantor and NFE Bermuda to preserve and maintain, all necessary authorizations, permits and licenses in connection with its right to engage in business of the same general type as now conducted /proposed to be conducted by it, to the extent that failure to do so would be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2466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48" w:name="page449"/>
    <w:bookmarkEnd w:id="448"/>
    <w:p>
      <w:pPr>
        <w:jc w:val="center"/>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28" w:lineRule="exact"/>
        <w:rPr>
          <w:sz w:val="20"/>
          <w:szCs w:val="20"/>
          <w:color w:val="auto"/>
        </w:rPr>
      </w:pPr>
    </w:p>
    <w:p>
      <w:pPr>
        <w:jc w:val="both"/>
        <w:ind w:left="1300" w:hanging="644"/>
        <w:spacing w:after="0" w:line="259" w:lineRule="auto"/>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The Borrower shall carry and maintain or cause to be carried and maintained, at its expense, insurance or a self-insurance programme on or in relation to its business and assets with reputable and financially sound insurance companies and underwriters against risks of the kind customarily insured against by companies carrying on similar businesses and in amounts reasonably and commercially prudent for such companies:</w:t>
      </w:r>
    </w:p>
    <w:p>
      <w:pPr>
        <w:spacing w:after="0" w:line="213"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The Borrower shall promptly upon request by the Agent, correct, and cause the Borrower and the Guarantor and any of Guarantor’s Subsidiaries, as far as it is reasonable so to do, promptly to correct any defect or error that may be discovered in the execution, acknowledgement, stamping, filing or recording of any Loan Document:</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Publication by Lenders</w:t>
      </w:r>
      <w:r>
        <w:rPr>
          <w:rFonts w:ascii="Arial" w:cs="Arial" w:eastAsia="Arial" w:hAnsi="Arial"/>
          <w:sz w:val="18"/>
          <w:szCs w:val="18"/>
          <w:color w:val="auto"/>
        </w:rPr>
        <w:t>: The Lenders shall be permitted to publish their involvement in providing the Facility subject to the prior approval of the Borrower, the same not to be unreasonably withheld;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Negative Covenants</w:t>
      </w:r>
      <w:r>
        <w:rPr>
          <w:rFonts w:ascii="Arial" w:cs="Arial" w:eastAsia="Arial" w:hAnsi="Arial"/>
          <w:sz w:val="18"/>
          <w:szCs w:val="18"/>
          <w:color w:val="auto"/>
        </w:rPr>
        <w:t>: Except with the prior consent in writing by the Lenders making up 75% of the total outstanding debt (or where so specified below, the Majority Lenders), so long as any Commitment remains in effect or any amount is owing to any Finance Party hereunder or under any other Loan Document (and save as specifically otherwise provided for hereunder or consented to in writing by the Lenders):</w:t>
      </w:r>
    </w:p>
    <w:p>
      <w:pPr>
        <w:spacing w:after="0" w:line="208" w:lineRule="exact"/>
        <w:rPr>
          <w:sz w:val="20"/>
          <w:szCs w:val="20"/>
          <w:color w:val="auto"/>
        </w:rPr>
      </w:pPr>
    </w:p>
    <w:p>
      <w:pPr>
        <w:ind w:left="1300" w:right="20" w:hanging="644"/>
        <w:spacing w:after="0" w:line="277" w:lineRule="auto"/>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Negative pledge</w:t>
      </w:r>
      <w:r>
        <w:rPr>
          <w:rFonts w:ascii="Arial" w:cs="Arial" w:eastAsia="Arial" w:hAnsi="Arial"/>
          <w:sz w:val="18"/>
          <w:szCs w:val="18"/>
          <w:color w:val="auto"/>
        </w:rPr>
        <w:t>: The Borrower shall not and shall procure that the Guarantor shall not, create or permit to subsist any Security Interest other than a Permitted Security Interest on any of its present or future assets;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Transactions similar to security:</w:t>
      </w:r>
      <w:r>
        <w:rPr>
          <w:rFonts w:ascii="Arial" w:cs="Arial" w:eastAsia="Arial" w:hAnsi="Arial"/>
          <w:sz w:val="18"/>
          <w:szCs w:val="18"/>
          <w:color w:val="auto"/>
        </w:rPr>
        <w:t xml:space="preserve"> The Borrower shall not:</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it is or may be leased to or re-acquired or acquired by the Borrower or an Affiliate excepting where the assets to be disposed of have a book value or fair market value equivalent to 10% or less of the book value or fair market value of the Borrower’s assets;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9" w:name="page450"/>
    <w:bookmarkEnd w:id="449"/>
    <w:p>
      <w:pPr>
        <w:ind w:left="4964"/>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28" w:lineRule="exact"/>
        <w:rPr>
          <w:sz w:val="20"/>
          <w:szCs w:val="20"/>
          <w:color w:val="auto"/>
        </w:rPr>
      </w:pPr>
    </w:p>
    <w:p>
      <w:pPr>
        <w:ind w:left="1304" w:hanging="655"/>
        <w:spacing w:after="0" w:line="277" w:lineRule="auto"/>
        <w:tabs>
          <w:tab w:leader="none" w:pos="130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 except tor the discounting of bills or noses; in the ordinary course of trading,</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6"/>
          <w:szCs w:val="16"/>
          <w:color w:val="auto"/>
        </w:rPr>
        <w:t>in circumstances where the transaction is entered into primarily as a method of raising finance or of financing the acquisition of an asset:</w:t>
      </w:r>
    </w:p>
    <w:p>
      <w:pPr>
        <w:spacing w:after="0" w:line="275" w:lineRule="exact"/>
        <w:rPr>
          <w:sz w:val="20"/>
          <w:szCs w:val="20"/>
          <w:color w:val="auto"/>
        </w:rPr>
      </w:pPr>
    </w:p>
    <w:p>
      <w:pPr>
        <w:jc w:val="both"/>
        <w:ind w:left="644" w:hanging="644"/>
        <w:spacing w:after="0" w:line="286" w:lineRule="auto"/>
        <w:tabs>
          <w:tab w:leader="none" w:pos="644"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Disposals</w:t>
      </w:r>
      <w:r>
        <w:rPr>
          <w:rFonts w:ascii="Arial" w:cs="Arial" w:eastAsia="Arial" w:hAnsi="Arial"/>
          <w:sz w:val="17"/>
          <w:szCs w:val="17"/>
          <w:color w:val="auto"/>
        </w:rPr>
        <w:t>: The Borrower shall not either in a single transaction or in a series of transactions, whether related or not and whether voluntarily or involuntarily, sell, transfer, grant a lease or otherwise dispose or all or any part of its assets exceeding 10% of Tangible Net Worth (as of the time of disposition) in any transaction or series of transactions. This paragraph shall not apply to:</w:t>
      </w:r>
    </w:p>
    <w:p>
      <w:pPr>
        <w:spacing w:after="0" w:line="192" w:lineRule="exact"/>
        <w:rPr>
          <w:rFonts w:ascii="Arial" w:cs="Arial" w:eastAsia="Arial" w:hAnsi="Arial"/>
          <w:sz w:val="17"/>
          <w:szCs w:val="17"/>
          <w:color w:val="auto"/>
        </w:rPr>
      </w:pPr>
    </w:p>
    <w:p>
      <w:pPr>
        <w:ind w:left="1304" w:hanging="655"/>
        <w:spacing w:after="0"/>
        <w:tabs>
          <w:tab w:leader="none" w:pos="130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disposals made in the ordinary course of business of the disposing entity: or</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disposals of assets in exchange for other assets comparable or superior as to type, value and quality.</w:t>
      </w:r>
    </w:p>
    <w:p>
      <w:pPr>
        <w:spacing w:after="0" w:line="252"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Maintenance by capital expenditure</w:t>
      </w:r>
      <w:r>
        <w:rPr>
          <w:rFonts w:ascii="Arial" w:cs="Arial" w:eastAsia="Arial" w:hAnsi="Arial"/>
          <w:sz w:val="18"/>
          <w:szCs w:val="18"/>
          <w:color w:val="auto"/>
        </w:rPr>
        <w:t>: Except with the prior written consent of the Majority Lenders, the Borrower shall not expend, towards maintenance and/or business expansion in the normal course of business in any given calendar year (approved by the Directors) any amount in excess of US$750,000, not including incremental capital investments from time to time made and funded by equity or Qualified Shareholder Debt;</w:t>
      </w:r>
    </w:p>
    <w:p>
      <w:pPr>
        <w:spacing w:after="0" w:line="21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Reduction of Capital</w:t>
      </w:r>
      <w:r>
        <w:rPr>
          <w:rFonts w:ascii="Arial" w:cs="Arial" w:eastAsia="Arial" w:hAnsi="Arial"/>
          <w:sz w:val="18"/>
          <w:szCs w:val="18"/>
          <w:color w:val="auto"/>
        </w:rPr>
        <w:t>: Except with the prior written consent of the Majority Lenders, the Borrower shall not (i) make any distribution in specie or in kind; (ii) redeem or re-purchase any of its shares or take any steps to reduce its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2466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0" w:name="page451"/>
    <w:bookmarkEnd w:id="450"/>
    <w:p>
      <w:pPr>
        <w:ind w:left="4964"/>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28" w:lineRule="exact"/>
        <w:rPr>
          <w:sz w:val="20"/>
          <w:szCs w:val="20"/>
          <w:color w:val="auto"/>
        </w:rPr>
      </w:pPr>
    </w:p>
    <w:p>
      <w:pPr>
        <w:jc w:val="both"/>
        <w:ind w:left="644" w:hanging="644"/>
        <w:spacing w:after="0" w:line="254"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Restriction on dividends</w:t>
      </w:r>
      <w:r>
        <w:rPr>
          <w:rFonts w:ascii="Arial" w:cs="Arial" w:eastAsia="Arial" w:hAnsi="Arial"/>
          <w:sz w:val="18"/>
          <w:szCs w:val="18"/>
          <w:color w:val="auto"/>
        </w:rPr>
        <w:t>: Except with the prior written consent of the Majority Lenders, the Borrower shall not while the Borrower is in breach of any of the covenants in clause 15.3 pay (a) any dividends and shall not resume payment of dividends and (b) on any Qualified Shareholder Debt, in each case until the breach of any of such covenants is remedied to the Lender’s satisfaction PROVIDED THAT (i) payment(s) on any such Qualified Shareholder Debt shall be made only to the extent that such payment(s) could have been made had the same been dividends, as permitted by the provisions of this Agreement and not otherwise; and (ii) no dividends shall be paid by the Borrower or (iii) payments made in respect of Qualified Shareholder Debt, in each case if the result of such payment will give rise to a breach of the covenants in clause 15.3; and (iv) no dividends or Qualified Shareholder Payments shall be made during the Moratorium Period referred to in Clause 6;</w:t>
      </w:r>
    </w:p>
    <w:p>
      <w:pPr>
        <w:spacing w:after="0" w:line="219"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Restriction on Lending</w:t>
      </w:r>
      <w:r>
        <w:rPr>
          <w:rFonts w:ascii="Arial" w:cs="Arial" w:eastAsia="Arial" w:hAnsi="Arial"/>
          <w:sz w:val="18"/>
          <w:szCs w:val="18"/>
          <w:color w:val="auto"/>
        </w:rPr>
        <w:t>: Except with the prior written consent of the Majority Lenders the Borrower shall not make or agree to make any loan or grant any other credit facility to any Person other than a Guarantor or the entities controlled by the Borrower except for normal trade credits in the ordinary course of business provided that in the case of this clause, the Borrower is not in breach of the covenants in Clause 15.3);</w:t>
      </w:r>
    </w:p>
    <w:p>
      <w:pPr>
        <w:spacing w:after="0" w:line="213" w:lineRule="exact"/>
        <w:rPr>
          <w:rFonts w:ascii="Arial" w:cs="Arial" w:eastAsia="Arial" w:hAnsi="Arial"/>
          <w:sz w:val="18"/>
          <w:szCs w:val="18"/>
          <w:color w:val="auto"/>
        </w:rPr>
      </w:pPr>
    </w:p>
    <w:p>
      <w:pPr>
        <w:jc w:val="both"/>
        <w:ind w:left="644" w:right="20" w:hanging="644"/>
        <w:spacing w:after="0" w:line="259"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Restriction on dealing with Affiliates</w:t>
      </w:r>
      <w:r>
        <w:rPr>
          <w:rFonts w:ascii="Arial" w:cs="Arial" w:eastAsia="Arial" w:hAnsi="Arial"/>
          <w:sz w:val="18"/>
          <w:szCs w:val="18"/>
          <w:color w:val="auto"/>
        </w:rPr>
        <w:t>: Except with the prior written consent of the Majority Lenders, the Borrower shall not directly or indirectly, purchase, acquire or lease any property from, or sell, transfer or lease any property to, or otherwise have any contractual dealings or enter into any transactions with, any Affiliate, except on terms no less favourable to the Borrower or such Subsidiary than would apply in the case of arm’s length contracts entered into in the ordinary course of business;</w:t>
      </w:r>
    </w:p>
    <w:p>
      <w:pPr>
        <w:spacing w:after="0" w:line="213"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Restriction on Guarantees or Indemnity to Affiliates</w:t>
      </w:r>
      <w:r>
        <w:rPr>
          <w:rFonts w:ascii="Arial" w:cs="Arial" w:eastAsia="Arial" w:hAnsi="Arial"/>
          <w:sz w:val="18"/>
          <w:szCs w:val="18"/>
          <w:color w:val="auto"/>
        </w:rPr>
        <w:t>: The Borrower shall not, without the prior written consent of the Majority Lenders, guarantee directly or indirectly or otherwise in any way assume responsibility for the obligations of any Person or provide any indemnity to a third party in respect of the Obligations of any of its Affiliates or enter into any agreement for the furnishing of funds to any other Person through the purchase of goods or services (or by way of stock purchase, capital contribution, advance or loan) for the purpose of paying or discharging the Obligations of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2466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28" w:lineRule="exact"/>
        <w:rPr>
          <w:sz w:val="20"/>
          <w:szCs w:val="20"/>
          <w:color w:val="auto"/>
        </w:rPr>
      </w:pPr>
    </w:p>
    <w:p>
      <w:pPr>
        <w:jc w:val="both"/>
        <w:ind w:left="1300" w:hanging="644"/>
        <w:spacing w:after="0" w:line="264"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The Borrower shall not enter into any Hedge Agreement other than a Hedge Agreement designed to cover an existing interest rate, foreign exchange or other financial exposure or commodity or utility exposure or any such exposure existing at the time of the entry into such Hedge Agreement.</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Indebtedness: Borrower shall not incur additional indebtedness other than Permitted Financial Indebtedness without the prior consent in writing of the Lenders (such consent not to be unreasonably withheld).</w:t>
      </w:r>
    </w:p>
    <w:p>
      <w:pPr>
        <w:spacing w:after="0" w:line="2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Financial covenants</w:t>
      </w:r>
    </w:p>
    <w:p>
      <w:pPr>
        <w:spacing w:after="0" w:line="279" w:lineRule="exact"/>
        <w:rPr>
          <w:sz w:val="20"/>
          <w:szCs w:val="20"/>
          <w:color w:val="auto"/>
        </w:rPr>
      </w:pPr>
    </w:p>
    <w:p>
      <w:pPr>
        <w:jc w:val="both"/>
        <w:ind w:right="20" w:firstLine="656"/>
        <w:spacing w:after="0" w:line="264" w:lineRule="auto"/>
        <w:tabs>
          <w:tab w:leader="none" w:pos="144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Commencing December 31. 2017, so long as any amount under the Term Loan remains outstanding or is owing to Lenders the Borrower shall procure that there be maintained the following ratios regarding the performance of the Borrower, the same to be tested semi-annually on a trailing 12 months basis against the consolidated results of the Borrower:</w:t>
      </w:r>
    </w:p>
    <w:p>
      <w:pPr>
        <w:spacing w:after="0" w:line="208" w:lineRule="exact"/>
        <w:rPr>
          <w:rFonts w:ascii="Arial" w:cs="Arial" w:eastAsia="Arial" w:hAnsi="Arial"/>
          <w:sz w:val="18"/>
          <w:szCs w:val="18"/>
          <w:color w:val="auto"/>
        </w:rPr>
      </w:pPr>
    </w:p>
    <w:p>
      <w:pPr>
        <w:ind w:left="1620" w:hanging="315"/>
        <w:spacing w:after="0"/>
        <w:tabs>
          <w:tab w:leader="none" w:pos="162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Minimum Current Ratio of 1.1;</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Minimum Debt Servicing Coverage Ratio of:</w:t>
      </w:r>
    </w:p>
    <w:p>
      <w:pPr>
        <w:spacing w:after="0" w:line="21" w:lineRule="exact"/>
        <w:rPr>
          <w:rFonts w:ascii="Arial" w:cs="Arial" w:eastAsia="Arial" w:hAnsi="Arial"/>
          <w:sz w:val="18"/>
          <w:szCs w:val="18"/>
          <w:color w:val="auto"/>
        </w:rPr>
      </w:pPr>
    </w:p>
    <w:p>
      <w:pPr>
        <w:ind w:left="1900" w:hanging="271"/>
        <w:spacing w:after="0"/>
        <w:tabs>
          <w:tab w:leader="none" w:pos="1900" w:val="left"/>
        </w:tabs>
        <w:numPr>
          <w:ilvl w:val="2"/>
          <w:numId w:val="458"/>
        </w:numPr>
        <w:rPr>
          <w:rFonts w:ascii="Arial" w:cs="Arial" w:eastAsia="Arial" w:hAnsi="Arial"/>
          <w:sz w:val="18"/>
          <w:szCs w:val="18"/>
          <w:color w:val="auto"/>
        </w:rPr>
      </w:pPr>
      <w:r>
        <w:rPr>
          <w:rFonts w:ascii="Arial" w:cs="Arial" w:eastAsia="Arial" w:hAnsi="Arial"/>
          <w:sz w:val="18"/>
          <w:szCs w:val="18"/>
          <w:color w:val="auto"/>
        </w:rPr>
        <w:t>from the date of first testing to December 31, 2018 of 1.1; and</w:t>
      </w:r>
    </w:p>
    <w:p>
      <w:pPr>
        <w:spacing w:after="0" w:line="36" w:lineRule="exact"/>
        <w:rPr>
          <w:rFonts w:ascii="Arial" w:cs="Arial" w:eastAsia="Arial" w:hAnsi="Arial"/>
          <w:sz w:val="18"/>
          <w:szCs w:val="18"/>
          <w:color w:val="auto"/>
        </w:rPr>
      </w:pPr>
    </w:p>
    <w:p>
      <w:pPr>
        <w:ind w:left="1900" w:hanging="271"/>
        <w:spacing w:after="0"/>
        <w:tabs>
          <w:tab w:leader="none" w:pos="1900" w:val="left"/>
        </w:tabs>
        <w:numPr>
          <w:ilvl w:val="2"/>
          <w:numId w:val="458"/>
        </w:numPr>
        <w:rPr>
          <w:rFonts w:ascii="Arial" w:cs="Arial" w:eastAsia="Arial" w:hAnsi="Arial"/>
          <w:sz w:val="18"/>
          <w:szCs w:val="18"/>
          <w:color w:val="auto"/>
        </w:rPr>
      </w:pPr>
      <w:r>
        <w:rPr>
          <w:rFonts w:ascii="Arial" w:cs="Arial" w:eastAsia="Arial" w:hAnsi="Arial"/>
          <w:sz w:val="18"/>
          <w:szCs w:val="18"/>
          <w:color w:val="auto"/>
        </w:rPr>
        <w:t>thereafter of 1.2;</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Leverage Ratio:</w:t>
      </w:r>
    </w:p>
    <w:p>
      <w:pPr>
        <w:spacing w:after="0" w:line="21" w:lineRule="exact"/>
        <w:rPr>
          <w:rFonts w:ascii="Arial" w:cs="Arial" w:eastAsia="Arial" w:hAnsi="Arial"/>
          <w:sz w:val="18"/>
          <w:szCs w:val="18"/>
          <w:color w:val="auto"/>
        </w:rPr>
      </w:pPr>
    </w:p>
    <w:p>
      <w:pPr>
        <w:ind w:left="1900" w:hanging="271"/>
        <w:spacing w:after="0"/>
        <w:tabs>
          <w:tab w:leader="none" w:pos="1900" w:val="left"/>
        </w:tabs>
        <w:numPr>
          <w:ilvl w:val="2"/>
          <w:numId w:val="458"/>
        </w:numPr>
        <w:rPr>
          <w:rFonts w:ascii="Arial" w:cs="Arial" w:eastAsia="Arial" w:hAnsi="Arial"/>
          <w:sz w:val="18"/>
          <w:szCs w:val="18"/>
          <w:color w:val="auto"/>
        </w:rPr>
      </w:pPr>
      <w:r>
        <w:rPr>
          <w:rFonts w:ascii="Arial" w:cs="Arial" w:eastAsia="Arial" w:hAnsi="Arial"/>
          <w:sz w:val="18"/>
          <w:szCs w:val="18"/>
          <w:color w:val="auto"/>
        </w:rPr>
        <w:t>from the date of first testing to the third anniversary of the Closing Date of 4.2;</w:t>
      </w:r>
    </w:p>
    <w:p>
      <w:pPr>
        <w:spacing w:after="0" w:line="36" w:lineRule="exact"/>
        <w:rPr>
          <w:rFonts w:ascii="Arial" w:cs="Arial" w:eastAsia="Arial" w:hAnsi="Arial"/>
          <w:sz w:val="18"/>
          <w:szCs w:val="18"/>
          <w:color w:val="auto"/>
        </w:rPr>
      </w:pPr>
    </w:p>
    <w:p>
      <w:pPr>
        <w:ind w:left="1900" w:hanging="271"/>
        <w:spacing w:after="0"/>
        <w:tabs>
          <w:tab w:leader="none" w:pos="1900" w:val="left"/>
        </w:tabs>
        <w:numPr>
          <w:ilvl w:val="2"/>
          <w:numId w:val="458"/>
        </w:numPr>
        <w:rPr>
          <w:rFonts w:ascii="Arial" w:cs="Arial" w:eastAsia="Arial" w:hAnsi="Arial"/>
          <w:sz w:val="18"/>
          <w:szCs w:val="18"/>
          <w:color w:val="auto"/>
        </w:rPr>
      </w:pPr>
      <w:r>
        <w:rPr>
          <w:rFonts w:ascii="Arial" w:cs="Arial" w:eastAsia="Arial" w:hAnsi="Arial"/>
          <w:sz w:val="18"/>
          <w:szCs w:val="18"/>
          <w:color w:val="auto"/>
        </w:rPr>
        <w:t>thereafter of 3.1</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Loan to Value not to exceed 65%</w:t>
      </w:r>
    </w:p>
    <w:p>
      <w:pPr>
        <w:spacing w:after="0" w:line="21" w:lineRule="exact"/>
        <w:rPr>
          <w:rFonts w:ascii="Arial" w:cs="Arial" w:eastAsia="Arial" w:hAnsi="Arial"/>
          <w:sz w:val="18"/>
          <w:szCs w:val="18"/>
          <w:color w:val="auto"/>
        </w:rPr>
      </w:pPr>
    </w:p>
    <w:p>
      <w:pPr>
        <w:ind w:left="1460" w:hanging="804"/>
        <w:spacing w:after="0"/>
        <w:tabs>
          <w:tab w:leader="none" w:pos="14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For purposes of the foregoing:</w:t>
      </w:r>
    </w:p>
    <w:p>
      <w:pPr>
        <w:spacing w:after="0" w:line="248"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are cash, accounts receivable, inventory, amounts held in the Debt Service Reserve Account and other assets that are likely to be converted into cash, sold, exchanged or expended in the normal course of business within one year or less, excluding amounts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color w:val="auto"/>
        </w:rPr>
        <w:t>48</w:t>
      </w:r>
    </w:p>
    <w:p>
      <w:pPr>
        <w:spacing w:after="0" w:line="178" w:lineRule="exact"/>
        <w:rPr>
          <w:sz w:val="20"/>
          <w:szCs w:val="20"/>
          <w:color w:val="auto"/>
        </w:rPr>
      </w:pPr>
    </w:p>
    <w:p>
      <w:pPr>
        <w:ind w:left="130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17"/>
          <w:szCs w:val="17"/>
          <w:b w:val="1"/>
          <w:bCs w:val="1"/>
          <w:color w:val="auto"/>
        </w:rPr>
        <w:t>Current Liabilities</w:t>
      </w:r>
      <w:r>
        <w:rPr>
          <w:rFonts w:ascii="Arial" w:cs="Arial" w:eastAsia="Arial" w:hAnsi="Arial"/>
          <w:sz w:val="21"/>
          <w:szCs w:val="21"/>
          <w:color w:val="auto"/>
        </w:rPr>
        <w:t>” means debts that are or will become payable within one year or one operating cycle, whichever is longer, excluding amounts due to related parties, and which will require Current Assets to pay (including accounts payable, accrued expenses, deferred revenue and the current portion of long-term debt).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Ratio</w:t>
      </w:r>
      <w:r>
        <w:rPr>
          <w:rFonts w:ascii="Arial" w:cs="Arial" w:eastAsia="Arial" w:hAnsi="Arial"/>
          <w:sz w:val="18"/>
          <w:szCs w:val="18"/>
          <w:color w:val="auto"/>
        </w:rPr>
        <w:t>” means the ratio of Current Assets to Current Liabilities.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Servicing Coverage Ratio</w:t>
      </w:r>
      <w:r>
        <w:rPr>
          <w:rFonts w:ascii="Arial" w:cs="Arial" w:eastAsia="Arial" w:hAnsi="Arial"/>
          <w:sz w:val="18"/>
          <w:szCs w:val="18"/>
          <w:color w:val="auto"/>
        </w:rPr>
        <w:t>” means the ratio of X to Y, where:</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is Operating Cash Flow, and</w:t>
      </w:r>
    </w:p>
    <w:p>
      <w:pPr>
        <w:spacing w:after="0" w:line="9" w:lineRule="exact"/>
        <w:rPr>
          <w:sz w:val="20"/>
          <w:szCs w:val="20"/>
          <w:color w:val="auto"/>
        </w:rPr>
      </w:pPr>
    </w:p>
    <w:p>
      <w:pPr>
        <w:ind w:left="1960"/>
        <w:spacing w:after="0" w:line="250" w:lineRule="auto"/>
        <w:rPr>
          <w:sz w:val="20"/>
          <w:szCs w:val="20"/>
          <w:color w:val="auto"/>
        </w:rPr>
      </w:pPr>
      <w:r>
        <w:rPr>
          <w:rFonts w:ascii="Arial" w:cs="Arial" w:eastAsia="Arial" w:hAnsi="Arial"/>
          <w:sz w:val="18"/>
          <w:szCs w:val="18"/>
          <w:color w:val="auto"/>
        </w:rPr>
        <w:t>Y is the sum of (i) interest expense (not including accrued and unpaid interest related to Qualified Shareholder Debt) for the trailing 12 months and (ii) the principal amortization for the trailing 12 months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operating earnings before interest, tax, depreciation and amortizations expenses.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the ratio of X to 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is the aggregate principal amount outstanding under this Agreement, not including undrawn commitments, and</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is EBITDA</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Loan-to-Value</w:t>
      </w:r>
      <w:r>
        <w:rPr>
          <w:rFonts w:ascii="Arial" w:cs="Arial" w:eastAsia="Arial" w:hAnsi="Arial"/>
          <w:sz w:val="18"/>
          <w:szCs w:val="18"/>
          <w:color w:val="auto"/>
        </w:rPr>
        <w:t>” means the percentage resulting from dividing X by 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is the aggregate principal amount outstanding under this Agreement, not including undrawn commitments, and</w:t>
      </w:r>
    </w:p>
    <w:p>
      <w:pPr>
        <w:spacing w:after="0" w:line="252" w:lineRule="exact"/>
        <w:rPr>
          <w:sz w:val="20"/>
          <w:szCs w:val="20"/>
          <w:color w:val="auto"/>
        </w:rPr>
      </w:pPr>
    </w:p>
    <w:p>
      <w:pPr>
        <w:ind w:left="1960" w:right="240"/>
        <w:spacing w:after="0" w:line="264" w:lineRule="auto"/>
        <w:rPr>
          <w:sz w:val="20"/>
          <w:szCs w:val="20"/>
          <w:color w:val="auto"/>
        </w:rPr>
      </w:pPr>
      <w:r>
        <w:rPr>
          <w:rFonts w:ascii="Arial" w:cs="Arial" w:eastAsia="Arial" w:hAnsi="Arial"/>
          <w:sz w:val="18"/>
          <w:szCs w:val="18"/>
          <w:color w:val="auto"/>
        </w:rPr>
        <w:t>Y is (i) during construction of the Project, Projects costs as determined by the Quantity Surveyor’s or Independent Engineer’s estimates; and (ii) post construction of the Project, the market value of the Project as quoted in a Valuation Report prepared by a Valuator acceptable to the Majority Lenders</w:t>
      </w:r>
    </w:p>
    <w:p>
      <w:pPr>
        <w:spacing w:after="0" w:line="204" w:lineRule="exact"/>
        <w:rPr>
          <w:sz w:val="20"/>
          <w:szCs w:val="20"/>
          <w:color w:val="auto"/>
        </w:rPr>
      </w:pPr>
    </w:p>
    <w:p>
      <w:pPr>
        <w:ind w:left="1300"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Cash Flow</w:t>
      </w:r>
      <w:r>
        <w:rPr>
          <w:rFonts w:ascii="Arial" w:cs="Arial" w:eastAsia="Arial" w:hAnsi="Arial"/>
          <w:sz w:val="18"/>
          <w:szCs w:val="18"/>
          <w:color w:val="auto"/>
        </w:rPr>
        <w:t>” means net income plus depreciation, interest, taxes and amortization expenses plus changes in working capital plus any non-cash charges</w:t>
      </w:r>
    </w:p>
    <w:p>
      <w:pPr>
        <w:spacing w:after="0" w:line="220" w:lineRule="exact"/>
        <w:rPr>
          <w:sz w:val="20"/>
          <w:szCs w:val="20"/>
          <w:color w:val="auto"/>
        </w:rPr>
      </w:pPr>
    </w:p>
    <w:p>
      <w:pPr>
        <w:ind w:right="160" w:firstLine="656"/>
        <w:spacing w:after="0" w:line="277" w:lineRule="auto"/>
        <w:tabs>
          <w:tab w:leader="none" w:pos="138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All Financial Covenants are to be tested semi-annually using annualized figures, in arrears, on a rolling twelve month basis commencing December 31, 2017.</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Combination</w:t>
      </w:r>
      <w:r>
        <w:rPr>
          <w:rFonts w:ascii="Arial" w:cs="Arial" w:eastAsia="Arial" w:hAnsi="Arial"/>
          <w:sz w:val="18"/>
          <w:szCs w:val="18"/>
          <w:color w:val="auto"/>
        </w:rPr>
        <w:t>: All the terms defined in paragraphs (a) and (b) above are to be determined in accordance with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color w:val="auto"/>
        </w:rPr>
        <w:t>49</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Application of Financial Ratios</w:t>
      </w:r>
      <w:r>
        <w:rPr>
          <w:rFonts w:ascii="Arial" w:cs="Arial" w:eastAsia="Arial" w:hAnsi="Arial"/>
          <w:sz w:val="16"/>
          <w:szCs w:val="16"/>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 it is provided that a financial ratio shall be achieved by the close of any financial period it means that such ratio shall be tested and proven based on the relevant financial statements as at the close of such financial period and thereafter shall be maintained so long as any sum is owing hereunder or any Commitment is in force.</w:t>
      </w:r>
    </w:p>
    <w:p>
      <w:pPr>
        <w:spacing w:after="0" w:line="23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5"/>
          <w:szCs w:val="15"/>
          <w:u w:val="single" w:color="auto"/>
          <w:color w:val="auto"/>
        </w:rPr>
        <w:t>Pari Passu Security</w:t>
      </w:r>
      <w:r>
        <w:rPr>
          <w:rFonts w:ascii="Arial" w:cs="Arial" w:eastAsia="Arial" w:hAnsi="Arial"/>
          <w:sz w:val="15"/>
          <w:szCs w:val="15"/>
          <w:color w:val="auto"/>
        </w:rPr>
        <w: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Borrower shall at any time create any Security Interest (not being a Permitted Security Interest) over or in respect of any of its property or if any such Security Interest shall arise then, and in any such case, without prejudice to the Event of Default which shall thereby occur and any action which the Borrower may take under sub-clause 16.2. a like Security Interest, ranking pari passu with the first mentioned Security Interest and securing the obligations owing under the Loan Documents, shall be automatically and simultaneously created in favour of the Agent as agent for the Finance Parties without requiring any further amendment or assurance in order to give full effect thereto and registration of notice of this Agreement on the Security Interests in Personal Property Register and/or delivery of the same to the Registrar of Companies shall constitute as applicable due registration of the same and delivery for registration of a charge under the Companies Act.</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Duration</w:t>
      </w:r>
      <w:r>
        <w:rPr>
          <w:rFonts w:ascii="Arial" w:cs="Arial" w:eastAsia="Arial" w:hAnsi="Arial"/>
          <w:sz w:val="18"/>
          <w:szCs w:val="18"/>
          <w:color w:val="auto"/>
        </w:rPr>
        <w:t>: The undertakings in sub-clauses 15.1, 15.2, 15.3, 15.4 and 15.5 shall remain in force from the date of this Agreement for so long as any amount is or may be outstanding under this Agreement or any Commitment is in force.</w:t>
      </w:r>
    </w:p>
    <w:p>
      <w:pPr>
        <w:spacing w:after="0" w:line="220" w:lineRule="exact"/>
        <w:rPr>
          <w:sz w:val="20"/>
          <w:szCs w:val="20"/>
          <w:color w:val="auto"/>
        </w:rPr>
      </w:pPr>
    </w:p>
    <w:p>
      <w:pPr>
        <w:ind w:left="720" w:hanging="712"/>
        <w:spacing w:after="0"/>
        <w:tabs>
          <w:tab w:leader="none" w:pos="720" w:val="left"/>
        </w:tabs>
        <w:numPr>
          <w:ilvl w:val="0"/>
          <w:numId w:val="460"/>
        </w:numPr>
        <w:rPr>
          <w:rFonts w:ascii="Arial" w:cs="Arial" w:eastAsia="Arial" w:hAnsi="Arial"/>
          <w:sz w:val="18"/>
          <w:szCs w:val="18"/>
          <w:color w:val="auto"/>
        </w:rPr>
      </w:pPr>
      <w:r>
        <w:rPr>
          <w:rFonts w:ascii="Arial" w:cs="Arial" w:eastAsia="Arial" w:hAnsi="Arial"/>
          <w:sz w:val="18"/>
          <w:szCs w:val="18"/>
          <w:b w:val="1"/>
          <w:bCs w:val="1"/>
          <w:u w:val="single" w:color="auto"/>
          <w:color w:val="auto"/>
        </w:rPr>
        <w:t>Events of Default</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events set out in paragraphs (a) to (t) (inclusive) is an Event of Default (whether or not caused by any reason whatsoever outside the control of the Borrower or any other person).</w:t>
      </w:r>
    </w:p>
    <w:p>
      <w:pPr>
        <w:spacing w:after="0" w:line="197" w:lineRule="exact"/>
        <w:rPr>
          <w:sz w:val="20"/>
          <w:szCs w:val="20"/>
          <w:color w:val="auto"/>
        </w:rPr>
      </w:pPr>
    </w:p>
    <w:p>
      <w:pPr>
        <w:jc w:val="both"/>
        <w:ind w:left="1300" w:hanging="644"/>
        <w:spacing w:after="0" w:line="312" w:lineRule="auto"/>
        <w:tabs>
          <w:tab w:leader="none" w:pos="1300"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Borrower shall fail to pay within five (5) Business Days of the due date at the place and in the currency and funds in which it is expressed to be payable any principal or interest under the Loan Documents or any fee or reimbursable expense payable by it under the Loan Documents in respect of which written notice of the sum due has been given to senior officer(s) of the Borrower;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4" w:name="page455"/>
    <w:bookmarkEnd w:id="454"/>
    <w:p>
      <w:pPr>
        <w:ind w:left="4964"/>
        <w:spacing w:after="0"/>
        <w:rPr>
          <w:sz w:val="20"/>
          <w:szCs w:val="20"/>
          <w:color w:val="auto"/>
        </w:rPr>
      </w:pPr>
      <w:r>
        <w:rPr>
          <w:rFonts w:ascii="Arial" w:cs="Arial" w:eastAsia="Arial" w:hAnsi="Arial"/>
          <w:sz w:val="18"/>
          <w:szCs w:val="18"/>
          <w:color w:val="auto"/>
        </w:rPr>
        <w:t>50</w:t>
      </w:r>
    </w:p>
    <w:p>
      <w:pPr>
        <w:spacing w:after="0" w:line="185" w:lineRule="exact"/>
        <w:rPr>
          <w:sz w:val="20"/>
          <w:szCs w:val="20"/>
          <w:color w:val="auto"/>
        </w:rPr>
      </w:pPr>
    </w:p>
    <w:p>
      <w:pPr>
        <w:ind w:left="644" w:hanging="644"/>
        <w:spacing w:after="0"/>
        <w:tabs>
          <w:tab w:leader="none" w:pos="64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Intentionally omitted; or</w:t>
      </w:r>
    </w:p>
    <w:p>
      <w:pPr>
        <w:spacing w:after="0" w:line="252"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Breach of other obligations:</w:t>
      </w:r>
      <w:r>
        <w:rPr>
          <w:rFonts w:ascii="Arial" w:cs="Arial" w:eastAsia="Arial" w:hAnsi="Arial"/>
          <w:sz w:val="17"/>
          <w:szCs w:val="17"/>
          <w:color w:val="auto"/>
        </w:rPr>
        <w:t xml:space="preserve"> The Borrower or the Guarantor, as applicable, shall fail to comply in any material respect with any provision of any of the Loan Documents (other than those referred to in paragraph (a) above (Non-Payment) and, in the case of a breach capable of being remedied, shall fail to remedy same within forty-five (45) days after the earlier of the date on which senior officer(s) of the Borrower become aware of the breach or the date on which the Agent gives notice to the Borrower of such breach; or</w:t>
      </w:r>
    </w:p>
    <w:p>
      <w:pPr>
        <w:spacing w:after="0" w:line="198"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Misrepresentation</w:t>
      </w:r>
      <w:r>
        <w:rPr>
          <w:rFonts w:ascii="Arial" w:cs="Arial" w:eastAsia="Arial" w:hAnsi="Arial"/>
          <w:sz w:val="17"/>
          <w:szCs w:val="17"/>
          <w:color w:val="auto"/>
        </w:rPr>
        <w:t>: A representation or warranty made or deemed to be made or repeated under or in connection with any Loan Document is incorrect in any material respect when made or deemed to be made or repeated or confirmed and in the case of matter which can be remedied so as to render the representation or warranty correct same is not remedied within thirty (30) days; or</w:t>
      </w:r>
    </w:p>
    <w:p>
      <w:pPr>
        <w:spacing w:after="0" w:line="192" w:lineRule="exact"/>
        <w:rPr>
          <w:rFonts w:ascii="Arial" w:cs="Arial" w:eastAsia="Arial" w:hAnsi="Arial"/>
          <w:sz w:val="17"/>
          <w:szCs w:val="17"/>
          <w:color w:val="auto"/>
        </w:rPr>
      </w:pPr>
    </w:p>
    <w:p>
      <w:pPr>
        <w:ind w:left="644" w:hanging="644"/>
        <w:spacing w:after="0"/>
        <w:tabs>
          <w:tab w:leader="none" w:pos="644"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Cross-default</w:t>
      </w:r>
    </w:p>
    <w:p>
      <w:pPr>
        <w:spacing w:after="0" w:line="252"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any other Financial Indebtedness of the Borrower or any Subsidiary exceeding US$1,000,000.00 or its equivalent in any other currency whether individually or in the aggregate with other unpaid Financial Indebtedness is not paid when due and such failure shall have continued after the expiration of any applicable grace period specified in the relevant loan or other governing document; or</w:t>
      </w:r>
    </w:p>
    <w:p>
      <w:pPr>
        <w:spacing w:after="0" w:line="213"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an event of default howsoever described has occurred and is continuing under any other document relating to Financial Indebtedness of the Borrower or any Subsidiary where such Financial Indebtedness exceeds in the aggregate US$1,000,000.00 or its equivalent in any other currency;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107315</wp:posOffset>
            </wp:positionV>
            <wp:extent cx="72466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5" w:name="page456"/>
    <w:bookmarkEnd w:id="455"/>
    <w:p>
      <w:pPr>
        <w:ind w:left="4964"/>
        <w:spacing w:after="0"/>
        <w:rPr>
          <w:sz w:val="20"/>
          <w:szCs w:val="20"/>
          <w:color w:val="auto"/>
        </w:rPr>
      </w:pPr>
      <w:r>
        <w:rPr>
          <w:rFonts w:ascii="Arial" w:cs="Arial" w:eastAsia="Arial" w:hAnsi="Arial"/>
          <w:sz w:val="18"/>
          <w:szCs w:val="18"/>
          <w:color w:val="auto"/>
        </w:rPr>
        <w:t>51</w:t>
      </w:r>
    </w:p>
    <w:p>
      <w:pPr>
        <w:spacing w:after="0" w:line="185" w:lineRule="exact"/>
        <w:rPr>
          <w:sz w:val="20"/>
          <w:szCs w:val="20"/>
          <w:color w:val="auto"/>
        </w:rPr>
      </w:pPr>
    </w:p>
    <w:p>
      <w:pPr>
        <w:jc w:val="both"/>
        <w:ind w:left="1304" w:hanging="655"/>
        <w:spacing w:after="0" w:line="259" w:lineRule="auto"/>
        <w:tabs>
          <w:tab w:leader="none" w:pos="130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Financial Indebtedness of the Borrower exceeding US$1,000,000.00 (or its equivalent in any other currency) whether individually or in the aggregate with other unpaid Financial Indebtedness becomes prematurely due and payable or becomes payable on demand as a result of an event of default (howsoever described) under the document relating to that Financial Indebtedness; or</w:t>
      </w:r>
    </w:p>
    <w:p>
      <w:pPr>
        <w:spacing w:after="0" w:line="213"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Security Interest securing Financial Indebtedness in excess of US$1,000,000.00 or its equivalent in any other currency over any asset of the Borrower or any Subsidiary becomes enforceable; or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Insolvency</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Borrower or the Guarantor is deemed for the purposes of any law to be unable to pay its debts as they fall due or to be insolvent, or admits its inability to pay its debts as they fall due; or</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Borrower or the Guarantor suspends making payments on all or any class of its debts or announces an intention to do so, or a moratorium is declared in respect of any of its indebtedness; or</w:t>
      </w:r>
    </w:p>
    <w:p>
      <w:pPr>
        <w:spacing w:after="0" w:line="197"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Borrower or the Guarantor by reason of financial difficulties begins negotiations with one or more of its creditors with a view to the restructuring or rescheduling of any of its indebtedness; or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Insolvency proceedings</w:t>
      </w:r>
    </w:p>
    <w:p>
      <w:pPr>
        <w:spacing w:after="0" w:line="252"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any step (including petition, proposal or convening a meeting) is taken by the Borrower or the Guarantor with a view to a composition, assignment or arrangement with any creditors of the Borrower or the Guarantor;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100330</wp:posOffset>
            </wp:positionV>
            <wp:extent cx="72466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6" w:name="page457"/>
    <w:bookmarkEnd w:id="456"/>
    <w:p>
      <w:pPr>
        <w:ind w:left="4964"/>
        <w:spacing w:after="0"/>
        <w:rPr>
          <w:sz w:val="20"/>
          <w:szCs w:val="20"/>
          <w:color w:val="auto"/>
        </w:rPr>
      </w:pPr>
      <w:r>
        <w:rPr>
          <w:rFonts w:ascii="Arial" w:cs="Arial" w:eastAsia="Arial" w:hAnsi="Arial"/>
          <w:sz w:val="18"/>
          <w:szCs w:val="18"/>
          <w:color w:val="auto"/>
        </w:rPr>
        <w:t>52</w:t>
      </w:r>
    </w:p>
    <w:p>
      <w:pPr>
        <w:spacing w:after="0" w:line="185" w:lineRule="exact"/>
        <w:rPr>
          <w:sz w:val="20"/>
          <w:szCs w:val="20"/>
          <w:color w:val="auto"/>
        </w:rPr>
      </w:pPr>
    </w:p>
    <w:p>
      <w:pPr>
        <w:jc w:val="both"/>
        <w:ind w:left="1304" w:hanging="655"/>
        <w:spacing w:after="0" w:line="255" w:lineRule="auto"/>
        <w:tabs>
          <w:tab w:leader="none" w:pos="130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order is made or resolution of the Borrower passed for, or any step (including petition, proposal or convening a meeting) is taken by the Borrower or the Guarantor or with respect to the Borrower or the Guarantor by any court of competent jurisdiction with a view to, the rehabilitation, administration, custodianship, liquidation, winding-up or dissolution of the Borrower or the Guarantor (except for the purposes of a solvent amalgamation or reconstruction on terms and conditions previously approved by the Majority Lenders and in the ease of any such order made on the application of a third party against the Borrower or the Guarantor, such order is not discharged within 14 days); or</w:t>
      </w:r>
    </w:p>
    <w:p>
      <w:pPr>
        <w:spacing w:after="0" w:line="220" w:lineRule="exact"/>
        <w:rPr>
          <w:rFonts w:ascii="Arial" w:cs="Arial" w:eastAsia="Arial" w:hAnsi="Arial"/>
          <w:sz w:val="18"/>
          <w:szCs w:val="18"/>
          <w:color w:val="auto"/>
        </w:rPr>
      </w:pPr>
    </w:p>
    <w:p>
      <w:pPr>
        <w:ind w:left="644" w:hanging="644"/>
        <w:spacing w:after="0"/>
        <w:tabs>
          <w:tab w:leader="none" w:pos="64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Appointment of receivers and managers</w:t>
      </w:r>
    </w:p>
    <w:p>
      <w:pPr>
        <w:spacing w:after="0" w:line="252" w:lineRule="exact"/>
        <w:rPr>
          <w:rFonts w:ascii="Arial" w:cs="Arial" w:eastAsia="Arial" w:hAnsi="Arial"/>
          <w:sz w:val="18"/>
          <w:szCs w:val="18"/>
          <w:color w:val="auto"/>
        </w:rPr>
      </w:pPr>
    </w:p>
    <w:p>
      <w:pPr>
        <w:ind w:left="1304" w:hanging="655"/>
        <w:spacing w:after="0" w:line="308" w:lineRule="auto"/>
        <w:tabs>
          <w:tab w:leader="none" w:pos="1304" w:val="left"/>
        </w:tabs>
        <w:numPr>
          <w:ilvl w:val="1"/>
          <w:numId w:val="466"/>
        </w:numPr>
        <w:rPr>
          <w:rFonts w:ascii="Arial" w:cs="Arial" w:eastAsia="Arial" w:hAnsi="Arial"/>
          <w:sz w:val="17"/>
          <w:szCs w:val="17"/>
          <w:color w:val="auto"/>
        </w:rPr>
      </w:pPr>
      <w:r>
        <w:rPr>
          <w:rFonts w:ascii="Arial" w:cs="Arial" w:eastAsia="Arial" w:hAnsi="Arial"/>
          <w:sz w:val="17"/>
          <w:szCs w:val="17"/>
          <w:color w:val="auto"/>
        </w:rPr>
        <w:t>any liquidator, trustee in bankruptcy, judicial custodian, compulsory manager, receiver, administrative receiver, administrator or the like is appointed in respect of the Borrower or the Guarantor or any substantial part of its/their assets; or</w:t>
      </w:r>
    </w:p>
    <w:p>
      <w:pPr>
        <w:spacing w:after="0" w:line="174" w:lineRule="exact"/>
        <w:rPr>
          <w:sz w:val="20"/>
          <w:szCs w:val="20"/>
          <w:color w:val="auto"/>
        </w:rPr>
      </w:pPr>
    </w:p>
    <w:p>
      <w:pPr>
        <w:ind w:left="1304" w:hanging="655"/>
        <w:spacing w:after="0" w:line="277" w:lineRule="auto"/>
        <w:tabs>
          <w:tab w:leader="none" w:pos="130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directors of the Borrower or the Guarantor requests the appointment of a liquidator, trustee in bankruptcy, judicial custodian, compulsory manager, receiver, administrative receiver, administrator or the like; or</w:t>
      </w:r>
    </w:p>
    <w:p>
      <w:pPr>
        <w:spacing w:after="0" w:line="197"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Creditors’ process:</w:t>
      </w:r>
      <w:r>
        <w:rPr>
          <w:rFonts w:ascii="Arial" w:cs="Arial" w:eastAsia="Arial" w:hAnsi="Arial"/>
          <w:sz w:val="18"/>
          <w:szCs w:val="18"/>
          <w:color w:val="auto"/>
        </w:rPr>
        <w:t xml:space="preserve"> Any attachment, sequestration, distress or execution to recover a judgment debt exceeding US$1,000,000.00 (or its equivalent in any other currency) is made or levied against any asset of the Borrower or the Guarantor and is not discharged or lifted within thirty (30) days; or</w:t>
      </w:r>
    </w:p>
    <w:p>
      <w:pPr>
        <w:spacing w:after="0" w:line="208" w:lineRule="exact"/>
        <w:rPr>
          <w:rFonts w:ascii="Arial" w:cs="Arial" w:eastAsia="Arial" w:hAnsi="Arial"/>
          <w:sz w:val="18"/>
          <w:szCs w:val="18"/>
          <w:color w:val="auto"/>
        </w:rPr>
      </w:pPr>
    </w:p>
    <w:p>
      <w:pPr>
        <w:ind w:left="644" w:right="20" w:hanging="644"/>
        <w:spacing w:after="0" w:line="308" w:lineRule="auto"/>
        <w:tabs>
          <w:tab w:leader="none" w:pos="644"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Analogous proceedings</w:t>
      </w:r>
      <w:r>
        <w:rPr>
          <w:rFonts w:ascii="Arial" w:cs="Arial" w:eastAsia="Arial" w:hAnsi="Arial"/>
          <w:sz w:val="17"/>
          <w:szCs w:val="17"/>
          <w:color w:val="auto"/>
        </w:rPr>
        <w:t>: There occurs, in relation to the Borrower or the Guarantor any event anywhere which, in the reasonable opinion of the Majority Lenders, appears to correspond with any of those mentioned in paragraphs (f) to (i) (inclusive);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85090</wp:posOffset>
            </wp:positionV>
            <wp:extent cx="72466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7" w:name="page458"/>
    <w:bookmarkEnd w:id="457"/>
    <w:p>
      <w:pPr>
        <w:ind w:left="4964"/>
        <w:spacing w:after="0"/>
        <w:rPr>
          <w:sz w:val="20"/>
          <w:szCs w:val="20"/>
          <w:color w:val="auto"/>
        </w:rPr>
      </w:pPr>
      <w:r>
        <w:rPr>
          <w:rFonts w:ascii="Arial" w:cs="Arial" w:eastAsia="Arial" w:hAnsi="Arial"/>
          <w:sz w:val="18"/>
          <w:szCs w:val="18"/>
          <w:color w:val="auto"/>
        </w:rPr>
        <w:t>53</w:t>
      </w:r>
    </w:p>
    <w:p>
      <w:pPr>
        <w:spacing w:after="0" w:line="185" w:lineRule="exact"/>
        <w:rPr>
          <w:sz w:val="20"/>
          <w:szCs w:val="20"/>
          <w:color w:val="auto"/>
        </w:rPr>
      </w:pPr>
    </w:p>
    <w:p>
      <w:pPr>
        <w:ind w:left="644" w:hanging="644"/>
        <w:spacing w:after="0" w:line="277" w:lineRule="auto"/>
        <w:tabs>
          <w:tab w:leader="none" w:pos="644"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Intra-Group Default</w:t>
      </w:r>
      <w:r>
        <w:rPr>
          <w:rFonts w:ascii="Arial" w:cs="Arial" w:eastAsia="Arial" w:hAnsi="Arial"/>
          <w:sz w:val="18"/>
          <w:szCs w:val="18"/>
          <w:color w:val="auto"/>
        </w:rPr>
        <w:t>: Any of the events set out in paragraphs (f) to (j) inclusive and paragraph (n) shall occur with respect to the Borrower or the Guarantor; or</w:t>
      </w:r>
    </w:p>
    <w:p>
      <w:pPr>
        <w:spacing w:after="0" w:line="197" w:lineRule="exact"/>
        <w:rPr>
          <w:sz w:val="20"/>
          <w:szCs w:val="20"/>
          <w:color w:val="auto"/>
        </w:rPr>
      </w:pPr>
    </w:p>
    <w:p>
      <w:pPr>
        <w:ind w:left="644" w:hanging="644"/>
        <w:spacing w:after="0" w:line="277" w:lineRule="auto"/>
        <w:tabs>
          <w:tab w:leader="none" w:pos="644"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Cessation of business:</w:t>
      </w:r>
      <w:r>
        <w:rPr>
          <w:rFonts w:ascii="Arial" w:cs="Arial" w:eastAsia="Arial" w:hAnsi="Arial"/>
          <w:sz w:val="18"/>
          <w:szCs w:val="18"/>
          <w:color w:val="auto"/>
        </w:rPr>
        <w:t xml:space="preserve"> The Borrower or the Guarantor ceases, or threatens to cease, to carry on all or any substantial part of its/their business except as a result of any disposal permitted under sub-clause 15.2(c); or</w:t>
      </w:r>
    </w:p>
    <w:p>
      <w:pPr>
        <w:spacing w:after="0" w:line="197" w:lineRule="exact"/>
        <w:rPr>
          <w:sz w:val="20"/>
          <w:szCs w:val="20"/>
          <w:color w:val="auto"/>
        </w:rPr>
      </w:pPr>
    </w:p>
    <w:p>
      <w:pPr>
        <w:ind w:left="644" w:hanging="644"/>
        <w:spacing w:after="0"/>
        <w:tabs>
          <w:tab w:leader="none" w:pos="644"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Failure to satisfy money judgment</w:t>
      </w:r>
      <w:r>
        <w:rPr>
          <w:rFonts w:ascii="Arial" w:cs="Arial" w:eastAsia="Arial" w:hAnsi="Arial"/>
          <w:sz w:val="16"/>
          <w:szCs w:val="16"/>
          <w:color w:val="auto"/>
        </w:rPr>
        <w:t>: Any judgment(s) or order, either individually or in the aggregate, for the payment of money in excess of</w:t>
      </w:r>
    </w:p>
    <w:p>
      <w:pPr>
        <w:spacing w:after="0" w:line="4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US$1,000,000.00 (or its equivalent in any other currency) shall be rendered against the Borrower and, in any such case, either</w:t>
      </w:r>
    </w:p>
    <w:p>
      <w:pPr>
        <w:spacing w:after="0" w:line="9" w:lineRule="exact"/>
        <w:rPr>
          <w:sz w:val="20"/>
          <w:szCs w:val="20"/>
          <w:color w:val="auto"/>
        </w:rPr>
      </w:pPr>
    </w:p>
    <w:p>
      <w:pPr>
        <w:jc w:val="both"/>
        <w:ind w:left="644"/>
        <w:spacing w:after="0" w:line="254" w:lineRule="auto"/>
        <w:rPr>
          <w:sz w:val="20"/>
          <w:szCs w:val="20"/>
          <w:color w:val="auto"/>
        </w:rPr>
      </w:pPr>
      <w:r>
        <w:rPr>
          <w:rFonts w:ascii="Arial" w:cs="Arial" w:eastAsia="Arial" w:hAnsi="Arial"/>
          <w:sz w:val="18"/>
          <w:szCs w:val="18"/>
          <w:color w:val="auto"/>
        </w:rPr>
        <w:t>(i) enforcement proceedings shall have been commenced by any creditor upon such judgment or order or (ii) there shall be any period of thirty (30) days during which such judgment or order remains unsatisfied or undischarged or during which a stay of enforcement of such judgment or order, by reason of a pending appeal or otherwise, shall not be in effect or any application for such has not been filed in good faith; or</w:t>
      </w:r>
    </w:p>
    <w:p>
      <w:pPr>
        <w:spacing w:after="0" w:line="216" w:lineRule="exact"/>
        <w:rPr>
          <w:sz w:val="20"/>
          <w:szCs w:val="20"/>
          <w:color w:val="auto"/>
        </w:rPr>
      </w:pPr>
    </w:p>
    <w:p>
      <w:pPr>
        <w:jc w:val="both"/>
        <w:ind w:left="644" w:hanging="644"/>
        <w:spacing w:after="0" w:line="279" w:lineRule="auto"/>
        <w:tabs>
          <w:tab w:leader="none" w:pos="644"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Non-monetary judgments</w:t>
      </w:r>
      <w:r>
        <w:rPr>
          <w:rFonts w:ascii="Arial" w:cs="Arial" w:eastAsia="Arial" w:hAnsi="Arial"/>
          <w:sz w:val="17"/>
          <w:szCs w:val="17"/>
          <w:color w:val="auto"/>
        </w:rPr>
        <w:t>: Any non-monetary judgment or order shall be rendered against the Borrower or the Guarantor, and there shall be any period of thirty (30) days during which such judgment or order remains unsatisfied or undischarged or during which a stay of enforcement of such judgment or order, by reason of a pending appeal or otherwise, shall not be in effect or any application for such has not been filed in good faith, and such circumstances would reasonably be likely to have a Material Adverse Effect; or</w:t>
      </w:r>
    </w:p>
    <w:p>
      <w:pPr>
        <w:spacing w:after="0" w:line="198" w:lineRule="exact"/>
        <w:rPr>
          <w:rFonts w:ascii="Arial" w:cs="Arial" w:eastAsia="Arial" w:hAnsi="Arial"/>
          <w:sz w:val="17"/>
          <w:szCs w:val="17"/>
          <w:color w:val="auto"/>
        </w:rPr>
      </w:pPr>
    </w:p>
    <w:p>
      <w:pPr>
        <w:jc w:val="both"/>
        <w:ind w:left="644" w:hanging="644"/>
        <w:spacing w:after="0" w:line="279" w:lineRule="auto"/>
        <w:tabs>
          <w:tab w:leader="none" w:pos="644"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Operating Licenses</w:t>
      </w:r>
      <w:r>
        <w:rPr>
          <w:rFonts w:ascii="Arial" w:cs="Arial" w:eastAsia="Arial" w:hAnsi="Arial"/>
          <w:sz w:val="17"/>
          <w:szCs w:val="17"/>
          <w:color w:val="auto"/>
        </w:rPr>
        <w:t>: Any operating license(s) for the benefit of the Borrower or the Guarantor shall be impaired, revoked, suspended, modified in a materially adverse manner, or terminated by any Person or any Governmental Authority commences to the knowledge of the Borrower any proceedings for the revocation, suspension, modification or termination of any operating license(s) of the Borrower or the Guarantor and the effect of any of the foregoing would reasonably be likely to have a Material Adverse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100965</wp:posOffset>
            </wp:positionV>
            <wp:extent cx="72466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8" w:name="page459"/>
    <w:bookmarkEnd w:id="458"/>
    <w:p>
      <w:pPr>
        <w:ind w:left="4964"/>
        <w:spacing w:after="0"/>
        <w:rPr>
          <w:sz w:val="20"/>
          <w:szCs w:val="20"/>
          <w:color w:val="auto"/>
        </w:rPr>
      </w:pPr>
      <w:r>
        <w:rPr>
          <w:rFonts w:ascii="Arial" w:cs="Arial" w:eastAsia="Arial" w:hAnsi="Arial"/>
          <w:sz w:val="18"/>
          <w:szCs w:val="18"/>
          <w:color w:val="auto"/>
        </w:rPr>
        <w:t>54</w:t>
      </w:r>
    </w:p>
    <w:p>
      <w:pPr>
        <w:spacing w:after="0" w:line="185" w:lineRule="exact"/>
        <w:rPr>
          <w:sz w:val="20"/>
          <w:szCs w:val="20"/>
          <w:color w:val="auto"/>
        </w:rPr>
      </w:pPr>
    </w:p>
    <w:p>
      <w:pPr>
        <w:jc w:val="both"/>
        <w:ind w:left="644" w:hanging="644"/>
        <w:spacing w:after="0" w:line="312" w:lineRule="auto"/>
        <w:tabs>
          <w:tab w:leader="none" w:pos="644" w:val="left"/>
        </w:tabs>
        <w:numPr>
          <w:ilvl w:val="0"/>
          <w:numId w:val="473"/>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Any Loan Document or any material provision thereof, shall cease to be in full force and effect for any reason, except for expiration, termination or maturity in accordance with its terms, or the Borrower or the Guarantor shall contest or purport to repudiate or disavow any of its obligations under or the validity or enforceability of any Loan Document or any material provision thereof; or</w:t>
      </w:r>
    </w:p>
    <w:p>
      <w:pPr>
        <w:spacing w:after="0" w:line="173" w:lineRule="exact"/>
        <w:rPr>
          <w:rFonts w:ascii="Arial" w:cs="Arial" w:eastAsia="Arial" w:hAnsi="Arial"/>
          <w:sz w:val="16"/>
          <w:szCs w:val="16"/>
          <w:color w:val="auto"/>
        </w:rPr>
      </w:pPr>
    </w:p>
    <w:p>
      <w:pPr>
        <w:jc w:val="both"/>
        <w:ind w:left="644" w:hanging="644"/>
        <w:spacing w:after="0" w:line="259"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Failure to rank senior</w:t>
      </w:r>
      <w:r>
        <w:rPr>
          <w:rFonts w:ascii="Arial" w:cs="Arial" w:eastAsia="Arial" w:hAnsi="Arial"/>
          <w:sz w:val="18"/>
          <w:szCs w:val="18"/>
          <w:color w:val="auto"/>
        </w:rPr>
        <w:t>. The Financial Indebtedness of the Borrower under the Loan Documents or the Financial Indebtedness of any Security Issuer under the respective Security Document, as applicable shall fail to rank senior to all other unconditional, secured or unsubordinated Financial Indebtedness of the Borrower or Security Issuer, as applicable, permitted to be incurred hereunder or under any Security Document, as applicable (save for indebtedness mandatorily preferred by law); or</w:t>
      </w:r>
    </w:p>
    <w:p>
      <w:pPr>
        <w:spacing w:after="0" w:line="213" w:lineRule="exact"/>
        <w:rPr>
          <w:rFonts w:ascii="Arial" w:cs="Arial" w:eastAsia="Arial" w:hAnsi="Arial"/>
          <w:sz w:val="18"/>
          <w:szCs w:val="18"/>
          <w:color w:val="auto"/>
        </w:rPr>
      </w:pPr>
    </w:p>
    <w:p>
      <w:pPr>
        <w:jc w:val="both"/>
        <w:ind w:left="644" w:hanging="644"/>
        <w:spacing w:after="0" w:line="297" w:lineRule="auto"/>
        <w:tabs>
          <w:tab w:leader="none" w:pos="644" w:val="left"/>
        </w:tabs>
        <w:numPr>
          <w:ilvl w:val="0"/>
          <w:numId w:val="473"/>
        </w:numPr>
        <w:rPr>
          <w:rFonts w:ascii="Arial" w:cs="Arial" w:eastAsia="Arial" w:hAnsi="Arial"/>
          <w:sz w:val="16"/>
          <w:szCs w:val="16"/>
          <w:color w:val="auto"/>
        </w:rPr>
      </w:pPr>
      <w:r>
        <w:rPr>
          <w:rFonts w:ascii="Arial" w:cs="Arial" w:eastAsia="Arial" w:hAnsi="Arial"/>
          <w:sz w:val="16"/>
          <w:szCs w:val="16"/>
          <w:u w:val="single" w:color="auto"/>
          <w:color w:val="auto"/>
        </w:rPr>
        <w:t>Expropriation etc</w:t>
      </w:r>
      <w:r>
        <w:rPr>
          <w:rFonts w:ascii="Arial" w:cs="Arial" w:eastAsia="Arial" w:hAnsi="Arial"/>
          <w:sz w:val="16"/>
          <w:szCs w:val="16"/>
          <w:color w:val="auto"/>
        </w:rPr>
        <w:t>. Any Governmental Authority shall have taken, authorized or ratified any action or series of actions for the appropriation, requisition, condemnation, confiscation, expropriation or nationalization of all or substantially all of the assets of the Borrower or the Guarantor; or any Governmental Authority shall have declared a banking moratorium or any suspension of payments by banks in any relevant jurisdiction or shall have imposed any moratorium on the required rescheduling of or required approval for the payment of any Financial Indebtedness in such jurisdiction and the effect of any of the foregoing would be likely to have a Material Adverse Effect; or</w:t>
      </w:r>
    </w:p>
    <w:p>
      <w:pPr>
        <w:spacing w:after="0" w:line="185" w:lineRule="exact"/>
        <w:rPr>
          <w:rFonts w:ascii="Arial" w:cs="Arial" w:eastAsia="Arial" w:hAnsi="Arial"/>
          <w:sz w:val="16"/>
          <w:szCs w:val="16"/>
          <w:color w:val="auto"/>
        </w:rPr>
      </w:pPr>
    </w:p>
    <w:p>
      <w:pPr>
        <w:ind w:left="644" w:right="20" w:hanging="644"/>
        <w:spacing w:after="0" w:line="308" w:lineRule="auto"/>
        <w:tabs>
          <w:tab w:leader="none" w:pos="644"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Unlawfulness:</w:t>
      </w:r>
      <w:r>
        <w:rPr>
          <w:rFonts w:ascii="Arial" w:cs="Arial" w:eastAsia="Arial" w:hAnsi="Arial"/>
          <w:sz w:val="17"/>
          <w:szCs w:val="17"/>
          <w:color w:val="auto"/>
        </w:rPr>
        <w:t xml:space="preserve"> It is or becomes unlawful or contrary to any legally enforceable guideline or directive issued by any Governmental Authority for the Borrower or the Guarantor to perform any of its obligations under any of the Loan Documents; or</w:t>
      </w:r>
    </w:p>
    <w:p>
      <w:pPr>
        <w:spacing w:after="0" w:line="173"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Any event or series of events occurs which, in the opinion of any Lender, has or would reasonably be expected to have a Material Adverse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100330</wp:posOffset>
            </wp:positionV>
            <wp:extent cx="72466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color w:val="auto"/>
        </w:rPr>
        <w:t>55</w:t>
      </w:r>
    </w:p>
    <w:p>
      <w:pPr>
        <w:spacing w:after="0" w:line="185" w:lineRule="exact"/>
        <w:rPr>
          <w:sz w:val="20"/>
          <w:szCs w:val="20"/>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Change or Control</w:t>
      </w:r>
      <w:r>
        <w:rPr>
          <w:rFonts w:ascii="Arial" w:cs="Arial" w:eastAsia="Arial" w:hAnsi="Arial"/>
          <w:sz w:val="18"/>
          <w:szCs w:val="18"/>
          <w:color w:val="auto"/>
        </w:rPr>
        <w:t>: A Change of Control shall occur in relation to the Borrower or the Guarantor.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Maintenance of LNG Supplier Agreement</w:t>
      </w:r>
      <w:r>
        <w:rPr>
          <w:rFonts w:ascii="Arial" w:cs="Arial" w:eastAsia="Arial" w:hAnsi="Arial"/>
          <w:sz w:val="17"/>
          <w:szCs w:val="17"/>
          <w:color w:val="auto"/>
        </w:rPr>
        <w:t>: The failure to maintain one or more LNG Supplier Agreements relating to the Project.</w:t>
      </w:r>
    </w:p>
    <w:p>
      <w:pPr>
        <w:spacing w:after="0" w:line="26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Termination of the Gas Supply Agreement</w:t>
      </w:r>
      <w:r>
        <w:rPr>
          <w:rFonts w:ascii="Arial" w:cs="Arial" w:eastAsia="Arial" w:hAnsi="Arial"/>
          <w:sz w:val="18"/>
          <w:szCs w:val="18"/>
          <w:color w:val="auto"/>
        </w:rPr>
        <w:t>: The termination of the Gas Supply Agreement between NFE Bermuda and Jamaica Public Service Company Limited without replacement thereof;</w:t>
      </w: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 At any time after the occurrence of an Event of Default:</w:t>
      </w:r>
    </w:p>
    <w:p>
      <w:pPr>
        <w:spacing w:after="0" w:line="252" w:lineRule="exact"/>
        <w:rPr>
          <w:sz w:val="20"/>
          <w:szCs w:val="20"/>
          <w:color w:val="auto"/>
        </w:rPr>
      </w:pPr>
    </w:p>
    <w:p>
      <w:pPr>
        <w:ind w:left="1300" w:hanging="644"/>
        <w:spacing w:after="0"/>
        <w:tabs>
          <w:tab w:leader="none" w:pos="130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Agent shall, if so directed by the Lenders by notice to the Borrower, cancel the total of Commitments under the Facility; and/or</w:t>
      </w:r>
    </w:p>
    <w:p>
      <w:pPr>
        <w:spacing w:after="0" w:line="263"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Agent shall, if so directed by the Lenders in respect of the Facility (i) demand that all or part of the Loans, together with accrued interest and all other amounts accrued under this Agreement and any other Loan Document be immediately due and payable, whereupon they shall become immediately due and payable; and/or (ii) demand that all or part of the Loans be payable on demand, whereupon they shall immediately become payable on demand.</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Reasonable Right to Cure</w:t>
      </w:r>
      <w:r>
        <w:rPr>
          <w:rFonts w:ascii="Arial" w:cs="Arial" w:eastAsia="Arial" w:hAnsi="Arial"/>
          <w:sz w:val="18"/>
          <w:szCs w:val="18"/>
          <w:color w:val="auto"/>
        </w:rPr>
        <w:t>: Notwithstanding anything to the contrary contained in this Agreement, if there shall exist an Event of Default pursuant to paragraphs (c), (d) or (t) of Clause 16.1 and such default shall continue unremedied for a period exceeding the greater of (i) the cure period set forth therein (if any) and (ii) thirty (30) days from the occurrence of the Event of Default, or if such default is of a nature that it cannot with reasonable effort be completely remedied within such period, the Borrower shall be afforded such additional period of time as my reasonably be necessary to cure the same, provided that the Borrower must commence such cure within such period and diligently pursue the same, until completion, but in no event shall such extended period exceed sixty (60) days from the occurrence of the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0" w:name="page461"/>
    <w:bookmarkEnd w:id="460"/>
    <w:p>
      <w:pPr>
        <w:jc w:val="center"/>
        <w:spacing w:after="0"/>
        <w:rPr>
          <w:sz w:val="20"/>
          <w:szCs w:val="20"/>
          <w:color w:val="auto"/>
        </w:rPr>
      </w:pPr>
      <w:r>
        <w:rPr>
          <w:rFonts w:ascii="Arial" w:cs="Arial" w:eastAsia="Arial" w:hAnsi="Arial"/>
          <w:sz w:val="18"/>
          <w:szCs w:val="18"/>
          <w:color w:val="auto"/>
        </w:rPr>
        <w:t>56</w:t>
      </w:r>
    </w:p>
    <w:p>
      <w:pPr>
        <w:spacing w:after="0" w:line="208" w:lineRule="exact"/>
        <w:rPr>
          <w:sz w:val="20"/>
          <w:szCs w:val="20"/>
          <w:color w:val="auto"/>
        </w:rPr>
      </w:pPr>
    </w:p>
    <w:p>
      <w:pPr>
        <w:ind w:left="720" w:hanging="712"/>
        <w:spacing w:after="0"/>
        <w:tabs>
          <w:tab w:leader="none" w:pos="720" w:val="left"/>
        </w:tabs>
        <w:numPr>
          <w:ilvl w:val="0"/>
          <w:numId w:val="476"/>
        </w:numPr>
        <w:rPr>
          <w:rFonts w:ascii="Arial" w:cs="Arial" w:eastAsia="Arial" w:hAnsi="Arial"/>
          <w:sz w:val="18"/>
          <w:szCs w:val="18"/>
          <w:color w:val="auto"/>
        </w:rPr>
      </w:pPr>
      <w:r>
        <w:rPr>
          <w:rFonts w:ascii="Arial" w:cs="Arial" w:eastAsia="Arial" w:hAnsi="Arial"/>
          <w:sz w:val="18"/>
          <w:szCs w:val="18"/>
          <w:b w:val="1"/>
          <w:bCs w:val="1"/>
          <w:u w:val="single" w:color="auto"/>
          <w:color w:val="auto"/>
        </w:rPr>
        <w:t>The Agent and the Arranger</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Appointment and duties of the Agent</w:t>
      </w:r>
      <w:r>
        <w:rPr>
          <w:rFonts w:ascii="Arial" w:cs="Arial" w:eastAsia="Arial" w:hAnsi="Arial"/>
          <w:sz w:val="17"/>
          <w:szCs w:val="17"/>
          <w:color w:val="auto"/>
        </w:rPr>
        <w:t>: Each Finance Party (other than the Agent) appoints the Agent to act as its agent under and in connection with the Loan Documents and authorizes the Agent on its behalf to perform the duties and to exercise the rights, powers and discretions that are specifically delegated to it under or in connection with the Loan Documents together with any other incidental rights, powers and discretion. The Agent has only those duties which are expressly specified in this Agreement, and those duties are solely of a mechanical and administrative nature.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Role of the Arranger</w:t>
      </w:r>
      <w:r>
        <w:rPr>
          <w:rFonts w:ascii="Arial" w:cs="Arial" w:eastAsia="Arial" w:hAnsi="Arial"/>
          <w:sz w:val="18"/>
          <w:szCs w:val="18"/>
          <w:color w:val="auto"/>
        </w:rPr>
        <w:t>: Except as specifically provided in this Agreement the Arranger (in such capacity) has no obligations of any kind to any other Party under or in connection with any Loan Document.</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Relationship</w:t>
      </w:r>
      <w:r>
        <w:rPr>
          <w:rFonts w:ascii="Arial" w:cs="Arial" w:eastAsia="Arial" w:hAnsi="Arial"/>
          <w:sz w:val="18"/>
          <w:szCs w:val="18"/>
          <w:color w:val="auto"/>
        </w:rPr>
        <w:t>: Subject to the provisions contained in Clause 17.3A, the relationship between the Agent and the other Finance Parties is that of agent and principal only. Nothing in this Agreement constitutes the Agent as trustee or fiduciary for any other Finance Party or any other person and the Agent need not hold in trust any moneys paid to it for a Finance Party or be liable to account for interest on those moneys. Notwithstanding the foregoing, in the event that the Borrower has made any payment to the Agent pursuant to this Agreement or any of the Security Documents, receipt of same by the Agent shall be a good discharge to the Borrower for such payment.</w:t>
      </w:r>
    </w:p>
    <w:p>
      <w:pPr>
        <w:spacing w:after="0" w:line="24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17.3A</w:t>
      </w:r>
      <w:r>
        <w:rPr>
          <w:sz w:val="20"/>
          <w:szCs w:val="20"/>
          <w:color w:val="auto"/>
        </w:rPr>
        <w:tab/>
      </w:r>
      <w:r>
        <w:rPr>
          <w:rFonts w:ascii="Arial" w:cs="Arial" w:eastAsia="Arial" w:hAnsi="Arial"/>
          <w:sz w:val="16"/>
          <w:szCs w:val="16"/>
          <w:u w:val="single" w:color="auto"/>
          <w:color w:val="auto"/>
        </w:rPr>
        <w:t>Responsibilities as Collateral Agent</w:t>
      </w:r>
      <w:r>
        <w:rPr>
          <w:rFonts w:ascii="Arial" w:cs="Arial" w:eastAsia="Arial" w:hAnsi="Arial"/>
          <w:sz w:val="16"/>
          <w:szCs w:val="16"/>
          <w:color w:val="auto"/>
        </w:rPr>
        <w:t>: Notwithstanding any provision to the contrary herein and subject always to the provisions contained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Intercreditor Agreement, the Agent as collateral agent (“Collateral Agent”) hereby declares that it holds and shall hold:</w:t>
      </w:r>
    </w:p>
    <w:p>
      <w:pPr>
        <w:spacing w:after="0" w:line="265" w:lineRule="exact"/>
        <w:rPr>
          <w:sz w:val="20"/>
          <w:szCs w:val="20"/>
          <w:color w:val="auto"/>
        </w:rPr>
      </w:pPr>
    </w:p>
    <w:p>
      <w:pPr>
        <w:ind w:left="660" w:right="20" w:hanging="4"/>
        <w:spacing w:after="0" w:line="308" w:lineRule="auto"/>
        <w:tabs>
          <w:tab w:leader="none" w:pos="150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all rights, titles and interest that may now or hereafter be mortgaged, charged, assigned, pledged or otherwise secured in favour of the Agent by or pursuant to the Security Documents to which it is expressed to be a party as mortgagee, pledgee or equivalent;</w:t>
      </w:r>
    </w:p>
    <w:p>
      <w:pPr>
        <w:spacing w:after="0" w:line="200" w:lineRule="exact"/>
        <w:rPr>
          <w:rFonts w:ascii="Arial" w:cs="Arial" w:eastAsia="Arial" w:hAnsi="Arial"/>
          <w:sz w:val="17"/>
          <w:szCs w:val="17"/>
          <w:color w:val="auto"/>
        </w:rPr>
      </w:pPr>
    </w:p>
    <w:p>
      <w:pPr>
        <w:ind w:left="660" w:hanging="4"/>
        <w:spacing w:after="0" w:line="277" w:lineRule="auto"/>
        <w:tabs>
          <w:tab w:leader="none" w:pos="147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benefit of all representations, covenants, guarantees, indemnities and other contractual provisions given in favour of the Agent (other than any such benefits given to the Agent solely for its own benefit) by or pursuant to the Security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1" w:name="page462"/>
    <w:bookmarkEnd w:id="461"/>
    <w:p>
      <w:pPr>
        <w:jc w:val="center"/>
        <w:ind w:right="-19"/>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all proceeds of the security referred to in (i) and (ii) above and of the enforcement of the benefits referred to (iii) above,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on trust for </w:t>
      </w:r>
      <w:r>
        <w:rPr>
          <w:rFonts w:ascii="Arial" w:cs="Arial" w:eastAsia="Arial" w:hAnsi="Arial"/>
          <w:sz w:val="18"/>
          <w:szCs w:val="18"/>
          <w:color w:val="auto"/>
        </w:rPr>
        <w:t>itself and the Lenders from time to time. Each of the parties hereto agrees that the obligations, rights and benefits vested or to be vested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by the Security Documents or any document entered into pursuant thereto shall (as well before as after enforcement) be performed and (as the case may be) exercised by the Agent in accordance with the provisions of the Security Documents, subject to the provisions of the Intercreditor Agreement and this Clause 17.3A.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Majority Lenders’ directions</w:t>
      </w:r>
      <w:r>
        <w:rPr>
          <w:rFonts w:ascii="Arial" w:cs="Arial" w:eastAsia="Arial" w:hAnsi="Arial"/>
          <w:sz w:val="18"/>
          <w:szCs w:val="18"/>
          <w:color w:val="auto"/>
        </w:rPr>
        <w:t>: The Agent will be fully protected if it acts in accordance with the instructions of the Majority Lenders in connection with the exercise of any right, power or discretion or any matter not expressly provided for in this Agreement. Any such instructions given by the Majority Lenders will be binding on all the Lenders. In the absence of such instructions, the Agent may act, in such manner, as it considers to be in the best interest of all the Lenders. If and so long as the Agent is a Lender to which any Loan is owing it shall, in the capacity as a Lender, be entitled to vote as it deems fit in its best interest.</w:t>
      </w:r>
    </w:p>
    <w:p>
      <w:pPr>
        <w:spacing w:after="0" w:line="24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u w:val="single" w:color="auto"/>
          <w:color w:val="auto"/>
        </w:rPr>
        <w:t>Delegation</w:t>
      </w:r>
      <w:r>
        <w:rPr>
          <w:rFonts w:ascii="Arial" w:cs="Arial" w:eastAsia="Arial" w:hAnsi="Arial"/>
          <w:sz w:val="16"/>
          <w:szCs w:val="16"/>
          <w:color w:val="auto"/>
        </w:rPr>
        <w:t>: The Agent may act under the Loan Documents through its personnel and agents.</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u w:val="single" w:color="auto"/>
          <w:color w:val="auto"/>
        </w:rPr>
        <w:t>Responsibility for documentation</w:t>
      </w:r>
      <w:r>
        <w:rPr>
          <w:rFonts w:ascii="Arial" w:cs="Arial" w:eastAsia="Arial" w:hAnsi="Arial"/>
          <w:sz w:val="16"/>
          <w:szCs w:val="16"/>
          <w:color w:val="auto"/>
        </w:rPr>
        <w:t>: Neither the Agent nor the Arranger is responsible to any other Finance Party for:</w:t>
      </w:r>
    </w:p>
    <w:p>
      <w:pPr>
        <w:spacing w:after="0" w:line="252" w:lineRule="exact"/>
        <w:rPr>
          <w:sz w:val="20"/>
          <w:szCs w:val="20"/>
          <w:color w:val="auto"/>
        </w:rPr>
      </w:pPr>
    </w:p>
    <w:p>
      <w:pPr>
        <w:ind w:left="1300" w:hanging="644"/>
        <w:spacing w:after="0"/>
        <w:tabs>
          <w:tab w:leader="none" w:pos="13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execution, genuineness, validity, enforceability or sufficiency of any Loan Document or any other document;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collectability of amounts payable under any Loan Document;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color w:val="auto"/>
        </w:rPr>
        <w:t>58</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7"/>
          <w:szCs w:val="17"/>
          <w:u w:val="single" w:color="auto"/>
          <w:color w:val="auto"/>
        </w:rPr>
        <w:t>Default</w:t>
      </w:r>
    </w:p>
    <w:p>
      <w:pPr>
        <w:spacing w:after="0" w:line="252" w:lineRule="exact"/>
        <w:rPr>
          <w:sz w:val="20"/>
          <w:szCs w:val="20"/>
          <w:color w:val="auto"/>
        </w:rPr>
      </w:pPr>
    </w:p>
    <w:p>
      <w:pPr>
        <w:jc w:val="both"/>
        <w:ind w:left="1300" w:hanging="644"/>
        <w:spacing w:after="0" w:line="286" w:lineRule="auto"/>
        <w:tabs>
          <w:tab w:leader="none" w:pos="130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Agent is not obliged to monitor or enquire as to whether or not an Event of Default has occurred. The Agent will not be deemed to have knowledge of the occurrence of an Event of Default. However, if the Agent receives notice from a Finance Party referring to this Agreement, describing the Event of Default and stating that the event is an Event of Default it shall promptly notify the Lenders.</w:t>
      </w:r>
    </w:p>
    <w:p>
      <w:pPr>
        <w:spacing w:after="0" w:line="1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Agent may require the receipt of security satisfactory to it, whether by way of payment in advance or otherwise, against any liability or loss which it may incur in taking any proceedings or action arising out of or in connection with any Loan Document before it commences those proceedings or takes that action.</w:t>
      </w:r>
    </w:p>
    <w:p>
      <w:pPr>
        <w:spacing w:after="0" w:line="20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the Agent or any Lender shall acquire actual knowledge of the occurrence of any Event of Default which is continuing at the time it acquires such actual knowledge, the Agent or such Lender shall give notice to the other Lenders of such Event of Default. For the purpose of this sub-paragraph, neither the Agent nor any Lender shall be treated as having actual knowledge of any matter unless the same is made known to senior administrative representatives of the Agent or the Lender in the context of their usual activities from time to time undertaken by the Agent or such Lender.</w:t>
      </w:r>
    </w:p>
    <w:p>
      <w:pPr>
        <w:spacing w:after="0" w:line="24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u w:val="single" w:color="auto"/>
          <w:color w:val="auto"/>
        </w:rPr>
        <w:t>Exoneration</w:t>
      </w:r>
    </w:p>
    <w:p>
      <w:pPr>
        <w:spacing w:after="0" w:line="252" w:lineRule="exact"/>
        <w:rPr>
          <w:sz w:val="20"/>
          <w:szCs w:val="20"/>
          <w:color w:val="auto"/>
        </w:rPr>
      </w:pPr>
    </w:p>
    <w:p>
      <w:pPr>
        <w:ind w:left="1300" w:hanging="644"/>
        <w:spacing w:after="0" w:line="277" w:lineRule="auto"/>
        <w:tabs>
          <w:tab w:leader="none" w:pos="13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Without limiting paragraph (b) below, the Agent will not be liable to any other Finance Party for any action taken or not taken by it under or in connection with any Loan Document unless directly caused by its gross negligence or willful misconduct.</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No Finance Party may take any proceedings against any officer, employee or agent of the Agent in respect of any claim it might have against the Agent or in respect of any act or omission of any kind (including gross negligence or willful misconduct) by that officer, employee or agent in relation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color w:val="auto"/>
        </w:rPr>
        <w:t>59</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u w:val="single" w:color="auto"/>
          <w:color w:val="auto"/>
        </w:rPr>
        <w:t>Reliance</w:t>
      </w:r>
      <w:r>
        <w:rPr>
          <w:rFonts w:ascii="Arial" w:cs="Arial" w:eastAsia="Arial" w:hAnsi="Arial"/>
          <w:sz w:val="16"/>
          <w:szCs w:val="16"/>
          <w:color w:val="auto"/>
        </w:rPr>
        <w:t>; The Agent may</w:t>
      </w:r>
    </w:p>
    <w:p>
      <w:pPr>
        <w:spacing w:after="0" w:line="252" w:lineRule="exact"/>
        <w:rPr>
          <w:sz w:val="20"/>
          <w:szCs w:val="20"/>
          <w:color w:val="auto"/>
        </w:rPr>
      </w:pPr>
    </w:p>
    <w:p>
      <w:pPr>
        <w:ind w:left="1300" w:hanging="644"/>
        <w:spacing w:after="0" w:line="27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rely on any notice or document believed by it to be genuine and correct and to have been signed by, or with the authority of, the proper person;</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rely on any statement made by a director or employee of any Person regarding any matters which may reasonably be assumed to be within his knowledge or within his power to verify;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engage, pay for and rely on legal or other professional advisers selected by it (including those in the Agent’s employment and those representing a Finance Party other than the Agent).</w:t>
      </w:r>
    </w:p>
    <w:p>
      <w:pPr>
        <w:spacing w:after="0" w:line="2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u w:val="single" w:color="auto"/>
          <w:color w:val="auto"/>
        </w:rPr>
        <w:t>Credit approval and appraisal:</w:t>
      </w:r>
      <w:r>
        <w:rPr>
          <w:rFonts w:ascii="Arial" w:cs="Arial" w:eastAsia="Arial" w:hAnsi="Arial"/>
          <w:sz w:val="17"/>
          <w:szCs w:val="17"/>
          <w:color w:val="auto"/>
        </w:rPr>
        <w:t xml:space="preserve"> Without affecting the responsibility of the Borrower for information supplied by it or on its behalf in connection with any Loan Document each Lender confirms (and by agreeing to make any Loan available to the Borrower pursuant to the terms hereof, confirms) that it:</w:t>
      </w:r>
    </w:p>
    <w:p>
      <w:pPr>
        <w:spacing w:after="0" w:line="174" w:lineRule="exact"/>
        <w:rPr>
          <w:sz w:val="20"/>
          <w:szCs w:val="20"/>
          <w:color w:val="auto"/>
        </w:rPr>
      </w:pPr>
    </w:p>
    <w:p>
      <w:pPr>
        <w:jc w:val="both"/>
        <w:ind w:left="660" w:hanging="652"/>
        <w:spacing w:after="0" w:line="264" w:lineRule="auto"/>
        <w:tabs>
          <w:tab w:leader="none" w:pos="6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has made its own independent investigation and assessment of the financial condition and affairs of the Borrower and its related entities in connection with its participation in this Agreement and has not relied exclusively on any information provided to it by the Agent or the Arranger in connection with any Loan Document; and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the Borrower and its related entities while any amount is or may be outstanding under the Loan Documents or any Commitment is in force.</w:t>
      </w:r>
    </w:p>
    <w:p>
      <w:pPr>
        <w:spacing w:after="0" w:line="2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u w:val="single" w:color="auto"/>
          <w:color w:val="auto"/>
        </w:rPr>
        <w:t>Information</w:t>
      </w:r>
    </w:p>
    <w:p>
      <w:pPr>
        <w:spacing w:after="0" w:line="252" w:lineRule="exact"/>
        <w:rPr>
          <w:sz w:val="20"/>
          <w:szCs w:val="20"/>
          <w:color w:val="auto"/>
        </w:rPr>
      </w:pPr>
    </w:p>
    <w:p>
      <w:pPr>
        <w:ind w:left="1300" w:hanging="644"/>
        <w:spacing w:after="0" w:line="277" w:lineRule="auto"/>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Agent shall promptly forward to the person concerned the original or a copy of any document which is delivered to the Agent by a party hereto for that person.</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Agent shall promptly supply a Lender with a copy of each document received by the Agent under clause 4 (Conditions Precedent) upon the request and at the expense of that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color w:val="auto"/>
        </w:rPr>
        <w:t>60</w:t>
      </w:r>
    </w:p>
    <w:p>
      <w:pPr>
        <w:spacing w:after="0" w:line="185" w:lineRule="exact"/>
        <w:rPr>
          <w:sz w:val="20"/>
          <w:szCs w:val="20"/>
          <w:color w:val="auto"/>
        </w:rPr>
      </w:pPr>
    </w:p>
    <w:p>
      <w:pPr>
        <w:ind w:left="1300" w:hanging="644"/>
        <w:spacing w:after="0" w:line="308" w:lineRule="auto"/>
        <w:tabs>
          <w:tab w:leader="none" w:pos="130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Agent shall promptly supply each Lender with a copy of any notice or other document received from the Borrower or any other person on behalf of the Borrower pertaining to this. Agreement or the Borrower which would be of interest to a prudent lender.</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Except where this Agreement specifically provides otherwise, the Agent is not obliged to review or check the accuracy or completeness of any document it forwards to another Finance Party.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Except as provided above, the Agent has no duty</w:t>
      </w:r>
    </w:p>
    <w:p>
      <w:pPr>
        <w:spacing w:after="0" w:line="252"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either initially or on a continuing basis to provide any Lender with any credit or other information concerning the financial condition or affairs of the Borrower or any related entity of the Borrower whether coming into its possession before, on or after the date of this Agreement; or</w:t>
      </w:r>
    </w:p>
    <w:p>
      <w:pPr>
        <w:spacing w:after="0" w:line="208" w:lineRule="exact"/>
        <w:rPr>
          <w:rFonts w:ascii="Arial" w:cs="Arial" w:eastAsia="Arial" w:hAnsi="Arial"/>
          <w:sz w:val="18"/>
          <w:szCs w:val="18"/>
          <w:color w:val="auto"/>
        </w:rPr>
      </w:pPr>
    </w:p>
    <w:p>
      <w:pPr>
        <w:ind w:left="1960" w:hanging="655"/>
        <w:spacing w:after="0" w:line="258" w:lineRule="auto"/>
        <w:tabs>
          <w:tab w:leader="none" w:pos="19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unless specifically requested to do so by a Lender in accordance with this Agreement, to request any certificates or other documents from the</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Borrower.</w:t>
      </w:r>
    </w:p>
    <w:p>
      <w:pPr>
        <w:spacing w:after="0" w:line="2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u w:val="single" w:color="auto"/>
          <w:color w:val="auto"/>
        </w:rPr>
        <w:t>The Agent and the Arranger individually</w:t>
      </w:r>
    </w:p>
    <w:p>
      <w:pPr>
        <w:spacing w:after="0" w:line="252" w:lineRule="exact"/>
        <w:rPr>
          <w:sz w:val="20"/>
          <w:szCs w:val="20"/>
          <w:color w:val="auto"/>
        </w:rPr>
      </w:pPr>
    </w:p>
    <w:p>
      <w:pPr>
        <w:ind w:left="1300" w:hanging="644"/>
        <w:spacing w:after="0" w:line="277" w:lineRule="auto"/>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it is also a Lender, the Arranger has the same rights and powers under this Agreement as any other Lender and may exercise those rights and powers as though it were not the Arranger.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Each of the Agent and Arranger may:</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carry on any business with the Borrower or their related entities;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act as agent or trustee for, or in relation to any other financing involving, the Borrower or its related entities;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5" w:name="page466"/>
    <w:bookmarkEnd w:id="465"/>
    <w:p>
      <w:pPr>
        <w:jc w:val="center"/>
        <w:spacing w:after="0"/>
        <w:rPr>
          <w:sz w:val="20"/>
          <w:szCs w:val="20"/>
          <w:color w:val="auto"/>
        </w:rPr>
      </w:pPr>
      <w:r>
        <w:rPr>
          <w:rFonts w:ascii="Arial" w:cs="Arial" w:eastAsia="Arial" w:hAnsi="Arial"/>
          <w:sz w:val="18"/>
          <w:szCs w:val="18"/>
          <w:color w:val="auto"/>
        </w:rPr>
        <w:t>61</w:t>
      </w:r>
    </w:p>
    <w:p>
      <w:pPr>
        <w:spacing w:after="0" w:line="185" w:lineRule="exact"/>
        <w:rPr>
          <w:sz w:val="20"/>
          <w:szCs w:val="20"/>
          <w:color w:val="auto"/>
        </w:rPr>
      </w:pPr>
    </w:p>
    <w:p>
      <w:pPr>
        <w:ind w:left="1960" w:hanging="655"/>
        <w:spacing w:after="0"/>
        <w:tabs>
          <w:tab w:leader="none" w:pos="1960" w:val="left"/>
        </w:tabs>
        <w:numPr>
          <w:ilvl w:val="1"/>
          <w:numId w:val="487"/>
        </w:numPr>
        <w:rPr>
          <w:rFonts w:ascii="Arial" w:cs="Arial" w:eastAsia="Arial" w:hAnsi="Arial"/>
          <w:sz w:val="17"/>
          <w:szCs w:val="17"/>
          <w:color w:val="auto"/>
        </w:rPr>
      </w:pPr>
      <w:r>
        <w:rPr>
          <w:rFonts w:ascii="Arial" w:cs="Arial" w:eastAsia="Arial" w:hAnsi="Arial"/>
          <w:sz w:val="17"/>
          <w:szCs w:val="17"/>
          <w:color w:val="auto"/>
        </w:rPr>
        <w:t>retain any profits or remuneration in connection with its activities under this Agreement or in relation to any of the foregoing.</w:t>
      </w:r>
    </w:p>
    <w:p>
      <w:pPr>
        <w:spacing w:after="0" w:line="29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Indemnities</w:t>
      </w:r>
    </w:p>
    <w:p>
      <w:pPr>
        <w:spacing w:after="0" w:line="25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Without limiting the liability of the Borrower under the Loan Documents each Lender shall forthwith indemnify the Agent for its proportion of any liability or loss incurred by the Agent in any way relating to or arising out of its acting as the Agent, except to the extent that the liability or loss arises directly from the Agent’s gross negligence or willful misconduct.</w:t>
      </w:r>
    </w:p>
    <w:p>
      <w:pPr>
        <w:spacing w:after="0" w:line="20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 Lender’s proportion of the liability set out in paragraph (a) above will be the proportion which its participation in the Loans (if any) bears to all the Loans on the date of the demand. If, however, there are no Loans outstanding on the date of demand, then the proportion will be the proportion which its Commitment bears to the Total Commitments at the date of demand or, if the Total Commitments have then been cancelled, bears to the Total Commitments immediately before such cancellation.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Borrower shall forthwith on demand reimburse each Lender for any payment made by it under paragraph (a) above.</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provisions contained in paragraphs (a), (b) and (c) above shall survive repayment of all Loans hereunder and/or with respect to any retiring Agent, such retirement.</w:t>
      </w:r>
    </w:p>
    <w:p>
      <w:pPr>
        <w:spacing w:after="0" w:line="2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u w:val="single" w:color="auto"/>
          <w:color w:val="auto"/>
        </w:rPr>
        <w:t>Compliance</w:t>
      </w:r>
    </w:p>
    <w:p>
      <w:pPr>
        <w:spacing w:after="0" w:line="252" w:lineRule="exact"/>
        <w:rPr>
          <w:sz w:val="20"/>
          <w:szCs w:val="20"/>
          <w:color w:val="auto"/>
        </w:rPr>
      </w:pPr>
    </w:p>
    <w:p>
      <w:pPr>
        <w:jc w:val="both"/>
        <w:ind w:left="1380" w:hanging="643"/>
        <w:spacing w:after="0" w:line="264" w:lineRule="auto"/>
        <w:tabs>
          <w:tab w:leader="none" w:pos="13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Agent may refrain from doing anything which might, in its opinion, constitute a breach of any law or regulation or be otherwise actionable at the suit of any person, and may do anything which, in its opinion, is necessary or desirable to comply with any law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color w:val="auto"/>
        </w:rPr>
        <w:t>62</w:t>
      </w:r>
    </w:p>
    <w:p>
      <w:pPr>
        <w:spacing w:after="0" w:line="185" w:lineRule="exact"/>
        <w:rPr>
          <w:sz w:val="20"/>
          <w:szCs w:val="20"/>
          <w:color w:val="auto"/>
        </w:rPr>
      </w:pPr>
    </w:p>
    <w:p>
      <w:pPr>
        <w:jc w:val="both"/>
        <w:ind w:left="1300" w:hanging="644"/>
        <w:spacing w:after="0" w:line="264" w:lineRule="auto"/>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Without limiting paragraph (a) above, the Agent need not disclose any information relating to the Borrower or any of its related entities if the disclosure might, in the opinion of the Agent, constitute a breach of any law or regulation or any duty of secrecy or confidentiality or be otherwise actionable at the suit of any person.</w:t>
      </w:r>
    </w:p>
    <w:p>
      <w:pPr>
        <w:spacing w:after="0" w:line="2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u w:val="single" w:color="auto"/>
          <w:color w:val="auto"/>
        </w:rPr>
        <w:t>The Agent’s Resignation or Termination</w:t>
      </w:r>
    </w:p>
    <w:p>
      <w:pPr>
        <w:spacing w:after="0" w:line="252" w:lineRule="exact"/>
        <w:rPr>
          <w:sz w:val="20"/>
          <w:szCs w:val="20"/>
          <w:color w:val="auto"/>
        </w:rPr>
      </w:pPr>
    </w:p>
    <w:p>
      <w:pPr>
        <w:ind w:left="1300" w:hanging="644"/>
        <w:spacing w:after="0" w:line="258" w:lineRule="auto"/>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Notwithstanding its appointment hereunder, the Agent may resign and appoint a reputable corporate trustee as a successor by giving thirty (30) days notice to the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Finance Parties and the Borrower.</w:t>
      </w:r>
    </w:p>
    <w:p>
      <w:pPr>
        <w:spacing w:after="0" w:line="238" w:lineRule="exact"/>
        <w:rPr>
          <w:sz w:val="20"/>
          <w:szCs w:val="20"/>
          <w:color w:val="auto"/>
        </w:rPr>
      </w:pPr>
    </w:p>
    <w:p>
      <w:pPr>
        <w:ind w:left="1300" w:hanging="644"/>
        <w:spacing w:after="0" w:line="277" w:lineRule="auto"/>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Alternatively, the Agent may resign by giving notice to the other Finance Parties and the Borrower in which case the Majority Lenders (after consultation with the Borrower) may appoint a successor Agent</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If the appointment of a successor Agent is to be made by the Majority Lenders but they have not, within thirty (30) days after notice of resignation, appointed a successor Agent which Accepts the appointment, the Agent may appoint a successor Agent.</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resignation of the Agent and the appointment of any successor Agent will both become effective only upon the successor Agent notifying all the Parties that it accepts its appointment. On giving the notification, the successor Agent will succeed to the position of the Agent and the term “Agent” will mean the successor Agent.</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The retiring Agent shall, at its own cost, make available to the successor Agent such documents and records and provide such assistance as the successor Agent may reasonably request for the purposes of performing its functions as the Agent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color w:val="auto"/>
        </w:rPr>
        <w:t>63</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Upon its resignation becoming effective, this clause 17 (The Agent and the Arranger) shall continue to benefit the retiring Agent in respect of any action taken or not taken by it under or in connection with the Loan Documents while it was the Agent, and, subject to paragraph</w:t>
      </w:r>
    </w:p>
    <w:p>
      <w:pPr>
        <w:ind w:left="1300"/>
        <w:spacing w:after="0"/>
        <w:rPr>
          <w:rFonts w:ascii="Arial" w:cs="Arial" w:eastAsia="Arial" w:hAnsi="Arial"/>
          <w:sz w:val="16"/>
          <w:szCs w:val="16"/>
          <w:color w:val="auto"/>
        </w:rPr>
      </w:pPr>
      <w:r>
        <w:rPr>
          <w:rFonts w:ascii="Arial" w:cs="Arial" w:eastAsia="Arial" w:hAnsi="Arial"/>
          <w:sz w:val="18"/>
          <w:szCs w:val="18"/>
          <w:color w:val="auto"/>
        </w:rPr>
        <w:t>(d) above and Clause 25, it shall have no further obligations under any Loan Document.</w:t>
      </w:r>
    </w:p>
    <w:p>
      <w:pPr>
        <w:spacing w:after="0" w:line="23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thirty (30) days’ notice in writing to the Agent (and at the cost of the Lenders) terminate its appointment and appoint a successor Agent.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u w:val="single" w:color="auto"/>
          <w:color w:val="auto"/>
        </w:rPr>
        <w:t>Lenders</w:t>
      </w:r>
      <w:r>
        <w:rPr>
          <w:rFonts w:ascii="Arial" w:cs="Arial" w:eastAsia="Arial" w:hAnsi="Arial"/>
          <w:sz w:val="18"/>
          <w:szCs w:val="18"/>
          <w:color w:val="auto"/>
        </w:rPr>
        <w:t>: The Agent may treat each Lender as a Lender, entitled to payments under this Agreement and as acting through its Lending Offices(s) until it has received not less than five (5) Business Days’ prior notice from that Lender to the contrary.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u w:val="single" w:color="auto"/>
          <w:color w:val="auto"/>
        </w:rPr>
        <w:t>Deduction from amounts payable by the Agent</w:t>
      </w:r>
      <w:r>
        <w:rPr>
          <w:rFonts w:ascii="Arial" w:cs="Arial" w:eastAsia="Arial" w:hAnsi="Arial"/>
          <w:sz w:val="18"/>
          <w:szCs w:val="18"/>
          <w:color w:val="auto"/>
        </w:rPr>
        <w:t>: If any Finance Party owes an amount to the Agent under the Loan Documents the Agent may, after giving notice to that Finance Party, deduct an amount not exceeding that amount from any payment to that Finance Party which the Agent would otherwise be obliged to make under the Loan Documents and apply the amount deducted in or towards satisfaction of the amount owed. For the purposes of the Loan Documents that Finance Party shall be regarded as having received any amount so deducted.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17.18 Timely Repayment by Lenders: Each Lender shall on first request, reimburse the Agent in respect of any payment of monies by the Agent to such Lender in any given instance where such payment is greater than the amount that the respective Lender should have received as a payment to be made to such Lender pursuant to the terms of the Loan Documents, such reimbursement to be effected as soon as possible and in any event on or before the expiration of five (5) days.</w:t>
      </w:r>
    </w:p>
    <w:p>
      <w:pPr>
        <w:spacing w:after="0" w:line="237" w:lineRule="exact"/>
        <w:rPr>
          <w:sz w:val="20"/>
          <w:szCs w:val="20"/>
          <w:color w:val="auto"/>
        </w:rPr>
      </w:pPr>
    </w:p>
    <w:p>
      <w:pPr>
        <w:ind w:left="780" w:hanging="772"/>
        <w:spacing w:after="0"/>
        <w:tabs>
          <w:tab w:leader="none" w:pos="780" w:val="left"/>
        </w:tabs>
        <w:numPr>
          <w:ilvl w:val="0"/>
          <w:numId w:val="494"/>
        </w:numPr>
        <w:rPr>
          <w:rFonts w:ascii="Arial" w:cs="Arial" w:eastAsia="Arial" w:hAnsi="Arial"/>
          <w:sz w:val="18"/>
          <w:szCs w:val="18"/>
          <w:color w:val="auto"/>
        </w:rPr>
      </w:pPr>
      <w:r>
        <w:rPr>
          <w:rFonts w:ascii="Arial" w:cs="Arial" w:eastAsia="Arial" w:hAnsi="Arial"/>
          <w:sz w:val="18"/>
          <w:szCs w:val="18"/>
          <w:b w:val="1"/>
          <w:bCs w:val="1"/>
          <w:u w:val="single" w:color="auto"/>
          <w:color w:val="auto"/>
        </w:rPr>
        <w:t>Fees</w:t>
      </w:r>
    </w:p>
    <w:p>
      <w:pPr>
        <w:spacing w:after="0" w:line="2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u w:val="single" w:color="auto"/>
          <w:color w:val="auto"/>
        </w:rPr>
        <w:t>Fees Payable to Lenders</w:t>
      </w:r>
      <w:r>
        <w:rPr>
          <w:rFonts w:ascii="Arial" w:cs="Arial" w:eastAsia="Arial" w:hAnsi="Arial"/>
          <w:sz w:val="16"/>
          <w:szCs w:val="16"/>
          <w:color w:val="auto"/>
        </w:rPr>
        <w:t>: The Borrower shall pay to the Agent for each Lender —</w:t>
      </w:r>
    </w:p>
    <w:p>
      <w:pPr>
        <w:spacing w:after="0" w:line="252" w:lineRule="exact"/>
        <w:rPr>
          <w:sz w:val="20"/>
          <w:szCs w:val="20"/>
          <w:color w:val="auto"/>
        </w:rPr>
      </w:pPr>
    </w:p>
    <w:p>
      <w:pPr>
        <w:ind w:left="1300" w:hanging="644"/>
        <w:spacing w:after="0" w:line="277" w:lineRule="auto"/>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 commitment fee or participation fee in the amount set out in the Fee Letter which shall be payable on the Closing Date and which shall be non-refundable;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color w:val="auto"/>
        </w:rPr>
        <w:t>64</w:t>
      </w:r>
    </w:p>
    <w:p>
      <w:pPr>
        <w:spacing w:after="0" w:line="185" w:lineRule="exact"/>
        <w:rPr>
          <w:sz w:val="20"/>
          <w:szCs w:val="20"/>
          <w:color w:val="auto"/>
        </w:rPr>
      </w:pPr>
    </w:p>
    <w:p>
      <w:pPr>
        <w:ind w:left="1300" w:right="20" w:hanging="644"/>
        <w:spacing w:after="0" w:line="277"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 amendment fee (as provided for in the Fee Letter) the same payable in the event that any material amendments are requested by the Borrower, in relation to the Term Loan;</w:t>
      </w:r>
    </w:p>
    <w:p>
      <w:pPr>
        <w:spacing w:after="0" w:line="197"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if applicable, an extension fee, in the event that the maturity date of any Loan is extended beyond the Maturity Date stated herein, in which event the “Maturity Date” (as defined herein) shall mean such later maturity date as may be agreed in writing by the parties.</w:t>
      </w:r>
    </w:p>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u w:val="single" w:color="auto"/>
          <w:color w:val="auto"/>
        </w:rPr>
        <w:t xml:space="preserve">Arranging Fee: </w:t>
      </w:r>
      <w:r>
        <w:rPr>
          <w:rFonts w:ascii="Arial" w:cs="Arial" w:eastAsia="Arial" w:hAnsi="Arial"/>
          <w:sz w:val="16"/>
          <w:szCs w:val="16"/>
          <w:color w:val="auto"/>
        </w:rPr>
        <w:t>The Borrower shall pay to the Agent for the Arranger an arranging fee in the amount set out in the Fee Letter.</w:t>
      </w:r>
    </w:p>
    <w:p>
      <w:pPr>
        <w:spacing w:after="0" w:line="27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Agent’s fee:</w:t>
      </w:r>
      <w:r>
        <w:rPr>
          <w:rFonts w:ascii="Arial" w:cs="Arial" w:eastAsia="Arial" w:hAnsi="Arial"/>
          <w:sz w:val="17"/>
          <w:szCs w:val="17"/>
          <w:color w:val="auto"/>
        </w:rPr>
        <w:t xml:space="preserve"> The Borrower shall pay to the Agent for its own account an administration and collateral agent’s fee in the amount and at the times agreed in the Agent’s Fee Letter, for so long as any amount is or may be outstanding under this Agreement or any Commitment is in force.</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GCT</w:t>
      </w:r>
      <w:r>
        <w:rPr>
          <w:rFonts w:ascii="Arial" w:cs="Arial" w:eastAsia="Arial" w:hAnsi="Arial"/>
          <w:sz w:val="18"/>
          <w:szCs w:val="18"/>
          <w:color w:val="auto"/>
        </w:rPr>
        <w:t>: The fees referred to in this clause 18 are exclusive of any general consumption tax (“GCT”) and if any GCT is chargeable, it shall be paid by the Borrower at the same time as it pays the relevant fee.</w:t>
      </w:r>
    </w:p>
    <w:p>
      <w:pPr>
        <w:spacing w:after="0" w:line="220" w:lineRule="exact"/>
        <w:rPr>
          <w:sz w:val="20"/>
          <w:szCs w:val="20"/>
          <w:color w:val="auto"/>
        </w:rPr>
      </w:pPr>
    </w:p>
    <w:p>
      <w:pPr>
        <w:ind w:left="780" w:hanging="772"/>
        <w:spacing w:after="0"/>
        <w:tabs>
          <w:tab w:leader="none" w:pos="780" w:val="left"/>
        </w:tabs>
        <w:numPr>
          <w:ilvl w:val="0"/>
          <w:numId w:val="497"/>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Initial and special costs</w:t>
      </w:r>
      <w:r>
        <w:rPr>
          <w:rFonts w:ascii="Arial" w:cs="Arial" w:eastAsia="Arial" w:hAnsi="Arial"/>
          <w:sz w:val="18"/>
          <w:szCs w:val="18"/>
          <w:color w:val="auto"/>
        </w:rPr>
        <w:t>: The Borrower shall forthwith on demand pay the Agent and the Arranger the amount of all reasonable costs and expenses (including legal fees) incurred by either of them in connection with:</w:t>
      </w:r>
    </w:p>
    <w:p>
      <w:pPr>
        <w:spacing w:after="0" w:line="197" w:lineRule="exact"/>
        <w:rPr>
          <w:sz w:val="20"/>
          <w:szCs w:val="20"/>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negotiation, preparation, printing and execution of: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any other Loan Document executed after the date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color w:val="auto"/>
        </w:rPr>
        <w:t>65</w:t>
      </w:r>
    </w:p>
    <w:p>
      <w:pPr>
        <w:spacing w:after="0" w:line="185" w:lineRule="exact"/>
        <w:rPr>
          <w:sz w:val="20"/>
          <w:szCs w:val="20"/>
          <w:color w:val="auto"/>
        </w:rPr>
      </w:pPr>
    </w:p>
    <w:p>
      <w:pPr>
        <w:ind w:left="1300" w:hanging="644"/>
        <w:spacing w:after="0" w:line="277" w:lineRule="auto"/>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amendment, waiver, consent or suspension of rights (or any proposal for any of the foregoing) requested by or on behalf of the Borrower and relating to a Loan Document or a document referred to in any Loan Document;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other matter, not of an ordinary administrative nature, arising out of or in connection with a Loan Document;</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Enforcement costs</w:t>
      </w:r>
      <w:r>
        <w:rPr>
          <w:rFonts w:ascii="Arial" w:cs="Arial" w:eastAsia="Arial" w:hAnsi="Arial"/>
          <w:sz w:val="17"/>
          <w:szCs w:val="17"/>
          <w:color w:val="auto"/>
        </w:rPr>
        <w:t>: The Borrower shall forthwith on demand pay to each Finance Party the amount of all reasonable and documented costs and expenses (including legal fees) incurred by it in connection with the enforcement of, or the preservation of any rights under, any Loan Document but nothing in this sub-clause shall be deemed to restrict a Finance Party from taking such enforcement action as it deems appropriate.</w:t>
      </w:r>
    </w:p>
    <w:p>
      <w:pPr>
        <w:spacing w:after="0" w:line="216" w:lineRule="exact"/>
        <w:rPr>
          <w:sz w:val="20"/>
          <w:szCs w:val="20"/>
          <w:color w:val="auto"/>
        </w:rPr>
      </w:pPr>
    </w:p>
    <w:p>
      <w:pPr>
        <w:ind w:left="780" w:hanging="772"/>
        <w:spacing w:after="0"/>
        <w:tabs>
          <w:tab w:leader="none" w:pos="780"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Stamp duties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Borrower shall pay and forthwith on demand indemnify each Finance Party against any liability it incurs in respect of any stamp duty, registration fees and similar taxes or imposts which is or becomes payable in connection with the entry into, perfection, performance or enforcement of any Loan Document. For the avoidance of doubt, the Borrower shall not be liable for any penalties or interest incurred by any Finance Party as a result of late payment of any stamp duty, registration fees and similar taxes or imposts if the Borrower had made timely payment to such Finance Party in accordance with the provisions hereof to enable such Finance Party, acting reasonably, to effect the relevant payment before penalties and/or interest became due.</w:t>
      </w:r>
    </w:p>
    <w:p>
      <w:pPr>
        <w:spacing w:after="0" w:line="208" w:lineRule="exact"/>
        <w:rPr>
          <w:sz w:val="20"/>
          <w:szCs w:val="20"/>
          <w:color w:val="auto"/>
        </w:rPr>
      </w:pPr>
    </w:p>
    <w:p>
      <w:pPr>
        <w:ind w:left="780" w:hanging="772"/>
        <w:spacing w:after="0"/>
        <w:tabs>
          <w:tab w:leader="none" w:pos="780" w:val="left"/>
        </w:tabs>
        <w:numPr>
          <w:ilvl w:val="0"/>
          <w:numId w:val="50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Indemnities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21.1 The Borrower shall forthwith on demand indemnify each Finance Party against any loss or liability which that Finance Party incurs as a consequence of:</w:t>
      </w:r>
    </w:p>
    <w:p>
      <w:pPr>
        <w:spacing w:after="0" w:line="197" w:lineRule="exact"/>
        <w:rPr>
          <w:sz w:val="20"/>
          <w:szCs w:val="20"/>
          <w:color w:val="auto"/>
        </w:rPr>
      </w:pPr>
    </w:p>
    <w:p>
      <w:pPr>
        <w:ind w:left="1300" w:hanging="644"/>
        <w:spacing w:after="0" w:line="277" w:lineRule="auto"/>
        <w:tabs>
          <w:tab w:leader="none" w:pos="13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occurrence of any Event of Default including, without limitation, breach of any covenant relating to Environmental Law or Environmental Permit resulting in any claim or proceedings against any Finance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color w:val="auto"/>
        </w:rPr>
        <w:t>66</w:t>
      </w:r>
    </w:p>
    <w:p>
      <w:pPr>
        <w:spacing w:after="0" w:line="185" w:lineRule="exact"/>
        <w:rPr>
          <w:sz w:val="20"/>
          <w:szCs w:val="20"/>
          <w:color w:val="auto"/>
        </w:rPr>
      </w:pPr>
    </w:p>
    <w:p>
      <w:pPr>
        <w:ind w:left="1300" w:hanging="644"/>
        <w:spacing w:after="0"/>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operation of clause 27 (Pro rata sharing), other than by reason of error, negligence or default by such Finance Party;</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payment of principal or an overdue amount received from any source otherwise than on the relevant due date as provided for in this Agreement; or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(other than by reason of negligence or default by a Finance Party) a Loan not being made after the Borrower has delivered a request for the Loan, or a Loan (or part of a Loan) not being prepaid in accordance with a notice of prepayment.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Borrower’s liability in each case includes any loss of Margin or other loss or expense on account of funds borrowed, contracted for or authorized to fund any amount payable under any Loan Document any amount repaid or prepaid on any Loan,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21.2 If, for the purposes of obtaining judgment in any court, it is necessary to convert a sum due hereunder in United States Dollars into another currency, the Borrower agrees, that the rate of exchange used shall be that at which, in accordance with normal banking procedures, the Agent on behalf of the respective Lender, as applicable, could purchase United States Dollars with such other currency in Kingston, Jamaica on the Business Day preceding that on which final, nonappealable judgment is given. The obligations of the Borrower in respect of any sum due to the Agent and/or the Lenders hereunder shall, notwithstanding any judgment in a currency other than United States Dollars, be discharged only to the extent that on the Business Day following receipt by the Agent or the Lender, as the case may be of any sum adjudged to be so due in such other currency, the Agent or the Lender, as the case may be, may in accordance with normal, reasonable banking procedures, purchase United States Dollars with such other currency. If the amount of United States Dollars so purchased is less than the sum originally due to the Agent or the Lender, as the case may be, in United States Dollars, the Borrower agrees, to the fullest extent that it may effectively do so, as a separate obligation and notwithstanding any such judgment, to indemnify the Agent and each Lender against such loss.</w:t>
      </w:r>
    </w:p>
    <w:p>
      <w:pPr>
        <w:spacing w:after="0" w:line="245" w:lineRule="exact"/>
        <w:rPr>
          <w:sz w:val="20"/>
          <w:szCs w:val="20"/>
          <w:color w:val="auto"/>
        </w:rPr>
      </w:pPr>
    </w:p>
    <w:p>
      <w:pPr>
        <w:ind w:left="780" w:hanging="772"/>
        <w:spacing w:after="0"/>
        <w:tabs>
          <w:tab w:leader="none" w:pos="780" w:val="left"/>
        </w:tabs>
        <w:numPr>
          <w:ilvl w:val="0"/>
          <w:numId w:val="504"/>
        </w:numPr>
        <w:rPr>
          <w:rFonts w:ascii="Arial" w:cs="Arial" w:eastAsia="Arial" w:hAnsi="Arial"/>
          <w:sz w:val="18"/>
          <w:szCs w:val="18"/>
          <w:color w:val="auto"/>
        </w:rPr>
      </w:pPr>
      <w:r>
        <w:rPr>
          <w:rFonts w:ascii="Arial" w:cs="Arial" w:eastAsia="Arial" w:hAnsi="Arial"/>
          <w:sz w:val="18"/>
          <w:szCs w:val="18"/>
          <w:b w:val="1"/>
          <w:bCs w:val="1"/>
          <w:u w:val="single" w:color="auto"/>
          <w:color w:val="auto"/>
        </w:rPr>
        <w:t>Evidence and calculations</w:t>
      </w:r>
    </w:p>
    <w:p>
      <w:pPr>
        <w:spacing w:after="0" w:line="2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 xml:space="preserve">Accounts: </w:t>
      </w:r>
      <w:r>
        <w:rPr>
          <w:rFonts w:ascii="Arial" w:cs="Arial" w:eastAsia="Arial" w:hAnsi="Arial"/>
          <w:sz w:val="16"/>
          <w:szCs w:val="16"/>
          <w:color w:val="auto"/>
        </w:rPr>
        <w:t>Accounts maintained by a Finance Party in connection with this Agreement are</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prima facie</w:t>
      </w:r>
      <w:r>
        <w:rPr>
          <w:rFonts w:ascii="Arial" w:cs="Arial" w:eastAsia="Arial" w:hAnsi="Arial"/>
          <w:sz w:val="16"/>
          <w:szCs w:val="16"/>
          <w:u w:val="single" w:color="auto"/>
          <w:color w:val="auto"/>
        </w:rPr>
        <w:t xml:space="preserve"> </w:t>
      </w:r>
      <w:r>
        <w:rPr>
          <w:rFonts w:ascii="Arial" w:cs="Arial" w:eastAsia="Arial" w:hAnsi="Arial"/>
          <w:sz w:val="16"/>
          <w:szCs w:val="16"/>
          <w:color w:val="auto"/>
        </w:rPr>
        <w:t>evidence of the matters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color w:val="auto"/>
        </w:rPr>
        <w:t>67</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Certificates and determinations</w:t>
      </w:r>
      <w:r>
        <w:rPr>
          <w:rFonts w:ascii="Arial" w:cs="Arial" w:eastAsia="Arial" w:hAnsi="Arial"/>
          <w:sz w:val="18"/>
          <w:szCs w:val="18"/>
          <w:color w:val="auto"/>
        </w:rPr>
        <w:t>: Any certification or determination by a Finance Party of a rate or amount under this Agreement is, in the absence of manifest error. conclusive evidence of the matters to which it relates.</w:t>
      </w:r>
    </w:p>
    <w:p>
      <w:pPr>
        <w:spacing w:after="0" w:line="220" w:lineRule="exact"/>
        <w:rPr>
          <w:sz w:val="20"/>
          <w:szCs w:val="20"/>
          <w:color w:val="auto"/>
        </w:rPr>
      </w:pPr>
    </w:p>
    <w:p>
      <w:pPr>
        <w:ind w:left="720" w:hanging="712"/>
        <w:spacing w:after="0"/>
        <w:tabs>
          <w:tab w:leader="none" w:pos="720" w:val="left"/>
        </w:tabs>
        <w:numPr>
          <w:ilvl w:val="0"/>
          <w:numId w:val="50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p>
    <w:p>
      <w:pPr>
        <w:spacing w:after="0" w:line="2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auto"/>
        </w:rPr>
        <w:t>Procedure</w:t>
      </w:r>
    </w:p>
    <w:p>
      <w:pPr>
        <w:spacing w:after="0" w:line="252" w:lineRule="exact"/>
        <w:rPr>
          <w:sz w:val="20"/>
          <w:szCs w:val="20"/>
          <w:color w:val="auto"/>
        </w:rPr>
      </w:pPr>
    </w:p>
    <w:p>
      <w:pPr>
        <w:jc w:val="both"/>
        <w:ind w:left="1960" w:hanging="655"/>
        <w:spacing w:after="0" w:line="264" w:lineRule="auto"/>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Subject to sub-clause 23.2 (Exceptions), any term of any of the Loan Documents may be amended or waived with the agreement of the Borrower, the Majority Lenders and the Agent. Any such agreement shall be in writing and shall be signed by the Majority Lenders the Agent and the Borrower.</w:t>
      </w:r>
    </w:p>
    <w:p>
      <w:pPr>
        <w:spacing w:after="0" w:line="208" w:lineRule="exact"/>
        <w:rPr>
          <w:rFonts w:ascii="Arial" w:cs="Arial" w:eastAsia="Arial" w:hAnsi="Arial"/>
          <w:sz w:val="18"/>
          <w:szCs w:val="18"/>
          <w:color w:val="auto"/>
        </w:rPr>
      </w:pPr>
    </w:p>
    <w:p>
      <w:pPr>
        <w:ind w:left="1960" w:hanging="655"/>
        <w:spacing w:after="0"/>
        <w:tabs>
          <w:tab w:leader="none" w:pos="19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such amendment or waiver shall be binding on all the parties.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anything to the contrary herein or in any other document an amendment or waiver which relates to or would have the effect of:</w:t>
      </w:r>
    </w:p>
    <w:p>
      <w:pPr>
        <w:spacing w:after="0" w:line="197" w:lineRule="exact"/>
        <w:rPr>
          <w:sz w:val="20"/>
          <w:szCs w:val="20"/>
          <w:color w:val="auto"/>
        </w:rPr>
      </w:pPr>
    </w:p>
    <w:p>
      <w:pPr>
        <w:ind w:left="1960" w:hanging="655"/>
        <w:spacing w:after="0"/>
        <w:tabs>
          <w:tab w:leader="none" w:pos="19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amending the definition of “Majority Lenders” in clause 1.1: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subjecting a Finance Party to any additional Obligations:</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reducing the principal or interest payable under this Agreement or any of the Notes or any fees or other amounts payable hereunder or thereunder;</w:t>
      </w:r>
    </w:p>
    <w:p>
      <w:pPr>
        <w:spacing w:after="0" w:line="197" w:lineRule="exact"/>
        <w:rPr>
          <w:rFonts w:ascii="Arial" w:cs="Arial" w:eastAsia="Arial" w:hAnsi="Arial"/>
          <w:sz w:val="18"/>
          <w:szCs w:val="18"/>
          <w:color w:val="auto"/>
        </w:rPr>
      </w:pPr>
    </w:p>
    <w:p>
      <w:pPr>
        <w:ind w:left="1960" w:right="20" w:hanging="655"/>
        <w:spacing w:after="0" w:line="258" w:lineRule="auto"/>
        <w:tabs>
          <w:tab w:leader="none" w:pos="19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postponing any date fixed for any payment of principal or interest under this Agreement or any of the Notes or any fees or other amounts payable</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hereunder or thereunder;</w:t>
      </w:r>
    </w:p>
    <w:p>
      <w:pPr>
        <w:spacing w:after="0" w:line="237"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changing the aggregate unpaid principal amount of the Loans, or the nominal amount of Loans that shall be required for the Lenders or any of them to take any action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color w:val="auto"/>
        </w:rPr>
        <w:t>68</w:t>
      </w:r>
    </w:p>
    <w:p>
      <w:pPr>
        <w:spacing w:after="0" w:line="185" w:lineRule="exact"/>
        <w:rPr>
          <w:sz w:val="20"/>
          <w:szCs w:val="20"/>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or waiving sub-clause 8.1 (Interest Rate);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any other term of a Loan Document which expressly requires the consent of each Lender;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or waiving clause 10A (Promissory Notes);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or waiving clause 11.1 (Gross up of Taxes);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or waiving clause 15.1 (a) (Financial Information) or 15.3 (Financial Covenants);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amending or waiving clause 16 (Events of Default and Acceleration);</w:t>
      </w:r>
    </w:p>
    <w:p>
      <w:pPr>
        <w:spacing w:after="0" w:line="252" w:lineRule="exact"/>
        <w:rPr>
          <w:sz w:val="20"/>
          <w:szCs w:val="20"/>
          <w:color w:val="auto"/>
        </w:rPr>
      </w:pPr>
    </w:p>
    <w:p>
      <w:pPr>
        <w:ind w:left="1960" w:hanging="655"/>
        <w:spacing w:after="0"/>
        <w:tabs>
          <w:tab w:leader="none" w:pos="19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amending this clause 23 (Amendments and Waivers);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may not be effected without the consent of each Lender and any amendment to sub-clause 15.2(a) (Negative Pledge) may only be effected with the consent of one or more Lenders: (a) whose participation(s) in the Loans then outstanding aggregate more than 75% of all the Loans then outstanding; or (b) if there are no Loans then outstanding, whose Commitments then aggregate more than 75% of the Total Commitments; or (c) if there are no Loans then outstanding and the Total Commitments have been reduced to nil, whose Commitments aggregated more than 75% of the Total Commitments immediately before the reduction. Any waiver, amendment, supplement or modification shall not require the signature or approval of the Agent unless its rights or duties (in such capacity) are affected thereby. Notwithstanding anything herein, any amendment which would amend or abrogate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sharing of payments among the Lenders shall require the consent of the Majority Lenders.</w:t>
      </w:r>
    </w:p>
    <w:p>
      <w:pPr>
        <w:spacing w:after="0" w:line="2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u w:val="single" w:color="auto"/>
          <w:color w:val="auto"/>
        </w:rPr>
        <w:t xml:space="preserve">Waivers and Remedies Cumulative: </w:t>
      </w:r>
      <w:r>
        <w:rPr>
          <w:rFonts w:ascii="Arial" w:cs="Arial" w:eastAsia="Arial" w:hAnsi="Arial"/>
          <w:sz w:val="16"/>
          <w:szCs w:val="16"/>
          <w:color w:val="auto"/>
        </w:rPr>
        <w:t>The rights of each Finance Party under the Loan Documents:</w:t>
      </w:r>
    </w:p>
    <w:p>
      <w:pPr>
        <w:spacing w:after="0" w:line="252" w:lineRule="exact"/>
        <w:rPr>
          <w:sz w:val="20"/>
          <w:szCs w:val="20"/>
          <w:color w:val="auto"/>
        </w:rPr>
      </w:pPr>
    </w:p>
    <w:p>
      <w:pPr>
        <w:ind w:left="1300" w:hanging="644"/>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are cumulative and not exclusive of its rights under the general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color w:val="auto"/>
        </w:rPr>
        <w:t>69</w:t>
      </w:r>
    </w:p>
    <w:p>
      <w:pPr>
        <w:spacing w:after="0" w:line="185" w:lineRule="exact"/>
        <w:rPr>
          <w:sz w:val="20"/>
          <w:szCs w:val="20"/>
          <w:color w:val="auto"/>
        </w:rPr>
      </w:pPr>
    </w:p>
    <w:p>
      <w:pPr>
        <w:ind w:left="1300" w:hanging="644"/>
        <w:spacing w:after="0"/>
        <w:tabs>
          <w:tab w:leader="none" w:pos="13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Delay in exercising or non-exercise of any such right is not a waiver of that right.</w:t>
      </w:r>
    </w:p>
    <w:p>
      <w:pPr>
        <w:spacing w:after="0" w:line="275" w:lineRule="exact"/>
        <w:rPr>
          <w:sz w:val="20"/>
          <w:szCs w:val="20"/>
          <w:color w:val="auto"/>
        </w:rPr>
      </w:pPr>
    </w:p>
    <w:p>
      <w:pPr>
        <w:ind w:left="780" w:hanging="772"/>
        <w:spacing w:after="0"/>
        <w:tabs>
          <w:tab w:leader="none" w:pos="780" w:val="left"/>
        </w:tabs>
        <w:numPr>
          <w:ilvl w:val="0"/>
          <w:numId w:val="51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to the parties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Transfers by the Borrower</w:t>
      </w:r>
      <w:r>
        <w:rPr>
          <w:rFonts w:ascii="Arial" w:cs="Arial" w:eastAsia="Arial" w:hAnsi="Arial"/>
          <w:sz w:val="18"/>
          <w:szCs w:val="18"/>
          <w:color w:val="auto"/>
        </w:rPr>
        <w:t>: The Borrower may not assign. transfer, novate or dispose of any interest in, or any of its rights or obligations under this Agreement.</w:t>
      </w: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u w:val="single" w:color="auto"/>
          <w:color w:val="auto"/>
        </w:rPr>
        <w:t>Transfers by a Lender</w:t>
      </w:r>
    </w:p>
    <w:p>
      <w:pPr>
        <w:spacing w:after="0" w:line="252" w:lineRule="exact"/>
        <w:rPr>
          <w:sz w:val="20"/>
          <w:szCs w:val="20"/>
          <w:color w:val="auto"/>
        </w:rPr>
      </w:pPr>
    </w:p>
    <w:p>
      <w:pPr>
        <w:jc w:val="both"/>
        <w:ind w:left="1300" w:hanging="644"/>
        <w:spacing w:after="0" w:line="270" w:lineRule="auto"/>
        <w:tabs>
          <w:tab w:leader="none" w:pos="13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Subject to the terms of this clause 24, a Lender (the “Existing Lender”) may at any time assign, transfer, novate, participate or sub-contract any of its rights or obligations under this Agreement to another bank or other institution (the “New Lender”) provided that unless an went of Default has occurred and is continuing in excess of any applicable cure period in each such case the Existing Lender must receive the Borrower’s prior written consent after disclosing to the Borrower in writing whether such New Lender will result in the Borrower being required to withhold taxes pursuant to Clause 11.1 (unless such disclosure is received the New Lender being deemed to have represented that no such withholding is required), such consent not to be unreasonably delayed, conditioned or denied but in any other event upon giving to the Borrower three (3) Business Days notice prior to such assignment, transfer, novation, participation or sub-contracting, further provided that the Borrower’s written consent shall not be required where the assignment, transfer, novation, participation or sub-contracting shall be to an Affiliate of such Lender (unless with respect to such New Lender, the Borrower will be required to withhold taxes pursuant to Clause 11.1, in which event. such consent shall be required).</w:t>
      </w:r>
    </w:p>
    <w:p>
      <w:pPr>
        <w:spacing w:after="0" w:line="204" w:lineRule="exact"/>
        <w:rPr>
          <w:rFonts w:ascii="Arial" w:cs="Arial" w:eastAsia="Arial" w:hAnsi="Arial"/>
          <w:sz w:val="17"/>
          <w:szCs w:val="17"/>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 transfer of obligations will be effective only if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4" w:name="page475"/>
    <w:bookmarkEnd w:id="474"/>
    <w:p>
      <w:pPr>
        <w:ind w:left="4964"/>
        <w:spacing w:after="0"/>
        <w:rPr>
          <w:sz w:val="20"/>
          <w:szCs w:val="20"/>
          <w:color w:val="auto"/>
        </w:rPr>
      </w:pPr>
      <w:r>
        <w:rPr>
          <w:rFonts w:ascii="Arial" w:cs="Arial" w:eastAsia="Arial" w:hAnsi="Arial"/>
          <w:sz w:val="18"/>
          <w:szCs w:val="18"/>
          <w:color w:val="auto"/>
        </w:rPr>
        <w:t>70</w:t>
      </w:r>
    </w:p>
    <w:p>
      <w:pPr>
        <w:spacing w:after="0" w:line="185" w:lineRule="exact"/>
        <w:rPr>
          <w:sz w:val="20"/>
          <w:szCs w:val="20"/>
          <w:color w:val="auto"/>
        </w:rPr>
      </w:pPr>
    </w:p>
    <w:p>
      <w:pPr>
        <w:ind w:left="1304" w:hanging="655"/>
        <w:spacing w:after="0"/>
        <w:tabs>
          <w:tab w:leader="none" w:pos="130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obligations are novated in accordance with sub-clause 243 (Procedure for Novations); or</w:t>
      </w:r>
    </w:p>
    <w:p>
      <w:pPr>
        <w:spacing w:after="0" w:line="252" w:lineRule="exact"/>
        <w:rPr>
          <w:rFonts w:ascii="Arial" w:cs="Arial" w:eastAsia="Arial" w:hAnsi="Arial"/>
          <w:sz w:val="18"/>
          <w:szCs w:val="18"/>
          <w:color w:val="auto"/>
        </w:rPr>
      </w:pPr>
    </w:p>
    <w:p>
      <w:pPr>
        <w:jc w:val="both"/>
        <w:ind w:left="1304" w:hanging="655"/>
        <w:spacing w:after="0" w:line="286" w:lineRule="auto"/>
        <w:tabs>
          <w:tab w:leader="none" w:pos="1304" w:val="left"/>
        </w:tabs>
        <w:numPr>
          <w:ilvl w:val="1"/>
          <w:numId w:val="514"/>
        </w:numPr>
        <w:rPr>
          <w:rFonts w:ascii="Arial" w:cs="Arial" w:eastAsia="Arial" w:hAnsi="Arial"/>
          <w:sz w:val="17"/>
          <w:szCs w:val="17"/>
          <w:color w:val="auto"/>
        </w:rPr>
      </w:pPr>
      <w:r>
        <w:rPr>
          <w:rFonts w:ascii="Arial" w:cs="Arial" w:eastAsia="Arial" w:hAnsi="Arial"/>
          <w:sz w:val="17"/>
          <w:szCs w:val="17"/>
          <w:color w:val="auto"/>
        </w:rPr>
        <w:t>the New Lender confirms to the Agent and the Borrower that it undertakes to be bound by the terms of this Agreement as a Lender in form and substance satisfactory to the Agent. On the transfer becoming effective in this manner the Existing Lender shall be relieved of its obligations under this Agreement to the extent that they are transferred to the New Lender.</w:t>
      </w:r>
    </w:p>
    <w:p>
      <w:pPr>
        <w:spacing w:after="0" w:line="192" w:lineRule="exact"/>
        <w:rPr>
          <w:rFonts w:ascii="Arial" w:cs="Arial" w:eastAsia="Arial" w:hAnsi="Arial"/>
          <w:sz w:val="17"/>
          <w:szCs w:val="17"/>
          <w:color w:val="auto"/>
        </w:rPr>
      </w:pPr>
    </w:p>
    <w:p>
      <w:pPr>
        <w:ind w:left="644" w:hanging="644"/>
        <w:spacing w:after="0"/>
        <w:tabs>
          <w:tab w:leader="none" w:pos="64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An Existing Lender is not responsible to a New Lender for:</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execution, genuineness, validity, enforceability or sufficiency of any Loan Document or any other document;</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collectability of amounts payable under any Loan Document; or</w:t>
      </w:r>
    </w:p>
    <w:p>
      <w:pPr>
        <w:spacing w:after="0" w:line="252" w:lineRule="exact"/>
        <w:rPr>
          <w:rFonts w:ascii="Arial" w:cs="Arial" w:eastAsia="Arial" w:hAnsi="Arial"/>
          <w:sz w:val="18"/>
          <w:szCs w:val="18"/>
          <w:color w:val="auto"/>
        </w:rPr>
      </w:pPr>
    </w:p>
    <w:p>
      <w:pPr>
        <w:ind w:left="1304" w:hanging="655"/>
        <w:spacing w:after="0"/>
        <w:tabs>
          <w:tab w:leader="none" w:pos="130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Loan Document.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52"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has made its own independent investigation and assessment of the financial condition and affairs of the Borrower in connection with its participation in this Agreement and has not relied exclusively on any information provided to it by the Existing Lender in connection with any Loan Document; and</w:t>
      </w:r>
    </w:p>
    <w:p>
      <w:pPr>
        <w:spacing w:after="0" w:line="208"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the Borrower while any amount is or may be outstanding under this Agreement or any Commitment is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100330</wp:posOffset>
            </wp:positionV>
            <wp:extent cx="72466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6"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color w:val="auto"/>
        </w:rPr>
        <w:t>71</w:t>
      </w:r>
    </w:p>
    <w:p>
      <w:pPr>
        <w:spacing w:after="0" w:line="185" w:lineRule="exact"/>
        <w:rPr>
          <w:sz w:val="20"/>
          <w:szCs w:val="20"/>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Nothing in any Loan Document obliges an Existing Lender to:</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accept a re-transfer from a New Lender of any of the rights or obligations assigned, transferred or novated under this clause; or</w:t>
      </w:r>
    </w:p>
    <w:p>
      <w:pPr>
        <w:spacing w:after="0" w:line="275" w:lineRule="exact"/>
        <w:rPr>
          <w:rFonts w:ascii="Arial" w:cs="Arial" w:eastAsia="Arial" w:hAnsi="Arial"/>
          <w:sz w:val="16"/>
          <w:szCs w:val="16"/>
          <w:color w:val="auto"/>
        </w:rPr>
      </w:pPr>
    </w:p>
    <w:p>
      <w:pPr>
        <w:ind w:left="1960" w:right="20" w:hanging="655"/>
        <w:spacing w:after="0" w:line="277" w:lineRule="auto"/>
        <w:tabs>
          <w:tab w:leader="none" w:pos="196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support any losses incurred by the New Lender by reason of the non-performance by the Borrower of its obligations under this Agreement or otherwise.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reference in this Agreement to a Lender includes a New Lender but excludes a Lender if no amount is or may be owed to or by it under this Agreement and its Commitment has been cancelled or reduced to nil.</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u w:val="single" w:color="auto"/>
          <w:color w:val="auto"/>
        </w:rPr>
        <w:t>Procedure for Novations</w:t>
      </w:r>
    </w:p>
    <w:p>
      <w:pPr>
        <w:spacing w:after="0" w:line="256" w:lineRule="exact"/>
        <w:rPr>
          <w:sz w:val="20"/>
          <w:szCs w:val="20"/>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novation is effected if:</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 xml:space="preserve">the Existing Lender and the New Lender deliver to the Agent a duly completed certificate, substantially in the form of </w:t>
      </w:r>
      <w:r>
        <w:rPr>
          <w:rFonts w:ascii="Arial" w:cs="Arial" w:eastAsia="Arial" w:hAnsi="Arial"/>
          <w:sz w:val="18"/>
          <w:szCs w:val="18"/>
          <w:u w:val="single" w:color="auto"/>
          <w:color w:val="auto"/>
        </w:rPr>
        <w:t>Appendix 3</w:t>
      </w:r>
      <w:r>
        <w:rPr>
          <w:rFonts w:ascii="Arial" w:cs="Arial" w:eastAsia="Arial" w:hAnsi="Arial"/>
          <w:sz w:val="18"/>
          <w:szCs w:val="18"/>
          <w:color w:val="auto"/>
        </w:rPr>
        <w:t xml:space="preserve"> (a “Novation Certificate”);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Agent and the Borrower executes it.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Each Party (other than the Existing Lender and the New Lender) irrevocably authorizes the Agent to execute any duly completed Novation Certificate on its behalf.</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To the extent that they are expressed to be the subject of the novation in the Novation Certificate:</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Existing Lender and the other Finance Parties (the “Existing Parties”) will be released from their obligations to each other (the “Discharged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6" w:name="page477"/>
    <w:bookmarkEnd w:id="476"/>
    <w:p>
      <w:pPr>
        <w:jc w:val="center"/>
        <w:ind w:right="-19"/>
        <w:spacing w:after="0"/>
        <w:rPr>
          <w:sz w:val="20"/>
          <w:szCs w:val="20"/>
          <w:color w:val="auto"/>
        </w:rPr>
      </w:pPr>
      <w:r>
        <w:rPr>
          <w:rFonts w:ascii="Arial" w:cs="Arial" w:eastAsia="Arial" w:hAnsi="Arial"/>
          <w:sz w:val="18"/>
          <w:szCs w:val="18"/>
          <w:color w:val="auto"/>
        </w:rPr>
        <w:t>72</w:t>
      </w:r>
    </w:p>
    <w:p>
      <w:pPr>
        <w:spacing w:after="0" w:line="185" w:lineRule="exact"/>
        <w:rPr>
          <w:sz w:val="20"/>
          <w:szCs w:val="20"/>
          <w:color w:val="auto"/>
        </w:rPr>
      </w:pPr>
    </w:p>
    <w:p>
      <w:pPr>
        <w:ind w:left="1960" w:hanging="655"/>
        <w:spacing w:after="0" w:line="277" w:lineRule="auto"/>
        <w:tabs>
          <w:tab w:leader="none" w:pos="19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New Lender and the Existing Parties will assume obligations towards each other which differ from the Discharged Obligations only insofar as they are owed to, or assumed by, the New Lender instead of the Existing Lender;</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rights of the Existing Lender against the Existing Parties and vice versa (the “Discharged Rights”) will be cancelled; and</w:t>
      </w:r>
    </w:p>
    <w:p>
      <w:pPr>
        <w:spacing w:after="0" w:line="264" w:lineRule="exact"/>
        <w:rPr>
          <w:sz w:val="20"/>
          <w:szCs w:val="20"/>
          <w:color w:val="auto"/>
        </w:rPr>
      </w:pPr>
    </w:p>
    <w:p>
      <w:pPr>
        <w:ind w:left="1960" w:hanging="655"/>
        <w:spacing w:after="0"/>
        <w:tabs>
          <w:tab w:leader="none" w:pos="19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New Lender and the Existing Parties will acquire rights against each</w:t>
      </w:r>
    </w:p>
    <w:p>
      <w:pPr>
        <w:spacing w:after="0" w:line="23" w:lineRule="exact"/>
        <w:rPr>
          <w:rFonts w:ascii="Arial" w:cs="Arial" w:eastAsia="Arial" w:hAnsi="Arial"/>
          <w:sz w:val="18"/>
          <w:szCs w:val="18"/>
          <w:color w:val="auto"/>
        </w:rPr>
      </w:pPr>
    </w:p>
    <w:p>
      <w:pPr>
        <w:jc w:val="both"/>
        <w:ind w:left="1960"/>
        <w:spacing w:after="0" w:line="255" w:lineRule="auto"/>
        <w:rPr>
          <w:rFonts w:ascii="Arial" w:cs="Arial" w:eastAsia="Arial" w:hAnsi="Arial"/>
          <w:sz w:val="18"/>
          <w:szCs w:val="18"/>
          <w:color w:val="auto"/>
        </w:rPr>
      </w:pPr>
      <w:r>
        <w:rPr>
          <w:rFonts w:ascii="Arial" w:cs="Arial" w:eastAsia="Arial" w:hAnsi="Arial"/>
          <w:sz w:val="18"/>
          <w:szCs w:val="18"/>
          <w:color w:val="auto"/>
        </w:rPr>
        <w:t>other which differ from the Discharged Rights only insofar as they are exercisable by or against the New Lender instead of the Existing Lender, all on the date of execution of the Novation Certificate by the Agent or, if later, the date specified in the Novation Certificate.</w:t>
      </w: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Register</w:t>
      </w:r>
      <w:r>
        <w:rPr>
          <w:rFonts w:ascii="Arial" w:cs="Arial" w:eastAsia="Arial" w:hAnsi="Arial"/>
          <w:sz w:val="18"/>
          <w:szCs w:val="18"/>
          <w:color w:val="auto"/>
        </w:rPr>
        <w:t>: The Agent shall keep a register of all the Finance Parties and shall supply any other Finance Party (at that Finance Party s expense) with a copy of the register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color w:val="auto"/>
        </w:rPr>
        <w:t>73</w:t>
      </w:r>
    </w:p>
    <w:p>
      <w:pPr>
        <w:spacing w:after="0" w:line="208" w:lineRule="exact"/>
        <w:rPr>
          <w:sz w:val="20"/>
          <w:szCs w:val="20"/>
          <w:color w:val="auto"/>
        </w:rPr>
      </w:pPr>
    </w:p>
    <w:p>
      <w:pPr>
        <w:ind w:left="720" w:hanging="712"/>
        <w:spacing w:after="0"/>
        <w:tabs>
          <w:tab w:leader="none" w:pos="720" w:val="left"/>
        </w:tabs>
        <w:numPr>
          <w:ilvl w:val="0"/>
          <w:numId w:val="520"/>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Information</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Finance Party agrees to hold all Confidential information obtained pursuant to the provisions of this Agreement in accordance with its customary procedure for handling such information of this nature and in accordance with safe and sound banking practices, provided, that nothing herein shall prevent a Finance Party from disclosing and/or transferring such Confidential Information (i) upon the order of any court or administrative agency or otherwise to the extent required by statute, rule regulation or judicial process, (ii) to bank examiners or upon the request or demand of any other regulatory agency or authority, (iii) which had been publicly disclosed other than as a result of a disclosure by such Finance Party, (iv) in connection with any litigation to which such Finance Party is a party, or in connection with the exercise of any remedy hereunder or under the Note, (v) to the Finance Party’s legal counsel and independent auditors and accountants, (vi) to the Finance Party’s branches, subsidiaries, representative offices, affiliates and agents and third parties selected by any of the foregoing entities, wherever situated, for confidential use (including in connection with the provision of any service and for data processing, statistical and risk analysis purposes), and (vii) subject to their agreeing to provisions substantially similar to those contained in this clause to any actual or proposed transferee, participant 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color w:val="auto"/>
        </w:rPr>
        <w:t>74</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“Confidential Information” means information that the Borrower furnishes to a Finance Party, but does not include any such information that is or becomes generally available to the public or that is or becomes available to the Finance Party from a source other than the Borrower, unless, to the actual knowledge of the recipient of such information, such source breached an obligation of confidentiality in providing such information to such recipient.</w:t>
      </w:r>
    </w:p>
    <w:p>
      <w:pPr>
        <w:spacing w:after="0" w:line="197" w:lineRule="exact"/>
        <w:rPr>
          <w:sz w:val="20"/>
          <w:szCs w:val="20"/>
          <w:color w:val="auto"/>
        </w:rPr>
      </w:pPr>
    </w:p>
    <w:p>
      <w:pPr>
        <w:ind w:left="780" w:hanging="772"/>
        <w:spacing w:after="0"/>
        <w:tabs>
          <w:tab w:leader="none" w:pos="780" w:val="left"/>
        </w:tabs>
        <w:numPr>
          <w:ilvl w:val="0"/>
          <w:numId w:val="521"/>
        </w:numPr>
        <w:rPr>
          <w:rFonts w:ascii="Arial" w:cs="Arial" w:eastAsia="Arial" w:hAnsi="Arial"/>
          <w:sz w:val="18"/>
          <w:szCs w:val="18"/>
          <w:color w:val="auto"/>
        </w:rPr>
      </w:pPr>
      <w:r>
        <w:rPr>
          <w:rFonts w:ascii="Arial" w:cs="Arial" w:eastAsia="Arial" w:hAnsi="Arial"/>
          <w:sz w:val="18"/>
          <w:szCs w:val="18"/>
          <w:b w:val="1"/>
          <w:bCs w:val="1"/>
          <w:u w:val="single" w:color="auto"/>
          <w:color w:val="auto"/>
        </w:rPr>
        <w:t>Set-off</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Finance Party may set off any matured obligation owed by the Borrower under this Agreement (to the extent beneficially owned by that Finance Party) against any obligation (whether or not matured) owed by that Finance Party to the Borrower, regardless of the place of payment, booking branch or currency of either obligation. If the obligation owed by the Finance Party to the Borrower is in a currency other than Jamaican Dollars, then the Finance Party may convert such other currency into Jamaican Dollars at the weighted average spot purchase rate for such currency as published by the Bank of Jamaica for the trade date immediately before the date of conversion and if there is no such published rate, then at the rate of exchange at which such Finance Party would have purchased with Jamaican Dollars such other currency in its usual course of business. If either obligation is unliquidated or unascertained, the Finance Party may set-off in an amount estimated by it in good faith to be the amount of that obligation.</w:t>
      </w:r>
    </w:p>
    <w:p>
      <w:pPr>
        <w:spacing w:after="0" w:line="228" w:lineRule="exact"/>
        <w:rPr>
          <w:sz w:val="20"/>
          <w:szCs w:val="20"/>
          <w:color w:val="auto"/>
        </w:rPr>
      </w:pPr>
    </w:p>
    <w:p>
      <w:pPr>
        <w:ind w:left="780" w:hanging="772"/>
        <w:spacing w:after="0"/>
        <w:tabs>
          <w:tab w:leader="none" w:pos="780" w:val="left"/>
        </w:tabs>
        <w:numPr>
          <w:ilvl w:val="0"/>
          <w:numId w:val="522"/>
        </w:numPr>
        <w:rPr>
          <w:rFonts w:ascii="Arial" w:cs="Arial" w:eastAsia="Arial" w:hAnsi="Arial"/>
          <w:sz w:val="18"/>
          <w:szCs w:val="18"/>
          <w:color w:val="auto"/>
        </w:rPr>
      </w:pPr>
      <w:r>
        <w:rPr>
          <w:rFonts w:ascii="Arial" w:cs="Arial" w:eastAsia="Arial" w:hAnsi="Arial"/>
          <w:sz w:val="18"/>
          <w:szCs w:val="18"/>
          <w:b w:val="1"/>
          <w:bCs w:val="1"/>
          <w:u w:val="single" w:color="auto"/>
          <w:color w:val="auto"/>
        </w:rPr>
        <w:t>Pro rata Sharing</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27.1 </w:t>
      </w:r>
      <w:r>
        <w:rPr>
          <w:rFonts w:ascii="Arial" w:cs="Arial" w:eastAsia="Arial" w:hAnsi="Arial"/>
          <w:sz w:val="17"/>
          <w:szCs w:val="17"/>
          <w:u w:val="single" w:color="auto"/>
          <w:color w:val="auto"/>
        </w:rPr>
        <w:t>Redistribution</w:t>
      </w:r>
      <w:r>
        <w:rPr>
          <w:rFonts w:ascii="Arial" w:cs="Arial" w:eastAsia="Arial" w:hAnsi="Arial"/>
          <w:sz w:val="17"/>
          <w:szCs w:val="17"/>
          <w:color w:val="auto"/>
        </w:rPr>
        <w:t>: If any amount owing by the Borrower under this Agreement to the Finance Party (the “Recovering Finance Party”) is discharged by payment, set-off or any other manner other than through the Agent in accordance with clause 10 (Other Payment Provisions) (a “Recovery”), then:</w:t>
      </w:r>
    </w:p>
    <w:p>
      <w:pPr>
        <w:spacing w:after="0" w:line="174" w:lineRule="exact"/>
        <w:rPr>
          <w:sz w:val="20"/>
          <w:szCs w:val="20"/>
          <w:color w:val="auto"/>
        </w:rPr>
      </w:pPr>
    </w:p>
    <w:p>
      <w:pPr>
        <w:ind w:left="1300" w:hanging="644"/>
        <w:spacing w:after="0"/>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Recovering Finance Party shall within three (3) Business Days, notify details of the recovery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9" w:name="page480"/>
    <w:bookmarkEnd w:id="479"/>
    <w:p>
      <w:pPr>
        <w:jc w:val="center"/>
        <w:ind w:right="-19"/>
        <w:spacing w:after="0"/>
        <w:rPr>
          <w:sz w:val="20"/>
          <w:szCs w:val="20"/>
          <w:color w:val="auto"/>
        </w:rPr>
      </w:pPr>
      <w:r>
        <w:rPr>
          <w:rFonts w:ascii="Arial" w:cs="Arial" w:eastAsia="Arial" w:hAnsi="Arial"/>
          <w:sz w:val="18"/>
          <w:szCs w:val="18"/>
          <w:color w:val="auto"/>
        </w:rPr>
        <w:t>75</w:t>
      </w:r>
    </w:p>
    <w:p>
      <w:pPr>
        <w:spacing w:after="0" w:line="185" w:lineRule="exact"/>
        <w:rPr>
          <w:sz w:val="20"/>
          <w:szCs w:val="20"/>
          <w:color w:val="auto"/>
        </w:rPr>
      </w:pPr>
    </w:p>
    <w:p>
      <w:pPr>
        <w:ind w:left="1300" w:hanging="644"/>
        <w:spacing w:after="0" w:line="308" w:lineRule="auto"/>
        <w:tabs>
          <w:tab w:leader="none" w:pos="130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the Agent shall determine whether the recovery is in excess of the amount which the Recovering Finance Party would have received had the Recovery been received by the Agent and distributed in accordance with clause 10 (Other Payment Provisions);</w:t>
      </w:r>
    </w:p>
    <w:p>
      <w:pPr>
        <w:spacing w:after="0" w:line="173"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subject to sub-clause 27.3 (Exception), the Recovering Finance Party shall within three (3) Business Days of demand by the Agent pay to the Agent an amount ( the “Redistribution”) equal to the excess;</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Agent shall treat the Redistribution as if it were a payment by the Borrower under clause 10 (Other Payment Provisions) and shall pay the Redistribution to the Finance Parties (other than the Recovering Finance Party) in accordance with sub-clause 10.7 (Partial Payments);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after payment of the full Redistribution, the Recovering. Finance Party will be subrogated to the portion of the claim paid under paragraph</w:t>
      </w:r>
    </w:p>
    <w:p>
      <w:pPr>
        <w:spacing w:after="0" w:line="46" w:lineRule="exact"/>
        <w:rPr>
          <w:rFonts w:ascii="Arial" w:cs="Arial" w:eastAsia="Arial" w:hAnsi="Arial"/>
          <w:sz w:val="16"/>
          <w:szCs w:val="16"/>
          <w:color w:val="auto"/>
        </w:rPr>
      </w:pPr>
    </w:p>
    <w:p>
      <w:pPr>
        <w:ind w:left="1300" w:right="20"/>
        <w:spacing w:after="0" w:line="261" w:lineRule="auto"/>
        <w:rPr>
          <w:rFonts w:ascii="Arial" w:cs="Arial" w:eastAsia="Arial" w:hAnsi="Arial"/>
          <w:sz w:val="16"/>
          <w:szCs w:val="16"/>
          <w:color w:val="auto"/>
        </w:rPr>
      </w:pPr>
      <w:r>
        <w:rPr>
          <w:rFonts w:ascii="Arial" w:cs="Arial" w:eastAsia="Arial" w:hAnsi="Arial"/>
          <w:sz w:val="18"/>
          <w:szCs w:val="18"/>
          <w:color w:val="auto"/>
        </w:rPr>
        <w:t>(d) above and the Borrower will owe the Recovering Finance Party a debt which is equal to the Redistribution, immediately payable and of the type originally discharged.</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u w:val="single" w:color="auto"/>
          <w:color w:val="auto"/>
        </w:rPr>
        <w:t>Reversal of Redistribution</w:t>
      </w:r>
      <w:r>
        <w:rPr>
          <w:rFonts w:ascii="Arial" w:cs="Arial" w:eastAsia="Arial" w:hAnsi="Arial"/>
          <w:sz w:val="16"/>
          <w:szCs w:val="16"/>
          <w:color w:val="auto"/>
        </w:rPr>
        <w:t>: If under clause 27.1 (Redistribution):</w:t>
      </w:r>
    </w:p>
    <w:p>
      <w:pPr>
        <w:spacing w:after="0" w:line="252" w:lineRule="exact"/>
        <w:rPr>
          <w:sz w:val="20"/>
          <w:szCs w:val="20"/>
          <w:color w:val="auto"/>
        </w:rPr>
      </w:pPr>
    </w:p>
    <w:p>
      <w:pPr>
        <w:ind w:left="1300" w:hanging="644"/>
        <w:spacing w:after="0"/>
        <w:tabs>
          <w:tab w:leader="none" w:pos="130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a Recovering Finance Party must subsequently return a recovery, or an amount measured by reference to a Recovery, to the Borrower; and</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Recovering Finance Party has paid a redistribution in relation to that recovery,</w:t>
      </w:r>
    </w:p>
    <w:p>
      <w:pPr>
        <w:spacing w:after="0" w:line="245" w:lineRule="exact"/>
        <w:rPr>
          <w:sz w:val="20"/>
          <w:szCs w:val="20"/>
          <w:color w:val="auto"/>
        </w:rPr>
      </w:pPr>
    </w:p>
    <w:p>
      <w:pPr>
        <w:jc w:val="both"/>
        <w:ind w:left="660" w:right="280"/>
        <w:spacing w:after="0" w:line="297" w:lineRule="auto"/>
        <w:rPr>
          <w:sz w:val="20"/>
          <w:szCs w:val="20"/>
          <w:color w:val="auto"/>
        </w:rPr>
      </w:pPr>
      <w:r>
        <w:rPr>
          <w:rFonts w:ascii="Arial" w:cs="Arial" w:eastAsia="Arial" w:hAnsi="Arial"/>
          <w:sz w:val="19"/>
          <w:szCs w:val="19"/>
          <w:color w:val="auto"/>
        </w:rPr>
        <w:t>each Finance Party shall, within three (3) Business Days of demand by the Recovering Finance Party through the Agent, reimburse the Recovering Finance Party for all or the appropriate portion of the Redistribution paid to that Finance Party. Thereupon, the subrogation in clause 27.1(e) (Redistribution) will operate in reverse to the extent of the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0" w:name="page481"/>
    <w:bookmarkEnd w:id="480"/>
    <w:p>
      <w:pPr>
        <w:jc w:val="center"/>
        <w:ind w:right="-19"/>
        <w:spacing w:after="0"/>
        <w:rPr>
          <w:sz w:val="20"/>
          <w:szCs w:val="20"/>
          <w:color w:val="auto"/>
        </w:rPr>
      </w:pPr>
      <w:r>
        <w:rPr>
          <w:rFonts w:ascii="Arial" w:cs="Arial" w:eastAsia="Arial" w:hAnsi="Arial"/>
          <w:sz w:val="18"/>
          <w:szCs w:val="18"/>
          <w:color w:val="auto"/>
        </w:rPr>
        <w:t>76</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Exception</w:t>
      </w:r>
      <w:r>
        <w:rPr>
          <w:rFonts w:ascii="Arial" w:cs="Arial" w:eastAsia="Arial" w:hAnsi="Arial"/>
          <w:sz w:val="18"/>
          <w:szCs w:val="18"/>
          <w:color w:val="auto"/>
        </w:rPr>
        <w:t>: A Recovering Finance Party need not pay a Redistribution to the extent that it would not, after the payment, have a valid claim against the Borrower in the amount of the Redistribution pursuant to sub-clause 27.1(e) (Redistribution).</w:t>
      </w:r>
    </w:p>
    <w:p>
      <w:pPr>
        <w:spacing w:after="0" w:line="220" w:lineRule="exact"/>
        <w:rPr>
          <w:sz w:val="20"/>
          <w:szCs w:val="20"/>
          <w:color w:val="auto"/>
        </w:rPr>
      </w:pPr>
    </w:p>
    <w:p>
      <w:pPr>
        <w:ind w:left="780" w:hanging="772"/>
        <w:spacing w:after="0"/>
        <w:tabs>
          <w:tab w:leader="none" w:pos="780" w:val="left"/>
        </w:tabs>
        <w:numPr>
          <w:ilvl w:val="0"/>
          <w:numId w:val="52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provision of any Loan Document is or becomes illegal, invalid or unenforceable in any jurisdiction, that shall not affect:</w:t>
      </w:r>
    </w:p>
    <w:p>
      <w:pPr>
        <w:spacing w:after="0" w:line="252" w:lineRule="exact"/>
        <w:rPr>
          <w:sz w:val="20"/>
          <w:szCs w:val="20"/>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validity or enforceability in that jurisdiction of any other provision of any of the Loan Documents;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validity or enforceability in other jurisdictions of that or any other provision of any of the Loan Documents;</w:t>
      </w:r>
    </w:p>
    <w:p>
      <w:pPr>
        <w:spacing w:after="0" w:line="275" w:lineRule="exact"/>
        <w:rPr>
          <w:sz w:val="20"/>
          <w:szCs w:val="20"/>
          <w:color w:val="auto"/>
        </w:rPr>
      </w:pPr>
    </w:p>
    <w:p>
      <w:pPr>
        <w:ind w:left="780" w:hanging="772"/>
        <w:spacing w:after="0"/>
        <w:tabs>
          <w:tab w:leader="none" w:pos="780" w:val="left"/>
        </w:tabs>
        <w:numPr>
          <w:ilvl w:val="0"/>
          <w:numId w:val="528"/>
        </w:numPr>
        <w:rPr>
          <w:rFonts w:ascii="Arial" w:cs="Arial" w:eastAsia="Arial" w:hAnsi="Arial"/>
          <w:sz w:val="18"/>
          <w:szCs w:val="18"/>
          <w:color w:val="auto"/>
        </w:rPr>
      </w:pPr>
      <w:r>
        <w:rPr>
          <w:rFonts w:ascii="Arial" w:cs="Arial" w:eastAsia="Arial" w:hAnsi="Arial"/>
          <w:sz w:val="18"/>
          <w:szCs w:val="18"/>
          <w:b w:val="1"/>
          <w:bCs w:val="1"/>
          <w:u w:val="single" w:color="auto"/>
          <w:color w:val="auto"/>
        </w:rPr>
        <w:t>Anti-Money Laundering</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Agent shall verify the source of funds before accepting deposits or processing transactions in respect of the Loan and shall report unusual transactions to the Governmental Authorities. Consent is hereby deemed to be given to the Agent by the Borrower to disclose this information to money laundering prevention and control officers within each Lender and relevant Governmental Authorities, for the purpose of ensuring that each Lender complies with money laundering legislation. The Borrower will indemnify the Agent for its out of pocket expenses, including reasonable legal fees and court costs for any investigation or potential investigation under applicable money laundering legislation regarding the Loan and its obligations as Agent hereunder, including but not limited to seeking direction from a court of competent jurisdiction on the Agent’s rights and responsibilities in such matters.</w:t>
      </w:r>
    </w:p>
    <w:p>
      <w:pPr>
        <w:spacing w:after="0" w:line="228" w:lineRule="exact"/>
        <w:rPr>
          <w:sz w:val="20"/>
          <w:szCs w:val="20"/>
          <w:color w:val="auto"/>
        </w:rPr>
      </w:pPr>
    </w:p>
    <w:p>
      <w:pPr>
        <w:ind w:left="720" w:hanging="712"/>
        <w:spacing w:after="0"/>
        <w:tabs>
          <w:tab w:leader="none" w:pos="720"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Giving of notices</w:t>
      </w:r>
      <w:r>
        <w:rPr>
          <w:rFonts w:ascii="Arial" w:cs="Arial" w:eastAsia="Arial" w:hAnsi="Arial"/>
          <w:sz w:val="18"/>
          <w:szCs w:val="18"/>
          <w:color w:val="auto"/>
        </w:rPr>
        <w:t>: All notices or other communications under or in connection with this Agreement shall be given in writing or by electronic mail or facsimile. Any such notice will be deemed to be given as follows:</w:t>
      </w:r>
    </w:p>
    <w:p>
      <w:pPr>
        <w:spacing w:after="0" w:line="197" w:lineRule="exact"/>
        <w:rPr>
          <w:sz w:val="20"/>
          <w:szCs w:val="20"/>
          <w:color w:val="auto"/>
        </w:rPr>
      </w:pPr>
    </w:p>
    <w:p>
      <w:pPr>
        <w:ind w:left="1300" w:hanging="644"/>
        <w:spacing w:after="0"/>
        <w:tabs>
          <w:tab w:leader="none" w:pos="13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in writing, when delivered;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1" w:name="page482"/>
    <w:bookmarkEnd w:id="481"/>
    <w:p>
      <w:pPr>
        <w:jc w:val="center"/>
        <w:ind w:right="-19"/>
        <w:spacing w:after="0"/>
        <w:rPr>
          <w:sz w:val="20"/>
          <w:szCs w:val="20"/>
          <w:color w:val="auto"/>
        </w:rPr>
      </w:pPr>
      <w:r>
        <w:rPr>
          <w:rFonts w:ascii="Arial" w:cs="Arial" w:eastAsia="Arial" w:hAnsi="Arial"/>
          <w:sz w:val="18"/>
          <w:szCs w:val="18"/>
          <w:color w:val="auto"/>
        </w:rPr>
        <w:t>77</w:t>
      </w:r>
    </w:p>
    <w:p>
      <w:pPr>
        <w:spacing w:after="0" w:line="185" w:lineRule="exact"/>
        <w:rPr>
          <w:sz w:val="20"/>
          <w:szCs w:val="20"/>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if by electronic mail or facsimile, when received.</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However, a notice given in accordance with the above but received on a non-Business Day or after business hours in the place of receipt will only be deemed to be given on the next Business Day.</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u w:val="single" w:color="auto"/>
          <w:color w:val="auto"/>
        </w:rPr>
        <w:t>Addresses for notices</w:t>
      </w:r>
    </w:p>
    <w:p>
      <w:pPr>
        <w:spacing w:after="0" w:line="252" w:lineRule="exact"/>
        <w:rPr>
          <w:sz w:val="20"/>
          <w:szCs w:val="20"/>
          <w:color w:val="auto"/>
        </w:rPr>
      </w:pPr>
    </w:p>
    <w:p>
      <w:pPr>
        <w:ind w:left="1300" w:hanging="644"/>
        <w:spacing w:after="0" w:line="277"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address, e-mail address and facsimile number of each Party (other than the Agent) for all notices under or in connection with this Agreement are: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those notified by that Party for this purpose to the Agent on or before the date it becomes a Party;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other notified by that Party for this purpose to the Agent by not less than five (5) Business Days’ notice.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address, facsimile number and electronic mail address of the Agent are:</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JCSD TRUSTEE SERVICES LIMITED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 Harbour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Kingston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Jamaica, W.I.</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Mr. Robin Levy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(876) 948-6653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robinievy@iamstockex,com</w:t>
      </w:r>
    </w:p>
    <w:p>
      <w:pPr>
        <w:spacing w:after="0" w:line="261" w:lineRule="exact"/>
        <w:rPr>
          <w:sz w:val="20"/>
          <w:szCs w:val="20"/>
          <w:color w:val="auto"/>
        </w:rPr>
      </w:pPr>
    </w:p>
    <w:p>
      <w:pPr>
        <w:ind w:left="720" w:hanging="712"/>
        <w:spacing w:after="0"/>
        <w:tabs>
          <w:tab w:leader="none" w:pos="720" w:val="left"/>
        </w:tabs>
        <w:numPr>
          <w:ilvl w:val="0"/>
          <w:numId w:val="533"/>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Submission</w:t>
      </w:r>
      <w:r>
        <w:rPr>
          <w:rFonts w:ascii="Arial" w:cs="Arial" w:eastAsia="Arial" w:hAnsi="Arial"/>
          <w:sz w:val="18"/>
          <w:szCs w:val="18"/>
          <w:color w:val="auto"/>
        </w:rPr>
        <w:t>: For the benefit of the Finance Parties, the Borrower agrees that the courts of Jamaica have jurisdiction to settle any disputes in connection with any Loan Document and accordingly submits to the jurisdiction of the Jamaican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160" w:type="dxa"/>
            <w:vAlign w:val="bottom"/>
          </w:tcPr>
          <w:p>
            <w:pPr>
              <w:jc w:val="right"/>
              <w:ind w:right="5530"/>
              <w:spacing w:after="0"/>
              <w:rPr>
                <w:sz w:val="20"/>
                <w:szCs w:val="20"/>
                <w:color w:val="auto"/>
              </w:rPr>
            </w:pPr>
            <w:r>
              <w:rPr>
                <w:rFonts w:ascii="Arial" w:cs="Arial" w:eastAsia="Arial" w:hAnsi="Arial"/>
                <w:sz w:val="18"/>
                <w:szCs w:val="18"/>
                <w:color w:val="auto"/>
              </w:rPr>
              <w:t>78</w:t>
            </w:r>
          </w:p>
        </w:tc>
      </w:tr>
      <w:tr>
        <w:trPr>
          <w:trHeight w:val="378"/>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1500" w:type="dxa"/>
            <w:vAlign w:val="bottom"/>
            <w:gridSpan w:val="2"/>
          </w:tcPr>
          <w:p>
            <w:pPr>
              <w:spacing w:after="0"/>
              <w:rPr>
                <w:sz w:val="20"/>
                <w:szCs w:val="20"/>
                <w:color w:val="auto"/>
              </w:rPr>
            </w:pPr>
            <w:r>
              <w:rPr>
                <w:rFonts w:ascii="Arial" w:cs="Arial" w:eastAsia="Arial" w:hAnsi="Arial"/>
                <w:sz w:val="18"/>
                <w:szCs w:val="18"/>
                <w:color w:val="auto"/>
              </w:rPr>
              <w:t>Non-exclusivity:</w:t>
            </w:r>
          </w:p>
        </w:tc>
        <w:tc>
          <w:tcPr>
            <w:tcW w:w="9160" w:type="dxa"/>
            <w:vAlign w:val="bottom"/>
          </w:tcPr>
          <w:p>
            <w:pPr>
              <w:jc w:val="right"/>
              <w:spacing w:after="0"/>
              <w:rPr>
                <w:sz w:val="20"/>
                <w:szCs w:val="20"/>
                <w:color w:val="auto"/>
              </w:rPr>
            </w:pPr>
            <w:r>
              <w:rPr>
                <w:rFonts w:ascii="Arial" w:cs="Arial" w:eastAsia="Arial" w:hAnsi="Arial"/>
                <w:sz w:val="18"/>
                <w:szCs w:val="18"/>
                <w:color w:val="auto"/>
                <w:w w:val="96"/>
              </w:rPr>
              <w:t>Nothing in this clause 31 limits the right of Finance Party to bring proceedings against the Borrower or the Guarantor in</w:t>
            </w:r>
          </w:p>
        </w:tc>
      </w:tr>
      <w:tr>
        <w:trPr>
          <w:trHeight w:val="20"/>
        </w:trPr>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any Loan Document:</w:t>
      </w:r>
    </w:p>
    <w:p>
      <w:pPr>
        <w:spacing w:after="0" w:line="252" w:lineRule="exact"/>
        <w:rPr>
          <w:sz w:val="20"/>
          <w:szCs w:val="20"/>
          <w:color w:val="auto"/>
        </w:rPr>
      </w:pPr>
    </w:p>
    <w:p>
      <w:pPr>
        <w:ind w:left="1300" w:hanging="644"/>
        <w:spacing w:after="0"/>
        <w:tabs>
          <w:tab w:leader="none" w:pos="13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 any other court of competent jurisdiction;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concurrently in more than one jurisdiction.</w:t>
      </w:r>
    </w:p>
    <w:p>
      <w:pPr>
        <w:spacing w:after="0" w:line="279" w:lineRule="exact"/>
        <w:rPr>
          <w:sz w:val="20"/>
          <w:szCs w:val="20"/>
          <w:color w:val="auto"/>
        </w:rPr>
      </w:pPr>
    </w:p>
    <w:p>
      <w:pPr>
        <w:jc w:val="both"/>
        <w:ind w:firstLine="8"/>
        <w:spacing w:after="0" w:line="259" w:lineRule="auto"/>
        <w:tabs>
          <w:tab w:leader="none" w:pos="734"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To the extent that the Borrower may in any jurisdiction claim for itself or its assets immunity from suit, execution, attachment (whether in aid of execution, before judgment or otherwise) or other legal process and to the extent that in any such jurisdiction there may be attributed to itself or its assets such immunity (whether or not claimed), the Borrower hereby irrevocably agrees not to claim and hereby irrevocably waive such immunity to the full extent permitted by the laws of such jurisdiction.</w:t>
      </w:r>
    </w:p>
    <w:p>
      <w:pPr>
        <w:spacing w:after="0" w:line="237" w:lineRule="exact"/>
        <w:rPr>
          <w:sz w:val="20"/>
          <w:szCs w:val="20"/>
          <w:color w:val="auto"/>
        </w:rPr>
      </w:pPr>
    </w:p>
    <w:p>
      <w:pPr>
        <w:ind w:left="720" w:hanging="712"/>
        <w:spacing w:after="0"/>
        <w:tabs>
          <w:tab w:leader="none" w:pos="72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Agreement may be executed in one or more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electronic mail shall be effective as delivery of an original executed counterpart of this Agreement.</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Governing law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governed by Jamaica law.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3" w:name="page484"/>
    <w:bookmarkEnd w:id="483"/>
    <w:tbl>
      <w:tblPr>
        <w:tblLayout w:type="fixed"/>
        <w:tblInd w:w="1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70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79</w:t>
            </w: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51"/>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SCHEDULE 1</w:t>
            </w:r>
          </w:p>
        </w:tc>
        <w:tc>
          <w:tcPr>
            <w:tcW w:w="5160" w:type="dxa"/>
            <w:vAlign w:val="bottom"/>
            <w:gridSpan w:val="3"/>
          </w:tcPr>
          <w:p>
            <w:pPr>
              <w:spacing w:after="0"/>
              <w:rPr>
                <w:sz w:val="24"/>
                <w:szCs w:val="24"/>
                <w:color w:val="auto"/>
              </w:rPr>
            </w:pPr>
          </w:p>
        </w:tc>
      </w:tr>
      <w:tr>
        <w:trPr>
          <w:trHeight w:val="439"/>
        </w:trPr>
        <w:tc>
          <w:tcPr>
            <w:tcW w:w="4560" w:type="dxa"/>
            <w:vAlign w:val="bottom"/>
          </w:tcPr>
          <w:p>
            <w:pPr>
              <w:spacing w:after="0"/>
              <w:rPr>
                <w:sz w:val="24"/>
                <w:szCs w:val="24"/>
                <w:color w:val="auto"/>
              </w:rPr>
            </w:pPr>
          </w:p>
        </w:tc>
        <w:tc>
          <w:tcPr>
            <w:tcW w:w="6860" w:type="dxa"/>
            <w:vAlign w:val="bottom"/>
            <w:gridSpan w:val="6"/>
          </w:tcPr>
          <w:p>
            <w:pPr>
              <w:jc w:val="center"/>
              <w:ind w:right="4470"/>
              <w:spacing w:after="0"/>
              <w:rPr>
                <w:sz w:val="20"/>
                <w:szCs w:val="20"/>
                <w:color w:val="auto"/>
              </w:rPr>
            </w:pPr>
            <w:r>
              <w:rPr>
                <w:rFonts w:ascii="Arial" w:cs="Arial" w:eastAsia="Arial" w:hAnsi="Arial"/>
                <w:sz w:val="18"/>
                <w:szCs w:val="18"/>
                <w:color w:val="auto"/>
                <w:w w:val="89"/>
              </w:rPr>
              <w:t>Lenders and Commitments</w:t>
            </w:r>
          </w:p>
        </w:tc>
      </w:tr>
      <w:tr>
        <w:trPr>
          <w:trHeight w:val="480"/>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THE FACILITY</w:t>
            </w:r>
          </w:p>
        </w:tc>
        <w:tc>
          <w:tcPr>
            <w:tcW w:w="4740" w:type="dxa"/>
            <w:vAlign w:val="bottom"/>
            <w:gridSpan w:val="2"/>
          </w:tcPr>
          <w:p>
            <w:pPr>
              <w:spacing w:after="0"/>
              <w:rPr>
                <w:sz w:val="24"/>
                <w:szCs w:val="24"/>
                <w:color w:val="auto"/>
              </w:rPr>
            </w:pPr>
          </w:p>
        </w:tc>
      </w:tr>
      <w:tr>
        <w:trPr>
          <w:trHeight w:val="250"/>
        </w:trPr>
        <w:tc>
          <w:tcPr>
            <w:tcW w:w="4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NATIONAL COMMERCIAL BANK JAMAICA LIMITED</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US$ 29,000,000.00</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SAGICOR BANK JAMAICA LIMITED</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US$10,000,000.00</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JMMB MERCHANT BANK LIMITED</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US$5,000,000.00</w:t>
            </w:r>
          </w:p>
        </w:tc>
      </w:tr>
      <w:tr>
        <w:trPr>
          <w:trHeight w:val="196"/>
        </w:trPr>
        <w:tc>
          <w:tcPr>
            <w:tcW w:w="4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125" w:right="239"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color w:val="auto"/>
        </w:rPr>
        <w:t>80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Conditions Precedent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shall be provided in relation to the Borrower/Guarantor, as applicable:</w:t>
      </w:r>
    </w:p>
    <w:p>
      <w:pPr>
        <w:spacing w:after="0" w:line="279" w:lineRule="exact"/>
        <w:rPr>
          <w:sz w:val="20"/>
          <w:szCs w:val="20"/>
          <w:color w:val="auto"/>
        </w:rPr>
      </w:pPr>
    </w:p>
    <w:p>
      <w:pPr>
        <w:ind w:left="800" w:hanging="792"/>
        <w:spacing w:after="0"/>
        <w:tabs>
          <w:tab w:leader="none" w:pos="80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Copies of the Certificates of Incorporation of the Borrower/Guarantor duly certified by a Director or the Secretary of the Borrower/Guarantor.</w:t>
      </w:r>
    </w:p>
    <w:p>
      <w:pPr>
        <w:spacing w:after="0" w:line="290" w:lineRule="exact"/>
        <w:rPr>
          <w:rFonts w:ascii="Arial" w:cs="Arial" w:eastAsia="Arial" w:hAnsi="Arial"/>
          <w:sz w:val="17"/>
          <w:szCs w:val="17"/>
          <w:color w:val="auto"/>
        </w:rPr>
      </w:pPr>
    </w:p>
    <w:p>
      <w:pPr>
        <w:ind w:left="800" w:hanging="792"/>
        <w:spacing w:after="0"/>
        <w:tabs>
          <w:tab w:leader="none" w:pos="80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Copies of the constitutive documents of the Borrower/Guarantor duly certified by a Director or the Secretary of the Borrower/Guarantor.</w:t>
      </w:r>
    </w:p>
    <w:p>
      <w:pPr>
        <w:spacing w:after="0" w:line="290" w:lineRule="exact"/>
        <w:rPr>
          <w:rFonts w:ascii="Arial" w:cs="Arial" w:eastAsia="Arial" w:hAnsi="Arial"/>
          <w:sz w:val="17"/>
          <w:szCs w:val="17"/>
          <w:color w:val="auto"/>
        </w:rPr>
      </w:pPr>
    </w:p>
    <w:p>
      <w:pPr>
        <w:ind w:firstLine="8"/>
        <w:spacing w:after="0" w:line="277" w:lineRule="auto"/>
        <w:tabs>
          <w:tab w:leader="none" w:pos="743" w:val="left"/>
        </w:tabs>
        <w:numPr>
          <w:ilvl w:val="0"/>
          <w:numId w:val="537"/>
        </w:numPr>
        <w:rPr>
          <w:rFonts w:ascii="Arial" w:cs="Arial" w:eastAsia="Arial" w:hAnsi="Arial"/>
          <w:sz w:val="18"/>
          <w:szCs w:val="18"/>
          <w:color w:val="auto"/>
        </w:rPr>
      </w:pPr>
      <w:r>
        <w:rPr>
          <w:rFonts w:ascii="Arial" w:cs="Arial" w:eastAsia="Arial" w:hAnsi="Arial"/>
          <w:sz w:val="18"/>
          <w:szCs w:val="18"/>
          <w:color w:val="auto"/>
        </w:rPr>
        <w:t>Copy of a borrowing Resolution of the Board of Directors of the Borrower (duly certified by the Chairman or the Secretary of the Borrower). Copy of a Resolution of the Guarantor (duly certified by the Chairman or the Secretary of the Borrower)</w:t>
      </w:r>
    </w:p>
    <w:p>
      <w:pPr>
        <w:spacing w:after="0" w:line="224" w:lineRule="exact"/>
        <w:rPr>
          <w:rFonts w:ascii="Arial" w:cs="Arial" w:eastAsia="Arial" w:hAnsi="Arial"/>
          <w:sz w:val="18"/>
          <w:szCs w:val="18"/>
          <w:color w:val="auto"/>
        </w:rPr>
      </w:pPr>
    </w:p>
    <w:p>
      <w:pPr>
        <w:ind w:firstLine="8"/>
        <w:spacing w:after="0" w:line="277" w:lineRule="auto"/>
        <w:tabs>
          <w:tab w:leader="none" w:pos="99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authorized to act on behalf of the Borrower/Guarantor, to sign and dispatch all Notes and other documents and notices to be signed and dispatched by it under or in connection with this Agreement.</w:t>
      </w:r>
    </w:p>
    <w:p>
      <w:pPr>
        <w:spacing w:after="0" w:line="224" w:lineRule="exact"/>
        <w:rPr>
          <w:rFonts w:ascii="Arial" w:cs="Arial" w:eastAsia="Arial" w:hAnsi="Arial"/>
          <w:sz w:val="18"/>
          <w:szCs w:val="18"/>
          <w:color w:val="auto"/>
        </w:rPr>
      </w:pPr>
    </w:p>
    <w:p>
      <w:pPr>
        <w:jc w:val="both"/>
        <w:ind w:firstLine="8"/>
        <w:spacing w:after="0" w:line="264" w:lineRule="auto"/>
        <w:tabs>
          <w:tab w:leader="none" w:pos="81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 certificate of an authorized signatory of the Borrower/Guarantor certifying that (i) the representations and warranties set out in sub-clause 14.1 are correct and will be correct after disbursement of the Loans and (ii) and that no Event of Default or Potential Event of Default is continuing or would result from the making of the Loans.</w:t>
      </w:r>
    </w:p>
    <w:p>
      <w:pPr>
        <w:spacing w:after="0" w:line="235" w:lineRule="exact"/>
        <w:rPr>
          <w:sz w:val="20"/>
          <w:szCs w:val="20"/>
          <w:color w:val="auto"/>
        </w:rPr>
      </w:pPr>
    </w:p>
    <w:p>
      <w:pPr>
        <w:jc w:val="both"/>
        <w:ind w:firstLine="8"/>
        <w:spacing w:after="0" w:line="264" w:lineRule="auto"/>
        <w:tabs>
          <w:tab w:leader="none" w:pos="79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Certificate of the Chief Financial Officer of the Borrower that having regard to the aggregate unpaid principal amount of moneys borrowed by the Borrower as at the date of the certificate, the Directors of the Borrower would have authority to borrow the Loans without the sanction of an ordinary resolution of the Company.</w:t>
      </w:r>
    </w:p>
    <w:p>
      <w:pPr>
        <w:spacing w:after="0" w:line="235" w:lineRule="exact"/>
        <w:rPr>
          <w:sz w:val="20"/>
          <w:szCs w:val="20"/>
          <w:color w:val="auto"/>
        </w:rPr>
      </w:pPr>
    </w:p>
    <w:p>
      <w:pPr>
        <w:jc w:val="both"/>
        <w:ind w:firstLine="8"/>
        <w:spacing w:after="0" w:line="264" w:lineRule="auto"/>
        <w:tabs>
          <w:tab w:leader="none" w:pos="864"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 copy of any other authorization or other document, opinion or assurance which the Agent considers to be necessary or desirable in connection with the entry into and performance of, and the transactions contemplated by, any Loan Document or for the validity, enforceability or admissibility in evidence or any Loan Document.</w:t>
      </w:r>
    </w:p>
    <w:p>
      <w:pPr>
        <w:spacing w:after="0" w:line="235" w:lineRule="exact"/>
        <w:rPr>
          <w:rFonts w:ascii="Arial" w:cs="Arial" w:eastAsia="Arial" w:hAnsi="Arial"/>
          <w:sz w:val="18"/>
          <w:szCs w:val="18"/>
          <w:color w:val="auto"/>
        </w:rPr>
      </w:pPr>
    </w:p>
    <w:p>
      <w:pPr>
        <w:ind w:firstLine="8"/>
        <w:spacing w:after="0" w:line="277" w:lineRule="auto"/>
        <w:tabs>
          <w:tab w:leader="none" w:pos="797"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favourable legal opinion of legal advisors to the Borrower/Guarantor, addressed to the Finance Parties in form and substance acceptable to the Agent and the Lenders.</w:t>
      </w:r>
    </w:p>
    <w:p>
      <w:pPr>
        <w:spacing w:after="0" w:line="224" w:lineRule="exact"/>
        <w:rPr>
          <w:rFonts w:ascii="Arial" w:cs="Arial" w:eastAsia="Arial" w:hAnsi="Arial"/>
          <w:sz w:val="18"/>
          <w:szCs w:val="18"/>
          <w:color w:val="auto"/>
        </w:rPr>
      </w:pPr>
    </w:p>
    <w:p>
      <w:pPr>
        <w:ind w:firstLine="8"/>
        <w:spacing w:after="0" w:line="277" w:lineRule="auto"/>
        <w:tabs>
          <w:tab w:leader="none" w:pos="837"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favourable legal opinion of legal advisor to the Arranger, addressed to the Finance Parties in form and substance acceptable to the Agent and the Lenders.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 AI , DOCUMENTS REQUIRED</w:t>
      </w:r>
    </w:p>
    <w:p>
      <w:pPr>
        <w:spacing w:after="0" w:line="256" w:lineRule="exact"/>
        <w:rPr>
          <w:sz w:val="20"/>
          <w:szCs w:val="20"/>
          <w:color w:val="auto"/>
        </w:rPr>
      </w:pPr>
    </w:p>
    <w:p>
      <w:pPr>
        <w:ind w:left="660" w:hanging="652"/>
        <w:spacing w:after="0"/>
        <w:tabs>
          <w:tab w:leader="none" w:pos="6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Copy of Borrower’s Business Plan together with:</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Unaudited Financial Statements of the Borrower and the Guarantor for the period ended December 31, 2015 and most recent Draft/Management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color w:val="auto"/>
        </w:rPr>
        <w:t>81</w:t>
      </w:r>
    </w:p>
    <w:p>
      <w:pPr>
        <w:spacing w:after="0" w:line="185" w:lineRule="exact"/>
        <w:rPr>
          <w:sz w:val="20"/>
          <w:szCs w:val="20"/>
          <w:color w:val="auto"/>
        </w:rPr>
      </w:pPr>
    </w:p>
    <w:p>
      <w:pPr>
        <w:ind w:left="980" w:hanging="324"/>
        <w:spacing w:after="0"/>
        <w:tabs>
          <w:tab w:leader="none" w:pos="98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Cash flow projections for the transaction horizon: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Organizational Chart for the Borrower;</w:t>
      </w:r>
    </w:p>
    <w:p>
      <w:pPr>
        <w:spacing w:after="0" w:line="23" w:lineRule="exact"/>
        <w:rPr>
          <w:rFonts w:ascii="Arial" w:cs="Arial" w:eastAsia="Arial" w:hAnsi="Arial"/>
          <w:sz w:val="18"/>
          <w:szCs w:val="18"/>
          <w:color w:val="auto"/>
        </w:rPr>
      </w:pPr>
    </w:p>
    <w:p>
      <w:pPr>
        <w:ind w:left="980" w:right="20" w:hanging="324"/>
        <w:spacing w:after="0" w:line="265" w:lineRule="auto"/>
        <w:tabs>
          <w:tab w:leader="none" w:pos="980" w:val="left"/>
        </w:tabs>
        <w:numPr>
          <w:ilvl w:val="1"/>
          <w:numId w:val="541"/>
        </w:numPr>
        <w:rPr>
          <w:rFonts w:ascii="Arial" w:cs="Arial" w:eastAsia="Arial" w:hAnsi="Arial"/>
          <w:sz w:val="17"/>
          <w:szCs w:val="17"/>
          <w:color w:val="auto"/>
        </w:rPr>
      </w:pPr>
      <w:r>
        <w:rPr>
          <w:rFonts w:ascii="Arial" w:cs="Arial" w:eastAsia="Arial" w:hAnsi="Arial"/>
          <w:sz w:val="17"/>
          <w:szCs w:val="17"/>
          <w:color w:val="auto"/>
        </w:rPr>
        <w:t>Know Your Customer (“KYC”) Documentation for the Directors, and shareholders/beneficial owners (owning more than 10%), including but not limited to references, photo identification, proof of nationality and tax registration number as well as any other documents required to ensure compliance with the Foreign Account Tax Compliance Act, in each case with respect to the Borrower/Guarantor as applicable; and</w:t>
      </w:r>
    </w:p>
    <w:p>
      <w:pPr>
        <w:ind w:left="980" w:hanging="324"/>
        <w:spacing w:after="0"/>
        <w:tabs>
          <w:tab w:leader="none" w:pos="98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Details of senior managers of Borrower/Guarantor.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 standard Sources and Uses table for the Project indicating equity and a breakdown of Project expenses;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Valuation Report being no older than twelve months, of the land, buildings, plant and equipment identified as part of the collateral package prepared by a valuator acceptable to the Arranger showing current and expected value of property upon completion of the Project to facilitate determination of the Loan to Value (“LTV”) of Security ratio;</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Copy of port lease for Berth # l at Port of Montego Bay, Jamaica;</w:t>
      </w:r>
    </w:p>
    <w:p>
      <w:pPr>
        <w:spacing w:after="0" w:line="9"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Copy of the executed Long Term Supply Agreement from ultimate LNG source (acceptable to the Lenders) reflecting a minimum tenor equivalent to that of the Loan;</w:t>
      </w: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Latest draft of the Long Term Offtake Agreement with Jamaica Public Service Company Limited;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Copy of the executed EPC Contract between the Borrower and Ashtrom Building Systems Limited acceptable to the Lenders;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Quantity Surveyor’s Bill of Quantities for all construction and infrastructural work relating to the Project, to completion;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Copies of pro-forma invoices for equipment being purchased for the benefit of the Project;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A listing of the approved professionals/service providers who will be engaged for the benefit of the Project and curriculum vitae where relevant;</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Copies of all material contracts relating to the Project (including a construction manager’s contract).</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Copy of the Technical Report submitted by CL Environment Consultants to NEPA, dated February 2016 and entitled, “NFE North Holdings Limited MoBay Micro LNG Receiving Terminal Project, Port of Jamaica, Montego Freeport, St James;</w:t>
      </w:r>
    </w:p>
    <w:p>
      <w:pPr>
        <w:ind w:left="660" w:hanging="652"/>
        <w:spacing w:after="0" w:line="250" w:lineRule="auto"/>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Confirmation from the Port Authority of Jamaica that the port to be utilized by NFE for the delivery of LNG are public and as such would not be designated a Sufferance Wharf and would not require the Harbor Master’s confirmation of suitability;</w:t>
      </w:r>
    </w:p>
    <w:p>
      <w:pPr>
        <w:ind w:left="660" w:hanging="652"/>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Loan Drawdown schedule;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Clause 4.2A)</w:t>
      </w:r>
    </w:p>
    <w:p>
      <w:pPr>
        <w:spacing w:after="0" w:line="252" w:lineRule="exact"/>
        <w:rPr>
          <w:sz w:val="20"/>
          <w:szCs w:val="20"/>
          <w:color w:val="auto"/>
        </w:rPr>
      </w:pPr>
    </w:p>
    <w:p>
      <w:pPr>
        <w:jc w:val="both"/>
        <w:ind w:left="660" w:hanging="652"/>
        <w:spacing w:after="0" w:line="279" w:lineRule="auto"/>
        <w:tabs>
          <w:tab w:leader="none" w:pos="66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For the duration of the Facility the Borrower shall remain domiciled in a country that is a part of CAR1COM and that is also a signatory to the CARICOM Double Taxation Treaty; In the event that there is a change to the existing provisions of the CARJCOM Double Taxation Treaty, the Lenders jointly and severally reserve the right to revise the interest rate relating to the Facility upon giving the Borrower one (1) months’ notice and Borrower shall have the right to prepay the Facility at any time without penalty (prepayment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color w:val="auto"/>
        </w:rPr>
        <w:t>82</w:t>
      </w:r>
    </w:p>
    <w:p>
      <w:pPr>
        <w:spacing w:after="0" w:line="185" w:lineRule="exact"/>
        <w:rPr>
          <w:sz w:val="20"/>
          <w:szCs w:val="20"/>
          <w:color w:val="auto"/>
        </w:rPr>
      </w:pPr>
    </w:p>
    <w:p>
      <w:pPr>
        <w:ind w:left="660" w:hanging="652"/>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Borrower shall be required to maintain a bank operating account at National Commercial Jamaica Limited;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loan to value of security ratio at the Closing Date shall not exceed 65%:</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Subject to exceptions set forth in this Agreement, including but not limited to exceptions set forth under Clause 15.2, Financial Indebtedness provided by all directors and related parties and dividends on shareholders equity shall be subordinated to the Facility (i.e. such amounts may not be repaid or redeemed in whole or in part, prior to the Facility being repaid in full.</w:t>
      </w:r>
    </w:p>
    <w:p>
      <w:pPr>
        <w:spacing w:after="0" w:line="208"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 undertaking issued by NFE Bermuda to the effect that (a) if any amounts are drawn under the Letter of Credit issued in its name with respect to the Demand Charge payable under the Gas Supply Agreement between NFE Bermuda (as assignee of New Fortress Energy LLC) and Jamaica Public Service Company Limited, then (b) it shall pay to the Agent for benefit of the Lenders any Terminal Demand Payment (under the Terminal Direct Agreement) owed and outstanding up to the amount of such Letter of Credit.</w:t>
      </w:r>
    </w:p>
    <w:p>
      <w:pPr>
        <w:spacing w:after="0" w:line="21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Agent is to be provided with a valuation report every three (3) years post disbursement. The Lenders reserve the right to request a Valuation Report for the Project on demand if it perceives (acting reasonably) any impairment to the value of the collateral package or if the Borrower has breached any of the Financial Covenants.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Subsequent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Clause 4.3)</w:t>
      </w:r>
    </w:p>
    <w:p>
      <w:pPr>
        <w:spacing w:after="0" w:line="252" w:lineRule="exact"/>
        <w:rPr>
          <w:sz w:val="20"/>
          <w:szCs w:val="20"/>
          <w:color w:val="auto"/>
        </w:rPr>
      </w:pPr>
    </w:p>
    <w:p>
      <w:pPr>
        <w:ind w:left="420" w:hanging="412"/>
        <w:spacing w:after="0" w:line="277" w:lineRule="auto"/>
        <w:tabs>
          <w:tab w:leader="none" w:pos="4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 Copy of the executed Gas Supply Agreement between NFE Bermuda (as assignee of New Fortress Energy LLC) and Jamaica Public Service Company Limited is to be provided to the Agent within thirty (30) days of the Date of Disbursement.</w:t>
      </w:r>
    </w:p>
    <w:p>
      <w:pPr>
        <w:spacing w:after="0" w:line="197"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Borrower shall, within 30 days of the commencement of operations of the Project, establish Business Interruption Insurance and shall assign the rights, entitlements and benefits of the Borrower to the Agent by way of amendment to Schedule 2 of the Assignment of Insurance; provided, however, that the Borrower shall be permitted to establish Business Interruption Insurance within 90 days of the commencement of operations of the Project under this clause if the premium for such insurance is greater than $25,000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7" w:name="page488"/>
    <w:bookmarkEnd w:id="487"/>
    <w:p>
      <w:pPr>
        <w:jc w:val="center"/>
        <w:spacing w:after="0"/>
        <w:rPr>
          <w:sz w:val="20"/>
          <w:szCs w:val="20"/>
          <w:color w:val="auto"/>
        </w:rPr>
      </w:pPr>
      <w:r>
        <w:rPr>
          <w:rFonts w:ascii="Arial" w:cs="Arial" w:eastAsia="Arial" w:hAnsi="Arial"/>
          <w:sz w:val="18"/>
          <w:szCs w:val="18"/>
          <w:color w:val="auto"/>
        </w:rPr>
        <w:t>83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Security Documents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Guarantor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Atlantic Energy Holdings Limited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Parker House, Wildey Business Park, Wildey Road, St. Michael, Barbados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Security Documents</w:t>
      </w:r>
    </w:p>
    <w:p>
      <w:pPr>
        <w:spacing w:after="0" w:line="252" w:lineRule="exact"/>
        <w:rPr>
          <w:sz w:val="20"/>
          <w:szCs w:val="20"/>
          <w:color w:val="auto"/>
        </w:rPr>
      </w:pPr>
    </w:p>
    <w:p>
      <w:pPr>
        <w:ind w:left="340" w:hanging="332"/>
        <w:spacing w:after="0" w:line="277" w:lineRule="auto"/>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First Debenture/Charge over all present and future assets and property of the Borrower, in favour of the Agent, to secure payment of the Borrower’s obligations with respect to the Loan;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Security Contract over new equipment acquired for the benefit of the Project;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Mortgage of the Borrower’s Leasehold Interest under the long term lease over the lands on which the Project is sited;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Corporate Guarantee executed by the Guarantor in favour of the Agent guaranteeing the Borrower’s obligations under the Loan Agreement;</w:t>
      </w:r>
    </w:p>
    <w:p>
      <w:pPr>
        <w:spacing w:after="0" w:line="26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Debt Service Reserve Account with minimum six (6) months principal and nine (9) month’s interest to be established with National Commercial Bank Jamaica Limited;</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Terminal Direct Agreement between the Agent, Borrower, Jamaica Public Service Company Limited and NFE Bermuda the same containing a security interest in favour of the Agent (for the benefit of the Lenders) over the Demand Charge under the Gas Sales Agreement between NFE Bermuda (as assignee of New Fortress Energy LLC) and Jamaica Public Service Company Limited</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Charge over 100% shares in the Borrower;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Assignment of Contractors All Risk Insurance and Peril Insurance with the Agent as named insureds.</w:t>
      </w:r>
    </w:p>
    <w:p>
      <w:pPr>
        <w:spacing w:after="0" w:line="25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Assignment of the benefit of NFE North Holdings Limited under the Performance Bond issued on behalf of Ashtrom Building Systems Limited (the Contractor under the EPC Contract, relating to the Project) in such manner as shall be acceptable to the Lenders, such assignment to be in favour of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color w:val="auto"/>
        </w:rPr>
        <w:t>84</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THE COMMON SEAL of </w:t>
            </w:r>
            <w:r>
              <w:rPr>
                <w:rFonts w:ascii="Arial" w:cs="Arial" w:eastAsia="Arial" w:hAnsi="Arial"/>
                <w:sz w:val="18"/>
                <w:szCs w:val="18"/>
                <w:b w:val="1"/>
                <w:bCs w:val="1"/>
                <w:color w:val="auto"/>
              </w:rPr>
              <w:t>NFE NORTH HOLDINGS</w:t>
            </w: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2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LIMITED </w:t>
            </w:r>
            <w:r>
              <w:rPr>
                <w:rFonts w:ascii="Arial" w:cs="Arial" w:eastAsia="Arial" w:hAnsi="Arial"/>
                <w:sz w:val="18"/>
                <w:szCs w:val="18"/>
                <w:color w:val="auto"/>
              </w:rPr>
              <w:t>was hereunto</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60" w:type="dxa"/>
            <w:vAlign w:val="bottom"/>
          </w:tcPr>
          <w:p>
            <w:pPr>
              <w:spacing w:after="0"/>
              <w:rPr>
                <w:sz w:val="19"/>
                <w:szCs w:val="19"/>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put and affixed and this Agreement signed by</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auto"/>
            </w:tcBorders>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5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626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 Director and</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 Director/the Secretary of the Company</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60" w:type="dxa"/>
            <w:vAlign w:val="bottom"/>
          </w:tcPr>
          <w:p>
            <w:pPr>
              <w:spacing w:after="0"/>
              <w:rPr>
                <w:sz w:val="18"/>
                <w:szCs w:val="18"/>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in the presence of</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auto"/>
            </w:tcBorders>
          </w:tcPr>
          <w:p>
            <w:pPr>
              <w:spacing w:after="0"/>
              <w:rPr>
                <w:sz w:val="20"/>
                <w:szCs w:val="20"/>
                <w:color w:val="auto"/>
              </w:rPr>
            </w:pPr>
          </w:p>
        </w:tc>
      </w:tr>
      <w:tr>
        <w:trPr>
          <w:trHeight w:val="4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A. Halvey</w:t>
            </w:r>
          </w:p>
        </w:tc>
        <w:tc>
          <w:tcPr>
            <w:tcW w:w="5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418"/>
        </w:trPr>
        <w:tc>
          <w:tcPr>
            <w:tcW w:w="4580" w:type="dxa"/>
            <w:vAlign w:val="bottom"/>
          </w:tcPr>
          <w:p>
            <w:pPr>
              <w:jc w:val="center"/>
              <w:spacing w:after="0"/>
              <w:rPr>
                <w:sz w:val="20"/>
                <w:szCs w:val="20"/>
                <w:color w:val="auto"/>
              </w:rPr>
            </w:pPr>
            <w:r>
              <w:rPr>
                <w:rFonts w:ascii="Arial" w:cs="Arial" w:eastAsia="Arial" w:hAnsi="Arial"/>
                <w:sz w:val="18"/>
                <w:szCs w:val="18"/>
                <w:color w:val="auto"/>
                <w:w w:val="99"/>
              </w:rPr>
              <w:t>KATHLEEN A. HALVEY</w:t>
            </w:r>
          </w:p>
        </w:tc>
        <w:tc>
          <w:tcPr>
            <w:tcW w:w="58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color w:val="auto"/>
                <w:w w:val="95"/>
              </w:rPr>
              <w:t>NOTARY PUBLIC-STATE OF NEW YORK</w:t>
            </w:r>
          </w:p>
        </w:tc>
        <w:tc>
          <w:tcPr>
            <w:tcW w:w="58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color w:val="auto"/>
                <w:w w:val="96"/>
              </w:rPr>
              <w:t>NO. CIliA6170632</w:t>
            </w:r>
          </w:p>
        </w:tc>
        <w:tc>
          <w:tcPr>
            <w:tcW w:w="58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color w:val="auto"/>
                <w:w w:val="99"/>
              </w:rPr>
              <w:t>QUALIFIED IN NEW YORK COUNTY</w:t>
            </w:r>
          </w:p>
        </w:tc>
        <w:tc>
          <w:tcPr>
            <w:tcW w:w="58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30"/>
        </w:trPr>
        <w:tc>
          <w:tcPr>
            <w:tcW w:w="4580" w:type="dxa"/>
            <w:vAlign w:val="bottom"/>
          </w:tcPr>
          <w:p>
            <w:pPr>
              <w:jc w:val="center"/>
              <w:spacing w:after="0"/>
              <w:rPr>
                <w:sz w:val="20"/>
                <w:szCs w:val="20"/>
                <w:color w:val="auto"/>
              </w:rPr>
            </w:pPr>
            <w:r>
              <w:rPr>
                <w:rFonts w:ascii="Arial" w:cs="Arial" w:eastAsia="Arial" w:hAnsi="Arial"/>
                <w:sz w:val="18"/>
                <w:szCs w:val="18"/>
                <w:color w:val="auto"/>
                <w:w w:val="95"/>
              </w:rPr>
              <w:t>MY COMMISSION EXPIRES 01-06-2020</w:t>
            </w:r>
          </w:p>
        </w:tc>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412"/>
        </w:trPr>
        <w:tc>
          <w:tcPr>
            <w:tcW w:w="4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9" w:name="page490"/>
    <w:bookmarkEnd w:id="489"/>
    <w:p>
      <w:pPr>
        <w:jc w:val="right"/>
        <w:ind w:right="4419"/>
        <w:spacing w:after="0"/>
        <w:rPr>
          <w:sz w:val="20"/>
          <w:szCs w:val="20"/>
          <w:color w:val="auto"/>
        </w:rPr>
      </w:pPr>
      <w:r>
        <w:rPr>
          <w:rFonts w:ascii="Arial" w:cs="Arial" w:eastAsia="Arial" w:hAnsi="Arial"/>
          <w:sz w:val="18"/>
          <w:szCs w:val="18"/>
          <w:color w:val="auto"/>
        </w:rPr>
        <w:t>85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COMMERCIAL BANK JAMAICA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Arranger)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/s/Brian Boothe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Brian Boothe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Manager Corporate Banking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/s/Andrew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Simpson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General Manager Corporate Banking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9877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COMMERCIAL BANK JAMAICA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/s/Brian Boothe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Brian Boothe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Manager Corporate Banking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/s/Andrew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Simpson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General Manager Corporate Banking Division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9877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90" w:name="page491"/>
    <w:bookmarkEnd w:id="490"/>
    <w:p>
      <w:pPr>
        <w:jc w:val="right"/>
        <w:ind w:right="4419"/>
        <w:spacing w:after="0"/>
        <w:rPr>
          <w:sz w:val="20"/>
          <w:szCs w:val="20"/>
          <w:color w:val="auto"/>
        </w:rPr>
      </w:pPr>
      <w:r>
        <w:rPr>
          <w:rFonts w:ascii="Arial" w:cs="Arial" w:eastAsia="Arial" w:hAnsi="Arial"/>
          <w:sz w:val="18"/>
          <w:szCs w:val="18"/>
          <w:color w:val="auto"/>
        </w:rPr>
        <w:t>86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SAGICOR BANK JAMAICA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/s/Jeffrey Chevannes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Jeffrey Chevannes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VP Credit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/s/Eric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Scott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VP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9877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91" w:name="page492"/>
    <w:bookmarkEnd w:id="491"/>
    <w:p>
      <w:pPr>
        <w:jc w:val="right"/>
        <w:ind w:right="4419"/>
        <w:spacing w:after="0"/>
        <w:rPr>
          <w:sz w:val="20"/>
          <w:szCs w:val="20"/>
          <w:color w:val="auto"/>
        </w:rPr>
      </w:pPr>
      <w:r>
        <w:rPr>
          <w:rFonts w:ascii="Arial" w:cs="Arial" w:eastAsia="Arial" w:hAnsi="Arial"/>
          <w:sz w:val="18"/>
          <w:szCs w:val="18"/>
          <w:color w:val="auto"/>
        </w:rPr>
        <w:t>87</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JMMB MERCHANT BANK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/s/Moya Leiba-Barnes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Moya Leiba-Barnes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Manager Client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/s/Trudy-Ann Bartley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Trudy-Ann Bartley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9877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92" w:name="page493"/>
    <w:bookmarkEnd w:id="492"/>
    <w:p>
      <w:pPr>
        <w:jc w:val="right"/>
        <w:ind w:right="4419"/>
        <w:spacing w:after="0"/>
        <w:rPr>
          <w:sz w:val="20"/>
          <w:szCs w:val="20"/>
          <w:color w:val="auto"/>
        </w:rPr>
      </w:pPr>
      <w:r>
        <w:rPr>
          <w:rFonts w:ascii="Arial" w:cs="Arial" w:eastAsia="Arial" w:hAnsi="Arial"/>
          <w:sz w:val="18"/>
          <w:szCs w:val="18"/>
          <w:color w:val="auto"/>
        </w:rPr>
        <w:t>88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JCSD TRUSTEE SERVICES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/s/Marlene J. Street Forrest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Marlene J. Street Forrest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/s/Robin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Robin Levy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9877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4" w:right="1440"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3760" w:type="dxa"/>
            <w:vAlign w:val="bottom"/>
          </w:tcPr>
          <w:p>
            <w:pPr>
              <w:spacing w:after="0"/>
              <w:rPr>
                <w:sz w:val="20"/>
                <w:szCs w:val="20"/>
                <w:color w:val="auto"/>
              </w:rPr>
            </w:pPr>
          </w:p>
        </w:tc>
      </w:tr>
      <w:tr>
        <w:trPr>
          <w:trHeight w:val="351"/>
        </w:trPr>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0" w:type="dxa"/>
            <w:vAlign w:val="bottom"/>
            <w:gridSpan w:val="2"/>
          </w:tcPr>
          <w:p>
            <w:pPr>
              <w:jc w:val="center"/>
              <w:ind w:right="3670"/>
              <w:spacing w:after="0"/>
              <w:rPr>
                <w:sz w:val="20"/>
                <w:szCs w:val="20"/>
                <w:color w:val="auto"/>
              </w:rPr>
            </w:pPr>
            <w:r>
              <w:rPr>
                <w:rFonts w:ascii="Arial" w:cs="Arial" w:eastAsia="Arial" w:hAnsi="Arial"/>
                <w:sz w:val="18"/>
                <w:szCs w:val="18"/>
                <w:b w:val="1"/>
                <w:bCs w:val="1"/>
                <w:color w:val="auto"/>
              </w:rPr>
              <w:t>APPENDIX I</w:t>
            </w:r>
          </w:p>
        </w:tc>
      </w:tr>
      <w:tr>
        <w:trPr>
          <w:trHeight w:val="439"/>
        </w:trPr>
        <w:tc>
          <w:tcPr>
            <w:tcW w:w="5200" w:type="dxa"/>
            <w:vAlign w:val="bottom"/>
            <w:gridSpan w:val="2"/>
          </w:tcPr>
          <w:p>
            <w:pPr>
              <w:spacing w:after="0"/>
              <w:rPr>
                <w:sz w:val="20"/>
                <w:szCs w:val="20"/>
                <w:color w:val="auto"/>
              </w:rPr>
            </w:pPr>
            <w:r>
              <w:rPr>
                <w:rFonts w:ascii="Arial" w:cs="Arial" w:eastAsia="Arial" w:hAnsi="Arial"/>
                <w:sz w:val="18"/>
                <w:szCs w:val="18"/>
                <w:color w:val="auto"/>
              </w:rPr>
              <w:t>Promissory Note</w:t>
            </w:r>
          </w:p>
        </w:tc>
        <w:tc>
          <w:tcPr>
            <w:tcW w:w="104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38"/>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Issue Date:</w:t>
            </w:r>
          </w:p>
        </w:tc>
        <w:tc>
          <w:tcPr>
            <w:tcW w:w="3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1760"/>
              <w:spacing w:after="0"/>
              <w:rPr>
                <w:sz w:val="20"/>
                <w:szCs w:val="20"/>
                <w:color w:val="auto"/>
              </w:rPr>
            </w:pPr>
            <w:r>
              <w:rPr>
                <w:rFonts w:ascii="Arial" w:cs="Arial" w:eastAsia="Arial" w:hAnsi="Arial"/>
                <w:sz w:val="18"/>
                <w:szCs w:val="18"/>
                <w:color w:val="auto"/>
                <w:w w:val="96"/>
              </w:rPr>
              <w:t>Principal Amount: US$[**]</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VALUE RECEIVED, NFE NORTH HOLDINGS LIMITED (the “Issuer”) HEREBY PROMISES TO PAY to the order of [*****] (“the Holder”) the principal sum of [****] UNITED STATES DOLLARS (US$ [***].00) (the “Principal Amount”) in the instalments set forth in the SCHEDULE provided that on the event that any payment with respect to Principal is not paid on the respective due date, the entire Principal Amount shall become due and payable.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Issuer further promises to pay interest at the Agreed Rate on the unpaid Principal Amount hereof for each day during each Interest Period until the Principal Amount of the Note is repaid in full. Accrued interest shall be payable in arrears on each Interest Payment Date. Interest is payable at the Agreed Rate and shall accrue from day to day (as well after as before any judgment) and be pro rated on the basis of a 365-day year for the actual number of days in the relevant Interest Period.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any interest becomes due for payment on a day which is not a Business Day, then payment thereof shall be made on the succeeding Business Day (unless that day falls in the next calendar month in which event such Interest Payment Date shall be the immediately preceding Business Day). All payments of principal and interest due under this Note shall be made without set-off or counterclaim and free and clear of any withholding taxes or other deductions.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This Note is one of the Notes referred to in the Loan Agreement dated the __ day of _________, 2016 between National Commercial Bank Jamaica Limited</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Arranger), JCSD Trustee Services Limited (as Agent) and National Commercial Bank Jamaica Limited and [ ] (as the Lenders) and is issued subject to, and entitled to the benefit of, the provisions of the Loan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Note is subject to optional and mandatory prepayment in whole or in part as provided in the Loan Agreement and upon the occurrence of one or more of the Events of Default (as defined in the Loan Agreement) all amounts then remaining unpaid may be declared to be immediately due and payable, all as provided in the Loan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Issuer hereby waives notice of dishonour, protest and presentment.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in accordance with, the laws of Jamaica.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Note: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(1) during the continuance of an Event of Default which remains uncured or unremedied following receipt of notice of default, 14.10% per annum; and (2) at all other times, 8.10%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4" w:name="page495"/>
    <w:bookmarkEnd w:id="494"/>
    <w:p>
      <w:pPr>
        <w:jc w:val="center"/>
        <w:spacing w:after="0"/>
        <w:rPr>
          <w:sz w:val="20"/>
          <w:szCs w:val="20"/>
          <w:color w:val="auto"/>
        </w:rPr>
      </w:pPr>
      <w:r>
        <w:rPr>
          <w:rFonts w:ascii="Arial" w:cs="Arial" w:eastAsia="Arial" w:hAnsi="Arial"/>
          <w:sz w:val="18"/>
          <w:szCs w:val="18"/>
          <w:color w:val="auto"/>
        </w:rPr>
        <w:t>90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a Saturday or Sunday or public holiday) on which banks are opened for business generally in Jamaica.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ascribed thereto in the Loan Agreement.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as applicable (i) the last Business Day in the month following the month in which the Issue Date shall occur thereafter (ii) the last Business Day of each subsequent calendar month (iii) the Maturity Date and (iv) the date upon which interest may be payable pursuant to a Notice of Acceleration.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in the first instance, the period commencing on the date of disbursement of the respective Loan and ending on and including the day immediately before the first Interest Payment Date and thereafter commencing with the last previous Interest Payment Date and ending on and including the day immediately prior to the next Interest Payment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Issuer has caused this Note to be duly executed on the Issue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THE COMMON SEAL of </w:t>
            </w:r>
            <w:r>
              <w:rPr>
                <w:rFonts w:ascii="Arial" w:cs="Arial" w:eastAsia="Arial" w:hAnsi="Arial"/>
                <w:sz w:val="18"/>
                <w:szCs w:val="18"/>
                <w:b w:val="1"/>
                <w:bCs w:val="1"/>
                <w:color w:val="auto"/>
              </w:rPr>
              <w:t>NFE NORTH HOLDINGS</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8"/>
                <w:szCs w:val="18"/>
                <w:b w:val="1"/>
                <w:bCs w:val="1"/>
                <w:color w:val="auto"/>
              </w:rPr>
              <w:t xml:space="preserve">LIMITED </w:t>
            </w:r>
            <w:r>
              <w:rPr>
                <w:rFonts w:ascii="Arial" w:cs="Arial" w:eastAsia="Arial" w:hAnsi="Arial"/>
                <w:sz w:val="18"/>
                <w:szCs w:val="18"/>
                <w:color w:val="auto"/>
              </w:rPr>
              <w:t>was hereunto</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0" w:type="dxa"/>
            <w:vAlign w:val="bottom"/>
          </w:tcPr>
          <w:p>
            <w:pPr>
              <w:spacing w:after="0"/>
              <w:rPr>
                <w:sz w:val="19"/>
                <w:szCs w:val="19"/>
                <w:color w:val="auto"/>
              </w:rPr>
            </w:pPr>
          </w:p>
        </w:tc>
      </w:tr>
      <w:tr>
        <w:trPr>
          <w:trHeight w:val="251"/>
        </w:trPr>
        <w:tc>
          <w:tcPr>
            <w:tcW w:w="5160" w:type="dxa"/>
            <w:vAlign w:val="bottom"/>
          </w:tcPr>
          <w:p>
            <w:pPr>
              <w:spacing w:after="0"/>
              <w:rPr>
                <w:sz w:val="20"/>
                <w:szCs w:val="20"/>
                <w:color w:val="auto"/>
              </w:rPr>
            </w:pPr>
            <w:r>
              <w:rPr>
                <w:rFonts w:ascii="Arial" w:cs="Arial" w:eastAsia="Arial" w:hAnsi="Arial"/>
                <w:sz w:val="18"/>
                <w:szCs w:val="18"/>
                <w:color w:val="auto"/>
              </w:rPr>
              <w:t>put and affixed and this Note signed by</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0" w:type="dxa"/>
            <w:vAlign w:val="bottom"/>
            <w:tcBorders>
              <w:bottom w:val="single" w:sz="8" w:color="auto"/>
            </w:tcBorders>
          </w:tcPr>
          <w:p>
            <w:pPr>
              <w:spacing w:after="0"/>
              <w:rPr>
                <w:sz w:val="21"/>
                <w:szCs w:val="21"/>
                <w:color w:val="auto"/>
              </w:rPr>
            </w:pPr>
          </w:p>
        </w:tc>
      </w:tr>
      <w:tr>
        <w:trPr>
          <w:trHeight w:val="202"/>
        </w:trPr>
        <w:tc>
          <w:tcPr>
            <w:tcW w:w="5160" w:type="dxa"/>
            <w:vAlign w:val="bottom"/>
          </w:tcPr>
          <w:p>
            <w:pPr>
              <w:spacing w:after="0"/>
              <w:rPr>
                <w:sz w:val="17"/>
                <w:szCs w:val="17"/>
                <w:color w:val="auto"/>
              </w:rPr>
            </w:pPr>
          </w:p>
        </w:tc>
        <w:tc>
          <w:tcPr>
            <w:tcW w:w="66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5600" w:type="dxa"/>
            <w:vAlign w:val="bottom"/>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 Director and</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0" w:type="dxa"/>
            <w:vAlign w:val="bottom"/>
          </w:tcPr>
          <w:p>
            <w:pPr>
              <w:spacing w:after="0"/>
              <w:rPr>
                <w:sz w:val="18"/>
                <w:szCs w:val="18"/>
                <w:color w:val="auto"/>
              </w:rPr>
            </w:pPr>
          </w:p>
        </w:tc>
      </w:tr>
      <w:tr>
        <w:trPr>
          <w:trHeight w:val="251"/>
        </w:trPr>
        <w:tc>
          <w:tcPr>
            <w:tcW w:w="5160" w:type="dxa"/>
            <w:vAlign w:val="bottom"/>
          </w:tcPr>
          <w:p>
            <w:pPr>
              <w:spacing w:after="0"/>
              <w:rPr>
                <w:sz w:val="20"/>
                <w:szCs w:val="20"/>
                <w:color w:val="auto"/>
              </w:rPr>
            </w:pPr>
            <w:r>
              <w:rPr>
                <w:rFonts w:ascii="Arial" w:cs="Arial" w:eastAsia="Arial" w:hAnsi="Arial"/>
                <w:sz w:val="18"/>
                <w:szCs w:val="18"/>
                <w:color w:val="auto"/>
              </w:rPr>
              <w:t>a Director/the Secretary of the Company</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0" w:type="dxa"/>
            <w:vAlign w:val="bottom"/>
            <w:tcBorders>
              <w:bottom w:val="single" w:sz="8" w:color="auto"/>
            </w:tcBorders>
          </w:tcPr>
          <w:p>
            <w:pPr>
              <w:spacing w:after="0"/>
              <w:rPr>
                <w:sz w:val="21"/>
                <w:szCs w:val="2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 the presence of:-</w:t>
            </w:r>
          </w:p>
        </w:tc>
        <w:tc>
          <w:tcPr>
            <w:tcW w:w="6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5600" w:type="dxa"/>
            <w:vAlign w:val="bottom"/>
          </w:tcPr>
          <w:p>
            <w:pPr>
              <w:spacing w:after="0"/>
              <w:rPr>
                <w:sz w:val="17"/>
                <w:szCs w:val="17"/>
                <w:color w:val="auto"/>
              </w:rPr>
            </w:pPr>
          </w:p>
        </w:tc>
      </w:tr>
      <w:tr>
        <w:trPr>
          <w:trHeight w:val="250"/>
        </w:trPr>
        <w:tc>
          <w:tcPr>
            <w:tcW w:w="51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39"/>
        </w:trPr>
        <w:tc>
          <w:tcPr>
            <w:tcW w:w="5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Request for Disbursement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(referred to in sub-clauses 5.1 )</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62775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168910</wp:posOffset>
            </wp:positionV>
            <wp:extent cx="355028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550285" cy="171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14605</wp:posOffset>
            </wp:positionV>
            <wp:extent cx="347345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20"/>
                <w:szCs w:val="20"/>
                <w:color w:val="auto"/>
              </w:rPr>
            </w:pPr>
            <w:r>
              <w:rPr>
                <w:rFonts w:ascii="Arial" w:cs="Arial" w:eastAsia="Arial" w:hAnsi="Arial"/>
                <w:sz w:val="18"/>
                <w:szCs w:val="18"/>
                <w:color w:val="auto"/>
              </w:rPr>
              <w:t>Gentlemen:</w:t>
            </w:r>
          </w:p>
        </w:tc>
        <w:tc>
          <w:tcPr>
            <w:tcW w:w="7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4"/>
        </w:trPr>
        <w:tc>
          <w:tcPr>
            <w:tcW w:w="356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Re: Syndicated Loan Agreement dated [</w:t>
            </w: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 2016</w:t>
            </w:r>
          </w:p>
        </w:tc>
        <w:tc>
          <w:tcPr>
            <w:tcW w:w="53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465"/>
        </w:trPr>
        <w:tc>
          <w:tcPr>
            <w:tcW w:w="9640" w:type="dxa"/>
            <w:vAlign w:val="bottom"/>
            <w:gridSpan w:val="3"/>
          </w:tcPr>
          <w:p>
            <w:pPr>
              <w:ind w:left="660"/>
              <w:spacing w:after="0"/>
              <w:rPr>
                <w:sz w:val="20"/>
                <w:szCs w:val="20"/>
                <w:color w:val="auto"/>
              </w:rPr>
            </w:pPr>
            <w:r>
              <w:rPr>
                <w:rFonts w:ascii="Arial" w:cs="Arial" w:eastAsia="Arial" w:hAnsi="Arial"/>
                <w:sz w:val="18"/>
                <w:szCs w:val="18"/>
                <w:color w:val="auto"/>
                <w:w w:val="92"/>
              </w:rPr>
              <w:t>We refer to the above Syndicated Loan Agreement and hereby give you notice that we wish to draw a Loan of [US]. US$[</w:t>
            </w:r>
          </w:p>
        </w:tc>
        <w:tc>
          <w:tcPr>
            <w:tcW w:w="1700" w:type="dxa"/>
            <w:vAlign w:val="bottom"/>
          </w:tcPr>
          <w:p>
            <w:pPr>
              <w:ind w:left="200"/>
              <w:spacing w:after="0"/>
              <w:rPr>
                <w:sz w:val="20"/>
                <w:szCs w:val="20"/>
                <w:color w:val="auto"/>
              </w:rPr>
            </w:pPr>
            <w:r>
              <w:rPr>
                <w:rFonts w:ascii="Arial" w:cs="Arial" w:eastAsia="Arial" w:hAnsi="Arial"/>
                <w:sz w:val="18"/>
                <w:szCs w:val="18"/>
                <w:color w:val="auto"/>
                <w:w w:val="91"/>
              </w:rPr>
              <w:t>] of the funds should</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9"/>
              </w:rPr>
              <w:t>be credited to Account No. [____] with [___].</w:t>
            </w:r>
          </w:p>
        </w:tc>
        <w:tc>
          <w:tcPr>
            <w:tcW w:w="7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52" w:lineRule="exact"/>
        <w:rPr>
          <w:sz w:val="20"/>
          <w:szCs w:val="20"/>
          <w:color w:val="auto"/>
        </w:rPr>
      </w:pPr>
    </w:p>
    <w:p>
      <w:pPr>
        <w:ind w:left="1300" w:hanging="644"/>
        <w:spacing w:after="0"/>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sub-clause 14.1 of the Loan Agreement are all true and correct at the date hereof as if made with respect to the facts and circumstances existing at such date;</w:t>
      </w:r>
    </w:p>
    <w:p>
      <w:pPr>
        <w:spacing w:after="0" w:line="19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borrowing to be effected by the disbursement of the Loan will be within our corporate power and has been validly authorised by appropriate corporate action and will not cause any limit on our borrowings (whether imposed by statute, regulation, agreement, resolution of our members in general meetings or otherwise) to be exceeded;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there has been no Material Adverse Change in our financial position from that set forth in our published quarterly financial statements for</w:t>
      </w:r>
    </w:p>
    <w:p>
      <w:pPr>
        <w:spacing w:after="0" w:line="46"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18"/>
          <w:szCs w:val="18"/>
          <w:color w:val="auto"/>
        </w:rPr>
        <w:t>the period ended [</w:t>
      </w:r>
      <w:r>
        <w:rPr>
          <w:sz w:val="20"/>
          <w:szCs w:val="20"/>
          <w:color w:val="auto"/>
        </w:rPr>
        <w:tab/>
      </w:r>
      <w:r>
        <w:rPr>
          <w:rFonts w:ascii="Arial" w:cs="Arial" w:eastAsia="Arial" w:hAnsi="Arial"/>
          <w:sz w:val="17"/>
          <w:szCs w:val="17"/>
          <w:color w:val="auto"/>
        </w:rPr>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Words and expressions defined in the Loan Agreement shall have the same meanings when used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Yours faithfully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NORTH HOLDINGS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67589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675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color w:val="auto"/>
        </w:rPr>
        <w:t>92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Novation Certificate</w:t>
      </w:r>
    </w:p>
    <w:p>
      <w:pPr>
        <w:spacing w:after="0" w:line="252"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536003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3600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Syndicated Loan Agreement dated [**]</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sub-clause 24.3 (Procedure for novation).</w:t>
      </w:r>
    </w:p>
    <w:p>
      <w:pPr>
        <w:spacing w:after="0" w:line="252" w:lineRule="exact"/>
        <w:rPr>
          <w:sz w:val="20"/>
          <w:szCs w:val="20"/>
          <w:color w:val="auto"/>
        </w:rPr>
      </w:pPr>
    </w:p>
    <w:p>
      <w:pPr>
        <w:ind w:firstLine="8"/>
        <w:spacing w:after="0" w:line="277" w:lineRule="auto"/>
        <w:tabs>
          <w:tab w:leader="none" w:pos="882" w:val="left"/>
        </w:tabs>
        <w:numPr>
          <w:ilvl w:val="0"/>
          <w:numId w:val="548"/>
        </w:numPr>
        <w:rPr>
          <w:rFonts w:ascii="Arial" w:cs="Arial" w:eastAsia="Arial" w:hAnsi="Arial"/>
          <w:sz w:val="18"/>
          <w:szCs w:val="18"/>
          <w:color w:val="auto"/>
        </w:rPr>
      </w:pPr>
      <w:r>
        <w:rPr>
          <w:rFonts w:ascii="Arial" w:cs="Arial" w:eastAsia="Arial" w:hAnsi="Arial"/>
          <w:sz w:val="18"/>
          <w:szCs w:val="18"/>
          <w:color w:val="auto"/>
        </w:rPr>
        <w:t>We (the “Existing. Lender”) and [**] (the “New Lender”) agree to the Existing Lender and the New Lender novating all the Existing Lender’s rights and obligations referred to in the Schedule in accordance with sub-clause 24.3.</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specified date for the purposes of sub-clause 24.3(c) is [***]</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address for service of the New Lender is set out in the Schedule.</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This Novation Certificate is governed by Jamaican Law.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20" w:type="dxa"/>
            <w:vAlign w:val="bottom"/>
            <w:gridSpan w:val="5"/>
          </w:tcPr>
          <w:p>
            <w:pPr>
              <w:jc w:val="center"/>
              <w:ind w:right="4310"/>
              <w:spacing w:after="0"/>
              <w:rPr>
                <w:sz w:val="20"/>
                <w:szCs w:val="20"/>
                <w:color w:val="auto"/>
              </w:rPr>
            </w:pPr>
            <w:r>
              <w:rPr>
                <w:rFonts w:ascii="Arial" w:cs="Arial" w:eastAsia="Arial" w:hAnsi="Arial"/>
                <w:sz w:val="18"/>
                <w:szCs w:val="18"/>
                <w:color w:val="auto"/>
                <w:w w:val="87"/>
              </w:rPr>
              <w:t>Schedule</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20" w:type="dxa"/>
            <w:vAlign w:val="bottom"/>
            <w:gridSpan w:val="6"/>
          </w:tcPr>
          <w:p>
            <w:pPr>
              <w:jc w:val="center"/>
              <w:ind w:right="3790"/>
              <w:spacing w:after="0"/>
              <w:rPr>
                <w:sz w:val="20"/>
                <w:szCs w:val="20"/>
                <w:color w:val="auto"/>
              </w:rPr>
            </w:pPr>
            <w:r>
              <w:rPr>
                <w:rFonts w:ascii="Arial" w:cs="Arial" w:eastAsia="Arial" w:hAnsi="Arial"/>
                <w:sz w:val="18"/>
                <w:szCs w:val="18"/>
                <w:color w:val="auto"/>
                <w:w w:val="90"/>
              </w:rPr>
              <w:t>Rights and obligations to be novated</w:t>
            </w: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9"/>
              </w:rPr>
              <w:t>[set out here]</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4"/>
          </w:tcPr>
          <w:p>
            <w:pPr>
              <w:spacing w:after="0"/>
              <w:rPr>
                <w:sz w:val="20"/>
                <w:szCs w:val="20"/>
                <w:color w:val="auto"/>
              </w:rPr>
            </w:pPr>
            <w:r>
              <w:rPr>
                <w:rFonts w:ascii="Arial" w:cs="Arial" w:eastAsia="Arial" w:hAnsi="Arial"/>
                <w:sz w:val="18"/>
                <w:szCs w:val="18"/>
                <w:color w:val="auto"/>
              </w:rPr>
              <w:t>[Existing Lender]</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80" w:type="dxa"/>
            <w:vAlign w:val="bottom"/>
          </w:tcPr>
          <w:p>
            <w:pPr>
              <w:jc w:val="center"/>
              <w:ind w:right="3270"/>
              <w:spacing w:after="0"/>
              <w:rPr>
                <w:sz w:val="20"/>
                <w:szCs w:val="20"/>
                <w:color w:val="auto"/>
              </w:rPr>
            </w:pPr>
            <w:r>
              <w:rPr>
                <w:rFonts w:ascii="Arial" w:cs="Arial" w:eastAsia="Arial" w:hAnsi="Arial"/>
                <w:sz w:val="18"/>
                <w:szCs w:val="18"/>
                <w:color w:val="auto"/>
                <w:w w:val="95"/>
              </w:rPr>
              <w:t>[New Lender]</w:t>
            </w: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gridSpan w:val="4"/>
          </w:tcPr>
          <w:p>
            <w:pPr>
              <w:spacing w:after="0" w:line="202" w:lineRule="exact"/>
              <w:rPr>
                <w:sz w:val="20"/>
                <w:szCs w:val="20"/>
                <w:color w:val="auto"/>
              </w:rPr>
            </w:pPr>
            <w:r>
              <w:rPr>
                <w:rFonts w:ascii="Arial" w:cs="Arial" w:eastAsia="Arial" w:hAnsi="Arial"/>
                <w:sz w:val="18"/>
                <w:szCs w:val="18"/>
                <w:color w:val="auto"/>
              </w:rPr>
              <w:t>By:</w:t>
            </w: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60" w:type="dxa"/>
            <w:vAlign w:val="bottom"/>
            <w:gridSpan w:val="4"/>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00" w:type="dxa"/>
            <w:vAlign w:val="bottom"/>
            <w:gridSpan w:val="4"/>
            <w:vMerge w:val="restart"/>
          </w:tcPr>
          <w:p>
            <w:pPr>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90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00" w:type="dxa"/>
            <w:vAlign w:val="bottom"/>
            <w:gridSpan w:val="4"/>
            <w:vMerge w:val="continue"/>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gridSpan w:val="2"/>
            <w:vMerge w:val="restart"/>
          </w:tcPr>
          <w:p>
            <w:pPr>
              <w:jc w:val="center"/>
              <w:ind w:right="2330"/>
              <w:spacing w:after="0"/>
              <w:rPr>
                <w:sz w:val="20"/>
                <w:szCs w:val="20"/>
                <w:color w:val="auto"/>
              </w:rPr>
            </w:pPr>
            <w:r>
              <w:rPr>
                <w:rFonts w:ascii="Arial" w:cs="Arial" w:eastAsia="Arial" w:hAnsi="Arial"/>
                <w:sz w:val="18"/>
                <w:szCs w:val="18"/>
                <w:color w:val="auto"/>
                <w:w w:val="93"/>
              </w:rPr>
              <w:t>[Address for Notices]</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01"/>
        </w:trPr>
        <w:tc>
          <w:tcPr>
            <w:tcW w:w="3900" w:type="dxa"/>
            <w:vAlign w:val="bottom"/>
            <w:gridSpan w:val="4"/>
          </w:tcPr>
          <w:p>
            <w:pPr>
              <w:spacing w:after="0"/>
              <w:rPr>
                <w:sz w:val="20"/>
                <w:szCs w:val="20"/>
                <w:color w:val="auto"/>
              </w:rPr>
            </w:pPr>
            <w:r>
              <w:rPr>
                <w:rFonts w:ascii="Arial" w:cs="Arial" w:eastAsia="Arial" w:hAnsi="Arial"/>
                <w:sz w:val="18"/>
                <w:szCs w:val="18"/>
                <w:color w:val="auto"/>
              </w:rPr>
              <w:t>[Agent]</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rPr>
              <w:t>NFE North Holdings Limited</w:t>
            </w: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Agreed for and on behalf of itself as Agent and</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gridSpan w:val="4"/>
          </w:tcPr>
          <w:p>
            <w:pPr>
              <w:spacing w:after="0"/>
              <w:rPr>
                <w:sz w:val="20"/>
                <w:szCs w:val="20"/>
                <w:color w:val="auto"/>
              </w:rPr>
            </w:pPr>
            <w:r>
              <w:rPr>
                <w:rFonts w:ascii="Arial" w:cs="Arial" w:eastAsia="Arial" w:hAnsi="Arial"/>
                <w:sz w:val="18"/>
                <w:szCs w:val="18"/>
                <w:color w:val="auto"/>
              </w:rPr>
              <w:t>for the Arranger and the other Lenders</w:t>
            </w: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Borders>
              <w:bottom w:val="single" w:sz="8" w:color="auto"/>
            </w:tcBorders>
            <w:gridSpan w:val="2"/>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53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00" w:type="dxa"/>
            <w:vAlign w:val="bottom"/>
            <w:gridSpan w:val="4"/>
          </w:tcPr>
          <w:p>
            <w:pPr>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92EF4C"/>
    <w:multiLevelType w:val="hybridMultilevel"/>
    <w:lvl w:ilvl="0">
      <w:lvlJc w:val="left"/>
      <w:lvlText w:val="(%1)"/>
      <w:numFmt w:val="decimal"/>
      <w:start w:val="2"/>
    </w:lvl>
  </w:abstractNum>
  <w:abstractNum w:abstractNumId="1">
    <w:nsid w:val="41ED20D7"/>
    <w:multiLevelType w:val="hybridMultilevel"/>
    <w:lvl w:ilvl="0">
      <w:lvlJc w:val="left"/>
      <w:lvlText w:val="•"/>
      <w:numFmt w:val="bullet"/>
      <w:start w:val="1"/>
    </w:lvl>
  </w:abstractNum>
  <w:abstractNum w:abstractNumId="2">
    <w:nsid w:val="E6B3F6A"/>
    <w:multiLevelType w:val="hybridMultilevel"/>
    <w:lvl w:ilvl="0">
      <w:lvlJc w:val="left"/>
      <w:lvlText w:val="•"/>
      <w:numFmt w:val="bullet"/>
      <w:start w:val="1"/>
    </w:lvl>
  </w:abstractNum>
  <w:abstractNum w:abstractNumId="3">
    <w:nsid w:val="3EB21819"/>
    <w:multiLevelType w:val="hybridMultilevel"/>
    <w:lvl w:ilvl="0">
      <w:lvlJc w:val="left"/>
      <w:lvlText w:val="(%1)"/>
      <w:numFmt w:val="decimal"/>
      <w:start w:val="1"/>
    </w:lvl>
  </w:abstractNum>
  <w:abstractNum w:abstractNumId="4">
    <w:nsid w:val="41531DED"/>
    <w:multiLevelType w:val="hybridMultilevel"/>
    <w:lvl w:ilvl="0">
      <w:lvlJc w:val="left"/>
      <w:lvlText w:val="(%1)"/>
      <w:numFmt w:val="decimal"/>
      <w:start w:val="1"/>
    </w:lvl>
  </w:abstractNum>
  <w:abstractNum w:abstractNumId="5">
    <w:nsid w:val="6353CD2"/>
    <w:multiLevelType w:val="hybridMultilevel"/>
    <w:lvl w:ilvl="0">
      <w:lvlJc w:val="left"/>
      <w:lvlText w:val="•"/>
      <w:numFmt w:val="bullet"/>
      <w:start w:val="1"/>
    </w:lvl>
  </w:abstractNum>
  <w:abstractNum w:abstractNumId="6">
    <w:nsid w:val="683CAAD3"/>
    <w:multiLevelType w:val="hybridMultilevel"/>
    <w:lvl w:ilvl="0">
      <w:lvlJc w:val="left"/>
      <w:lvlText w:val="•"/>
      <w:numFmt w:val="bullet"/>
      <w:start w:val="1"/>
    </w:lvl>
  </w:abstractNum>
  <w:abstractNum w:abstractNumId="7">
    <w:nsid w:val="313C7C99"/>
    <w:multiLevelType w:val="hybridMultilevel"/>
    <w:lvl w:ilvl="0">
      <w:lvlJc w:val="left"/>
      <w:lvlText w:val="•"/>
      <w:numFmt w:val="bullet"/>
      <w:start w:val="1"/>
    </w:lvl>
  </w:abstractNum>
  <w:abstractNum w:abstractNumId="8">
    <w:nsid w:val="519EB94C"/>
    <w:multiLevelType w:val="hybridMultilevel"/>
    <w:lvl w:ilvl="0">
      <w:lvlJc w:val="left"/>
      <w:lvlText w:val="•"/>
      <w:numFmt w:val="bullet"/>
      <w:start w:val="1"/>
    </w:lvl>
  </w:abstractNum>
  <w:abstractNum w:abstractNumId="9">
    <w:nsid w:val="39DF2579"/>
    <w:multiLevelType w:val="hybridMultilevel"/>
    <w:lvl w:ilvl="0">
      <w:lvlJc w:val="left"/>
      <w:lvlText w:val="•"/>
      <w:numFmt w:val="bullet"/>
      <w:start w:val="1"/>
    </w:lvl>
  </w:abstractNum>
  <w:abstractNum w:abstractNumId="10">
    <w:nsid w:val="126E008B"/>
    <w:multiLevelType w:val="hybridMultilevel"/>
    <w:lvl w:ilvl="0">
      <w:lvlJc w:val="left"/>
      <w:lvlText w:val="•"/>
      <w:numFmt w:val="bullet"/>
      <w:start w:val="1"/>
    </w:lvl>
  </w:abstractNum>
  <w:abstractNum w:abstractNumId="11">
    <w:nsid w:val="34DFBC00"/>
    <w:multiLevelType w:val="hybridMultilevel"/>
    <w:lvl w:ilvl="0">
      <w:lvlJc w:val="left"/>
      <w:lvlText w:val="•"/>
      <w:numFmt w:val="bullet"/>
      <w:start w:val="1"/>
    </w:lvl>
  </w:abstractNum>
  <w:abstractNum w:abstractNumId="12">
    <w:nsid w:val="1F9EC322"/>
    <w:multiLevelType w:val="hybridMultilevel"/>
    <w:lvl w:ilvl="0">
      <w:lvlJc w:val="left"/>
      <w:lvlText w:val="•"/>
      <w:numFmt w:val="bullet"/>
      <w:start w:val="1"/>
    </w:lvl>
  </w:abstractNum>
  <w:abstractNum w:abstractNumId="13">
    <w:nsid w:val="3410ED56"/>
    <w:multiLevelType w:val="hybridMultilevel"/>
    <w:lvl w:ilvl="0">
      <w:lvlJc w:val="left"/>
      <w:lvlText w:val="•"/>
      <w:numFmt w:val="bullet"/>
      <w:start w:val="1"/>
    </w:lvl>
  </w:abstractNum>
  <w:abstractNum w:abstractNumId="14">
    <w:nsid w:val="23C049A"/>
    <w:multiLevelType w:val="hybridMultilevel"/>
    <w:lvl w:ilvl="0">
      <w:lvlJc w:val="left"/>
      <w:lvlText w:val="•"/>
      <w:numFmt w:val="bullet"/>
      <w:start w:val="1"/>
    </w:lvl>
  </w:abstractNum>
  <w:abstractNum w:abstractNumId="15">
    <w:nsid w:val="5BDA35D4"/>
    <w:multiLevelType w:val="hybridMultilevel"/>
    <w:lvl w:ilvl="0">
      <w:lvlJc w:val="left"/>
      <w:lvlText w:val="•"/>
      <w:numFmt w:val="bullet"/>
      <w:start w:val="1"/>
    </w:lvl>
  </w:abstractNum>
  <w:abstractNum w:abstractNumId="16">
    <w:nsid w:val="496FB218"/>
    <w:multiLevelType w:val="hybridMultilevel"/>
    <w:lvl w:ilvl="0">
      <w:lvlJc w:val="left"/>
      <w:lvlText w:val="(%1)"/>
      <w:numFmt w:val="decimal"/>
      <w:start w:val="1"/>
    </w:lvl>
  </w:abstractNum>
  <w:abstractNum w:abstractNumId="17">
    <w:nsid w:val="680EA5D1"/>
    <w:multiLevelType w:val="hybridMultilevel"/>
    <w:lvl w:ilvl="0">
      <w:lvlJc w:val="left"/>
      <w:lvlText w:val="(%1)"/>
      <w:numFmt w:val="lowerRoman"/>
      <w:start w:val="2"/>
    </w:lvl>
  </w:abstractNum>
  <w:abstractNum w:abstractNumId="18">
    <w:nsid w:val="4A9554FE"/>
    <w:multiLevelType w:val="hybridMultilevel"/>
    <w:lvl w:ilvl="0">
      <w:lvlJc w:val="left"/>
      <w:lvlText w:val="•"/>
      <w:numFmt w:val="bullet"/>
      <w:start w:val="1"/>
    </w:lvl>
  </w:abstractNum>
  <w:abstractNum w:abstractNumId="19">
    <w:nsid w:val="392EDBE4"/>
    <w:multiLevelType w:val="hybridMultilevel"/>
    <w:lvl w:ilvl="0">
      <w:lvlJc w:val="left"/>
      <w:lvlText w:val="•"/>
      <w:numFmt w:val="bullet"/>
      <w:start w:val="1"/>
    </w:lvl>
  </w:abstractNum>
  <w:abstractNum w:abstractNumId="20">
    <w:nsid w:val="3D1A2DD9"/>
    <w:multiLevelType w:val="hybridMultilevel"/>
    <w:lvl w:ilvl="0">
      <w:lvlJc w:val="left"/>
      <w:lvlText w:val="•"/>
      <w:numFmt w:val="bullet"/>
      <w:start w:val="1"/>
    </w:lvl>
  </w:abstractNum>
  <w:abstractNum w:abstractNumId="21">
    <w:nsid w:val="7F618FCD"/>
    <w:multiLevelType w:val="hybridMultilevel"/>
    <w:lvl w:ilvl="0">
      <w:lvlJc w:val="left"/>
      <w:lvlText w:val="•"/>
      <w:numFmt w:val="bullet"/>
      <w:start w:val="1"/>
    </w:lvl>
  </w:abstractNum>
  <w:abstractNum w:abstractNumId="22">
    <w:nsid w:val="7843E45"/>
    <w:multiLevelType w:val="hybridMultilevel"/>
    <w:lvl w:ilvl="0">
      <w:lvlJc w:val="left"/>
      <w:lvlText w:val="•"/>
      <w:numFmt w:val="bullet"/>
      <w:start w:val="1"/>
    </w:lvl>
  </w:abstractNum>
  <w:abstractNum w:abstractNumId="23">
    <w:nsid w:val="9815DA3"/>
    <w:multiLevelType w:val="hybridMultilevel"/>
    <w:lvl w:ilvl="0">
      <w:lvlJc w:val="left"/>
      <w:lvlText w:val="•"/>
      <w:numFmt w:val="bullet"/>
      <w:start w:val="1"/>
    </w:lvl>
  </w:abstractNum>
  <w:abstractNum w:abstractNumId="24">
    <w:nsid w:val="5204A191"/>
    <w:multiLevelType w:val="hybridMultilevel"/>
    <w:lvl w:ilvl="0">
      <w:lvlJc w:val="left"/>
      <w:lvlText w:val="•"/>
      <w:numFmt w:val="bullet"/>
      <w:start w:val="1"/>
    </w:lvl>
  </w:abstractNum>
  <w:abstractNum w:abstractNumId="25">
    <w:nsid w:val="4C73A9C6"/>
    <w:multiLevelType w:val="hybridMultilevel"/>
    <w:lvl w:ilvl="0">
      <w:lvlJc w:val="left"/>
      <w:lvlText w:val="•"/>
      <w:numFmt w:val="bullet"/>
      <w:start w:val="1"/>
    </w:lvl>
  </w:abstractNum>
  <w:abstractNum w:abstractNumId="26">
    <w:nsid w:val="1C7E3C01"/>
    <w:multiLevelType w:val="hybridMultilevel"/>
    <w:lvl w:ilvl="0">
      <w:lvlJc w:val="left"/>
      <w:lvlText w:val="•"/>
      <w:numFmt w:val="bullet"/>
      <w:start w:val="1"/>
    </w:lvl>
  </w:abstractNum>
  <w:abstractNum w:abstractNumId="27">
    <w:nsid w:val="1C2201FF"/>
    <w:multiLevelType w:val="hybridMultilevel"/>
    <w:lvl w:ilvl="0">
      <w:lvlJc w:val="left"/>
      <w:lvlText w:val="•"/>
      <w:numFmt w:val="bullet"/>
      <w:start w:val="1"/>
    </w:lvl>
  </w:abstractNum>
  <w:abstractNum w:abstractNumId="28">
    <w:nsid w:val="50ABCEC9"/>
    <w:multiLevelType w:val="hybridMultilevel"/>
    <w:lvl w:ilvl="0">
      <w:lvlJc w:val="left"/>
      <w:lvlText w:val="•"/>
      <w:numFmt w:val="bullet"/>
      <w:start w:val="1"/>
    </w:lvl>
  </w:abstractNum>
  <w:abstractNum w:abstractNumId="29">
    <w:nsid w:val="7635AA2A"/>
    <w:multiLevelType w:val="hybridMultilevel"/>
    <w:lvl w:ilvl="0">
      <w:lvlJc w:val="left"/>
      <w:lvlText w:val="•"/>
      <w:numFmt w:val="bullet"/>
      <w:start w:val="1"/>
    </w:lvl>
  </w:abstractNum>
  <w:abstractNum w:abstractNumId="30">
    <w:nsid w:val="5E74C4D9"/>
    <w:multiLevelType w:val="hybridMultilevel"/>
    <w:lvl w:ilvl="0">
      <w:lvlJc w:val="left"/>
      <w:lvlText w:val="•"/>
      <w:numFmt w:val="bullet"/>
      <w:start w:val="1"/>
    </w:lvl>
  </w:abstractNum>
  <w:abstractNum w:abstractNumId="31">
    <w:nsid w:val="3B3EBE15"/>
    <w:multiLevelType w:val="hybridMultilevel"/>
    <w:lvl w:ilvl="0">
      <w:lvlJc w:val="left"/>
      <w:lvlText w:val="%1"/>
      <w:numFmt w:val="upperLetter"/>
      <w:start w:val="61"/>
    </w:lvl>
  </w:abstractNum>
  <w:abstractNum w:abstractNumId="32">
    <w:nsid w:val="3822CB01"/>
    <w:multiLevelType w:val="hybridMultilevel"/>
    <w:lvl w:ilvl="0">
      <w:lvlJc w:val="left"/>
      <w:lvlText w:val="•"/>
      <w:numFmt w:val="bullet"/>
      <w:start w:val="1"/>
    </w:lvl>
  </w:abstractNum>
  <w:abstractNum w:abstractNumId="33">
    <w:nsid w:val="6CE00443"/>
    <w:multiLevelType w:val="hybridMultilevel"/>
    <w:lvl w:ilvl="0">
      <w:lvlJc w:val="left"/>
      <w:lvlText w:val="•"/>
      <w:numFmt w:val="bullet"/>
      <w:start w:val="1"/>
    </w:lvl>
  </w:abstractNum>
  <w:abstractNum w:abstractNumId="34">
    <w:nsid w:val="79F0D62F"/>
    <w:multiLevelType w:val="hybridMultilevel"/>
    <w:lvl w:ilvl="0">
      <w:lvlJc w:val="left"/>
      <w:lvlText w:val="•"/>
      <w:numFmt w:val="bullet"/>
      <w:start w:val="1"/>
    </w:lvl>
  </w:abstractNum>
  <w:abstractNum w:abstractNumId="35">
    <w:nsid w:val="7975E8EE"/>
    <w:multiLevelType w:val="hybridMultilevel"/>
    <w:lvl w:ilvl="0">
      <w:lvlJc w:val="left"/>
      <w:lvlText w:val="•"/>
      <w:numFmt w:val="bullet"/>
      <w:start w:val="1"/>
    </w:lvl>
  </w:abstractNum>
  <w:abstractNum w:abstractNumId="36">
    <w:nsid w:val="73154115"/>
    <w:multiLevelType w:val="hybridMultilevel"/>
    <w:lvl w:ilvl="0">
      <w:lvlJc w:val="left"/>
      <w:lvlText w:val="•"/>
      <w:numFmt w:val="bullet"/>
      <w:start w:val="1"/>
    </w:lvl>
  </w:abstractNum>
  <w:abstractNum w:abstractNumId="37">
    <w:nsid w:val="622D8102"/>
    <w:multiLevelType w:val="hybridMultilevel"/>
    <w:lvl w:ilvl="0">
      <w:lvlJc w:val="left"/>
      <w:lvlText w:val="•"/>
      <w:numFmt w:val="bullet"/>
      <w:start w:val="1"/>
    </w:lvl>
  </w:abstractNum>
  <w:abstractNum w:abstractNumId="38">
    <w:nsid w:val="2AB26587"/>
    <w:multiLevelType w:val="hybridMultilevel"/>
    <w:lvl w:ilvl="0">
      <w:lvlJc w:val="left"/>
      <w:lvlText w:val="(%1)"/>
      <w:numFmt w:val="lowerRoman"/>
      <w:start w:val="4"/>
    </w:lvl>
  </w:abstractNum>
  <w:abstractNum w:abstractNumId="39">
    <w:nsid w:val="44B3FA61"/>
    <w:multiLevelType w:val="hybridMultilevel"/>
    <w:lvl w:ilvl="0">
      <w:lvlJc w:val="left"/>
      <w:lvlText w:val="$"/>
      <w:numFmt w:val="bullet"/>
      <w:start w:val="1"/>
    </w:lvl>
  </w:abstractNum>
  <w:abstractNum w:abstractNumId="40">
    <w:nsid w:val="1C0CA67C"/>
    <w:multiLevelType w:val="hybridMultilevel"/>
    <w:lvl w:ilvl="0">
      <w:lvlJc w:val="left"/>
      <w:lvlText w:val="•"/>
      <w:numFmt w:val="bullet"/>
      <w:start w:val="1"/>
    </w:lvl>
  </w:abstractNum>
  <w:abstractNum w:abstractNumId="41">
    <w:nsid w:val="3D206613"/>
    <w:multiLevelType w:val="hybridMultilevel"/>
    <w:lvl w:ilvl="0">
      <w:lvlJc w:val="left"/>
      <w:lvlText w:val="(%1)"/>
      <w:numFmt w:val="decimal"/>
      <w:start w:val="2"/>
    </w:lvl>
  </w:abstractNum>
  <w:abstractNum w:abstractNumId="42">
    <w:nsid w:val="7993B662"/>
    <w:multiLevelType w:val="hybridMultilevel"/>
    <w:lvl w:ilvl="0">
      <w:lvlJc w:val="left"/>
      <w:lvlText w:val="(%1)"/>
      <w:numFmt w:val="decimal"/>
      <w:start w:val="1"/>
    </w:lvl>
  </w:abstractNum>
  <w:abstractNum w:abstractNumId="43">
    <w:nsid w:val="3BAB699E"/>
    <w:multiLevelType w:val="hybridMultilevel"/>
    <w:lvl w:ilvl="0">
      <w:lvlJc w:val="left"/>
      <w:lvlText w:val="(%1)"/>
      <w:numFmt w:val="decimal"/>
      <w:start w:val="4"/>
    </w:lvl>
  </w:abstractNum>
  <w:abstractNum w:abstractNumId="44">
    <w:nsid w:val="71315369"/>
    <w:multiLevelType w:val="hybridMultilevel"/>
    <w:lvl w:ilvl="0">
      <w:lvlJc w:val="left"/>
      <w:lvlText w:val="(%1)"/>
      <w:numFmt w:val="decimal"/>
      <w:start w:val="2"/>
    </w:lvl>
  </w:abstractNum>
  <w:abstractNum w:abstractNumId="45">
    <w:nsid w:val="7BCFBAFC"/>
    <w:multiLevelType w:val="hybridMultilevel"/>
    <w:lvl w:ilvl="0">
      <w:lvlJc w:val="left"/>
      <w:lvlText w:val="•"/>
      <w:numFmt w:val="bullet"/>
      <w:start w:val="1"/>
    </w:lvl>
  </w:abstractNum>
  <w:abstractNum w:abstractNumId="46">
    <w:nsid w:val="17859F72"/>
    <w:multiLevelType w:val="hybridMultilevel"/>
    <w:lvl w:ilvl="0">
      <w:lvlJc w:val="left"/>
      <w:lvlText w:val="(%1)"/>
      <w:numFmt w:val="decimal"/>
      <w:start w:val="1"/>
    </w:lvl>
  </w:abstractNum>
  <w:abstractNum w:abstractNumId="47">
    <w:nsid w:val="3AA10581"/>
    <w:multiLevelType w:val="hybridMultilevel"/>
    <w:lvl w:ilvl="0">
      <w:lvlJc w:val="left"/>
      <w:lvlText w:val="(%1)"/>
      <w:numFmt w:val="decimal"/>
      <w:start w:val="1"/>
    </w:lvl>
  </w:abstractNum>
  <w:abstractNum w:abstractNumId="48">
    <w:nsid w:val="63DE60CD"/>
    <w:multiLevelType w:val="hybridMultilevel"/>
    <w:lvl w:ilvl="0">
      <w:lvlJc w:val="left"/>
      <w:lvlText w:val="•"/>
      <w:numFmt w:val="bullet"/>
      <w:start w:val="1"/>
    </w:lvl>
  </w:abstractNum>
  <w:abstractNum w:abstractNumId="49">
    <w:nsid w:val="621AF471"/>
    <w:multiLevelType w:val="hybridMultilevel"/>
    <w:lvl w:ilvl="0">
      <w:lvlJc w:val="left"/>
      <w:lvlText w:val="•"/>
      <w:numFmt w:val="bullet"/>
      <w:start w:val="1"/>
    </w:lvl>
  </w:abstractNum>
  <w:abstractNum w:abstractNumId="50">
    <w:nsid w:val="73CFE165"/>
    <w:multiLevelType w:val="hybridMultilevel"/>
    <w:lvl w:ilvl="0">
      <w:lvlJc w:val="left"/>
      <w:lvlText w:val="•"/>
      <w:numFmt w:val="bullet"/>
      <w:start w:val="1"/>
    </w:lvl>
  </w:abstractNum>
  <w:abstractNum w:abstractNumId="51">
    <w:nsid w:val="20F88EA6"/>
    <w:multiLevelType w:val="hybridMultilevel"/>
    <w:lvl w:ilvl="0">
      <w:lvlJc w:val="left"/>
      <w:lvlText w:val="•"/>
      <w:numFmt w:val="bullet"/>
      <w:start w:val="1"/>
    </w:lvl>
  </w:abstractNum>
  <w:abstractNum w:abstractNumId="52">
    <w:nsid w:val="617C843E"/>
    <w:multiLevelType w:val="hybridMultilevel"/>
    <w:lvl w:ilvl="0">
      <w:lvlJc w:val="left"/>
      <w:lvlText w:val="(%1)"/>
      <w:numFmt w:val="lowerRoman"/>
      <w:start w:val="2"/>
    </w:lvl>
  </w:abstractNum>
  <w:abstractNum w:abstractNumId="53">
    <w:nsid w:val="7B541FAB"/>
    <w:multiLevelType w:val="hybridMultilevel"/>
    <w:lvl w:ilvl="0">
      <w:lvlJc w:val="left"/>
      <w:lvlText w:val="%1."/>
      <w:numFmt w:val="decimal"/>
      <w:start w:val="1"/>
    </w:lvl>
  </w:abstractNum>
  <w:abstractNum w:abstractNumId="54">
    <w:nsid w:val="2A79EC49"/>
    <w:multiLevelType w:val="hybridMultilevel"/>
    <w:lvl w:ilvl="0">
      <w:lvlJc w:val="left"/>
      <w:lvlText w:val="•"/>
      <w:numFmt w:val="bullet"/>
      <w:start w:val="1"/>
    </w:lvl>
  </w:abstractNum>
  <w:abstractNum w:abstractNumId="55">
    <w:nsid w:val="338125CF"/>
    <w:multiLevelType w:val="hybridMultilevel"/>
    <w:lvl w:ilvl="0">
      <w:lvlJc w:val="left"/>
      <w:lvlText w:val="(%1)"/>
      <w:numFmt w:val="decimal"/>
      <w:start w:val="1"/>
    </w:lvl>
  </w:abstractNum>
  <w:abstractNum w:abstractNumId="56">
    <w:nsid w:val="47C7C971"/>
    <w:multiLevelType w:val="hybridMultilevel"/>
    <w:lvl w:ilvl="0">
      <w:lvlJc w:val="left"/>
      <w:lvlText w:val="•"/>
      <w:numFmt w:val="bullet"/>
      <w:start w:val="1"/>
    </w:lvl>
  </w:abstractNum>
  <w:abstractNum w:abstractNumId="57">
    <w:nsid w:val="46F8284B"/>
    <w:multiLevelType w:val="hybridMultilevel"/>
    <w:lvl w:ilvl="0">
      <w:lvlJc w:val="left"/>
      <w:lvlText w:val="•"/>
      <w:numFmt w:val="bullet"/>
      <w:start w:val="1"/>
    </w:lvl>
  </w:abstractNum>
  <w:abstractNum w:abstractNumId="58">
    <w:nsid w:val="4FA327CE"/>
    <w:multiLevelType w:val="hybridMultilevel"/>
    <w:lvl w:ilvl="0">
      <w:lvlJc w:val="left"/>
      <w:lvlText w:val="•"/>
      <w:numFmt w:val="bullet"/>
      <w:start w:val="1"/>
    </w:lvl>
  </w:abstractNum>
  <w:abstractNum w:abstractNumId="59">
    <w:nsid w:val="1873983A"/>
    <w:multiLevelType w:val="hybridMultilevel"/>
    <w:lvl w:ilvl="0">
      <w:lvlJc w:val="left"/>
      <w:lvlText w:val="•"/>
      <w:numFmt w:val="bullet"/>
      <w:start w:val="1"/>
    </w:lvl>
  </w:abstractNum>
  <w:abstractNum w:abstractNumId="60">
    <w:nsid w:val="3D2DD275"/>
    <w:multiLevelType w:val="hybridMultilevel"/>
    <w:lvl w:ilvl="0">
      <w:lvlJc w:val="left"/>
      <w:lvlText w:val="•"/>
      <w:numFmt w:val="bullet"/>
      <w:start w:val="1"/>
    </w:lvl>
  </w:abstractNum>
  <w:abstractNum w:abstractNumId="61">
    <w:nsid w:val="2E17ECA7"/>
    <w:multiLevelType w:val="hybridMultilevel"/>
    <w:lvl w:ilvl="0">
      <w:lvlJc w:val="left"/>
      <w:lvlText w:val="•"/>
      <w:numFmt w:val="bullet"/>
      <w:start w:val="1"/>
    </w:lvl>
  </w:abstractNum>
  <w:abstractNum w:abstractNumId="62">
    <w:nsid w:val="53B2564F"/>
    <w:multiLevelType w:val="hybridMultilevel"/>
    <w:lvl w:ilvl="0">
      <w:lvlJc w:val="left"/>
      <w:lvlText w:val="•"/>
      <w:numFmt w:val="bullet"/>
      <w:start w:val="1"/>
    </w:lvl>
  </w:abstractNum>
  <w:abstractNum w:abstractNumId="63">
    <w:nsid w:val="75509D76"/>
    <w:multiLevelType w:val="hybridMultilevel"/>
    <w:lvl w:ilvl="0">
      <w:lvlJc w:val="left"/>
      <w:lvlText w:val="•"/>
      <w:numFmt w:val="bullet"/>
      <w:start w:val="1"/>
    </w:lvl>
  </w:abstractNum>
  <w:abstractNum w:abstractNumId="64">
    <w:nsid w:val="1AF7F0EA"/>
    <w:multiLevelType w:val="hybridMultilevel"/>
    <w:lvl w:ilvl="0">
      <w:lvlJc w:val="left"/>
      <w:lvlText w:val="•"/>
      <w:numFmt w:val="bullet"/>
      <w:start w:val="1"/>
    </w:lvl>
  </w:abstractNum>
  <w:abstractNum w:abstractNumId="65">
    <w:nsid w:val="4DA32C7E"/>
    <w:multiLevelType w:val="hybridMultilevel"/>
    <w:lvl w:ilvl="0">
      <w:lvlJc w:val="left"/>
      <w:lvlText w:val="•"/>
      <w:numFmt w:val="bullet"/>
      <w:start w:val="1"/>
    </w:lvl>
  </w:abstractNum>
  <w:abstractNum w:abstractNumId="66">
    <w:nsid w:val="6EC68664"/>
    <w:multiLevelType w:val="hybridMultilevel"/>
    <w:lvl w:ilvl="0">
      <w:lvlJc w:val="left"/>
      <w:lvlText w:val="•"/>
      <w:numFmt w:val="bullet"/>
      <w:start w:val="1"/>
    </w:lvl>
  </w:abstractNum>
  <w:abstractNum w:abstractNumId="67">
    <w:nsid w:val="E0D31FF"/>
    <w:multiLevelType w:val="hybridMultilevel"/>
    <w:lvl w:ilvl="0">
      <w:lvlJc w:val="left"/>
      <w:lvlText w:val="•"/>
      <w:numFmt w:val="bullet"/>
      <w:start w:val="1"/>
    </w:lvl>
  </w:abstractNum>
  <w:abstractNum w:abstractNumId="68">
    <w:nsid w:val="2FD0AD81"/>
    <w:multiLevelType w:val="hybridMultilevel"/>
    <w:lvl w:ilvl="0">
      <w:lvlJc w:val="left"/>
      <w:lvlText w:val="•"/>
      <w:numFmt w:val="bullet"/>
      <w:start w:val="1"/>
    </w:lvl>
  </w:abstractNum>
  <w:abstractNum w:abstractNumId="69">
    <w:nsid w:val="1978EBEB"/>
    <w:multiLevelType w:val="hybridMultilevel"/>
    <w:lvl w:ilvl="0">
      <w:lvlJc w:val="left"/>
      <w:lvlText w:val="•"/>
      <w:numFmt w:val="bullet"/>
      <w:start w:val="1"/>
    </w:lvl>
  </w:abstractNum>
  <w:abstractNum w:abstractNumId="70">
    <w:nsid w:val="52C12C61"/>
    <w:multiLevelType w:val="hybridMultilevel"/>
    <w:lvl w:ilvl="0">
      <w:lvlJc w:val="left"/>
      <w:lvlText w:val="•"/>
      <w:numFmt w:val="bullet"/>
      <w:start w:val="1"/>
    </w:lvl>
  </w:abstractNum>
  <w:abstractNum w:abstractNumId="71">
    <w:nsid w:val="4BDD53FD"/>
    <w:multiLevelType w:val="hybridMultilevel"/>
    <w:lvl w:ilvl="0">
      <w:lvlJc w:val="left"/>
      <w:lvlText w:val="•"/>
      <w:numFmt w:val="bullet"/>
      <w:start w:val="1"/>
    </w:lvl>
  </w:abstractNum>
  <w:abstractNum w:abstractNumId="72">
    <w:nsid w:val="569951FE"/>
    <w:multiLevelType w:val="hybridMultilevel"/>
    <w:lvl w:ilvl="0">
      <w:lvlJc w:val="left"/>
      <w:lvlText w:val="•"/>
      <w:numFmt w:val="bullet"/>
      <w:start w:val="1"/>
    </w:lvl>
  </w:abstractNum>
  <w:abstractNum w:abstractNumId="73">
    <w:nsid w:val="4C54E2C3"/>
    <w:multiLevelType w:val="hybridMultilevel"/>
    <w:lvl w:ilvl="0">
      <w:lvlJc w:val="left"/>
      <w:lvlText w:val="•"/>
      <w:numFmt w:val="bullet"/>
      <w:start w:val="1"/>
    </w:lvl>
  </w:abstractNum>
  <w:abstractNum w:abstractNumId="74">
    <w:nsid w:val="788BD9B"/>
    <w:multiLevelType w:val="hybridMultilevel"/>
    <w:lvl w:ilvl="0">
      <w:lvlJc w:val="left"/>
      <w:lvlText w:val="•"/>
      <w:numFmt w:val="bullet"/>
      <w:start w:val="1"/>
    </w:lvl>
  </w:abstractNum>
  <w:abstractNum w:abstractNumId="75">
    <w:nsid w:val="47CAA567"/>
    <w:multiLevelType w:val="hybridMultilevel"/>
    <w:lvl w:ilvl="0">
      <w:lvlJc w:val="left"/>
      <w:lvlText w:val="•"/>
      <w:numFmt w:val="bullet"/>
      <w:start w:val="1"/>
    </w:lvl>
  </w:abstractNum>
  <w:abstractNum w:abstractNumId="76">
    <w:nsid w:val="48249DBF"/>
    <w:multiLevelType w:val="hybridMultilevel"/>
    <w:lvl w:ilvl="0">
      <w:lvlJc w:val="left"/>
      <w:lvlText w:val="(%1)"/>
      <w:numFmt w:val="lowerLetter"/>
      <w:start w:val="1"/>
    </w:lvl>
  </w:abstractNum>
  <w:abstractNum w:abstractNumId="77">
    <w:nsid w:val="1F0E5D0D"/>
    <w:multiLevelType w:val="hybridMultilevel"/>
    <w:lvl w:ilvl="0">
      <w:lvlJc w:val="left"/>
      <w:lvlText w:val="$"/>
      <w:numFmt w:val="bullet"/>
      <w:start w:val="1"/>
    </w:lvl>
  </w:abstractNum>
  <w:abstractNum w:abstractNumId="78">
    <w:nsid w:val="26BAAE9"/>
    <w:multiLevelType w:val="hybridMultilevel"/>
    <w:lvl w:ilvl="0">
      <w:lvlJc w:val="left"/>
      <w:lvlText w:val="•"/>
      <w:numFmt w:val="bullet"/>
      <w:start w:val="1"/>
    </w:lvl>
  </w:abstractNum>
  <w:abstractNum w:abstractNumId="79">
    <w:nsid w:val="2C02FE8C"/>
    <w:multiLevelType w:val="hybridMultilevel"/>
    <w:lvl w:ilvl="0">
      <w:lvlJc w:val="left"/>
      <w:lvlText w:val=","/>
      <w:numFmt w:val="bullet"/>
      <w:start w:val="1"/>
    </w:lvl>
  </w:abstractNum>
  <w:abstractNum w:abstractNumId="80">
    <w:nsid w:val="129517E"/>
    <w:multiLevelType w:val="hybridMultilevel"/>
    <w:lvl w:ilvl="0">
      <w:lvlJc w:val="left"/>
      <w:lvlText w:val="(%1)"/>
      <w:numFmt w:val="lowerLetter"/>
      <w:start w:val="1"/>
    </w:lvl>
  </w:abstractNum>
  <w:abstractNum w:abstractNumId="81">
    <w:nsid w:val="763B8C4E"/>
    <w:multiLevelType w:val="hybridMultilevel"/>
    <w:lvl w:ilvl="0">
      <w:lvlJc w:val="left"/>
      <w:lvlText w:val="(%1)"/>
      <w:numFmt w:val="lowerLetter"/>
      <w:start w:val="1"/>
    </w:lvl>
  </w:abstractNum>
  <w:abstractNum w:abstractNumId="82">
    <w:nsid w:val="4CFB8D32"/>
    <w:multiLevelType w:val="hybridMultilevel"/>
    <w:lvl w:ilvl="0">
      <w:lvlJc w:val="left"/>
      <w:lvlText w:val="(%1)"/>
      <w:numFmt w:val="lowerLetter"/>
      <w:start w:val="1"/>
    </w:lvl>
  </w:abstractNum>
  <w:abstractNum w:abstractNumId="83">
    <w:nsid w:val="62A5D5BD"/>
    <w:multiLevelType w:val="hybridMultilevel"/>
    <w:lvl w:ilvl="0">
      <w:lvlJc w:val="left"/>
      <w:lvlText w:val="(%1)"/>
      <w:numFmt w:val="lowerLetter"/>
      <w:start w:val="1"/>
    </w:lvl>
  </w:abstractNum>
  <w:abstractNum w:abstractNumId="84">
    <w:nsid w:val="718FABF9"/>
    <w:multiLevelType w:val="hybridMultilevel"/>
    <w:lvl w:ilvl="0">
      <w:lvlJc w:val="left"/>
      <w:lvlText w:val="(%1)"/>
      <w:numFmt w:val="lowerLetter"/>
      <w:start w:val="1"/>
    </w:lvl>
  </w:abstractNum>
  <w:abstractNum w:abstractNumId="85">
    <w:nsid w:val="7775797C"/>
    <w:multiLevelType w:val="hybridMultilevel"/>
    <w:lvl w:ilvl="0">
      <w:lvlJc w:val="left"/>
      <w:lvlText w:val="•"/>
      <w:numFmt w:val="bullet"/>
      <w:start w:val="1"/>
    </w:lvl>
  </w:abstractNum>
  <w:abstractNum w:abstractNumId="86">
    <w:nsid w:val="1626FB8C"/>
    <w:multiLevelType w:val="hybridMultilevel"/>
    <w:lvl w:ilvl="0">
      <w:lvlJc w:val="left"/>
      <w:lvlText w:val="%1."/>
      <w:numFmt w:val="decimal"/>
      <w:start w:val="1"/>
    </w:lvl>
    <w:lvl w:ilvl="1">
      <w:lvlJc w:val="left"/>
      <w:lvlText w:val="(%2)"/>
      <w:numFmt w:val="lowerLetter"/>
      <w:start w:val="1"/>
    </w:lvl>
  </w:abstractNum>
  <w:abstractNum w:abstractNumId="87">
    <w:nsid w:val="3957756A"/>
    <w:multiLevelType w:val="hybridMultilevel"/>
    <w:lvl w:ilvl="0">
      <w:lvlJc w:val="left"/>
      <w:lvlText w:val="(%1)"/>
      <w:numFmt w:val="lowerLetter"/>
      <w:start w:val="6"/>
    </w:lvl>
  </w:abstractNum>
  <w:abstractNum w:abstractNumId="88">
    <w:nsid w:val="3E6DA1C7"/>
    <w:multiLevelType w:val="hybridMultilevel"/>
    <w:lvl w:ilvl="0">
      <w:lvlJc w:val="left"/>
      <w:lvlText w:val="(%1)"/>
      <w:numFmt w:val="lowerLetter"/>
      <w:start w:val="10"/>
    </w:lvl>
  </w:abstractNum>
  <w:abstractNum w:abstractNumId="89">
    <w:nsid w:val="65CA235B"/>
    <w:multiLevelType w:val="hybridMultilevel"/>
    <w:lvl w:ilvl="0">
      <w:lvlJc w:val="left"/>
      <w:lvlText w:val="(%1)"/>
      <w:numFmt w:val="lowerLetter"/>
      <w:start w:val="15"/>
    </w:lvl>
  </w:abstractNum>
  <w:abstractNum w:abstractNumId="90">
    <w:nsid w:val="51CB0DA4"/>
    <w:multiLevelType w:val="hybridMultilevel"/>
    <w:lvl w:ilvl="0">
      <w:lvlJc w:val="left"/>
      <w:lvlText w:val="%1"/>
      <w:numFmt w:val="decimal"/>
      <w:start w:val="1"/>
    </w:lvl>
    <w:lvl w:ilvl="1">
      <w:lvlJc w:val="left"/>
      <w:lvlText w:val="(%2)"/>
      <w:numFmt w:val="lowerLetter"/>
      <w:start w:val="18"/>
    </w:lvl>
  </w:abstractNum>
  <w:abstractNum w:abstractNumId="91">
    <w:nsid w:val="7B9B743C"/>
    <w:multiLevelType w:val="hybridMultilevel"/>
    <w:lvl w:ilvl="0">
      <w:lvlJc w:val="left"/>
      <w:lvlText w:val="%1."/>
      <w:numFmt w:val="decimal"/>
      <w:start w:val="3"/>
    </w:lvl>
    <w:lvl w:ilvl="1">
      <w:lvlJc w:val="left"/>
      <w:lvlText w:val="%2"/>
      <w:numFmt w:val="lowerLetter"/>
      <w:start w:val="1"/>
    </w:lvl>
  </w:abstractNum>
  <w:abstractNum w:abstractNumId="92">
    <w:nsid w:val="13E21002"/>
    <w:multiLevelType w:val="hybridMultilevel"/>
    <w:lvl w:ilvl="0">
      <w:lvlJc w:val="left"/>
      <w:lvlText w:val="(%1)"/>
      <w:numFmt w:val="lowerLetter"/>
      <w:start w:val="1"/>
    </w:lvl>
  </w:abstractNum>
  <w:abstractNum w:abstractNumId="93">
    <w:nsid w:val="257D63F4"/>
    <w:multiLevelType w:val="hybridMultilevel"/>
    <w:lvl w:ilvl="0">
      <w:lvlJc w:val="left"/>
      <w:lvlText w:val="(%1)"/>
      <w:numFmt w:val="lowerLetter"/>
      <w:start w:val="2"/>
    </w:lvl>
  </w:abstractNum>
  <w:abstractNum w:abstractNumId="94">
    <w:nsid w:val="70EC11B2"/>
    <w:multiLevelType w:val="hybridMultilevel"/>
    <w:lvl w:ilvl="0">
      <w:lvlJc w:val="left"/>
      <w:lvlText w:val="%1."/>
      <w:numFmt w:val="decimal"/>
      <w:start w:val="4"/>
    </w:lvl>
    <w:lvl w:ilvl="1">
      <w:lvlJc w:val="left"/>
      <w:lvlText w:val="•"/>
      <w:numFmt w:val="bullet"/>
      <w:start w:val="1"/>
    </w:lvl>
  </w:abstractNum>
  <w:abstractNum w:abstractNumId="95">
    <w:nsid w:val="2EDA00ED"/>
    <w:multiLevelType w:val="hybridMultilevel"/>
    <w:lvl w:ilvl="0">
      <w:lvlJc w:val="left"/>
      <w:lvlText w:val="•"/>
      <w:numFmt w:val="bullet"/>
      <w:start w:val="1"/>
    </w:lvl>
  </w:abstractNum>
  <w:abstractNum w:abstractNumId="96">
    <w:nsid w:val="73209072"/>
    <w:multiLevelType w:val="hybridMultilevel"/>
    <w:lvl w:ilvl="0">
      <w:lvlJc w:val="left"/>
      <w:lvlText w:val="%1."/>
      <w:numFmt w:val="decimal"/>
      <w:start w:val="6"/>
    </w:lvl>
  </w:abstractNum>
  <w:abstractNum w:abstractNumId="97">
    <w:nsid w:val="5FB29816"/>
    <w:multiLevelType w:val="hybridMultilevel"/>
    <w:lvl w:ilvl="0">
      <w:lvlJc w:val="left"/>
      <w:lvlText w:val="%1."/>
      <w:numFmt w:val="decimal"/>
      <w:start w:val="7"/>
    </w:lvl>
  </w:abstractNum>
  <w:abstractNum w:abstractNumId="98">
    <w:nsid w:val="3CE732EC"/>
    <w:multiLevelType w:val="hybridMultilevel"/>
    <w:lvl w:ilvl="0">
      <w:lvlJc w:val="left"/>
      <w:lvlText w:val="%1."/>
      <w:numFmt w:val="decimal"/>
      <w:start w:val="8"/>
    </w:lvl>
  </w:abstractNum>
  <w:abstractNum w:abstractNumId="99">
    <w:nsid w:val="22F13DF3"/>
    <w:multiLevelType w:val="hybridMultilevel"/>
    <w:lvl w:ilvl="0">
      <w:lvlJc w:val="left"/>
      <w:lvlText w:val="%1."/>
      <w:numFmt w:val="decimal"/>
      <w:start w:val="9"/>
    </w:lvl>
  </w:abstractNum>
  <w:abstractNum w:abstractNumId="100">
    <w:nsid w:val="792B8401"/>
    <w:multiLevelType w:val="hybridMultilevel"/>
    <w:lvl w:ilvl="0">
      <w:lvlJc w:val="left"/>
      <w:lvlText w:val="%1."/>
      <w:numFmt w:val="decimal"/>
      <w:start w:val="10"/>
    </w:lvl>
  </w:abstractNum>
  <w:abstractNum w:abstractNumId="101">
    <w:nsid w:val="FA85F4D"/>
    <w:multiLevelType w:val="hybridMultilevel"/>
    <w:lvl w:ilvl="0">
      <w:lvlJc w:val="left"/>
      <w:lvlText w:val="%1."/>
      <w:numFmt w:val="decimal"/>
      <w:start w:val="11"/>
    </w:lvl>
  </w:abstractNum>
  <w:abstractNum w:abstractNumId="102">
    <w:nsid w:val="6ECE91F0"/>
    <w:multiLevelType w:val="hybridMultilevel"/>
    <w:lvl w:ilvl="0">
      <w:lvlJc w:val="left"/>
      <w:lvlText w:val="%1."/>
      <w:numFmt w:val="decimal"/>
      <w:start w:val="12"/>
    </w:lvl>
  </w:abstractNum>
  <w:abstractNum w:abstractNumId="103">
    <w:nsid w:val="4FC4D600"/>
    <w:multiLevelType w:val="hybridMultilevel"/>
    <w:lvl w:ilvl="0">
      <w:lvlJc w:val="left"/>
      <w:lvlText w:val="%1."/>
      <w:numFmt w:val="decimal"/>
      <w:start w:val="13"/>
    </w:lvl>
  </w:abstractNum>
  <w:abstractNum w:abstractNumId="104">
    <w:nsid w:val="5BFD4210"/>
    <w:multiLevelType w:val="hybridMultilevel"/>
    <w:lvl w:ilvl="0">
      <w:lvlJc w:val="left"/>
      <w:lvlText w:val="%1."/>
      <w:numFmt w:val="decimal"/>
      <w:start w:val="14"/>
    </w:lvl>
  </w:abstractNum>
  <w:abstractNum w:abstractNumId="105">
    <w:nsid w:val="76574F8B"/>
    <w:multiLevelType w:val="hybridMultilevel"/>
    <w:lvl w:ilvl="0">
      <w:lvlJc w:val="left"/>
      <w:lvlText w:val="%1."/>
      <w:numFmt w:val="decimal"/>
      <w:start w:val="15"/>
    </w:lvl>
  </w:abstractNum>
  <w:abstractNum w:abstractNumId="106">
    <w:nsid w:val="178F7B67"/>
    <w:multiLevelType w:val="hybridMultilevel"/>
    <w:lvl w:ilvl="0">
      <w:lvlJc w:val="left"/>
      <w:lvlText w:val="%1."/>
      <w:numFmt w:val="decimal"/>
      <w:start w:val="16"/>
    </w:lvl>
  </w:abstractNum>
  <w:abstractNum w:abstractNumId="107">
    <w:nsid w:val="2421DFCF"/>
    <w:multiLevelType w:val="hybridMultilevel"/>
    <w:lvl w:ilvl="0">
      <w:lvlJc w:val="left"/>
      <w:lvlText w:val="%1."/>
      <w:numFmt w:val="decimal"/>
      <w:start w:val="17"/>
    </w:lvl>
  </w:abstractNum>
  <w:abstractNum w:abstractNumId="108">
    <w:nsid w:val="1565AC99"/>
    <w:multiLevelType w:val="hybridMultilevel"/>
    <w:lvl w:ilvl="0">
      <w:lvlJc w:val="left"/>
      <w:lvlText w:val="%1."/>
      <w:numFmt w:val="decimal"/>
      <w:start w:val="18"/>
    </w:lvl>
  </w:abstractNum>
  <w:abstractNum w:abstractNumId="109">
    <w:nsid w:val="19FB2650"/>
    <w:multiLevelType w:val="hybridMultilevel"/>
    <w:lvl w:ilvl="0">
      <w:lvlJc w:val="left"/>
      <w:lvlText w:val="%1."/>
      <w:numFmt w:val="decimal"/>
      <w:start w:val="20"/>
    </w:lvl>
  </w:abstractNum>
  <w:abstractNum w:abstractNumId="110">
    <w:nsid w:val="5024DE5B"/>
    <w:multiLevelType w:val="hybridMultilevel"/>
    <w:lvl w:ilvl="0">
      <w:lvlJc w:val="left"/>
      <w:lvlText w:val="%1."/>
      <w:numFmt w:val="decimal"/>
      <w:start w:val="21"/>
    </w:lvl>
  </w:abstractNum>
  <w:abstractNum w:abstractNumId="111">
    <w:nsid w:val="168EFE17"/>
    <w:multiLevelType w:val="hybridMultilevel"/>
    <w:lvl w:ilvl="0">
      <w:lvlJc w:val="left"/>
      <w:lvlText w:val="*"/>
      <w:numFmt w:val="bullet"/>
      <w:start w:val="1"/>
    </w:lvl>
  </w:abstractNum>
  <w:abstractNum w:abstractNumId="112">
    <w:nsid w:val="1036B29F"/>
    <w:multiLevelType w:val="hybridMultilevel"/>
    <w:lvl w:ilvl="0">
      <w:lvlJc w:val="left"/>
      <w:lvlText w:val="*"/>
      <w:numFmt w:val="bullet"/>
      <w:start w:val="1"/>
    </w:lvl>
  </w:abstractNum>
  <w:abstractNum w:abstractNumId="113">
    <w:nsid w:val="1D206B8E"/>
    <w:multiLevelType w:val="hybridMultilevel"/>
    <w:lvl w:ilvl="0">
      <w:lvlJc w:val="left"/>
      <w:lvlText w:val="**"/>
      <w:numFmt w:val="bullet"/>
      <w:start w:val="1"/>
    </w:lvl>
  </w:abstractNum>
  <w:abstractNum w:abstractNumId="114">
    <w:nsid w:val="7934D3D4"/>
    <w:multiLevelType w:val="hybridMultilevel"/>
    <w:lvl w:ilvl="0">
      <w:lvlJc w:val="left"/>
      <w:lvlText w:val="‡"/>
      <w:numFmt w:val="bullet"/>
      <w:start w:val="1"/>
    </w:lvl>
  </w:abstractNum>
  <w:abstractNum w:abstractNumId="115">
    <w:nsid w:val="1C65E98"/>
    <w:multiLevelType w:val="hybridMultilevel"/>
    <w:lvl w:ilvl="0">
      <w:lvlJc w:val="left"/>
      <w:lvlText w:val="(%1)"/>
      <w:numFmt w:val="decimal"/>
      <w:start w:val="1"/>
    </w:lvl>
  </w:abstractNum>
  <w:abstractNum w:abstractNumId="116">
    <w:nsid w:val="1495E50A"/>
    <w:multiLevelType w:val="hybridMultilevel"/>
    <w:lvl w:ilvl="0">
      <w:lvlJc w:val="left"/>
      <w:lvlText w:val="A"/>
      <w:numFmt w:val="bullet"/>
      <w:start w:val="1"/>
    </w:lvl>
  </w:abstractNum>
  <w:abstractNum w:abstractNumId="117">
    <w:nsid w:val="F5BCF61"/>
    <w:multiLevelType w:val="hybridMultilevel"/>
    <w:lvl w:ilvl="0">
      <w:lvlJc w:val="left"/>
      <w:lvlText w:val="B"/>
      <w:numFmt w:val="bullet"/>
      <w:start w:val="1"/>
    </w:lvl>
  </w:abstractNum>
  <w:abstractNum w:abstractNumId="118">
    <w:nsid w:val="3B1DD403"/>
    <w:multiLevelType w:val="hybridMultilevel"/>
    <w:lvl w:ilvl="0">
      <w:lvlJc w:val="left"/>
      <w:lvlText w:val="D"/>
      <w:numFmt w:val="bullet"/>
      <w:start w:val="1"/>
    </w:lvl>
  </w:abstractNum>
  <w:abstractNum w:abstractNumId="119">
    <w:nsid w:val="530386D1"/>
    <w:multiLevelType w:val="hybridMultilevel"/>
    <w:lvl w:ilvl="0">
      <w:lvlJc w:val="left"/>
      <w:lvlText w:val="F"/>
      <w:numFmt w:val="bullet"/>
      <w:start w:val="1"/>
    </w:lvl>
  </w:abstractNum>
  <w:abstractNum w:abstractNumId="120">
    <w:nsid w:val="7525F2BC"/>
    <w:multiLevelType w:val="hybridMultilevel"/>
    <w:lvl w:ilvl="0">
      <w:lvlJc w:val="left"/>
      <w:lvlText w:val="H"/>
      <w:numFmt w:val="bullet"/>
      <w:start w:val="1"/>
    </w:lvl>
  </w:abstractNum>
  <w:abstractNum w:abstractNumId="121">
    <w:nsid w:val="CE8E1A7"/>
    <w:multiLevelType w:val="hybridMultilevel"/>
    <w:lvl w:ilvl="0">
      <w:lvlJc w:val="left"/>
      <w:lvlText w:val="I"/>
      <w:numFmt w:val="bullet"/>
      <w:start w:val="1"/>
    </w:lvl>
  </w:abstractNum>
  <w:abstractNum w:abstractNumId="122">
    <w:nsid w:val="4E9EFB0D"/>
    <w:multiLevelType w:val="hybridMultilevel"/>
    <w:lvl w:ilvl="0">
      <w:lvlJc w:val="left"/>
      <w:lvlText w:val="J"/>
      <w:numFmt w:val="bullet"/>
      <w:start w:val="1"/>
    </w:lvl>
  </w:abstractNum>
  <w:abstractNum w:abstractNumId="123">
    <w:nsid w:val="90802BE"/>
    <w:multiLevelType w:val="hybridMultilevel"/>
    <w:lvl w:ilvl="0">
      <w:lvlJc w:val="left"/>
      <w:lvlText w:val="K"/>
      <w:numFmt w:val="bullet"/>
      <w:start w:val="1"/>
    </w:lvl>
  </w:abstractNum>
  <w:abstractNum w:abstractNumId="124">
    <w:nsid w:val="3266459B"/>
    <w:multiLevelType w:val="hybridMultilevel"/>
    <w:lvl w:ilvl="0">
      <w:lvlJc w:val="left"/>
      <w:lvlText w:val="L"/>
      <w:numFmt w:val="bullet"/>
      <w:start w:val="1"/>
    </w:lvl>
  </w:abstractNum>
  <w:abstractNum w:abstractNumId="125">
    <w:nsid w:val="3F8B0CBF"/>
    <w:multiLevelType w:val="hybridMultilevel"/>
    <w:lvl w:ilvl="0">
      <w:lvlJc w:val="left"/>
      <w:lvlText w:val="(%1)"/>
      <w:numFmt w:val="lowerLetter"/>
      <w:start w:val="1"/>
    </w:lvl>
  </w:abstractNum>
  <w:abstractNum w:abstractNumId="126">
    <w:nsid w:val="37E203AB"/>
    <w:multiLevelType w:val="hybridMultilevel"/>
    <w:lvl w:ilvl="0">
      <w:lvlJc w:val="left"/>
      <w:lvlText w:val="%1"/>
      <w:numFmt w:val="lowerLetter"/>
      <w:start w:val="1"/>
    </w:lvl>
    <w:lvl w:ilvl="1">
      <w:lvlJc w:val="left"/>
      <w:lvlText w:val="(%2)"/>
      <w:numFmt w:val="lowerLetter"/>
      <w:start w:val="2"/>
    </w:lvl>
  </w:abstractNum>
  <w:abstractNum w:abstractNumId="127">
    <w:nsid w:val="2586D60E"/>
    <w:multiLevelType w:val="hybridMultilevel"/>
    <w:lvl w:ilvl="0">
      <w:lvlJc w:val="left"/>
      <w:lvlText w:val="(%1)"/>
      <w:numFmt w:val="lowerLetter"/>
      <w:start w:val="35"/>
    </w:lvl>
    <w:lvl w:ilvl="1">
      <w:lvlJc w:val="left"/>
      <w:lvlText w:val="%2"/>
      <w:numFmt w:val="lowerLetter"/>
      <w:start w:val="1"/>
    </w:lvl>
  </w:abstractNum>
  <w:abstractNum w:abstractNumId="128">
    <w:nsid w:val="1F3DA4D5"/>
    <w:multiLevelType w:val="hybridMultilevel"/>
    <w:lvl w:ilvl="0">
      <w:lvlJc w:val="left"/>
      <w:lvlText w:val="(%1)"/>
      <w:numFmt w:val="lowerLetter"/>
      <w:start w:val="4"/>
    </w:lvl>
  </w:abstractNum>
  <w:abstractNum w:abstractNumId="129">
    <w:nsid w:val="74C93698"/>
    <w:multiLevelType w:val="hybridMultilevel"/>
    <w:lvl w:ilvl="0">
      <w:lvlJc w:val="left"/>
      <w:lvlText w:val="(%1)"/>
      <w:numFmt w:val="lowerLetter"/>
      <w:start w:val="1"/>
    </w:lvl>
  </w:abstractNum>
  <w:abstractNum w:abstractNumId="130">
    <w:nsid w:val="48781401"/>
    <w:multiLevelType w:val="hybridMultilevel"/>
    <w:lvl w:ilvl="0">
      <w:lvlJc w:val="left"/>
      <w:lvlText w:val="(%1)"/>
      <w:numFmt w:val="lowerLetter"/>
      <w:start w:val="2"/>
    </w:lvl>
  </w:abstractNum>
  <w:abstractNum w:abstractNumId="131">
    <w:nsid w:val="186928D6"/>
    <w:multiLevelType w:val="hybridMultilevel"/>
    <w:lvl w:ilvl="0">
      <w:lvlJc w:val="left"/>
      <w:lvlText w:val="(%1)"/>
      <w:numFmt w:val="lowerLetter"/>
      <w:start w:val="4"/>
    </w:lvl>
  </w:abstractNum>
  <w:abstractNum w:abstractNumId="132">
    <w:nsid w:val="47195E5"/>
    <w:multiLevelType w:val="hybridMultilevel"/>
    <w:lvl w:ilvl="0">
      <w:lvlJc w:val="left"/>
      <w:lvlText w:val="(%1)"/>
      <w:numFmt w:val="lowerRoman"/>
      <w:start w:val="2"/>
    </w:lvl>
  </w:abstractNum>
  <w:abstractNum w:abstractNumId="133">
    <w:nsid w:val="3746A5F2"/>
    <w:multiLevelType w:val="hybridMultilevel"/>
    <w:lvl w:ilvl="0">
      <w:lvlJc w:val="left"/>
      <w:lvlText w:val="(%1)"/>
      <w:numFmt w:val="lowerLetter"/>
      <w:start w:val="2"/>
    </w:lvl>
  </w:abstractNum>
  <w:abstractNum w:abstractNumId="134">
    <w:nsid w:val="682DFED6"/>
    <w:multiLevelType w:val="hybridMultilevel"/>
    <w:lvl w:ilvl="0">
      <w:lvlJc w:val="left"/>
      <w:lvlText w:val="(%1)"/>
      <w:numFmt w:val="lowerRoman"/>
      <w:start w:val="1"/>
    </w:lvl>
  </w:abstractNum>
  <w:abstractNum w:abstractNumId="135">
    <w:nsid w:val="606ED7F6"/>
    <w:multiLevelType w:val="hybridMultilevel"/>
    <w:lvl w:ilvl="0">
      <w:lvlJc w:val="left"/>
      <w:lvlText w:val="(%1)"/>
      <w:numFmt w:val="lowerRoman"/>
      <w:start w:val="1"/>
    </w:lvl>
  </w:abstractNum>
  <w:abstractNum w:abstractNumId="136">
    <w:nsid w:val="2D9DF57D"/>
    <w:multiLevelType w:val="hybridMultilevel"/>
    <w:lvl w:ilvl="0">
      <w:lvlJc w:val="left"/>
      <w:lvlText w:val="(%1)"/>
      <w:numFmt w:val="lowerRoman"/>
      <w:start w:val="3"/>
    </w:lvl>
  </w:abstractNum>
  <w:abstractNum w:abstractNumId="137">
    <w:nsid w:val="7FBD7A3E"/>
    <w:multiLevelType w:val="hybridMultilevel"/>
    <w:lvl w:ilvl="0">
      <w:lvlJc w:val="left"/>
      <w:lvlText w:val="(%1)"/>
      <w:numFmt w:val="lowerLetter"/>
      <w:start w:val="1"/>
    </w:lvl>
  </w:abstractNum>
  <w:abstractNum w:abstractNumId="138">
    <w:nsid w:val="490B7C5"/>
    <w:multiLevelType w:val="hybridMultilevel"/>
    <w:lvl w:ilvl="0">
      <w:lvlJc w:val="left"/>
      <w:lvlText w:val="(%1)"/>
      <w:numFmt w:val="lowerLetter"/>
      <w:start w:val="3"/>
    </w:lvl>
  </w:abstractNum>
  <w:abstractNum w:abstractNumId="139">
    <w:nsid w:val="4303A216"/>
    <w:multiLevelType w:val="hybridMultilevel"/>
    <w:lvl w:ilvl="0">
      <w:lvlJc w:val="left"/>
      <w:lvlText w:val="(%1)"/>
      <w:numFmt w:val="lowerLetter"/>
      <w:start w:val="1"/>
    </w:lvl>
  </w:abstractNum>
  <w:abstractNum w:abstractNumId="140">
    <w:nsid w:val="19B8A08E"/>
    <w:multiLevelType w:val="hybridMultilevel"/>
    <w:lvl w:ilvl="0">
      <w:lvlJc w:val="left"/>
      <w:lvlText w:val="(%1)"/>
      <w:numFmt w:val="lowerLetter"/>
      <w:start w:val="1"/>
    </w:lvl>
  </w:abstractNum>
  <w:abstractNum w:abstractNumId="141">
    <w:nsid w:val="54B59621"/>
    <w:multiLevelType w:val="hybridMultilevel"/>
    <w:lvl w:ilvl="0">
      <w:lvlJc w:val="left"/>
      <w:lvlText w:val="(%1)"/>
      <w:numFmt w:val="lowerLetter"/>
      <w:start w:val="2"/>
    </w:lvl>
    <w:lvl w:ilvl="1">
      <w:lvlJc w:val="left"/>
      <w:lvlText w:val="(%2)"/>
      <w:numFmt w:val="lowerRoman"/>
      <w:start w:val="1"/>
    </w:lvl>
  </w:abstractNum>
  <w:abstractNum w:abstractNumId="142">
    <w:nsid w:val="5992A02E"/>
    <w:multiLevelType w:val="hybridMultilevel"/>
    <w:lvl w:ilvl="0">
      <w:lvlJc w:val="left"/>
      <w:lvlText w:val="(%1)"/>
      <w:numFmt w:val="lowerLetter"/>
      <w:start w:val="1"/>
    </w:lvl>
  </w:abstractNum>
  <w:abstractNum w:abstractNumId="143">
    <w:nsid w:val="29EF532D"/>
    <w:multiLevelType w:val="hybridMultilevel"/>
    <w:lvl w:ilvl="0">
      <w:lvlJc w:val="left"/>
      <w:lvlText w:val="(%1)"/>
      <w:numFmt w:val="lowerLetter"/>
      <w:start w:val="2"/>
    </w:lvl>
  </w:abstractNum>
  <w:abstractNum w:abstractNumId="144">
    <w:nsid w:val="71D601AF"/>
    <w:multiLevelType w:val="hybridMultilevel"/>
    <w:lvl w:ilvl="0">
      <w:lvlJc w:val="left"/>
      <w:lvlText w:val="(%1)"/>
      <w:numFmt w:val="lowerLetter"/>
      <w:start w:val="1"/>
    </w:lvl>
  </w:abstractNum>
  <w:abstractNum w:abstractNumId="145">
    <w:nsid w:val="52C77402"/>
    <w:multiLevelType w:val="hybridMultilevel"/>
    <w:lvl w:ilvl="0">
      <w:lvlJc w:val="left"/>
      <w:lvlText w:val="(%1)"/>
      <w:numFmt w:val="lowerLetter"/>
      <w:start w:val="1"/>
    </w:lvl>
  </w:abstractNum>
  <w:abstractNum w:abstractNumId="146">
    <w:nsid w:val="2BB5B1C6"/>
    <w:multiLevelType w:val="hybridMultilevel"/>
    <w:lvl w:ilvl="0">
      <w:lvlJc w:val="left"/>
      <w:lvlText w:val="(%1)"/>
      <w:numFmt w:val="lowerLetter"/>
      <w:start w:val="2"/>
    </w:lvl>
  </w:abstractNum>
  <w:abstractNum w:abstractNumId="147">
    <w:nsid w:val="66BE6B9"/>
    <w:multiLevelType w:val="hybridMultilevel"/>
    <w:lvl w:ilvl="0">
      <w:lvlJc w:val="left"/>
      <w:lvlText w:val="(%1)"/>
      <w:numFmt w:val="lowerLetter"/>
      <w:start w:val="3"/>
    </w:lvl>
  </w:abstractNum>
  <w:abstractNum w:abstractNumId="148">
    <w:nsid w:val="62234363"/>
    <w:multiLevelType w:val="hybridMultilevel"/>
    <w:lvl w:ilvl="0">
      <w:lvlJc w:val="left"/>
      <w:lvlText w:val="(%1)"/>
      <w:numFmt w:val="lowerLetter"/>
      <w:start w:val="1"/>
    </w:lvl>
    <w:lvl w:ilvl="1">
      <w:lvlJc w:val="left"/>
      <w:lvlText w:val="(%2)"/>
      <w:numFmt w:val="lowerRoman"/>
      <w:start w:val="1"/>
    </w:lvl>
  </w:abstractNum>
  <w:abstractNum w:abstractNumId="149">
    <w:nsid w:val="66D385C9"/>
    <w:multiLevelType w:val="hybridMultilevel"/>
    <w:lvl w:ilvl="0">
      <w:lvlJc w:val="left"/>
      <w:lvlText w:val="(%1)"/>
      <w:numFmt w:val="lowerLetter"/>
      <w:start w:val="4"/>
    </w:lvl>
  </w:abstractNum>
  <w:abstractNum w:abstractNumId="150">
    <w:nsid w:val="596F6D8A"/>
    <w:multiLevelType w:val="hybridMultilevel"/>
    <w:lvl w:ilvl="0">
      <w:lvlJc w:val="left"/>
      <w:lvlText w:val="(%1)"/>
      <w:numFmt w:val="lowerLetter"/>
      <w:start w:val="1"/>
    </w:lvl>
    <w:lvl w:ilvl="1">
      <w:lvlJc w:val="left"/>
      <w:lvlText w:val="(%2)"/>
      <w:numFmt w:val="lowerRoman"/>
      <w:start w:val="1"/>
    </w:lvl>
  </w:abstractNum>
  <w:abstractNum w:abstractNumId="151">
    <w:nsid w:val="5749361F"/>
    <w:multiLevelType w:val="hybridMultilevel"/>
    <w:lvl w:ilvl="0">
      <w:lvlJc w:val="left"/>
      <w:lvlText w:val="(%1)"/>
      <w:numFmt w:val="lowerLetter"/>
      <w:start w:val="2"/>
    </w:lvl>
  </w:abstractNum>
  <w:abstractNum w:abstractNumId="152">
    <w:nsid w:val="73BC6770"/>
    <w:multiLevelType w:val="hybridMultilevel"/>
    <w:lvl w:ilvl="0">
      <w:lvlJc w:val="left"/>
      <w:lvlText w:val="(%1)"/>
      <w:numFmt w:val="lowerLetter"/>
      <w:start w:val="1"/>
    </w:lvl>
  </w:abstractNum>
  <w:abstractNum w:abstractNumId="153">
    <w:nsid w:val="280E6897"/>
    <w:multiLevelType w:val="hybridMultilevel"/>
    <w:lvl w:ilvl="0">
      <w:lvlJc w:val="left"/>
      <w:lvlText w:val="(%1)"/>
      <w:numFmt w:val="lowerLetter"/>
      <w:start w:val="2"/>
    </w:lvl>
  </w:abstractNum>
  <w:abstractNum w:abstractNumId="154">
    <w:nsid w:val="605138DE"/>
    <w:multiLevelType w:val="hybridMultilevel"/>
    <w:lvl w:ilvl="0">
      <w:lvlJc w:val="left"/>
      <w:lvlText w:val="(%1)"/>
      <w:numFmt w:val="lowerLetter"/>
      <w:start w:val="1"/>
    </w:lvl>
    <w:lvl w:ilvl="1">
      <w:lvlJc w:val="left"/>
      <w:lvlText w:val="(%2)"/>
      <w:numFmt w:val="lowerLetter"/>
      <w:start w:val="9"/>
    </w:lvl>
  </w:abstractNum>
  <w:abstractNum w:abstractNumId="155">
    <w:nsid w:val="2622AD0C"/>
    <w:multiLevelType w:val="hybridMultilevel"/>
    <w:lvl w:ilvl="0">
      <w:lvlJc w:val="left"/>
      <w:lvlText w:val="(%1)"/>
      <w:numFmt w:val="decimal"/>
      <w:start w:val="1"/>
    </w:lvl>
  </w:abstractNum>
  <w:abstractNum w:abstractNumId="156">
    <w:nsid w:val="67997556"/>
    <w:multiLevelType w:val="hybridMultilevel"/>
    <w:lvl w:ilvl="0">
      <w:lvlJc w:val="left"/>
      <w:lvlText w:val="%1"/>
      <w:numFmt w:val="decimal"/>
      <w:start w:val="1"/>
    </w:lvl>
    <w:lvl w:ilvl="1">
      <w:lvlJc w:val="left"/>
      <w:lvlText w:val="(%2)"/>
      <w:numFmt w:val="lowerRoman"/>
      <w:start w:val="2"/>
    </w:lvl>
  </w:abstractNum>
  <w:abstractNum w:abstractNumId="157">
    <w:nsid w:val="18333C89"/>
    <w:multiLevelType w:val="hybridMultilevel"/>
    <w:lvl w:ilvl="0">
      <w:lvlJc w:val="left"/>
      <w:lvlText w:val="(%1)"/>
      <w:numFmt w:val="decimal"/>
      <w:start w:val="1"/>
    </w:lvl>
    <w:lvl w:ilvl="1">
      <w:lvlJc w:val="left"/>
      <w:lvlText w:val="%2"/>
      <w:numFmt w:val="lowerRoman"/>
      <w:start w:val="1"/>
    </w:lvl>
  </w:abstractNum>
  <w:abstractNum w:abstractNumId="158">
    <w:nsid w:val="4BA9831A"/>
    <w:multiLevelType w:val="hybridMultilevel"/>
    <w:lvl w:ilvl="0">
      <w:lvlJc w:val="left"/>
      <w:lvlText w:val="(%1)"/>
      <w:numFmt w:val="lowerLetter"/>
      <w:start w:val="2"/>
    </w:lvl>
    <w:lvl w:ilvl="1">
      <w:lvlJc w:val="left"/>
      <w:lvlText w:val="(%2)"/>
      <w:numFmt w:val="lowerRoman"/>
      <w:start w:val="1"/>
    </w:lvl>
  </w:abstractNum>
  <w:abstractNum w:abstractNumId="159">
    <w:nsid w:val="6D71A2B"/>
    <w:multiLevelType w:val="hybridMultilevel"/>
    <w:lvl w:ilvl="0">
      <w:lvlJc w:val="left"/>
      <w:lvlText w:val="(%1)"/>
      <w:numFmt w:val="lowerLetter"/>
      <w:start w:val="1"/>
    </w:lvl>
  </w:abstractNum>
  <w:abstractNum w:abstractNumId="160">
    <w:nsid w:val="CFC7321"/>
    <w:multiLevelType w:val="hybridMultilevel"/>
    <w:lvl w:ilvl="0">
      <w:lvlJc w:val="left"/>
      <w:lvlText w:val="(%1)"/>
      <w:numFmt w:val="upperLetter"/>
      <w:start w:val="1"/>
    </w:lvl>
  </w:abstractNum>
  <w:abstractNum w:abstractNumId="161">
    <w:nsid w:val="1421971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2">
    <w:nsid w:val="1F40430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63">
    <w:nsid w:val="116E090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4">
    <w:nsid w:val="4B683D0D"/>
    <w:multiLevelType w:val="hybridMultilevel"/>
    <w:lvl w:ilvl="0">
      <w:lvlJc w:val="left"/>
      <w:lvlText w:val="%1"/>
      <w:numFmt w:val="lowerLetter"/>
      <w:start w:val="1"/>
    </w:lvl>
    <w:lvl w:ilvl="1">
      <w:lvlJc w:val="left"/>
      <w:lvlText w:val="(%2)"/>
      <w:numFmt w:val="lowerLetter"/>
      <w:start w:val="35"/>
    </w:lvl>
  </w:abstractNum>
  <w:abstractNum w:abstractNumId="165">
    <w:nsid w:val="76E41D8"/>
    <w:multiLevelType w:val="hybridMultilevel"/>
    <w:lvl w:ilvl="0">
      <w:lvlJc w:val="left"/>
      <w:lvlText w:val="(%1)"/>
      <w:numFmt w:val="lowerLetter"/>
      <w:start w:val="4"/>
    </w:lvl>
    <w:lvl w:ilvl="1">
      <w:lvlJc w:val="left"/>
      <w:lvlText w:val="%2"/>
      <w:numFmt w:val="lowerLetter"/>
      <w:start w:val="1"/>
    </w:lvl>
  </w:abstractNum>
  <w:abstractNum w:abstractNumId="166">
    <w:nsid w:val="71DCE0FD"/>
    <w:multiLevelType w:val="hybridMultilevel"/>
    <w:lvl w:ilvl="0">
      <w:lvlJc w:val="left"/>
      <w:lvlText w:val="(%1)"/>
      <w:numFmt w:val="lowerLetter"/>
      <w:start w:val="1"/>
    </w:lvl>
  </w:abstractNum>
  <w:abstractNum w:abstractNumId="167">
    <w:nsid w:val="7906328B"/>
    <w:multiLevelType w:val="hybridMultilevel"/>
    <w:lvl w:ilvl="0">
      <w:lvlJc w:val="left"/>
      <w:lvlText w:val="(%1)"/>
      <w:numFmt w:val="lowerLetter"/>
      <w:start w:val="4"/>
    </w:lvl>
  </w:abstractNum>
  <w:abstractNum w:abstractNumId="168">
    <w:nsid w:val="72BBC16"/>
    <w:multiLevelType w:val="hybridMultilevel"/>
    <w:lvl w:ilvl="0">
      <w:lvlJc w:val="left"/>
      <w:lvlText w:val="(%1)"/>
      <w:numFmt w:val="lowerLetter"/>
      <w:start w:val="1"/>
    </w:lvl>
  </w:abstractNum>
  <w:abstractNum w:abstractNumId="169">
    <w:nsid w:val="766D98C2"/>
    <w:multiLevelType w:val="hybridMultilevel"/>
    <w:lvl w:ilvl="0">
      <w:lvlJc w:val="left"/>
      <w:lvlText w:val="(%1)"/>
      <w:numFmt w:val="lowerLetter"/>
      <w:start w:val="4"/>
    </w:lvl>
  </w:abstractNum>
  <w:abstractNum w:abstractNumId="170">
    <w:nsid w:val="3C09D4A1"/>
    <w:multiLevelType w:val="hybridMultilevel"/>
    <w:lvl w:ilvl="0">
      <w:lvlJc w:val="left"/>
      <w:lvlText w:val="%1"/>
      <w:numFmt w:val="lowerLetter"/>
      <w:start w:val="1"/>
    </w:lvl>
    <w:lvl w:ilvl="1">
      <w:lvlJc w:val="left"/>
      <w:lvlText w:val="(%2)"/>
      <w:numFmt w:val="lowerLetter"/>
      <w:start w:val="1"/>
    </w:lvl>
  </w:abstractNum>
  <w:abstractNum w:abstractNumId="171">
    <w:nsid w:val="20E45CA4"/>
    <w:multiLevelType w:val="hybridMultilevel"/>
    <w:lvl w:ilvl="0">
      <w:lvlJc w:val="left"/>
      <w:lvlText w:val="(%1)"/>
      <w:numFmt w:val="lowerLetter"/>
      <w:start w:val="25"/>
    </w:lvl>
    <w:lvl w:ilvl="1">
      <w:lvlJc w:val="left"/>
      <w:lvlText w:val="%2"/>
      <w:numFmt w:val="lowerLetter"/>
      <w:start w:val="1"/>
    </w:lvl>
  </w:abstractNum>
  <w:abstractNum w:abstractNumId="172">
    <w:nsid w:val="4B232EE3"/>
    <w:multiLevelType w:val="hybridMultilevel"/>
    <w:lvl w:ilvl="0">
      <w:lvlJc w:val="left"/>
      <w:lvlText w:val="(%1)"/>
      <w:numFmt w:val="lowerLetter"/>
      <w:start w:val="3"/>
    </w:lvl>
  </w:abstractNum>
  <w:abstractNum w:abstractNumId="173">
    <w:nsid w:val="159C74CF"/>
    <w:multiLevelType w:val="hybridMultilevel"/>
    <w:lvl w:ilvl="0">
      <w:lvlJc w:val="left"/>
      <w:lvlText w:val="(%1)"/>
      <w:numFmt w:val="lowerLetter"/>
      <w:start w:val="1"/>
    </w:lvl>
  </w:abstractNum>
  <w:abstractNum w:abstractNumId="174">
    <w:nsid w:val="4AD3AFD2"/>
    <w:multiLevelType w:val="hybridMultilevel"/>
    <w:lvl w:ilvl="0">
      <w:lvlJc w:val="left"/>
      <w:lvlText w:val="(%1)"/>
      <w:numFmt w:val="lowerLetter"/>
      <w:start w:val="2"/>
    </w:lvl>
  </w:abstractNum>
  <w:abstractNum w:abstractNumId="175">
    <w:nsid w:val="3CF93092"/>
    <w:multiLevelType w:val="hybridMultilevel"/>
    <w:lvl w:ilvl="0">
      <w:lvlJc w:val="left"/>
      <w:lvlText w:val="(%1)"/>
      <w:numFmt w:val="lowerLetter"/>
      <w:start w:val="1"/>
    </w:lvl>
  </w:abstractNum>
  <w:abstractNum w:abstractNumId="176">
    <w:nsid w:val="6863E8D2"/>
    <w:multiLevelType w:val="hybridMultilevel"/>
    <w:lvl w:ilvl="0">
      <w:lvlJc w:val="left"/>
      <w:lvlText w:val="(%1)"/>
      <w:numFmt w:val="lowerLetter"/>
      <w:start w:val="25"/>
    </w:lvl>
    <w:lvl w:ilvl="1">
      <w:lvlJc w:val="left"/>
      <w:lvlText w:val="(%2)"/>
      <w:numFmt w:val="lowerLetter"/>
      <w:start w:val="2"/>
    </w:lvl>
  </w:abstractNum>
  <w:abstractNum w:abstractNumId="177">
    <w:nsid w:val="76896198"/>
    <w:multiLevelType w:val="hybridMultilevel"/>
    <w:lvl w:ilvl="0">
      <w:lvlJc w:val="left"/>
      <w:lvlText w:val="(%1)"/>
      <w:numFmt w:val="lowerLetter"/>
      <w:start w:val="3"/>
    </w:lvl>
  </w:abstractNum>
  <w:abstractNum w:abstractNumId="178">
    <w:nsid w:val="4365174B"/>
    <w:multiLevelType w:val="hybridMultilevel"/>
    <w:lvl w:ilvl="0">
      <w:lvlJc w:val="left"/>
      <w:lvlText w:val="(%1)"/>
      <w:numFmt w:val="lowerLetter"/>
      <w:start w:val="4"/>
    </w:lvl>
    <w:lvl w:ilvl="1">
      <w:lvlJc w:val="left"/>
      <w:lvlText w:val="(%2)"/>
      <w:numFmt w:val="lowerRoman"/>
      <w:start w:val="1"/>
    </w:lvl>
  </w:abstractNum>
  <w:abstractNum w:abstractNumId="179">
    <w:nsid w:val="4A872C35"/>
    <w:multiLevelType w:val="hybridMultilevel"/>
    <w:lvl w:ilvl="0">
      <w:lvlJc w:val="left"/>
      <w:lvlText w:val="(%1)"/>
      <w:numFmt w:val="lowerRoman"/>
      <w:start w:val="4"/>
    </w:lvl>
  </w:abstractNum>
  <w:abstractNum w:abstractNumId="180">
    <w:nsid w:val="5D5CE761"/>
    <w:multiLevelType w:val="hybridMultilevel"/>
    <w:lvl w:ilvl="0">
      <w:lvlJc w:val="left"/>
      <w:lvlText w:val="(%1)"/>
      <w:numFmt w:val="lowerLetter"/>
      <w:start w:val="5"/>
    </w:lvl>
  </w:abstractNum>
  <w:abstractNum w:abstractNumId="181">
    <w:nsid w:val="1CD484D5"/>
    <w:multiLevelType w:val="hybridMultilevel"/>
    <w:lvl w:ilvl="0">
      <w:lvlJc w:val="left"/>
      <w:lvlText w:val="(%1)"/>
      <w:numFmt w:val="lowerLetter"/>
      <w:start w:val="7"/>
    </w:lvl>
  </w:abstractNum>
  <w:abstractNum w:abstractNumId="182">
    <w:nsid w:val="21D06255"/>
    <w:multiLevelType w:val="hybridMultilevel"/>
    <w:lvl w:ilvl="0">
      <w:lvlJc w:val="left"/>
      <w:lvlText w:val="(%1)"/>
      <w:numFmt w:val="lowerLetter"/>
      <w:start w:val="1"/>
    </w:lvl>
    <w:lvl w:ilvl="1">
      <w:lvlJc w:val="left"/>
      <w:lvlText w:val="(%2)"/>
      <w:numFmt w:val="lowerLetter"/>
      <w:start w:val="9"/>
    </w:lvl>
  </w:abstractNum>
  <w:abstractNum w:abstractNumId="183">
    <w:nsid w:val="51194ED1"/>
    <w:multiLevelType w:val="hybridMultilevel"/>
    <w:lvl w:ilvl="0">
      <w:lvlJc w:val="left"/>
      <w:lvlText w:val="%1"/>
      <w:numFmt w:val="lowerLetter"/>
      <w:start w:val="1"/>
    </w:lvl>
    <w:lvl w:ilvl="1">
      <w:lvlJc w:val="left"/>
      <w:lvlText w:val="(%2)"/>
      <w:numFmt w:val="lowerLetter"/>
      <w:start w:val="35"/>
    </w:lvl>
  </w:abstractNum>
  <w:abstractNum w:abstractNumId="184">
    <w:nsid w:val="44E2ED6C"/>
    <w:multiLevelType w:val="hybridMultilevel"/>
    <w:lvl w:ilvl="0">
      <w:lvlJc w:val="left"/>
      <w:lvlText w:val="(%1)"/>
      <w:numFmt w:val="lowerLetter"/>
      <w:start w:val="2"/>
    </w:lvl>
    <w:lvl w:ilvl="1">
      <w:lvlJc w:val="left"/>
      <w:lvlText w:val="%2"/>
      <w:numFmt w:val="lowerLetter"/>
      <w:start w:val="1"/>
    </w:lvl>
  </w:abstractNum>
  <w:abstractNum w:abstractNumId="185">
    <w:nsid w:val="2219B33"/>
    <w:multiLevelType w:val="hybridMultilevel"/>
    <w:lvl w:ilvl="0">
      <w:lvlJc w:val="left"/>
      <w:lvlText w:val="(%1)"/>
      <w:numFmt w:val="lowerLetter"/>
      <w:start w:val="1"/>
    </w:lvl>
  </w:abstractNum>
  <w:abstractNum w:abstractNumId="186">
    <w:nsid w:val="773BFBDD"/>
    <w:multiLevelType w:val="hybridMultilevel"/>
    <w:lvl w:ilvl="0">
      <w:lvlJc w:val="left"/>
      <w:lvlText w:val="(%1)"/>
      <w:numFmt w:val="lowerLetter"/>
      <w:start w:val="3"/>
    </w:lvl>
  </w:abstractNum>
  <w:abstractNum w:abstractNumId="187">
    <w:nsid w:val="2C7C62C2"/>
    <w:multiLevelType w:val="hybridMultilevel"/>
    <w:lvl w:ilvl="0">
      <w:lvlJc w:val="left"/>
      <w:lvlText w:val="%1"/>
      <w:numFmt w:val="lowerLetter"/>
      <w:start w:val="1"/>
    </w:lvl>
    <w:lvl w:ilvl="1">
      <w:lvlJc w:val="left"/>
      <w:lvlText w:val="(%2)"/>
      <w:numFmt w:val="lowerLetter"/>
      <w:start w:val="4"/>
    </w:lvl>
  </w:abstractNum>
  <w:abstractNum w:abstractNumId="188">
    <w:nsid w:val="1A54D7BC"/>
    <w:multiLevelType w:val="hybridMultilevel"/>
    <w:lvl w:ilvl="0">
      <w:lvlJc w:val="left"/>
      <w:lvlText w:val="(%1)"/>
      <w:numFmt w:val="lowerLetter"/>
      <w:start w:val="35"/>
    </w:lvl>
    <w:lvl w:ilvl="1">
      <w:lvlJc w:val="left"/>
      <w:lvlText w:val="%2"/>
      <w:numFmt w:val="lowerLetter"/>
      <w:start w:val="1"/>
    </w:lvl>
  </w:abstractNum>
  <w:abstractNum w:abstractNumId="189">
    <w:nsid w:val="42E57EF7"/>
    <w:multiLevelType w:val="hybridMultilevel"/>
    <w:lvl w:ilvl="0">
      <w:lvlJc w:val="left"/>
      <w:lvlText w:val="(%1)"/>
      <w:numFmt w:val="lowerLetter"/>
      <w:start w:val="9"/>
    </w:lvl>
  </w:abstractNum>
  <w:abstractNum w:abstractNumId="190">
    <w:nsid w:val="33537CED"/>
    <w:multiLevelType w:val="hybridMultilevel"/>
    <w:lvl w:ilvl="0">
      <w:lvlJc w:val="left"/>
      <w:lvlText w:val="(%1)"/>
      <w:numFmt w:val="lowerLetter"/>
      <w:start w:val="1"/>
    </w:lvl>
  </w:abstractNum>
  <w:abstractNum w:abstractNumId="191">
    <w:nsid w:val="27514ADE"/>
    <w:multiLevelType w:val="hybridMultilevel"/>
    <w:lvl w:ilvl="0">
      <w:lvlJc w:val="left"/>
      <w:lvlText w:val="(%1)"/>
      <w:numFmt w:val="lowerLetter"/>
      <w:start w:val="2"/>
    </w:lvl>
  </w:abstractNum>
  <w:abstractNum w:abstractNumId="192">
    <w:nsid w:val="57071613"/>
    <w:multiLevelType w:val="hybridMultilevel"/>
    <w:lvl w:ilvl="0">
      <w:lvlJc w:val="left"/>
      <w:lvlText w:val="(%1)"/>
      <w:numFmt w:val="lowerLetter"/>
      <w:start w:val="1"/>
    </w:lvl>
  </w:abstractNum>
  <w:abstractNum w:abstractNumId="193">
    <w:nsid w:val="5293BFEF"/>
    <w:multiLevelType w:val="hybridMultilevel"/>
    <w:lvl w:ilvl="0">
      <w:lvlJc w:val="left"/>
      <w:lvlText w:val="(%1)"/>
      <w:numFmt w:val="lowerLetter"/>
      <w:start w:val="1"/>
    </w:lvl>
  </w:abstractNum>
  <w:abstractNum w:abstractNumId="194">
    <w:nsid w:val="38BF53E5"/>
    <w:multiLevelType w:val="hybridMultilevel"/>
    <w:lvl w:ilvl="0">
      <w:lvlJc w:val="left"/>
      <w:lvlText w:val="(%1)"/>
      <w:numFmt w:val="lowerLetter"/>
      <w:start w:val="1"/>
    </w:lvl>
  </w:abstractNum>
  <w:abstractNum w:abstractNumId="195">
    <w:nsid w:val="226F5320"/>
    <w:multiLevelType w:val="hybridMultilevel"/>
    <w:lvl w:ilvl="0">
      <w:lvlJc w:val="left"/>
      <w:lvlText w:val="(%1)"/>
      <w:numFmt w:val="lowerLetter"/>
      <w:start w:val="1"/>
    </w:lvl>
  </w:abstractNum>
  <w:abstractNum w:abstractNumId="196">
    <w:nsid w:val="5A0201C7"/>
    <w:multiLevelType w:val="hybridMultilevel"/>
    <w:lvl w:ilvl="0">
      <w:lvlJc w:val="left"/>
      <w:lvlText w:val="(%1)"/>
      <w:numFmt w:val="lowerLetter"/>
      <w:start w:val="3"/>
    </w:lvl>
  </w:abstractNum>
  <w:abstractNum w:abstractNumId="197">
    <w:nsid w:val="2A9C34E2"/>
    <w:multiLevelType w:val="hybridMultilevel"/>
    <w:lvl w:ilvl="0">
      <w:lvlJc w:val="left"/>
      <w:lvlText w:val="(%1)"/>
      <w:numFmt w:val="lowerLetter"/>
      <w:start w:val="4"/>
    </w:lvl>
  </w:abstractNum>
  <w:abstractNum w:abstractNumId="198">
    <w:nsid w:val="1B7585AB"/>
    <w:multiLevelType w:val="hybridMultilevel"/>
    <w:lvl w:ilvl="0">
      <w:lvlJc w:val="left"/>
      <w:lvlText w:val="(%1)"/>
      <w:numFmt w:val="lowerLetter"/>
      <w:start w:val="11"/>
    </w:lvl>
  </w:abstractNum>
  <w:abstractNum w:abstractNumId="199">
    <w:nsid w:val="612DBDDD"/>
    <w:multiLevelType w:val="hybridMultilevel"/>
    <w:lvl w:ilvl="0">
      <w:lvlJc w:val="left"/>
      <w:lvlText w:val="(%1)"/>
      <w:numFmt w:val="lowerLetter"/>
      <w:start w:val="19"/>
    </w:lvl>
  </w:abstractNum>
  <w:abstractNum w:abstractNumId="200">
    <w:nsid w:val="2109CDA4"/>
    <w:multiLevelType w:val="hybridMultilevel"/>
    <w:lvl w:ilvl="0">
      <w:lvlJc w:val="left"/>
      <w:lvlText w:val="(%1)"/>
      <w:numFmt w:val="lowerLetter"/>
      <w:start w:val="1"/>
    </w:lvl>
  </w:abstractNum>
  <w:abstractNum w:abstractNumId="201">
    <w:nsid w:val="577F5A4D"/>
    <w:multiLevelType w:val="hybridMultilevel"/>
    <w:lvl w:ilvl="0">
      <w:lvlJc w:val="left"/>
      <w:lvlText w:val="(%1)"/>
      <w:numFmt w:val="lowerLetter"/>
      <w:start w:val="8"/>
    </w:lvl>
  </w:abstractNum>
  <w:abstractNum w:abstractNumId="202">
    <w:nsid w:val="2121A81"/>
    <w:multiLevelType w:val="hybridMultilevel"/>
    <w:lvl w:ilvl="0">
      <w:lvlJc w:val="left"/>
      <w:lvlText w:val="(%1)"/>
      <w:numFmt w:val="lowerLetter"/>
      <w:start w:val="1"/>
    </w:lvl>
  </w:abstractNum>
  <w:abstractNum w:abstractNumId="203">
    <w:nsid w:val="6C2CFC88"/>
    <w:multiLevelType w:val="hybridMultilevel"/>
    <w:lvl w:ilvl="0">
      <w:lvlJc w:val="left"/>
      <w:lvlText w:val="(%1)"/>
      <w:numFmt w:val="lowerRoman"/>
      <w:start w:val="3"/>
    </w:lvl>
  </w:abstractNum>
  <w:abstractNum w:abstractNumId="204">
    <w:nsid w:val="6D1BCF1C"/>
    <w:multiLevelType w:val="hybridMultilevel"/>
    <w:lvl w:ilvl="0">
      <w:lvlJc w:val="left"/>
      <w:lvlText w:val="(%1)"/>
      <w:numFmt w:val="lowerLetter"/>
      <w:start w:val="1"/>
    </w:lvl>
  </w:abstractNum>
  <w:abstractNum w:abstractNumId="205">
    <w:nsid w:val="4CE5CA53"/>
    <w:multiLevelType w:val="hybridMultilevel"/>
    <w:lvl w:ilvl="0">
      <w:lvlJc w:val="left"/>
      <w:lvlText w:val="(%1)"/>
      <w:numFmt w:val="lowerLetter"/>
      <w:start w:val="2"/>
    </w:lvl>
  </w:abstractNum>
  <w:abstractNum w:abstractNumId="206">
    <w:nsid w:val="29262D1A"/>
    <w:multiLevelType w:val="hybridMultilevel"/>
    <w:lvl w:ilvl="0">
      <w:lvlJc w:val="left"/>
      <w:lvlText w:val="(%1)"/>
      <w:numFmt w:val="lowerLetter"/>
      <w:start w:val="1"/>
    </w:lvl>
  </w:abstractNum>
  <w:abstractNum w:abstractNumId="207">
    <w:nsid w:val="557FB7EE"/>
    <w:multiLevelType w:val="hybridMultilevel"/>
    <w:lvl w:ilvl="0">
      <w:lvlJc w:val="left"/>
      <w:lvlText w:val="(%1)"/>
      <w:numFmt w:val="lowerLetter"/>
      <w:start w:val="3"/>
    </w:lvl>
  </w:abstractNum>
  <w:abstractNum w:abstractNumId="208">
    <w:nsid w:val="436F2BEB"/>
    <w:multiLevelType w:val="hybridMultilevel"/>
    <w:lvl w:ilvl="0">
      <w:lvlJc w:val="left"/>
      <w:lvlText w:val="(%1)"/>
      <w:numFmt w:val="lowerLetter"/>
      <w:start w:val="1"/>
    </w:lvl>
  </w:abstractNum>
  <w:abstractNum w:abstractNumId="209">
    <w:nsid w:val="6C8B4466"/>
    <w:multiLevelType w:val="hybridMultilevel"/>
    <w:lvl w:ilvl="0">
      <w:lvlJc w:val="left"/>
      <w:lvlText w:val="(%1)"/>
      <w:numFmt w:val="lowerLetter"/>
      <w:start w:val="1"/>
    </w:lvl>
  </w:abstractNum>
  <w:abstractNum w:abstractNumId="210">
    <w:nsid w:val="2006E424"/>
    <w:multiLevelType w:val="hybridMultilevel"/>
    <w:lvl w:ilvl="0">
      <w:lvlJc w:val="left"/>
      <w:lvlText w:val="(%1)"/>
      <w:numFmt w:val="lowerLetter"/>
      <w:start w:val="3"/>
    </w:lvl>
  </w:abstractNum>
  <w:abstractNum w:abstractNumId="211">
    <w:nsid w:val="20CC134C"/>
    <w:multiLevelType w:val="hybridMultilevel"/>
    <w:lvl w:ilvl="0">
      <w:lvlJc w:val="left"/>
      <w:lvlText w:val="(%1)"/>
      <w:numFmt w:val="lowerLetter"/>
      <w:start w:val="4"/>
    </w:lvl>
  </w:abstractNum>
  <w:abstractNum w:abstractNumId="212">
    <w:nsid w:val="95FC93B"/>
    <w:multiLevelType w:val="hybridMultilevel"/>
    <w:lvl w:ilvl="0">
      <w:lvlJc w:val="left"/>
      <w:lvlText w:val="(%1)"/>
      <w:numFmt w:val="lowerLetter"/>
      <w:start w:val="5"/>
    </w:lvl>
  </w:abstractNum>
  <w:abstractNum w:abstractNumId="213">
    <w:nsid w:val="41D74679"/>
    <w:multiLevelType w:val="hybridMultilevel"/>
    <w:lvl w:ilvl="0">
      <w:lvlJc w:val="left"/>
      <w:lvlText w:val="(%1)"/>
      <w:numFmt w:val="lowerLetter"/>
      <w:start w:val="6"/>
    </w:lvl>
  </w:abstractNum>
  <w:abstractNum w:abstractNumId="214">
    <w:nsid w:val="71E5621E"/>
    <w:multiLevelType w:val="hybridMultilevel"/>
    <w:lvl w:ilvl="0">
      <w:lvlJc w:val="left"/>
      <w:lvlText w:val="(%1)"/>
      <w:numFmt w:val="lowerLetter"/>
      <w:start w:val="1"/>
    </w:lvl>
  </w:abstractNum>
  <w:abstractNum w:abstractNumId="215">
    <w:nsid w:val="4E42B6A8"/>
    <w:multiLevelType w:val="hybridMultilevel"/>
    <w:lvl w:ilvl="0">
      <w:lvlJc w:val="left"/>
      <w:lvlText w:val="(%1)"/>
      <w:numFmt w:val="lowerLetter"/>
      <w:start w:val="2"/>
    </w:lvl>
  </w:abstractNum>
  <w:abstractNum w:abstractNumId="216">
    <w:nsid w:val="43F8E1AC"/>
    <w:multiLevelType w:val="hybridMultilevel"/>
    <w:lvl w:ilvl="0">
      <w:lvlJc w:val="left"/>
      <w:lvlText w:val="(%1)"/>
      <w:numFmt w:val="lowerRoman"/>
      <w:start w:val="1"/>
    </w:lvl>
  </w:abstractNum>
  <w:abstractNum w:abstractNumId="217">
    <w:nsid w:val="69215DFB"/>
    <w:multiLevelType w:val="hybridMultilevel"/>
    <w:lvl w:ilvl="0">
      <w:lvlJc w:val="left"/>
      <w:lvlText w:val="(%1)"/>
      <w:numFmt w:val="lowerLetter"/>
      <w:start w:val="1"/>
    </w:lvl>
  </w:abstractNum>
  <w:abstractNum w:abstractNumId="218">
    <w:nsid w:val="7ABF196A"/>
    <w:multiLevelType w:val="hybridMultilevel"/>
    <w:lvl w:ilvl="0">
      <w:lvlJc w:val="left"/>
      <w:lvlText w:val="(%1)"/>
      <w:numFmt w:val="lowerLetter"/>
      <w:start w:val="2"/>
    </w:lvl>
  </w:abstractNum>
  <w:abstractNum w:abstractNumId="219">
    <w:nsid w:val="5E4DB968"/>
    <w:multiLevelType w:val="hybridMultilevel"/>
    <w:lvl w:ilvl="0">
      <w:lvlJc w:val="left"/>
      <w:lvlText w:val="(%1)"/>
      <w:numFmt w:val="lowerLetter"/>
      <w:start w:val="4"/>
    </w:lvl>
  </w:abstractNum>
  <w:abstractNum w:abstractNumId="220">
    <w:nsid w:val="2C06DCF3"/>
    <w:multiLevelType w:val="hybridMultilevel"/>
    <w:lvl w:ilvl="0">
      <w:lvlJc w:val="left"/>
      <w:lvlText w:val="(%1)"/>
      <w:numFmt w:val="lowerLetter"/>
      <w:start w:val="7"/>
    </w:lvl>
  </w:abstractNum>
  <w:abstractNum w:abstractNumId="221">
    <w:nsid w:val="2E129658"/>
    <w:multiLevelType w:val="hybridMultilevel"/>
    <w:lvl w:ilvl="0">
      <w:lvlJc w:val="left"/>
      <w:lvlText w:val="(%1)"/>
      <w:numFmt w:val="lowerLetter"/>
      <w:start w:val="18"/>
    </w:lvl>
  </w:abstractNum>
  <w:abstractNum w:abstractNumId="222">
    <w:nsid w:val="59F0446"/>
    <w:multiLevelType w:val="hybridMultilevel"/>
    <w:lvl w:ilvl="0">
      <w:lvlJc w:val="left"/>
      <w:lvlText w:val="(%1)"/>
      <w:numFmt w:val="lowerLetter"/>
      <w:start w:val="1"/>
    </w:lvl>
  </w:abstractNum>
  <w:abstractNum w:abstractNumId="223">
    <w:nsid w:val="30DF306"/>
    <w:multiLevelType w:val="hybridMultilevel"/>
    <w:lvl w:ilvl="0">
      <w:lvlJc w:val="left"/>
      <w:lvlText w:val="(%1)"/>
      <w:numFmt w:val="lowerLetter"/>
      <w:start w:val="3"/>
    </w:lvl>
  </w:abstractNum>
  <w:abstractNum w:abstractNumId="224">
    <w:nsid w:val="A65647"/>
    <w:multiLevelType w:val="hybridMultilevel"/>
    <w:lvl w:ilvl="0">
      <w:lvlJc w:val="left"/>
      <w:lvlText w:val="(%1)"/>
      <w:numFmt w:val="lowerLetter"/>
      <w:start w:val="10"/>
    </w:lvl>
  </w:abstractNum>
  <w:abstractNum w:abstractNumId="225">
    <w:nsid w:val="3E5E582B"/>
    <w:multiLevelType w:val="hybridMultilevel"/>
    <w:lvl w:ilvl="0">
      <w:lvlJc w:val="left"/>
      <w:lvlText w:val="(%1)"/>
      <w:numFmt w:val="lowerLetter"/>
      <w:start w:val="18"/>
    </w:lvl>
  </w:abstractNum>
  <w:abstractNum w:abstractNumId="226">
    <w:nsid w:val="257D4626"/>
    <w:multiLevelType w:val="hybridMultilevel"/>
    <w:lvl w:ilvl="0">
      <w:lvlJc w:val="left"/>
      <w:lvlText w:val="(%1)"/>
      <w:numFmt w:val="lowerLetter"/>
      <w:start w:val="27"/>
    </w:lvl>
  </w:abstractNum>
  <w:abstractNum w:abstractNumId="227">
    <w:nsid w:val="5AA8580E"/>
    <w:multiLevelType w:val="hybridMultilevel"/>
    <w:lvl w:ilvl="0">
      <w:lvlJc w:val="left"/>
      <w:lvlText w:val="(%1)"/>
      <w:numFmt w:val="lowerLetter"/>
      <w:start w:val="1"/>
    </w:lvl>
  </w:abstractNum>
  <w:abstractNum w:abstractNumId="228">
    <w:nsid w:val="68FA8D0D"/>
    <w:multiLevelType w:val="hybridMultilevel"/>
    <w:lvl w:ilvl="0">
      <w:lvlJc w:val="left"/>
      <w:lvlText w:val="(%1)"/>
      <w:numFmt w:val="lowerLetter"/>
      <w:start w:val="4"/>
    </w:lvl>
  </w:abstractNum>
  <w:abstractNum w:abstractNumId="229">
    <w:nsid w:val="40F2CBD2"/>
    <w:multiLevelType w:val="hybridMultilevel"/>
    <w:lvl w:ilvl="0">
      <w:lvlJc w:val="left"/>
      <w:lvlText w:val="(%1)"/>
      <w:numFmt w:val="lowerLetter"/>
      <w:start w:val="1"/>
    </w:lvl>
  </w:abstractNum>
  <w:abstractNum w:abstractNumId="230">
    <w:nsid w:val="3BD615EB"/>
    <w:multiLevelType w:val="hybridMultilevel"/>
    <w:lvl w:ilvl="0">
      <w:lvlJc w:val="left"/>
      <w:lvlText w:val="(%1)"/>
      <w:numFmt w:val="lowerLetter"/>
      <w:start w:val="16"/>
    </w:lvl>
  </w:abstractNum>
  <w:abstractNum w:abstractNumId="231">
    <w:nsid w:val="A045AB2"/>
    <w:multiLevelType w:val="hybridMultilevel"/>
    <w:lvl w:ilvl="0">
      <w:lvlJc w:val="left"/>
      <w:lvlText w:val="(%1)"/>
      <w:numFmt w:val="lowerLetter"/>
      <w:start w:val="1"/>
    </w:lvl>
    <w:lvl w:ilvl="1">
      <w:lvlJc w:val="left"/>
      <w:lvlText w:val="(%2)"/>
      <w:numFmt w:val="lowerLetter"/>
      <w:start w:val="9"/>
    </w:lvl>
  </w:abstractNum>
  <w:abstractNum w:abstractNumId="232">
    <w:nsid w:val="1872261F"/>
    <w:multiLevelType w:val="hybridMultilevel"/>
    <w:lvl w:ilvl="0">
      <w:lvlJc w:val="left"/>
      <w:lvlText w:val="(%1)"/>
      <w:numFmt w:val="lowerRoman"/>
      <w:start w:val="2"/>
    </w:lvl>
  </w:abstractNum>
  <w:abstractNum w:abstractNumId="233">
    <w:nsid w:val="3DE8306C"/>
    <w:multiLevelType w:val="hybridMultilevel"/>
    <w:lvl w:ilvl="0">
      <w:lvlJc w:val="left"/>
      <w:lvlText w:val="%1"/>
      <w:numFmt w:val="lowerLetter"/>
      <w:start w:val="1"/>
    </w:lvl>
    <w:lvl w:ilvl="1">
      <w:lvlJc w:val="left"/>
      <w:lvlText w:val="(%2)"/>
      <w:numFmt w:val="lowerRoman"/>
      <w:start w:val="4"/>
    </w:lvl>
  </w:abstractNum>
  <w:abstractNum w:abstractNumId="234">
    <w:nsid w:val="7631573A"/>
    <w:multiLevelType w:val="hybridMultilevel"/>
    <w:lvl w:ilvl="0">
      <w:lvlJc w:val="left"/>
      <w:lvlText w:val="(%1)"/>
      <w:numFmt w:val="lowerLetter"/>
      <w:start w:val="8"/>
    </w:lvl>
    <w:lvl w:ilvl="1">
      <w:lvlJc w:val="left"/>
      <w:lvlText w:val="%2"/>
      <w:numFmt w:val="lowerRoman"/>
      <w:start w:val="1"/>
    </w:lvl>
  </w:abstractNum>
  <w:abstractNum w:abstractNumId="235">
    <w:nsid w:val="58DF53B"/>
    <w:multiLevelType w:val="hybridMultilevel"/>
    <w:lvl w:ilvl="0">
      <w:lvlJc w:val="left"/>
      <w:lvlText w:val="(%1)"/>
      <w:numFmt w:val="lowerLetter"/>
      <w:start w:val="1"/>
    </w:lvl>
  </w:abstractNum>
  <w:abstractNum w:abstractNumId="236">
    <w:nsid w:val="ACDFAC0"/>
    <w:multiLevelType w:val="hybridMultilevel"/>
    <w:lvl w:ilvl="0">
      <w:lvlJc w:val="left"/>
      <w:lvlText w:val="(%1)"/>
      <w:numFmt w:val="lowerLetter"/>
      <w:start w:val="2"/>
    </w:lvl>
  </w:abstractNum>
  <w:abstractNum w:abstractNumId="237">
    <w:nsid w:val="1F578454"/>
    <w:multiLevelType w:val="hybridMultilevel"/>
    <w:lvl w:ilvl="0">
      <w:lvlJc w:val="left"/>
      <w:lvlText w:val="(%1)"/>
      <w:numFmt w:val="lowerLetter"/>
      <w:start w:val="13"/>
    </w:lvl>
  </w:abstractNum>
  <w:abstractNum w:abstractNumId="238">
    <w:nsid w:val="5B0DAD2A"/>
    <w:multiLevelType w:val="hybridMultilevel"/>
    <w:lvl w:ilvl="0">
      <w:lvlJc w:val="left"/>
      <w:lvlText w:val="(%1)"/>
      <w:numFmt w:val="lowerRoman"/>
      <w:start w:val="2"/>
    </w:lvl>
  </w:abstractNum>
  <w:abstractNum w:abstractNumId="239">
    <w:nsid w:val="4E3D26AB"/>
    <w:multiLevelType w:val="hybridMultilevel"/>
    <w:lvl w:ilvl="0">
      <w:lvlJc w:val="left"/>
      <w:lvlText w:val="(%1)"/>
      <w:numFmt w:val="lowerLetter"/>
      <w:start w:val="25"/>
    </w:lvl>
  </w:abstractNum>
  <w:abstractNum w:abstractNumId="240">
    <w:nsid w:val="BE2C8BA"/>
    <w:multiLevelType w:val="hybridMultilevel"/>
    <w:lvl w:ilvl="0">
      <w:lvlJc w:val="left"/>
      <w:lvlText w:val="(%1)"/>
      <w:numFmt w:val="lowerRoman"/>
      <w:start w:val="3"/>
    </w:lvl>
  </w:abstractNum>
  <w:abstractNum w:abstractNumId="241">
    <w:nsid w:val="7B14914E"/>
    <w:multiLevelType w:val="hybridMultilevel"/>
    <w:lvl w:ilvl="0">
      <w:lvlJc w:val="left"/>
      <w:lvlText w:val="(%1)"/>
      <w:numFmt w:val="lowerLetter"/>
      <w:start w:val="1"/>
    </w:lvl>
  </w:abstractNum>
  <w:abstractNum w:abstractNumId="242">
    <w:nsid w:val="6F0939F8"/>
    <w:multiLevelType w:val="hybridMultilevel"/>
    <w:lvl w:ilvl="0">
      <w:lvlJc w:val="left"/>
      <w:lvlText w:val="(%1)"/>
      <w:numFmt w:val="lowerLetter"/>
      <w:start w:val="5"/>
    </w:lvl>
  </w:abstractNum>
  <w:abstractNum w:abstractNumId="243">
    <w:nsid w:val="154291F6"/>
    <w:multiLevelType w:val="hybridMultilevel"/>
    <w:lvl w:ilvl="0">
      <w:lvlJc w:val="left"/>
      <w:lvlText w:val="(%1)"/>
      <w:numFmt w:val="lowerLetter"/>
      <w:start w:val="7"/>
    </w:lvl>
  </w:abstractNum>
  <w:abstractNum w:abstractNumId="244">
    <w:nsid w:val="3CEBD7C7"/>
    <w:multiLevelType w:val="hybridMultilevel"/>
    <w:lvl w:ilvl="0">
      <w:lvlJc w:val="left"/>
      <w:lvlText w:val="(%1)"/>
      <w:numFmt w:val="lowerLetter"/>
      <w:start w:val="11"/>
    </w:lvl>
  </w:abstractNum>
  <w:abstractNum w:abstractNumId="245">
    <w:nsid w:val="60EE9C16"/>
    <w:multiLevelType w:val="hybridMultilevel"/>
    <w:lvl w:ilvl="0">
      <w:lvlJc w:val="left"/>
      <w:lvlText w:val="(%1)"/>
      <w:numFmt w:val="lowerLetter"/>
      <w:start w:val="12"/>
    </w:lvl>
  </w:abstractNum>
  <w:abstractNum w:abstractNumId="246">
    <w:nsid w:val="6385489E"/>
    <w:multiLevelType w:val="hybridMultilevel"/>
    <w:lvl w:ilvl="0">
      <w:lvlJc w:val="left"/>
      <w:lvlText w:val="(%1)"/>
      <w:numFmt w:val="lowerRoman"/>
      <w:start w:val="2"/>
    </w:lvl>
  </w:abstractNum>
  <w:abstractNum w:abstractNumId="247">
    <w:nsid w:val="E4B973"/>
    <w:multiLevelType w:val="hybridMultilevel"/>
    <w:lvl w:ilvl="0">
      <w:lvlJc w:val="left"/>
      <w:lvlText w:val="(%1)"/>
      <w:numFmt w:val="lowerLetter"/>
      <w:start w:val="1"/>
    </w:lvl>
  </w:abstractNum>
  <w:abstractNum w:abstractNumId="248">
    <w:nsid w:val="4A0FFA11"/>
    <w:multiLevelType w:val="hybridMultilevel"/>
    <w:lvl w:ilvl="0">
      <w:lvlJc w:val="left"/>
      <w:lvlText w:val="(%1)"/>
      <w:numFmt w:val="lowerLetter"/>
      <w:start w:val="1"/>
    </w:lvl>
  </w:abstractNum>
  <w:abstractNum w:abstractNumId="249">
    <w:nsid w:val="5E446208"/>
    <w:multiLevelType w:val="hybridMultilevel"/>
    <w:lvl w:ilvl="0">
      <w:lvlJc w:val="left"/>
      <w:lvlText w:val="(%1)"/>
      <w:numFmt w:val="lowerLetter"/>
      <w:start w:val="1"/>
    </w:lvl>
  </w:abstractNum>
  <w:abstractNum w:abstractNumId="250">
    <w:nsid w:val="5F3272DB"/>
    <w:multiLevelType w:val="hybridMultilevel"/>
    <w:lvl w:ilvl="0">
      <w:lvlJc w:val="left"/>
      <w:lvlText w:val="(%1)"/>
      <w:numFmt w:val="lowerLetter"/>
      <w:start w:val="2"/>
    </w:lvl>
  </w:abstractNum>
  <w:abstractNum w:abstractNumId="251">
    <w:nsid w:val="7616D704"/>
    <w:multiLevelType w:val="hybridMultilevel"/>
    <w:lvl w:ilvl="0">
      <w:lvlJc w:val="left"/>
      <w:lvlText w:val="(%1)"/>
      <w:numFmt w:val="lowerLetter"/>
      <w:start w:val="7"/>
    </w:lvl>
  </w:abstractNum>
  <w:abstractNum w:abstractNumId="252">
    <w:nsid w:val="C56F860"/>
    <w:multiLevelType w:val="hybridMultilevel"/>
    <w:lvl w:ilvl="0">
      <w:lvlJc w:val="left"/>
      <w:lvlText w:val="(%1)"/>
      <w:numFmt w:val="lowerLetter"/>
      <w:start w:val="1"/>
    </w:lvl>
  </w:abstractNum>
  <w:abstractNum w:abstractNumId="253">
    <w:nsid w:val="64D17722"/>
    <w:multiLevelType w:val="hybridMultilevel"/>
    <w:lvl w:ilvl="0">
      <w:lvlJc w:val="left"/>
      <w:lvlText w:val="(%1)"/>
      <w:numFmt w:val="lowerLetter"/>
      <w:start w:val="1"/>
    </w:lvl>
  </w:abstractNum>
  <w:abstractNum w:abstractNumId="254">
    <w:nsid w:val="7924CA0A"/>
    <w:multiLevelType w:val="hybridMultilevel"/>
    <w:lvl w:ilvl="0">
      <w:lvlJc w:val="left"/>
      <w:lvlText w:val="(%1)"/>
      <w:numFmt w:val="lowerLetter"/>
      <w:start w:val="3"/>
    </w:lvl>
  </w:abstractNum>
  <w:abstractNum w:abstractNumId="255">
    <w:nsid w:val="CFD4EA7"/>
    <w:multiLevelType w:val="hybridMultilevel"/>
    <w:lvl w:ilvl="0">
      <w:lvlJc w:val="left"/>
      <w:lvlText w:val="(%1)"/>
      <w:numFmt w:val="lowerRoman"/>
      <w:start w:val="1"/>
    </w:lvl>
  </w:abstractNum>
  <w:abstractNum w:abstractNumId="256">
    <w:nsid w:val="232FCF4D"/>
    <w:multiLevelType w:val="hybridMultilevel"/>
    <w:lvl w:ilvl="0">
      <w:lvlJc w:val="left"/>
      <w:lvlText w:val="(%1)"/>
      <w:numFmt w:val="lowerLetter"/>
      <w:start w:val="1"/>
    </w:lvl>
  </w:abstractNum>
  <w:abstractNum w:abstractNumId="257">
    <w:nsid w:val="1EA21031"/>
    <w:multiLevelType w:val="hybridMultilevel"/>
    <w:lvl w:ilvl="0">
      <w:lvlJc w:val="left"/>
      <w:lvlText w:val="(%1)"/>
      <w:numFmt w:val="lowerLetter"/>
      <w:start w:val="2"/>
    </w:lvl>
  </w:abstractNum>
  <w:abstractNum w:abstractNumId="258">
    <w:nsid w:val="67A5A6B5"/>
    <w:multiLevelType w:val="hybridMultilevel"/>
    <w:lvl w:ilvl="0">
      <w:lvlJc w:val="left"/>
      <w:lvlText w:val="(%1)"/>
      <w:numFmt w:val="lowerLetter"/>
      <w:start w:val="1"/>
    </w:lvl>
  </w:abstractNum>
  <w:abstractNum w:abstractNumId="259">
    <w:nsid w:val="C2A5C5B"/>
    <w:multiLevelType w:val="hybridMultilevel"/>
    <w:lvl w:ilvl="0">
      <w:lvlJc w:val="left"/>
      <w:lvlText w:val="(%1)"/>
      <w:numFmt w:val="lowerLetter"/>
      <w:start w:val="2"/>
    </w:lvl>
  </w:abstractNum>
  <w:abstractNum w:abstractNumId="260">
    <w:nsid w:val="5F94DC03"/>
    <w:multiLevelType w:val="hybridMultilevel"/>
    <w:lvl w:ilvl="0">
      <w:lvlJc w:val="left"/>
      <w:lvlText w:val="(%1)"/>
      <w:numFmt w:val="lowerLetter"/>
      <w:start w:val="3"/>
    </w:lvl>
  </w:abstractNum>
  <w:abstractNum w:abstractNumId="261">
    <w:nsid w:val="237BBCA0"/>
    <w:multiLevelType w:val="hybridMultilevel"/>
    <w:lvl w:ilvl="0">
      <w:lvlJc w:val="left"/>
      <w:lvlText w:val="(%1)"/>
      <w:numFmt w:val="lowerLetter"/>
      <w:start w:val="4"/>
    </w:lvl>
  </w:abstractNum>
  <w:abstractNum w:abstractNumId="262">
    <w:nsid w:val="162EB70D"/>
    <w:multiLevelType w:val="hybridMultilevel"/>
    <w:lvl w:ilvl="0">
      <w:lvlJc w:val="left"/>
      <w:lvlText w:val="(%1)"/>
      <w:numFmt w:val="lowerRoman"/>
      <w:start w:val="1"/>
    </w:lvl>
  </w:abstractNum>
  <w:abstractNum w:abstractNumId="263">
    <w:nsid w:val="78070222"/>
    <w:multiLevelType w:val="hybridMultilevel"/>
    <w:lvl w:ilvl="0">
      <w:lvlJc w:val="left"/>
      <w:lvlText w:val="%1"/>
      <w:numFmt w:val="lowerLetter"/>
      <w:start w:val="1"/>
    </w:lvl>
    <w:lvl w:ilvl="1">
      <w:lvlJc w:val="left"/>
      <w:lvlText w:val="(%2)"/>
      <w:numFmt w:val="lowerRoman"/>
      <w:start w:val="5"/>
    </w:lvl>
  </w:abstractNum>
  <w:abstractNum w:abstractNumId="264">
    <w:nsid w:val="6163ED0D"/>
    <w:multiLevelType w:val="hybridMultilevel"/>
    <w:lvl w:ilvl="0">
      <w:lvlJc w:val="left"/>
      <w:lvlText w:val="(%1)"/>
      <w:numFmt w:val="lowerLetter"/>
      <w:start w:val="5"/>
    </w:lvl>
    <w:lvl w:ilvl="1">
      <w:lvlJc w:val="left"/>
      <w:lvlText w:val="%2"/>
      <w:numFmt w:val="lowerRoman"/>
      <w:start w:val="1"/>
    </w:lvl>
  </w:abstractNum>
  <w:abstractNum w:abstractNumId="265">
    <w:nsid w:val="C600E47"/>
    <w:multiLevelType w:val="hybridMultilevel"/>
    <w:lvl w:ilvl="0">
      <w:lvlJc w:val="left"/>
      <w:lvlText w:val="(%1)"/>
      <w:numFmt w:val="lowerLetter"/>
      <w:start w:val="7"/>
    </w:lvl>
  </w:abstractNum>
  <w:abstractNum w:abstractNumId="266">
    <w:nsid w:val="7D94F75D"/>
    <w:multiLevelType w:val="hybridMultilevel"/>
    <w:lvl w:ilvl="0">
      <w:lvlJc w:val="left"/>
      <w:lvlText w:val="(%1)"/>
      <w:numFmt w:val="lowerRoman"/>
      <w:start w:val="1"/>
    </w:lvl>
    <w:lvl w:ilvl="1">
      <w:lvlJc w:val="left"/>
      <w:lvlText w:val="(%2)"/>
      <w:numFmt w:val="lowerRoman"/>
      <w:start w:val="1"/>
    </w:lvl>
  </w:abstractNum>
  <w:abstractNum w:abstractNumId="267">
    <w:nsid w:val="6C31E7CD"/>
    <w:multiLevelType w:val="hybridMultilevel"/>
    <w:lvl w:ilvl="0">
      <w:lvlJc w:val="left"/>
      <w:lvlText w:val="(%1)"/>
      <w:numFmt w:val="lowerRoman"/>
      <w:start w:val="7"/>
    </w:lvl>
  </w:abstractNum>
  <w:abstractNum w:abstractNumId="268">
    <w:nsid w:val="2BB7929B"/>
    <w:multiLevelType w:val="hybridMultilevel"/>
    <w:lvl w:ilvl="0">
      <w:lvlJc w:val="left"/>
      <w:lvlText w:val="(%1)"/>
      <w:numFmt w:val="lowerLetter"/>
      <w:start w:val="1"/>
    </w:lvl>
  </w:abstractNum>
  <w:abstractNum w:abstractNumId="269">
    <w:nsid w:val="58A2A487"/>
    <w:multiLevelType w:val="hybridMultilevel"/>
    <w:lvl w:ilvl="0">
      <w:lvlJc w:val="left"/>
      <w:lvlText w:val="(%1)"/>
      <w:numFmt w:val="lowerLetter"/>
      <w:start w:val="1"/>
    </w:lvl>
  </w:abstractNum>
  <w:abstractNum w:abstractNumId="270">
    <w:nsid w:val="3A6F0E78"/>
    <w:multiLevelType w:val="hybridMultilevel"/>
    <w:lvl w:ilvl="0">
      <w:lvlJc w:val="left"/>
      <w:lvlText w:val="(%1)"/>
      <w:numFmt w:val="lowerLetter"/>
      <w:start w:val="4"/>
    </w:lvl>
  </w:abstractNum>
  <w:abstractNum w:abstractNumId="271">
    <w:nsid w:val="379A5B56"/>
    <w:multiLevelType w:val="hybridMultilevel"/>
    <w:lvl w:ilvl="0">
      <w:lvlJc w:val="left"/>
      <w:lvlText w:val="(%1)"/>
      <w:numFmt w:val="lowerLetter"/>
      <w:start w:val="1"/>
    </w:lvl>
  </w:abstractNum>
  <w:abstractNum w:abstractNumId="272">
    <w:nsid w:val="53B735D5"/>
    <w:multiLevelType w:val="hybridMultilevel"/>
    <w:lvl w:ilvl="0">
      <w:lvlJc w:val="left"/>
      <w:lvlText w:val="(%1)"/>
      <w:numFmt w:val="lowerLetter"/>
      <w:start w:val="2"/>
    </w:lvl>
  </w:abstractNum>
  <w:abstractNum w:abstractNumId="273">
    <w:nsid w:val="29784870"/>
    <w:multiLevelType w:val="hybridMultilevel"/>
    <w:lvl w:ilvl="0">
      <w:lvlJc w:val="left"/>
      <w:lvlText w:val="(%1)"/>
      <w:numFmt w:val="lowerLetter"/>
      <w:start w:val="1"/>
    </w:lvl>
  </w:abstractNum>
  <w:abstractNum w:abstractNumId="274">
    <w:nsid w:val="4CDCED4C"/>
    <w:multiLevelType w:val="hybridMultilevel"/>
    <w:lvl w:ilvl="0">
      <w:lvlJc w:val="left"/>
      <w:lvlText w:val="(%1)"/>
      <w:numFmt w:val="lowerLetter"/>
      <w:start w:val="4"/>
    </w:lvl>
  </w:abstractNum>
  <w:abstractNum w:abstractNumId="275">
    <w:nsid w:val="10A30D9C"/>
    <w:multiLevelType w:val="hybridMultilevel"/>
    <w:lvl w:ilvl="0">
      <w:lvlJc w:val="left"/>
      <w:lvlText w:val="(%1)"/>
      <w:numFmt w:val="lowerLetter"/>
      <w:start w:val="5"/>
    </w:lvl>
  </w:abstractNum>
  <w:abstractNum w:abstractNumId="276">
    <w:nsid w:val="A66E486"/>
    <w:multiLevelType w:val="hybridMultilevel"/>
    <w:lvl w:ilvl="0">
      <w:lvlJc w:val="left"/>
      <w:lvlText w:val="%1."/>
      <w:numFmt w:val="decimal"/>
      <w:start w:val="1"/>
    </w:lvl>
  </w:abstractNum>
  <w:abstractNum w:abstractNumId="277">
    <w:nsid w:val="306235EA"/>
    <w:multiLevelType w:val="hybridMultilevel"/>
    <w:lvl w:ilvl="0">
      <w:lvlJc w:val="left"/>
      <w:lvlText w:val="%1."/>
      <w:numFmt w:val="upperLetter"/>
      <w:start w:val="9"/>
    </w:lvl>
  </w:abstractNum>
  <w:abstractNum w:abstractNumId="278">
    <w:nsid w:val="1187C70F"/>
    <w:multiLevelType w:val="hybridMultilevel"/>
    <w:lvl w:ilvl="0">
      <w:lvlJc w:val="left"/>
      <w:lvlText w:val="(%1)"/>
      <w:numFmt w:val="lowerRoman"/>
      <w:start w:val="3"/>
    </w:lvl>
  </w:abstractNum>
  <w:abstractNum w:abstractNumId="279">
    <w:nsid w:val="5476DE98"/>
    <w:multiLevelType w:val="hybridMultilevel"/>
    <w:lvl w:ilvl="0">
      <w:lvlJc w:val="left"/>
      <w:lvlText w:val="%1."/>
      <w:numFmt w:val="upperLetter"/>
      <w:start w:val="35"/>
    </w:lvl>
  </w:abstractNum>
  <w:abstractNum w:abstractNumId="280">
    <w:nsid w:val="EA697F2"/>
    <w:multiLevelType w:val="hybridMultilevel"/>
    <w:lvl w:ilvl="0">
      <w:lvlJc w:val="left"/>
      <w:lvlText w:val="(%1)"/>
      <w:numFmt w:val="lowerRoman"/>
      <w:start w:val="2"/>
    </w:lvl>
  </w:abstractNum>
  <w:abstractNum w:abstractNumId="281">
    <w:nsid w:val="70BA39EB"/>
    <w:multiLevelType w:val="hybridMultilevel"/>
    <w:lvl w:ilvl="0">
      <w:lvlJc w:val="left"/>
      <w:lvlText w:val="(%1)"/>
      <w:numFmt w:val="lowerLetter"/>
      <w:start w:val="2"/>
    </w:lvl>
  </w:abstractNum>
  <w:abstractNum w:abstractNumId="282">
    <w:nsid w:val="4A8DB59C"/>
    <w:multiLevelType w:val="hybridMultilevel"/>
    <w:lvl w:ilvl="0">
      <w:lvlJc w:val="left"/>
      <w:lvlText w:val="%1"/>
      <w:numFmt w:val="lowerLetter"/>
      <w:start w:val="1"/>
    </w:lvl>
    <w:lvl w:ilvl="1">
      <w:lvlJc w:val="left"/>
      <w:lvlText w:val="(%2)"/>
      <w:numFmt w:val="lowerLetter"/>
      <w:start w:val="3"/>
    </w:lvl>
  </w:abstractNum>
  <w:abstractNum w:abstractNumId="283">
    <w:nsid w:val="1AFD9053"/>
    <w:multiLevelType w:val="hybridMultilevel"/>
    <w:lvl w:ilvl="0">
      <w:lvlJc w:val="left"/>
      <w:lvlText w:val="(%1)"/>
      <w:numFmt w:val="lowerLetter"/>
      <w:start w:val="61"/>
    </w:lvl>
    <w:lvl w:ilvl="1">
      <w:lvlJc w:val="left"/>
      <w:lvlText w:val="(%2)"/>
      <w:numFmt w:val="lowerLetter"/>
      <w:start w:val="2"/>
    </w:lvl>
  </w:abstractNum>
  <w:abstractNum w:abstractNumId="284">
    <w:nsid w:val="558BB10D"/>
    <w:multiLevelType w:val="hybridMultilevel"/>
    <w:lvl w:ilvl="0">
      <w:lvlJc w:val="left"/>
      <w:lvlText w:val="(%1)"/>
      <w:numFmt w:val="lowerRoman"/>
      <w:start w:val="1"/>
    </w:lvl>
  </w:abstractNum>
  <w:abstractNum w:abstractNumId="285">
    <w:nsid w:val="43B27FA7"/>
    <w:multiLevelType w:val="hybridMultilevel"/>
    <w:lvl w:ilvl="0">
      <w:lvlJc w:val="left"/>
      <w:lvlText w:val="(%1)"/>
      <w:numFmt w:val="lowerRoman"/>
      <w:start w:val="2"/>
    </w:lvl>
  </w:abstractNum>
  <w:abstractNum w:abstractNumId="286">
    <w:nsid w:val="27FADEFA"/>
    <w:multiLevelType w:val="hybridMultilevel"/>
    <w:lvl w:ilvl="0">
      <w:lvlJc w:val="left"/>
      <w:lvlText w:val="(%1)"/>
      <w:numFmt w:val="lowerLetter"/>
      <w:start w:val="2"/>
    </w:lvl>
  </w:abstractNum>
  <w:abstractNum w:abstractNumId="287">
    <w:nsid w:val="78BB805A"/>
    <w:multiLevelType w:val="hybridMultilevel"/>
    <w:lvl w:ilvl="0">
      <w:lvlJc w:val="left"/>
      <w:lvlText w:val="(%1)"/>
      <w:numFmt w:val="lowerLetter"/>
      <w:start w:val="3"/>
    </w:lvl>
  </w:abstractNum>
  <w:abstractNum w:abstractNumId="288">
    <w:nsid w:val="62548FD8"/>
    <w:multiLevelType w:val="hybridMultilevel"/>
    <w:lvl w:ilvl="0">
      <w:lvlJc w:val="left"/>
      <w:lvlText w:val="%1."/>
      <w:numFmt w:val="decimal"/>
      <w:start w:val="1"/>
    </w:lvl>
  </w:abstractNum>
  <w:abstractNum w:abstractNumId="289">
    <w:nsid w:val="FA085B0"/>
    <w:multiLevelType w:val="hybridMultilevel"/>
    <w:lvl w:ilvl="0">
      <w:lvlJc w:val="left"/>
      <w:lvlText w:val="%1."/>
      <w:numFmt w:val="decimal"/>
      <w:start w:val="5"/>
    </w:lvl>
  </w:abstractNum>
  <w:abstractNum w:abstractNumId="290">
    <w:nsid w:val="4E5DCB5"/>
    <w:multiLevelType w:val="hybridMultilevel"/>
    <w:lvl w:ilvl="0">
      <w:lvlJc w:val="left"/>
      <w:lvlText w:val="%1."/>
      <w:numFmt w:val="decimal"/>
      <w:start w:val="6"/>
    </w:lvl>
  </w:abstractNum>
  <w:abstractNum w:abstractNumId="291">
    <w:nsid w:val="41E96BDB"/>
    <w:multiLevelType w:val="hybridMultilevel"/>
    <w:lvl w:ilvl="0">
      <w:lvlJc w:val="left"/>
      <w:lvlText w:val="%1."/>
      <w:numFmt w:val="decimal"/>
      <w:start w:val="6"/>
    </w:lvl>
  </w:abstractNum>
  <w:abstractNum w:abstractNumId="292">
    <w:nsid w:val="331C4250"/>
    <w:multiLevelType w:val="hybridMultilevel"/>
    <w:lvl w:ilvl="0">
      <w:lvlJc w:val="left"/>
      <w:lvlText w:val="%1."/>
      <w:numFmt w:val="decimal"/>
      <w:start w:val="7"/>
    </w:lvl>
  </w:abstractNum>
  <w:abstractNum w:abstractNumId="293">
    <w:nsid w:val="1B1493C2"/>
    <w:multiLevelType w:val="hybridMultilevel"/>
    <w:lvl w:ilvl="0">
      <w:lvlJc w:val="left"/>
      <w:lvlText w:val="2"/>
      <w:numFmt w:val="bullet"/>
      <w:start w:val="1"/>
    </w:lvl>
  </w:abstractNum>
  <w:abstractNum w:abstractNumId="294">
    <w:nsid w:val="39F06DFD"/>
    <w:multiLevelType w:val="hybridMultilevel"/>
    <w:lvl w:ilvl="0">
      <w:lvlJc w:val="left"/>
      <w:lvlText w:val="3"/>
      <w:numFmt w:val="bullet"/>
      <w:start w:val="1"/>
    </w:lvl>
  </w:abstractNum>
  <w:abstractNum w:abstractNumId="295">
    <w:nsid w:val="14802F5D"/>
    <w:multiLevelType w:val="hybridMultilevel"/>
    <w:lvl w:ilvl="0">
      <w:lvlJc w:val="left"/>
      <w:lvlText w:val="4"/>
      <w:numFmt w:val="bullet"/>
      <w:start w:val="1"/>
    </w:lvl>
  </w:abstractNum>
  <w:abstractNum w:abstractNumId="296">
    <w:nsid w:val="2774A209"/>
    <w:multiLevelType w:val="hybridMultilevel"/>
    <w:lvl w:ilvl="0">
      <w:lvlJc w:val="left"/>
      <w:lvlText w:val="%1."/>
      <w:numFmt w:val="decimal"/>
      <w:start w:val="1"/>
    </w:lvl>
  </w:abstractNum>
  <w:abstractNum w:abstractNumId="297">
    <w:nsid w:val="3785655A"/>
    <w:multiLevelType w:val="hybridMultilevel"/>
    <w:lvl w:ilvl="0">
      <w:lvlJc w:val="left"/>
      <w:lvlText w:val="%1."/>
      <w:numFmt w:val="decimal"/>
      <w:start w:val="2"/>
    </w:lvl>
  </w:abstractNum>
  <w:abstractNum w:abstractNumId="298">
    <w:nsid w:val="B2172A"/>
    <w:multiLevelType w:val="hybridMultilevel"/>
    <w:lvl w:ilvl="0">
      <w:lvlJc w:val="left"/>
      <w:lvlText w:val="%1."/>
      <w:numFmt w:val="decimal"/>
      <w:start w:val="3"/>
    </w:lvl>
  </w:abstractNum>
  <w:abstractNum w:abstractNumId="299">
    <w:nsid w:val="532C34A5"/>
    <w:multiLevelType w:val="hybridMultilevel"/>
    <w:lvl w:ilvl="0">
      <w:lvlJc w:val="left"/>
      <w:lvlText w:val="1"/>
      <w:numFmt w:val="bullet"/>
      <w:start w:val="1"/>
    </w:lvl>
  </w:abstractNum>
  <w:abstractNum w:abstractNumId="300">
    <w:nsid w:val="102809E2"/>
    <w:multiLevelType w:val="hybridMultilevel"/>
    <w:lvl w:ilvl="0">
      <w:lvlJc w:val="left"/>
      <w:lvlText w:val="%1."/>
      <w:numFmt w:val="decimal"/>
      <w:start w:val="6"/>
    </w:lvl>
  </w:abstractNum>
  <w:abstractNum w:abstractNumId="301">
    <w:nsid w:val="3B2125A3"/>
    <w:multiLevelType w:val="hybridMultilevel"/>
    <w:lvl w:ilvl="0">
      <w:lvlJc w:val="left"/>
      <w:lvlText w:val="%1."/>
      <w:numFmt w:val="decimal"/>
      <w:start w:val="7"/>
    </w:lvl>
  </w:abstractNum>
  <w:abstractNum w:abstractNumId="302">
    <w:nsid w:val="AC68FFB"/>
    <w:multiLevelType w:val="hybridMultilevel"/>
    <w:lvl w:ilvl="0">
      <w:lvlJc w:val="left"/>
      <w:lvlText w:val="2"/>
      <w:numFmt w:val="bullet"/>
      <w:start w:val="1"/>
    </w:lvl>
  </w:abstractNum>
  <w:abstractNum w:abstractNumId="303">
    <w:nsid w:val="63DF3FB7"/>
    <w:multiLevelType w:val="hybridMultilevel"/>
    <w:lvl w:ilvl="0">
      <w:lvlJc w:val="left"/>
      <w:lvlText w:val="3"/>
      <w:numFmt w:val="bullet"/>
      <w:start w:val="1"/>
    </w:lvl>
  </w:abstractNum>
  <w:abstractNum w:abstractNumId="304">
    <w:nsid w:val="64996E13"/>
    <w:multiLevelType w:val="hybridMultilevel"/>
    <w:lvl w:ilvl="0">
      <w:lvlJc w:val="left"/>
      <w:lvlText w:val="4"/>
      <w:numFmt w:val="bullet"/>
      <w:start w:val="1"/>
    </w:lvl>
  </w:abstractNum>
  <w:abstractNum w:abstractNumId="305">
    <w:nsid w:val="57A37D47"/>
    <w:multiLevelType w:val="hybridMultilevel"/>
    <w:lvl w:ilvl="0">
      <w:lvlJc w:val="left"/>
      <w:lvlText w:val="%1."/>
      <w:numFmt w:val="decimal"/>
      <w:start w:val="4"/>
    </w:lvl>
  </w:abstractNum>
  <w:abstractNum w:abstractNumId="306">
    <w:nsid w:val="74824D54"/>
    <w:multiLevelType w:val="hybridMultilevel"/>
    <w:lvl w:ilvl="0">
      <w:lvlJc w:val="left"/>
      <w:lvlText w:val="%1."/>
      <w:numFmt w:val="decimal"/>
      <w:start w:val="5"/>
    </w:lvl>
  </w:abstractNum>
  <w:abstractNum w:abstractNumId="307">
    <w:nsid w:val="6F00529A"/>
    <w:multiLevelType w:val="hybridMultilevel"/>
    <w:lvl w:ilvl="0">
      <w:lvlJc w:val="left"/>
      <w:lvlText w:val="%1."/>
      <w:numFmt w:val="decimal"/>
      <w:start w:val="6"/>
    </w:lvl>
  </w:abstractNum>
  <w:abstractNum w:abstractNumId="308">
    <w:nsid w:val="805B331"/>
    <w:multiLevelType w:val="hybridMultilevel"/>
    <w:lvl w:ilvl="0">
      <w:lvlJc w:val="left"/>
      <w:lvlText w:val="1"/>
      <w:numFmt w:val="bullet"/>
      <w:start w:val="1"/>
    </w:lvl>
  </w:abstractNum>
  <w:abstractNum w:abstractNumId="309">
    <w:nsid w:val="60A1463"/>
    <w:multiLevelType w:val="hybridMultilevel"/>
    <w:lvl w:ilvl="0">
      <w:lvlJc w:val="left"/>
      <w:lvlText w:val="2"/>
      <w:numFmt w:val="bullet"/>
      <w:start w:val="1"/>
    </w:lvl>
  </w:abstractNum>
  <w:abstractNum w:abstractNumId="310">
    <w:nsid w:val="43773132"/>
    <w:multiLevelType w:val="hybridMultilevel"/>
    <w:lvl w:ilvl="0">
      <w:lvlJc w:val="left"/>
      <w:lvlText w:val="%1."/>
      <w:numFmt w:val="decimal"/>
      <w:start w:val="1"/>
    </w:lvl>
  </w:abstractNum>
  <w:abstractNum w:abstractNumId="311">
    <w:nsid w:val="16AC4B23"/>
    <w:multiLevelType w:val="hybridMultilevel"/>
    <w:lvl w:ilvl="0">
      <w:lvlJc w:val="left"/>
      <w:lvlText w:val="%1"/>
      <w:numFmt w:val="decimal"/>
      <w:start w:val="1"/>
    </w:lvl>
    <w:lvl w:ilvl="1">
      <w:lvlJc w:val="left"/>
      <w:lvlText w:val="%2."/>
      <w:numFmt w:val="decimal"/>
      <w:start w:val="1"/>
    </w:lvl>
  </w:abstractNum>
  <w:abstractNum w:abstractNumId="312">
    <w:nsid w:val="76C44E4E"/>
    <w:multiLevelType w:val="hybridMultilevel"/>
    <w:lvl w:ilvl="0">
      <w:lvlJc w:val="left"/>
      <w:lvlText w:val="(%1)"/>
      <w:numFmt w:val="decimal"/>
      <w:start w:val="2"/>
    </w:lvl>
    <w:lvl w:ilvl="1">
      <w:lvlJc w:val="left"/>
      <w:lvlText w:val="%2"/>
      <w:numFmt w:val="decimal"/>
      <w:start w:val="1"/>
    </w:lvl>
  </w:abstractNum>
  <w:abstractNum w:abstractNumId="313">
    <w:nsid w:val="E04E6CE"/>
    <w:multiLevelType w:val="hybridMultilevel"/>
    <w:lvl w:ilvl="0">
      <w:lvlJc w:val="left"/>
      <w:lvlText w:val="%1."/>
      <w:numFmt w:val="decimal"/>
      <w:start w:val="1"/>
    </w:lvl>
  </w:abstractNum>
  <w:abstractNum w:abstractNumId="314">
    <w:nsid w:val="31A9DB76"/>
    <w:multiLevelType w:val="hybridMultilevel"/>
    <w:lvl w:ilvl="0">
      <w:lvlJc w:val="left"/>
      <w:lvlText w:val="%1."/>
      <w:numFmt w:val="decimal"/>
      <w:start w:val="1"/>
    </w:lvl>
  </w:abstractNum>
  <w:abstractNum w:abstractNumId="315">
    <w:nsid w:val="4C4FFF5B"/>
    <w:multiLevelType w:val="hybridMultilevel"/>
    <w:lvl w:ilvl="0">
      <w:lvlJc w:val="left"/>
      <w:lvlText w:val="%1."/>
      <w:numFmt w:val="decimal"/>
      <w:start w:val="1"/>
    </w:lvl>
  </w:abstractNum>
  <w:abstractNum w:abstractNumId="316">
    <w:nsid w:val="51B76675"/>
    <w:multiLevelType w:val="hybridMultilevel"/>
    <w:lvl w:ilvl="0">
      <w:lvlJc w:val="left"/>
      <w:lvlText w:val="(%1)"/>
      <w:numFmt w:val="lowerRoman"/>
      <w:start w:val="1"/>
    </w:lvl>
  </w:abstractNum>
  <w:abstractNum w:abstractNumId="317">
    <w:nsid w:val="59A4BA71"/>
    <w:multiLevelType w:val="hybridMultilevel"/>
    <w:lvl w:ilvl="0">
      <w:lvlJc w:val="left"/>
      <w:lvlText w:val="1"/>
      <w:numFmt w:val="bullet"/>
      <w:start w:val="1"/>
    </w:lvl>
  </w:abstractNum>
  <w:abstractNum w:abstractNumId="318">
    <w:nsid w:val="450B7FB6"/>
    <w:multiLevelType w:val="hybridMultilevel"/>
    <w:lvl w:ilvl="0">
      <w:lvlJc w:val="left"/>
      <w:lvlText w:val="%1."/>
      <w:numFmt w:val="decimal"/>
      <w:start w:val="1"/>
    </w:lvl>
  </w:abstractNum>
  <w:abstractNum w:abstractNumId="319">
    <w:nsid w:val="340BF64D"/>
    <w:multiLevelType w:val="hybridMultilevel"/>
    <w:lvl w:ilvl="0">
      <w:lvlJc w:val="left"/>
      <w:lvlText w:val="(%1)"/>
      <w:numFmt w:val="lowerLetter"/>
      <w:start w:val="1"/>
    </w:lvl>
  </w:abstractNum>
  <w:abstractNum w:abstractNumId="320">
    <w:nsid w:val="69454021"/>
    <w:multiLevelType w:val="hybridMultilevel"/>
    <w:lvl w:ilvl="0">
      <w:lvlJc w:val="left"/>
      <w:lvlText w:val="(%1)"/>
      <w:numFmt w:val="lowerLetter"/>
      <w:start w:val="1"/>
    </w:lvl>
  </w:abstractNum>
  <w:abstractNum w:abstractNumId="321">
    <w:nsid w:val="49F15C6B"/>
    <w:multiLevelType w:val="hybridMultilevel"/>
    <w:lvl w:ilvl="0">
      <w:lvlJc w:val="left"/>
      <w:lvlText w:val="(%1)"/>
      <w:numFmt w:val="upperLetter"/>
      <w:start w:val="2"/>
    </w:lvl>
  </w:abstractNum>
  <w:abstractNum w:abstractNumId="322">
    <w:nsid w:val="75F56228"/>
    <w:multiLevelType w:val="hybridMultilevel"/>
    <w:lvl w:ilvl="0">
      <w:lvlJc w:val="left"/>
      <w:lvlText w:val="(%1)"/>
      <w:numFmt w:val="lowerLetter"/>
      <w:start w:val="1"/>
    </w:lvl>
  </w:abstractNum>
  <w:abstractNum w:abstractNumId="323">
    <w:nsid w:val="1C618271"/>
    <w:multiLevelType w:val="hybridMultilevel"/>
    <w:lvl w:ilvl="0">
      <w:lvlJc w:val="left"/>
      <w:lvlText w:val="(%1)"/>
      <w:numFmt w:val="lowerLetter"/>
      <w:start w:val="4"/>
    </w:lvl>
  </w:abstractNum>
  <w:abstractNum w:abstractNumId="324">
    <w:nsid w:val="6505F02E"/>
    <w:multiLevelType w:val="hybridMultilevel"/>
    <w:lvl w:ilvl="0">
      <w:lvlJc w:val="left"/>
      <w:lvlText w:val="(%1)"/>
      <w:numFmt w:val="lowerLetter"/>
      <w:start w:val="1"/>
    </w:lvl>
  </w:abstractNum>
  <w:abstractNum w:abstractNumId="325">
    <w:nsid w:val="2FE5D025"/>
    <w:multiLevelType w:val="hybridMultilevel"/>
    <w:lvl w:ilvl="0">
      <w:lvlJc w:val="left"/>
      <w:lvlText w:val="(%1)"/>
      <w:numFmt w:val="lowerLetter"/>
      <w:start w:val="1"/>
    </w:lvl>
  </w:abstractNum>
  <w:abstractNum w:abstractNumId="326">
    <w:nsid w:val="30E1B1CF"/>
    <w:multiLevelType w:val="hybridMultilevel"/>
    <w:lvl w:ilvl="0">
      <w:lvlJc w:val="left"/>
      <w:lvlText w:val="(%1)"/>
      <w:numFmt w:val="lowerLetter"/>
      <w:start w:val="2"/>
    </w:lvl>
  </w:abstractNum>
  <w:abstractNum w:abstractNumId="327">
    <w:nsid w:val="C7A9237"/>
    <w:multiLevelType w:val="hybridMultilevel"/>
    <w:lvl w:ilvl="0">
      <w:lvlJc w:val="left"/>
      <w:lvlText w:val="(%1)"/>
      <w:numFmt w:val="lowerLetter"/>
      <w:start w:val="1"/>
    </w:lvl>
  </w:abstractNum>
  <w:abstractNum w:abstractNumId="328">
    <w:nsid w:val="676B3580"/>
    <w:multiLevelType w:val="hybridMultilevel"/>
    <w:lvl w:ilvl="0">
      <w:lvlJc w:val="left"/>
      <w:lvlText w:val="(%1)"/>
      <w:numFmt w:val="lowerLetter"/>
      <w:start w:val="2"/>
    </w:lvl>
  </w:abstractNum>
  <w:abstractNum w:abstractNumId="329">
    <w:nsid w:val="3193C8F9"/>
    <w:multiLevelType w:val="hybridMultilevel"/>
    <w:lvl w:ilvl="0">
      <w:lvlJc w:val="left"/>
      <w:lvlText w:val="(%1)"/>
      <w:numFmt w:val="lowerLetter"/>
      <w:start w:val="1"/>
    </w:lvl>
  </w:abstractNum>
  <w:abstractNum w:abstractNumId="330">
    <w:nsid w:val="5FA6C6DC"/>
    <w:multiLevelType w:val="hybridMultilevel"/>
    <w:lvl w:ilvl="0">
      <w:lvlJc w:val="left"/>
      <w:lvlText w:val="(%1)"/>
      <w:numFmt w:val="lowerLetter"/>
      <w:start w:val="2"/>
    </w:lvl>
  </w:abstractNum>
  <w:abstractNum w:abstractNumId="331">
    <w:nsid w:val="77933F62"/>
    <w:multiLevelType w:val="hybridMultilevel"/>
    <w:lvl w:ilvl="0">
      <w:lvlJc w:val="left"/>
      <w:lvlText w:val="(%1)"/>
      <w:numFmt w:val="lowerLetter"/>
      <w:start w:val="1"/>
    </w:lvl>
  </w:abstractNum>
  <w:abstractNum w:abstractNumId="332">
    <w:nsid w:val="6CB4EE9C"/>
    <w:multiLevelType w:val="hybridMultilevel"/>
    <w:lvl w:ilvl="0">
      <w:lvlJc w:val="left"/>
      <w:lvlText w:val="(%1)"/>
      <w:numFmt w:val="lowerLetter"/>
      <w:start w:val="1"/>
    </w:lvl>
  </w:abstractNum>
  <w:abstractNum w:abstractNumId="333">
    <w:nsid w:val="6A6D56D7"/>
    <w:multiLevelType w:val="hybridMultilevel"/>
    <w:lvl w:ilvl="0">
      <w:lvlJc w:val="left"/>
      <w:lvlText w:val="(%1)"/>
      <w:numFmt w:val="lowerRoman"/>
      <w:start w:val="1"/>
    </w:lvl>
  </w:abstractNum>
  <w:abstractNum w:abstractNumId="334">
    <w:nsid w:val="5B727F19"/>
    <w:multiLevelType w:val="hybridMultilevel"/>
    <w:lvl w:ilvl="0">
      <w:lvlJc w:val="left"/>
      <w:lvlText w:val="(%1)"/>
      <w:numFmt w:val="lowerRoman"/>
      <w:start w:val="2"/>
    </w:lvl>
  </w:abstractNum>
  <w:abstractNum w:abstractNumId="335">
    <w:nsid w:val="514E5CB0"/>
    <w:multiLevelType w:val="hybridMultilevel"/>
    <w:lvl w:ilvl="0">
      <w:lvlJc w:val="left"/>
      <w:lvlText w:val="(%1)"/>
      <w:numFmt w:val="lowerRoman"/>
      <w:start w:val="3"/>
    </w:lvl>
  </w:abstractNum>
  <w:abstractNum w:abstractNumId="336">
    <w:nsid w:val="4210D41E"/>
    <w:multiLevelType w:val="hybridMultilevel"/>
    <w:lvl w:ilvl="0">
      <w:lvlJc w:val="left"/>
      <w:lvlText w:val="(%1)"/>
      <w:numFmt w:val="lowerLetter"/>
      <w:start w:val="2"/>
    </w:lvl>
  </w:abstractNum>
  <w:abstractNum w:abstractNumId="337">
    <w:nsid w:val="4FF4CC6D"/>
    <w:multiLevelType w:val="hybridMultilevel"/>
    <w:lvl w:ilvl="0">
      <w:lvlJc w:val="left"/>
      <w:lvlText w:val="(%1)"/>
      <w:numFmt w:val="lowerLetter"/>
      <w:start w:val="1"/>
    </w:lvl>
  </w:abstractNum>
  <w:abstractNum w:abstractNumId="338">
    <w:nsid w:val="404EAF4A"/>
    <w:multiLevelType w:val="hybridMultilevel"/>
    <w:lvl w:ilvl="0">
      <w:lvlJc w:val="left"/>
      <w:lvlText w:val="(%1)"/>
      <w:numFmt w:val="lowerLetter"/>
      <w:start w:val="2"/>
    </w:lvl>
  </w:abstractNum>
  <w:abstractNum w:abstractNumId="339">
    <w:nsid w:val="4A16874F"/>
    <w:multiLevelType w:val="hybridMultilevel"/>
    <w:lvl w:ilvl="0">
      <w:lvlJc w:val="left"/>
      <w:lvlText w:val="1"/>
      <w:numFmt w:val="bullet"/>
      <w:start w:val="1"/>
    </w:lvl>
  </w:abstractNum>
  <w:abstractNum w:abstractNumId="340">
    <w:nsid w:val="55FEE0D1"/>
    <w:multiLevelType w:val="hybridMultilevel"/>
    <w:lvl w:ilvl="0">
      <w:lvlJc w:val="left"/>
      <w:lvlText w:val="%1."/>
      <w:numFmt w:val="decimal"/>
      <w:start w:val="1"/>
    </w:lvl>
  </w:abstractNum>
  <w:abstractNum w:abstractNumId="341">
    <w:nsid w:val="3C5E07C"/>
    <w:multiLevelType w:val="hybridMultilevel"/>
    <w:lvl w:ilvl="0">
      <w:lvlJc w:val="left"/>
      <w:lvlText w:val="(%1)"/>
      <w:numFmt w:val="lowerLetter"/>
      <w:start w:val="1"/>
    </w:lvl>
  </w:abstractNum>
  <w:abstractNum w:abstractNumId="342">
    <w:nsid w:val="60C2D273"/>
    <w:multiLevelType w:val="hybridMultilevel"/>
    <w:lvl w:ilvl="0">
      <w:lvlJc w:val="left"/>
      <w:lvlText w:val="(%1)"/>
      <w:numFmt w:val="lowerLetter"/>
      <w:start w:val="2"/>
    </w:lvl>
    <w:lvl w:ilvl="1">
      <w:lvlJc w:val="left"/>
      <w:lvlText w:val="%2)"/>
      <w:numFmt w:val="lowerRoman"/>
      <w:start w:val="1"/>
    </w:lvl>
  </w:abstractNum>
  <w:abstractNum w:abstractNumId="343">
    <w:nsid w:val="4CC32F1F"/>
    <w:multiLevelType w:val="hybridMultilevel"/>
    <w:lvl w:ilvl="0">
      <w:lvlJc w:val="left"/>
      <w:lvlText w:val="%1"/>
      <w:numFmt w:val="lowerLetter"/>
      <w:start w:val="1"/>
    </w:lvl>
    <w:lvl w:ilvl="1">
      <w:lvlJc w:val="left"/>
      <w:lvlText w:val="%2)"/>
      <w:numFmt w:val="lowerRoman"/>
      <w:start w:val="4"/>
    </w:lvl>
  </w:abstractNum>
  <w:abstractNum w:abstractNumId="344">
    <w:nsid w:val="11CAC74A"/>
    <w:multiLevelType w:val="hybridMultilevel"/>
    <w:lvl w:ilvl="0">
      <w:lvlJc w:val="left"/>
      <w:lvlText w:val="(%1)"/>
      <w:numFmt w:val="lowerLetter"/>
      <w:start w:val="9"/>
    </w:lvl>
    <w:lvl w:ilvl="1">
      <w:lvlJc w:val="left"/>
      <w:lvlText w:val="%2"/>
      <w:numFmt w:val="lowerRoman"/>
      <w:start w:val="1"/>
    </w:lvl>
  </w:abstractNum>
  <w:abstractNum w:abstractNumId="345">
    <w:nsid w:val="126CADE9"/>
    <w:multiLevelType w:val="hybridMultilevel"/>
    <w:lvl w:ilvl="0">
      <w:lvlJc w:val="left"/>
      <w:lvlText w:val="%1"/>
      <w:numFmt w:val="decimal"/>
      <w:start w:val="1"/>
    </w:lvl>
    <w:lvl w:ilvl="1">
      <w:lvlJc w:val="left"/>
      <w:lvlText w:val="(%2)"/>
      <w:numFmt w:val="lowerLetter"/>
      <w:start w:val="16"/>
    </w:lvl>
  </w:abstractNum>
  <w:abstractNum w:abstractNumId="346">
    <w:nsid w:val="19132E7B"/>
    <w:multiLevelType w:val="hybridMultilevel"/>
    <w:lvl w:ilvl="0">
      <w:lvlJc w:val="left"/>
      <w:lvlText w:val="%1."/>
      <w:numFmt w:val="decimal"/>
      <w:start w:val="2"/>
    </w:lvl>
    <w:lvl w:ilvl="1">
      <w:lvlJc w:val="left"/>
      <w:lvlText w:val="%2"/>
      <w:numFmt w:val="lowerLetter"/>
      <w:start w:val="1"/>
    </w:lvl>
  </w:abstractNum>
  <w:abstractNum w:abstractNumId="347">
    <w:nsid w:val="63822DC0"/>
    <w:multiLevelType w:val="hybridMultilevel"/>
    <w:lvl w:ilvl="0">
      <w:lvlJc w:val="left"/>
      <w:lvlText w:val="%1"/>
      <w:numFmt w:val="lowerLetter"/>
      <w:start w:val="1"/>
    </w:lvl>
    <w:lvl w:ilvl="1">
      <w:lvlJc w:val="left"/>
      <w:lvlText w:val="%2."/>
      <w:numFmt w:val="decimal"/>
      <w:start w:val="4"/>
    </w:lvl>
  </w:abstractNum>
  <w:abstractNum w:abstractNumId="348">
    <w:nsid w:val="6C11685A"/>
    <w:multiLevelType w:val="hybridMultilevel"/>
    <w:lvl w:ilvl="0">
      <w:lvlJc w:val="left"/>
      <w:lvlText w:val="(%1)"/>
      <w:numFmt w:val="lowerLetter"/>
      <w:start w:val="4"/>
    </w:lvl>
    <w:lvl w:ilvl="1">
      <w:lvlJc w:val="left"/>
      <w:lvlText w:val="%2."/>
      <w:numFmt w:val="decimal"/>
      <w:start w:val="5"/>
    </w:lvl>
  </w:abstractNum>
  <w:abstractNum w:abstractNumId="349">
    <w:nsid w:val="5E1EAE31"/>
    <w:multiLevelType w:val="hybridMultilevel"/>
    <w:lvl w:ilvl="0">
      <w:lvlJc w:val="left"/>
      <w:lvlText w:val="%1."/>
      <w:numFmt w:val="decimal"/>
      <w:start w:val="6"/>
    </w:lvl>
  </w:abstractNum>
  <w:abstractNum w:abstractNumId="350">
    <w:nsid w:val="178E240D"/>
    <w:multiLevelType w:val="hybridMultilevel"/>
    <w:lvl w:ilvl="0">
      <w:lvlJc w:val="left"/>
      <w:lvlText w:val="%1."/>
      <w:numFmt w:val="decimal"/>
      <w:start w:val="8"/>
    </w:lvl>
    <w:lvl w:ilvl="1">
      <w:lvlJc w:val="left"/>
      <w:lvlText w:val="(%2)"/>
      <w:numFmt w:val="lowerLetter"/>
      <w:start w:val="1"/>
    </w:lvl>
  </w:abstractNum>
  <w:abstractNum w:abstractNumId="351">
    <w:nsid w:val="5556A87B"/>
    <w:multiLevelType w:val="hybridMultilevel"/>
    <w:lvl w:ilvl="0">
      <w:lvlJc w:val="left"/>
      <w:lvlText w:val="(%1)"/>
      <w:numFmt w:val="lowerLetter"/>
      <w:start w:val="3"/>
    </w:lvl>
  </w:abstractNum>
  <w:abstractNum w:abstractNumId="352">
    <w:nsid w:val="28100A9C"/>
    <w:multiLevelType w:val="hybridMultilevel"/>
    <w:lvl w:ilvl="0">
      <w:lvlJc w:val="left"/>
      <w:lvlText w:val="%1."/>
      <w:numFmt w:val="decimal"/>
      <w:start w:val="9"/>
    </w:lvl>
  </w:abstractNum>
  <w:abstractNum w:abstractNumId="353">
    <w:nsid w:val="D838636"/>
    <w:multiLevelType w:val="hybridMultilevel"/>
    <w:lvl w:ilvl="0">
      <w:lvlJc w:val="left"/>
      <w:lvlText w:val="%1"/>
      <w:numFmt w:val="lowerRoman"/>
      <w:start w:val="1"/>
    </w:lvl>
    <w:lvl w:ilvl="1">
      <w:lvlJc w:val="left"/>
      <w:lvlText w:val="%2."/>
      <w:numFmt w:val="decimal"/>
      <w:start w:val="13"/>
    </w:lvl>
  </w:abstractNum>
  <w:abstractNum w:abstractNumId="354">
    <w:nsid w:val="71B82AED"/>
    <w:multiLevelType w:val="hybridMultilevel"/>
    <w:lvl w:ilvl="0">
      <w:lvlJc w:val="left"/>
      <w:lvlText w:val="(%1)"/>
      <w:numFmt w:val="lowerRoman"/>
      <w:start w:val="4"/>
    </w:lvl>
    <w:lvl w:ilvl="1">
      <w:lvlJc w:val="left"/>
      <w:lvlText w:val="%2"/>
      <w:numFmt w:val="decimal"/>
      <w:start w:val="1"/>
    </w:lvl>
  </w:abstractNum>
  <w:abstractNum w:abstractNumId="355">
    <w:nsid w:val="D15FACA"/>
    <w:multiLevelType w:val="hybridMultilevel"/>
    <w:lvl w:ilvl="0">
      <w:lvlJc w:val="left"/>
      <w:lvlText w:val="%1."/>
      <w:numFmt w:val="decimal"/>
      <w:start w:val="17"/>
    </w:lvl>
  </w:abstractNum>
  <w:abstractNum w:abstractNumId="356">
    <w:nsid w:val="3D69565B"/>
    <w:multiLevelType w:val="hybridMultilevel"/>
    <w:lvl w:ilvl="0">
      <w:lvlJc w:val="left"/>
      <w:lvlText w:val="(%1)"/>
      <w:numFmt w:val="lowerLetter"/>
      <w:start w:val="1"/>
    </w:lvl>
  </w:abstractNum>
  <w:abstractNum w:abstractNumId="357">
    <w:nsid w:val="2299DCBC"/>
    <w:multiLevelType w:val="hybridMultilevel"/>
    <w:lvl w:ilvl="0">
      <w:lvlJc w:val="left"/>
      <w:lvlText w:val="%1."/>
      <w:numFmt w:val="decimal"/>
      <w:start w:val="18"/>
    </w:lvl>
  </w:abstractNum>
  <w:abstractNum w:abstractNumId="358">
    <w:nsid w:val="19908D02"/>
    <w:multiLevelType w:val="hybridMultilevel"/>
    <w:lvl w:ilvl="0">
      <w:lvlJc w:val="left"/>
      <w:lvlText w:val="%1."/>
      <w:numFmt w:val="decimal"/>
      <w:start w:val="20"/>
    </w:lvl>
  </w:abstractNum>
  <w:abstractNum w:abstractNumId="359">
    <w:nsid w:val="24D48BDB"/>
    <w:multiLevelType w:val="hybridMultilevel"/>
    <w:lvl w:ilvl="0">
      <w:lvlJc w:val="left"/>
      <w:lvlText w:val="%1."/>
      <w:numFmt w:val="decimal"/>
      <w:start w:val="25"/>
    </w:lvl>
  </w:abstractNum>
  <w:abstractNum w:abstractNumId="360">
    <w:nsid w:val="542DA5B5"/>
    <w:multiLevelType w:val="hybridMultilevel"/>
    <w:lvl w:ilvl="0">
      <w:lvlJc w:val="left"/>
      <w:lvlText w:val="%1."/>
      <w:numFmt w:val="decimal"/>
      <w:start w:val="1"/>
    </w:lvl>
  </w:abstractNum>
  <w:abstractNum w:abstractNumId="361">
    <w:nsid w:val="793753DE"/>
    <w:multiLevelType w:val="hybridMultilevel"/>
    <w:lvl w:ilvl="0">
      <w:lvlJc w:val="left"/>
      <w:lvlText w:val="%1."/>
      <w:numFmt w:val="decimal"/>
      <w:start w:val="1"/>
    </w:lvl>
  </w:abstractNum>
  <w:abstractNum w:abstractNumId="362">
    <w:nsid w:val="1C67CB3D"/>
    <w:multiLevelType w:val="hybridMultilevel"/>
    <w:lvl w:ilvl="0">
      <w:lvlJc w:val="left"/>
      <w:lvlText w:val="(%1)"/>
      <w:numFmt w:val="lowerLetter"/>
      <w:start w:val="1"/>
    </w:lvl>
  </w:abstractNum>
  <w:abstractNum w:abstractNumId="363">
    <w:nsid w:val="40E29452"/>
    <w:multiLevelType w:val="hybridMultilevel"/>
    <w:lvl w:ilvl="0">
      <w:lvlJc w:val="left"/>
      <w:lvlText w:val="(%1)"/>
      <w:numFmt w:val="lowerLetter"/>
      <w:start w:val="4"/>
    </w:lvl>
  </w:abstractNum>
  <w:abstractNum w:abstractNumId="364">
    <w:nsid w:val="63A4AAB6"/>
    <w:multiLevelType w:val="hybridMultilevel"/>
    <w:lvl w:ilvl="0">
      <w:lvlJc w:val="left"/>
      <w:lvlText w:val="%1."/>
      <w:numFmt w:val="decimal"/>
      <w:start w:val="1"/>
    </w:lvl>
  </w:abstractNum>
  <w:abstractNum w:abstractNumId="365">
    <w:nsid w:val="77DA4A57"/>
    <w:multiLevelType w:val="hybridMultilevel"/>
    <w:lvl w:ilvl="0">
      <w:lvlJc w:val="left"/>
      <w:lvlText w:val="%1."/>
      <w:numFmt w:val="decimal"/>
      <w:start w:val="1"/>
    </w:lvl>
  </w:abstractNum>
  <w:abstractNum w:abstractNumId="366">
    <w:nsid w:val="1230F102"/>
    <w:multiLevelType w:val="hybridMultilevel"/>
    <w:lvl w:ilvl="0">
      <w:lvlJc w:val="left"/>
      <w:lvlText w:val="(%1)"/>
      <w:numFmt w:val="lowerRoman"/>
      <w:start w:val="1"/>
    </w:lvl>
  </w:abstractNum>
  <w:abstractNum w:abstractNumId="367">
    <w:nsid w:val="25B57ED4"/>
    <w:multiLevelType w:val="hybridMultilevel"/>
    <w:lvl w:ilvl="0">
      <w:lvlJc w:val="left"/>
      <w:lvlText w:val="(%1)"/>
      <w:numFmt w:val="lowerRoman"/>
      <w:start w:val="6"/>
    </w:lvl>
  </w:abstractNum>
  <w:abstractNum w:abstractNumId="368">
    <w:nsid w:val="47CF16C4"/>
    <w:multiLevelType w:val="hybridMultilevel"/>
    <w:lvl w:ilvl="0">
      <w:lvlJc w:val="left"/>
      <w:lvlText w:val="%1."/>
      <w:numFmt w:val="decimal"/>
      <w:start w:val="1"/>
    </w:lvl>
  </w:abstractNum>
  <w:abstractNum w:abstractNumId="369">
    <w:nsid w:val="527FA04C"/>
    <w:multiLevelType w:val="hybridMultilevel"/>
    <w:lvl w:ilvl="0">
      <w:lvlJc w:val="left"/>
      <w:lvlText w:val="(%1)"/>
      <w:numFmt w:val="decimal"/>
      <w:start w:val="1"/>
    </w:lvl>
  </w:abstractNum>
  <w:abstractNum w:abstractNumId="370">
    <w:nsid w:val="6FCC0624"/>
    <w:multiLevelType w:val="hybridMultilevel"/>
    <w:lvl w:ilvl="0">
      <w:lvlJc w:val="left"/>
      <w:lvlText w:val="%1."/>
      <w:numFmt w:val="upperLetter"/>
      <w:start w:val="1"/>
    </w:lvl>
  </w:abstractNum>
  <w:abstractNum w:abstractNumId="371">
    <w:nsid w:val="1DCDF795"/>
    <w:multiLevelType w:val="hybridMultilevel"/>
    <w:lvl w:ilvl="0">
      <w:lvlJc w:val="left"/>
      <w:lvlText w:val="%1."/>
      <w:numFmt w:val="decimal"/>
      <w:start w:val="1"/>
    </w:lvl>
  </w:abstractNum>
  <w:abstractNum w:abstractNumId="372">
    <w:nsid w:val="564580C8"/>
    <w:multiLevelType w:val="hybridMultilevel"/>
    <w:lvl w:ilvl="0">
      <w:lvlJc w:val="left"/>
      <w:lvlText w:val="(%1)"/>
      <w:numFmt w:val="lowerLetter"/>
      <w:start w:val="1"/>
    </w:lvl>
  </w:abstractNum>
  <w:abstractNum w:abstractNumId="373">
    <w:nsid w:val="508ED897"/>
    <w:multiLevelType w:val="hybridMultilevel"/>
    <w:lvl w:ilvl="0">
      <w:lvlJc w:val="left"/>
      <w:lvlText w:val="(%1)"/>
      <w:numFmt w:val="lowerLetter"/>
      <w:start w:val="7"/>
    </w:lvl>
  </w:abstractNum>
  <w:abstractNum w:abstractNumId="374">
    <w:nsid w:val="6A9126B5"/>
    <w:multiLevelType w:val="hybridMultilevel"/>
    <w:lvl w:ilvl="0">
      <w:lvlJc w:val="left"/>
      <w:lvlText w:val="(%1)"/>
      <w:numFmt w:val="lowerLetter"/>
      <w:start w:val="1"/>
    </w:lvl>
  </w:abstractNum>
  <w:abstractNum w:abstractNumId="375">
    <w:nsid w:val="68104812"/>
    <w:multiLevelType w:val="hybridMultilevel"/>
    <w:lvl w:ilvl="0">
      <w:lvlJc w:val="left"/>
      <w:lvlText w:val="(%1)"/>
      <w:numFmt w:val="lowerLetter"/>
      <w:start w:val="6"/>
    </w:lvl>
  </w:abstractNum>
  <w:abstractNum w:abstractNumId="376">
    <w:nsid w:val="62FB8680"/>
    <w:multiLevelType w:val="hybridMultilevel"/>
    <w:lvl w:ilvl="0">
      <w:lvlJc w:val="left"/>
      <w:lvlText w:val="(%1)"/>
      <w:numFmt w:val="decimal"/>
      <w:start w:val="1"/>
    </w:lvl>
  </w:abstractNum>
  <w:abstractNum w:abstractNumId="377">
    <w:nsid w:val="3A45530"/>
    <w:multiLevelType w:val="hybridMultilevel"/>
    <w:lvl w:ilvl="0">
      <w:lvlJc w:val="left"/>
      <w:lvlText w:val="(%1)"/>
      <w:numFmt w:val="lowerLetter"/>
      <w:start w:val="1"/>
    </w:lvl>
  </w:abstractNum>
  <w:abstractNum w:abstractNumId="378">
    <w:nsid w:val="4B9275D2"/>
    <w:multiLevelType w:val="hybridMultilevel"/>
    <w:lvl w:ilvl="0">
      <w:lvlJc w:val="left"/>
      <w:lvlText w:val="(%1)"/>
      <w:numFmt w:val="lowerLetter"/>
      <w:start w:val="1"/>
    </w:lvl>
  </w:abstractNum>
  <w:abstractNum w:abstractNumId="379">
    <w:nsid w:val="4F0CEEDB"/>
    <w:multiLevelType w:val="hybridMultilevel"/>
    <w:lvl w:ilvl="0">
      <w:lvlJc w:val="left"/>
      <w:lvlText w:val="(%1)"/>
      <w:numFmt w:val="lowerLetter"/>
      <w:start w:val="3"/>
    </w:lvl>
  </w:abstractNum>
  <w:abstractNum w:abstractNumId="380">
    <w:nsid w:val="61C30361"/>
    <w:multiLevelType w:val="hybridMultilevel"/>
    <w:lvl w:ilvl="0">
      <w:lvlJc w:val="left"/>
      <w:lvlText w:val="(%1)"/>
      <w:numFmt w:val="lowerLetter"/>
      <w:start w:val="7"/>
    </w:lvl>
  </w:abstractNum>
  <w:abstractNum w:abstractNumId="381">
    <w:nsid w:val="632099E0"/>
    <w:multiLevelType w:val="hybridMultilevel"/>
    <w:lvl w:ilvl="0">
      <w:lvlJc w:val="left"/>
      <w:lvlText w:val="(%1)"/>
      <w:numFmt w:val="lowerRoman"/>
      <w:start w:val="1"/>
    </w:lvl>
  </w:abstractNum>
  <w:abstractNum w:abstractNumId="382">
    <w:nsid w:val="24639756"/>
    <w:multiLevelType w:val="hybridMultilevel"/>
    <w:lvl w:ilvl="0">
      <w:lvlJc w:val="left"/>
      <w:lvlText w:val="(%1)"/>
      <w:numFmt w:val="lowerRoman"/>
      <w:start w:val="2"/>
    </w:lvl>
  </w:abstractNum>
  <w:abstractNum w:abstractNumId="383">
    <w:nsid w:val="9D30DFD"/>
    <w:multiLevelType w:val="hybridMultilevel"/>
    <w:lvl w:ilvl="0">
      <w:lvlJc w:val="left"/>
      <w:lvlText w:val="%1"/>
      <w:numFmt w:val="upperLetter"/>
      <w:start w:val="1"/>
    </w:lvl>
    <w:lvl w:ilvl="1">
      <w:lvlJc w:val="left"/>
      <w:lvlText w:val="(%2)"/>
      <w:numFmt w:val="upperLetter"/>
      <w:start w:val="1"/>
    </w:lvl>
  </w:abstractNum>
  <w:abstractNum w:abstractNumId="384">
    <w:nsid w:val="70A42016"/>
    <w:multiLevelType w:val="hybridMultilevel"/>
    <w:lvl w:ilvl="0">
      <w:lvlJc w:val="left"/>
      <w:lvlText w:val="(%1)"/>
      <w:numFmt w:val="upperLetter"/>
      <w:start w:val="2"/>
    </w:lvl>
    <w:lvl w:ilvl="1">
      <w:lvlJc w:val="left"/>
      <w:lvlText w:val="%2"/>
      <w:numFmt w:val="upperLetter"/>
      <w:start w:val="1"/>
    </w:lvl>
  </w:abstractNum>
  <w:abstractNum w:abstractNumId="385">
    <w:nsid w:val="161BC243"/>
    <w:multiLevelType w:val="hybridMultilevel"/>
    <w:lvl w:ilvl="0">
      <w:lvlJc w:val="left"/>
      <w:lvlText w:val="(%1)"/>
      <w:numFmt w:val="upperLetter"/>
      <w:start w:val="3"/>
    </w:lvl>
  </w:abstractNum>
  <w:abstractNum w:abstractNumId="386">
    <w:nsid w:val="16E908C8"/>
    <w:multiLevelType w:val="hybridMultilevel"/>
    <w:lvl w:ilvl="0">
      <w:lvlJc w:val="left"/>
      <w:lvlText w:val="(%1)"/>
      <w:numFmt w:val="lowerLetter"/>
      <w:start w:val="1"/>
    </w:lvl>
    <w:lvl w:ilvl="1">
      <w:lvlJc w:val="left"/>
      <w:lvlText w:val="(%2)"/>
      <w:numFmt w:val="lowerRoman"/>
      <w:start w:val="1"/>
    </w:lvl>
  </w:abstractNum>
  <w:abstractNum w:abstractNumId="387">
    <w:nsid w:val="2E0D767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8">
    <w:nsid w:val="38B59EF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9">
    <w:nsid w:val="307995CA"/>
    <w:multiLevelType w:val="hybridMultilevel"/>
    <w:lvl w:ilvl="0">
      <w:lvlJc w:val="left"/>
      <w:lvlText w:val="%1."/>
      <w:numFmt w:val="decimal"/>
      <w:start w:val="3"/>
    </w:lvl>
  </w:abstractNum>
  <w:abstractNum w:abstractNumId="390">
    <w:nsid w:val="52E2024D"/>
    <w:multiLevelType w:val="hybridMultilevel"/>
    <w:lvl w:ilvl="0">
      <w:lvlJc w:val="left"/>
      <w:lvlText w:val="%1."/>
      <w:numFmt w:val="decimal"/>
      <w:start w:val="4"/>
    </w:lvl>
  </w:abstractNum>
  <w:abstractNum w:abstractNumId="391">
    <w:nsid w:val="CE344B5"/>
    <w:multiLevelType w:val="hybridMultilevel"/>
    <w:lvl w:ilvl="0">
      <w:lvlJc w:val="left"/>
      <w:lvlText w:val="(%1)"/>
      <w:numFmt w:val="lowerLetter"/>
      <w:start w:val="1"/>
    </w:lvl>
    <w:lvl w:ilvl="1">
      <w:lvlJc w:val="left"/>
      <w:lvlText w:val="(%2)"/>
      <w:numFmt w:val="lowerRoman"/>
      <w:start w:val="1"/>
    </w:lvl>
  </w:abstractNum>
  <w:abstractNum w:abstractNumId="392">
    <w:nsid w:val="29B0E9A8"/>
    <w:multiLevelType w:val="hybridMultilevel"/>
    <w:lvl w:ilvl="0">
      <w:lvlJc w:val="left"/>
      <w:lvlText w:val="%1"/>
      <w:numFmt w:val="lowerLetter"/>
      <w:start w:val="1"/>
    </w:lvl>
    <w:lvl w:ilvl="1">
      <w:lvlJc w:val="left"/>
      <w:lvlText w:val="(%2)"/>
      <w:numFmt w:val="lowerLetter"/>
      <w:start w:val="35"/>
    </w:lvl>
  </w:abstractNum>
  <w:abstractNum w:abstractNumId="393">
    <w:nsid w:val="6F49CD8A"/>
    <w:multiLevelType w:val="hybridMultilevel"/>
    <w:lvl w:ilvl="0">
      <w:lvlJc w:val="left"/>
      <w:lvlText w:val="(%1)"/>
      <w:numFmt w:val="lowerLetter"/>
      <w:start w:val="2"/>
    </w:lvl>
    <w:lvl w:ilvl="1">
      <w:lvlJc w:val="left"/>
      <w:lvlText w:val="(%2)"/>
      <w:numFmt w:val="lowerLetter"/>
      <w:start w:val="9"/>
    </w:lvl>
  </w:abstractNum>
  <w:abstractNum w:abstractNumId="394">
    <w:nsid w:val="4DC5D907"/>
    <w:multiLevelType w:val="hybridMultilevel"/>
    <w:lvl w:ilvl="0">
      <w:lvlJc w:val="left"/>
      <w:lvlText w:val="(%1)"/>
      <w:numFmt w:val="lowerRoman"/>
      <w:start w:val="2"/>
    </w:lvl>
  </w:abstractNum>
  <w:abstractNum w:abstractNumId="395">
    <w:nsid w:val="D55945E"/>
    <w:multiLevelType w:val="hybridMultilevel"/>
    <w:lvl w:ilvl="0">
      <w:lvlJc w:val="left"/>
      <w:lvlText w:val="(%1)"/>
      <w:numFmt w:val="lowerLetter"/>
      <w:start w:val="6"/>
    </w:lvl>
    <w:lvl w:ilvl="1">
      <w:lvlJc w:val="left"/>
      <w:lvlText w:val="(%2)"/>
      <w:numFmt w:val="lowerRoman"/>
      <w:start w:val="1"/>
    </w:lvl>
  </w:abstractNum>
  <w:abstractNum w:abstractNumId="396">
    <w:nsid w:val="672417E1"/>
    <w:multiLevelType w:val="hybridMultilevel"/>
    <w:lvl w:ilvl="0">
      <w:lvlJc w:val="left"/>
      <w:lvlText w:val="%1"/>
      <w:numFmt w:val="lowerLetter"/>
      <w:start w:val="1"/>
    </w:lvl>
    <w:lvl w:ilvl="1">
      <w:lvlJc w:val="left"/>
      <w:lvlText w:val="(%2)"/>
      <w:numFmt w:val="lowerLetter"/>
      <w:start w:val="35"/>
    </w:lvl>
  </w:abstractNum>
  <w:abstractNum w:abstractNumId="397">
    <w:nsid w:val="5FF6CA09"/>
    <w:multiLevelType w:val="hybridMultilevel"/>
    <w:lvl w:ilvl="0">
      <w:lvlJc w:val="left"/>
      <w:lvlText w:val="(%1)"/>
      <w:numFmt w:val="lowerLetter"/>
      <w:start w:val="10"/>
    </w:lvl>
    <w:lvl w:ilvl="1">
      <w:lvlJc w:val="left"/>
      <w:lvlText w:val="%2"/>
      <w:numFmt w:val="lowerLetter"/>
      <w:start w:val="1"/>
    </w:lvl>
  </w:abstractNum>
  <w:abstractNum w:abstractNumId="398">
    <w:nsid w:val="330B1333"/>
    <w:multiLevelType w:val="hybridMultilevel"/>
    <w:lvl w:ilvl="0">
      <w:lvlJc w:val="left"/>
      <w:lvlText w:val="(%1)"/>
      <w:numFmt w:val="decimal"/>
      <w:start w:val="1"/>
    </w:lvl>
  </w:abstractNum>
  <w:abstractNum w:abstractNumId="399">
    <w:nsid w:val="2EF32EA6"/>
    <w:multiLevelType w:val="hybridMultilevel"/>
    <w:lvl w:ilvl="0">
      <w:lvlJc w:val="left"/>
      <w:lvlText w:val="%1."/>
      <w:numFmt w:val="decimal"/>
      <w:start w:val="5"/>
    </w:lvl>
  </w:abstractNum>
  <w:abstractNum w:abstractNumId="400">
    <w:nsid w:val="32766A55"/>
    <w:multiLevelType w:val="hybridMultilevel"/>
    <w:lvl w:ilvl="0">
      <w:lvlJc w:val="left"/>
      <w:lvlText w:val="(%1)"/>
      <w:numFmt w:val="lowerLetter"/>
      <w:start w:val="1"/>
    </w:lvl>
  </w:abstractNum>
  <w:abstractNum w:abstractNumId="401">
    <w:nsid w:val="22D71957"/>
    <w:multiLevelType w:val="hybridMultilevel"/>
    <w:lvl w:ilvl="0">
      <w:lvlJc w:val="left"/>
      <w:lvlText w:val="(%1)"/>
      <w:numFmt w:val="lowerLetter"/>
      <w:start w:val="2"/>
    </w:lvl>
  </w:abstractNum>
  <w:abstractNum w:abstractNumId="402">
    <w:nsid w:val="4CC1263B"/>
    <w:multiLevelType w:val="hybridMultilevel"/>
    <w:lvl w:ilvl="0">
      <w:lvlJc w:val="left"/>
      <w:lvlText w:val="(%1)"/>
      <w:numFmt w:val="lowerLetter"/>
      <w:start w:val="1"/>
    </w:lvl>
  </w:abstractNum>
  <w:abstractNum w:abstractNumId="403">
    <w:nsid w:val="8BBEB1D"/>
    <w:multiLevelType w:val="hybridMultilevel"/>
    <w:lvl w:ilvl="0">
      <w:lvlJc w:val="left"/>
      <w:lvlText w:val="%1."/>
      <w:numFmt w:val="decimal"/>
      <w:start w:val="6"/>
    </w:lvl>
  </w:abstractNum>
  <w:abstractNum w:abstractNumId="404">
    <w:nsid w:val="7365F1EE"/>
    <w:multiLevelType w:val="hybridMultilevel"/>
    <w:lvl w:ilvl="0">
      <w:lvlJc w:val="left"/>
      <w:lvlText w:val="%1)"/>
      <w:numFmt w:val="lowerLetter"/>
      <w:start w:val="1"/>
    </w:lvl>
  </w:abstractNum>
  <w:abstractNum w:abstractNumId="405">
    <w:nsid w:val="37524CF0"/>
    <w:multiLevelType w:val="hybridMultilevel"/>
    <w:lvl w:ilvl="0">
      <w:lvlJc w:val="left"/>
      <w:lvlText w:val="%1)"/>
      <w:numFmt w:val="lowerLetter"/>
      <w:start w:val="2"/>
    </w:lvl>
  </w:abstractNum>
  <w:abstractNum w:abstractNumId="406">
    <w:nsid w:val="70CC332F"/>
    <w:multiLevelType w:val="hybridMultilevel"/>
    <w:lvl w:ilvl="0">
      <w:lvlJc w:val="left"/>
      <w:lvlText w:val="%1."/>
      <w:numFmt w:val="decimal"/>
      <w:start w:val="7"/>
    </w:lvl>
  </w:abstractNum>
  <w:abstractNum w:abstractNumId="407">
    <w:nsid w:val="5661786E"/>
    <w:multiLevelType w:val="hybridMultilevel"/>
    <w:lvl w:ilvl="0">
      <w:lvlJc w:val="left"/>
      <w:lvlText w:val="(%1)"/>
      <w:numFmt w:val="lowerRoman"/>
      <w:start w:val="1"/>
    </w:lvl>
  </w:abstractNum>
  <w:abstractNum w:abstractNumId="408">
    <w:nsid w:val="3AF6A220"/>
    <w:multiLevelType w:val="hybridMultilevel"/>
    <w:lvl w:ilvl="0">
      <w:lvlJc w:val="left"/>
      <w:lvlText w:val="(%1)"/>
      <w:numFmt w:val="lowerRoman"/>
      <w:start w:val="2"/>
    </w:lvl>
  </w:abstractNum>
  <w:abstractNum w:abstractNumId="409">
    <w:nsid w:val="3C5EA902"/>
    <w:multiLevelType w:val="hybridMultilevel"/>
    <w:lvl w:ilvl="0">
      <w:lvlJc w:val="left"/>
      <w:lvlText w:val="(%1)"/>
      <w:numFmt w:val="lowerLetter"/>
      <w:start w:val="1"/>
    </w:lvl>
  </w:abstractNum>
  <w:abstractNum w:abstractNumId="410">
    <w:nsid w:val="256E6749"/>
    <w:multiLevelType w:val="hybridMultilevel"/>
    <w:lvl w:ilvl="0">
      <w:lvlJc w:val="left"/>
      <w:lvlText w:val="%1."/>
      <w:numFmt w:val="decimal"/>
      <w:start w:val="8"/>
    </w:lvl>
  </w:abstractNum>
  <w:abstractNum w:abstractNumId="411">
    <w:nsid w:val="1CB9A581"/>
    <w:multiLevelType w:val="hybridMultilevel"/>
    <w:lvl w:ilvl="0">
      <w:lvlJc w:val="left"/>
      <w:lvlText w:val="%1."/>
      <w:numFmt w:val="decimal"/>
      <w:start w:val="9"/>
    </w:lvl>
  </w:abstractNum>
  <w:abstractNum w:abstractNumId="412">
    <w:nsid w:val="1F7F42E2"/>
    <w:multiLevelType w:val="hybridMultilevel"/>
    <w:lvl w:ilvl="0">
      <w:lvlJc w:val="left"/>
      <w:lvlText w:val="%1."/>
      <w:numFmt w:val="decimal"/>
      <w:start w:val="10"/>
    </w:lvl>
  </w:abstractNum>
  <w:abstractNum w:abstractNumId="413">
    <w:nsid w:val="49D1FEA0"/>
    <w:multiLevelType w:val="hybridMultilevel"/>
    <w:lvl w:ilvl="0">
      <w:lvlJc w:val="left"/>
      <w:lvlText w:val="(%1)"/>
      <w:numFmt w:val="lowerLetter"/>
      <w:start w:val="1"/>
    </w:lvl>
  </w:abstractNum>
  <w:abstractNum w:abstractNumId="414">
    <w:nsid w:val="268CB37F"/>
    <w:multiLevelType w:val="hybridMultilevel"/>
    <w:lvl w:ilvl="0">
      <w:lvlJc w:val="left"/>
      <w:lvlText w:val="(%1)"/>
      <w:numFmt w:val="lowerLetter"/>
      <w:start w:val="3"/>
    </w:lvl>
  </w:abstractNum>
  <w:abstractNum w:abstractNumId="415">
    <w:nsid w:val="102362F8"/>
    <w:multiLevelType w:val="hybridMultilevel"/>
    <w:lvl w:ilvl="0">
      <w:lvlJc w:val="left"/>
      <w:lvlText w:val="(%1)"/>
      <w:numFmt w:val="lowerLetter"/>
      <w:start w:val="1"/>
    </w:lvl>
  </w:abstractNum>
  <w:abstractNum w:abstractNumId="416">
    <w:nsid w:val="5FEDC0E3"/>
    <w:multiLevelType w:val="hybridMultilevel"/>
    <w:lvl w:ilvl="0">
      <w:lvlJc w:val="left"/>
      <w:lvlText w:val="(%1)"/>
      <w:numFmt w:val="lowerLetter"/>
      <w:start w:val="1"/>
    </w:lvl>
  </w:abstractNum>
  <w:abstractNum w:abstractNumId="417">
    <w:nsid w:val="3D75BC47"/>
    <w:multiLevelType w:val="hybridMultilevel"/>
    <w:lvl w:ilvl="0">
      <w:lvlJc w:val="left"/>
      <w:lvlText w:val="(%1)"/>
      <w:numFmt w:val="lowerLetter"/>
      <w:start w:val="2"/>
    </w:lvl>
  </w:abstractNum>
  <w:abstractNum w:abstractNumId="418">
    <w:nsid w:val="3E30D969"/>
    <w:multiLevelType w:val="hybridMultilevel"/>
    <w:lvl w:ilvl="0">
      <w:lvlJc w:val="left"/>
      <w:lvlText w:val="(%1)"/>
      <w:numFmt w:val="lowerLetter"/>
      <w:start w:val="1"/>
    </w:lvl>
    <w:lvl w:ilvl="1">
      <w:lvlJc w:val="left"/>
      <w:lvlText w:val="(%2)"/>
      <w:numFmt w:val="lowerRoman"/>
      <w:start w:val="1"/>
    </w:lvl>
  </w:abstractNum>
  <w:abstractNum w:abstractNumId="419">
    <w:nsid w:val="18A35FE3"/>
    <w:multiLevelType w:val="hybridMultilevel"/>
    <w:lvl w:ilvl="0">
      <w:lvlJc w:val="left"/>
      <w:lvlText w:val="%1."/>
      <w:numFmt w:val="decimal"/>
      <w:start w:val="11"/>
    </w:lvl>
  </w:abstractNum>
  <w:abstractNum w:abstractNumId="420">
    <w:nsid w:val="6DEF5211"/>
    <w:multiLevelType w:val="hybridMultilevel"/>
    <w:lvl w:ilvl="0">
      <w:lvlJc w:val="left"/>
      <w:lvlText w:val="%1."/>
      <w:numFmt w:val="decimal"/>
      <w:start w:val="12"/>
    </w:lvl>
  </w:abstractNum>
  <w:abstractNum w:abstractNumId="421">
    <w:nsid w:val="1112DBB6"/>
    <w:multiLevelType w:val="hybridMultilevel"/>
    <w:lvl w:ilvl="0">
      <w:lvlJc w:val="left"/>
      <w:lvlText w:val="(%1)"/>
      <w:numFmt w:val="lowerLetter"/>
      <w:start w:val="2"/>
    </w:lvl>
    <w:lvl w:ilvl="1">
      <w:lvlJc w:val="left"/>
      <w:lvlText w:val="(%2)"/>
      <w:numFmt w:val="lowerRoman"/>
      <w:start w:val="1"/>
    </w:lvl>
  </w:abstractNum>
  <w:abstractNum w:abstractNumId="422">
    <w:nsid w:val="2586A498"/>
    <w:multiLevelType w:val="hybridMultilevel"/>
    <w:lvl w:ilvl="0">
      <w:lvlJc w:val="left"/>
      <w:lvlText w:val="(%1)"/>
      <w:numFmt w:val="lowerLetter"/>
      <w:start w:val="1"/>
    </w:lvl>
  </w:abstractNum>
  <w:abstractNum w:abstractNumId="423">
    <w:nsid w:val="17A03BB9"/>
    <w:multiLevelType w:val="hybridMultilevel"/>
    <w:lvl w:ilvl="0">
      <w:lvlJc w:val="left"/>
      <w:lvlText w:val="%1."/>
      <w:numFmt w:val="decimal"/>
      <w:start w:val="13"/>
    </w:lvl>
  </w:abstractNum>
  <w:abstractNum w:abstractNumId="424">
    <w:nsid w:val="5CA941"/>
    <w:multiLevelType w:val="hybridMultilevel"/>
    <w:lvl w:ilvl="0">
      <w:lvlJc w:val="left"/>
      <w:lvlText w:val="(%1)"/>
      <w:numFmt w:val="lowerLetter"/>
      <w:start w:val="1"/>
    </w:lvl>
  </w:abstractNum>
  <w:abstractNum w:abstractNumId="425">
    <w:nsid w:val="734C7D9F"/>
    <w:multiLevelType w:val="hybridMultilevel"/>
    <w:lvl w:ilvl="0">
      <w:lvlJc w:val="left"/>
      <w:lvlText w:val="%1"/>
      <w:numFmt w:val="decimal"/>
      <w:start w:val="1"/>
    </w:lvl>
    <w:lvl w:ilvl="1">
      <w:lvlJc w:val="left"/>
      <w:lvlText w:val="(%2)"/>
      <w:numFmt w:val="lowerLetter"/>
      <w:start w:val="4"/>
    </w:lvl>
  </w:abstractNum>
  <w:abstractNum w:abstractNumId="426">
    <w:nsid w:val="24F5D018"/>
    <w:multiLevelType w:val="hybridMultilevel"/>
    <w:lvl w:ilvl="0">
      <w:lvlJc w:val="left"/>
      <w:lvlText w:val="%1."/>
      <w:numFmt w:val="decimal"/>
      <w:start w:val="14"/>
    </w:lvl>
    <w:lvl w:ilvl="1">
      <w:lvlJc w:val="left"/>
      <w:lvlText w:val="%2"/>
      <w:numFmt w:val="lowerLetter"/>
      <w:start w:val="1"/>
    </w:lvl>
  </w:abstractNum>
  <w:abstractNum w:abstractNumId="427">
    <w:nsid w:val="6780C122"/>
    <w:multiLevelType w:val="hybridMultilevel"/>
    <w:lvl w:ilvl="0">
      <w:lvlJc w:val="left"/>
      <w:lvlText w:val="(%1)"/>
      <w:numFmt w:val="lowerLetter"/>
      <w:start w:val="1"/>
    </w:lvl>
  </w:abstractNum>
  <w:abstractNum w:abstractNumId="428">
    <w:nsid w:val="534347A8"/>
    <w:multiLevelType w:val="hybridMultilevel"/>
    <w:lvl w:ilvl="0">
      <w:lvlJc w:val="left"/>
      <w:lvlText w:val="(%1)"/>
      <w:numFmt w:val="lowerLetter"/>
      <w:start w:val="4"/>
    </w:lvl>
    <w:lvl w:ilvl="1">
      <w:lvlJc w:val="left"/>
      <w:lvlText w:val="(%2)"/>
      <w:numFmt w:val="lowerRoman"/>
      <w:start w:val="1"/>
    </w:lvl>
  </w:abstractNum>
  <w:abstractNum w:abstractNumId="429">
    <w:nsid w:val="5800E34B"/>
    <w:multiLevelType w:val="hybridMultilevel"/>
    <w:lvl w:ilvl="0">
      <w:lvlJc w:val="left"/>
      <w:lvlText w:val="(%1)"/>
      <w:numFmt w:val="lowerLetter"/>
      <w:start w:val="8"/>
    </w:lvl>
  </w:abstractNum>
  <w:abstractNum w:abstractNumId="430">
    <w:nsid w:val="1673EFC8"/>
    <w:multiLevelType w:val="hybridMultilevel"/>
    <w:lvl w:ilvl="0">
      <w:lvlJc w:val="left"/>
      <w:lvlText w:val="(%1)"/>
      <w:numFmt w:val="lowerRoman"/>
      <w:start w:val="1"/>
    </w:lvl>
  </w:abstractNum>
  <w:abstractNum w:abstractNumId="431">
    <w:nsid w:val="5B9B1FD"/>
    <w:multiLevelType w:val="hybridMultilevel"/>
    <w:lvl w:ilvl="0">
      <w:lvlJc w:val="left"/>
      <w:lvlText w:val="(%1)"/>
      <w:numFmt w:val="lowerLetter"/>
      <w:start w:val="11"/>
    </w:lvl>
    <w:lvl w:ilvl="1">
      <w:lvlJc w:val="left"/>
      <w:lvlText w:val="(%2)"/>
      <w:numFmt w:val="lowerRoman"/>
      <w:start w:val="1"/>
    </w:lvl>
  </w:abstractNum>
  <w:abstractNum w:abstractNumId="432">
    <w:nsid w:val="7AD7FCA2"/>
    <w:multiLevelType w:val="hybridMultilevel"/>
    <w:lvl w:ilvl="0">
      <w:lvlJc w:val="left"/>
      <w:lvlText w:val="(%1)"/>
      <w:numFmt w:val="lowerLetter"/>
      <w:start w:val="13"/>
    </w:lvl>
  </w:abstractNum>
  <w:abstractNum w:abstractNumId="433">
    <w:nsid w:val="63351604"/>
    <w:multiLevelType w:val="hybridMultilevel"/>
    <w:lvl w:ilvl="0">
      <w:lvlJc w:val="left"/>
      <w:lvlText w:val="(%1)"/>
      <w:numFmt w:val="lowerLetter"/>
      <w:start w:val="16"/>
    </w:lvl>
    <w:lvl w:ilvl="1">
      <w:lvlJc w:val="left"/>
      <w:lvlText w:val="(%2)"/>
      <w:numFmt w:val="upperLetter"/>
      <w:start w:val="1"/>
    </w:lvl>
  </w:abstractNum>
  <w:abstractNum w:abstractNumId="434">
    <w:nsid w:val="E759D1A"/>
    <w:multiLevelType w:val="hybridMultilevel"/>
    <w:lvl w:ilvl="0">
      <w:lvlJc w:val="left"/>
      <w:lvlText w:val="(%1)"/>
      <w:numFmt w:val="lowerLetter"/>
      <w:start w:val="17"/>
    </w:lvl>
  </w:abstractNum>
  <w:abstractNum w:abstractNumId="435">
    <w:nsid w:val="6E3DEE90"/>
    <w:multiLevelType w:val="hybridMultilevel"/>
    <w:lvl w:ilvl="0">
      <w:lvlJc w:val="left"/>
      <w:lvlText w:val="(%1)"/>
      <w:numFmt w:val="lowerLetter"/>
      <w:start w:val="1"/>
    </w:lvl>
  </w:abstractNum>
  <w:abstractNum w:abstractNumId="436">
    <w:nsid w:val="1A8762F4"/>
    <w:multiLevelType w:val="hybridMultilevel"/>
    <w:lvl w:ilvl="0">
      <w:lvlJc w:val="left"/>
      <w:lvlText w:val="(%1)"/>
      <w:numFmt w:val="lowerLetter"/>
      <w:start w:val="1"/>
    </w:lvl>
  </w:abstractNum>
  <w:abstractNum w:abstractNumId="437">
    <w:nsid w:val="7F41D049"/>
    <w:multiLevelType w:val="hybridMultilevel"/>
    <w:lvl w:ilvl="0">
      <w:lvlJc w:val="left"/>
      <w:lvlText w:val="%1"/>
      <w:numFmt w:val="decimal"/>
      <w:start w:val="1"/>
    </w:lvl>
    <w:lvl w:ilvl="1">
      <w:lvlJc w:val="left"/>
      <w:lvlText w:val="(%2)"/>
      <w:numFmt w:val="lowerLetter"/>
      <w:start w:val="5"/>
    </w:lvl>
  </w:abstractNum>
  <w:abstractNum w:abstractNumId="438">
    <w:nsid w:val="449F66FE"/>
    <w:multiLevelType w:val="hybridMultilevel"/>
    <w:lvl w:ilvl="0">
      <w:lvlJc w:val="left"/>
      <w:lvlText w:val="%1."/>
      <w:numFmt w:val="decimal"/>
      <w:start w:val="15"/>
    </w:lvl>
    <w:lvl w:ilvl="1">
      <w:lvlJc w:val="left"/>
      <w:lvlText w:val="%2"/>
      <w:numFmt w:val="lowerLetter"/>
      <w:start w:val="1"/>
    </w:lvl>
  </w:abstractNum>
  <w:abstractNum w:abstractNumId="439">
    <w:nsid w:val="557E0515"/>
    <w:multiLevelType w:val="hybridMultilevel"/>
    <w:lvl w:ilvl="0">
      <w:lvlJc w:val="left"/>
      <w:lvlText w:val="(%1)"/>
      <w:numFmt w:val="lowerLetter"/>
      <w:start w:val="1"/>
    </w:lvl>
    <w:lvl w:ilvl="1">
      <w:lvlJc w:val="left"/>
      <w:lvlText w:val="(%2)"/>
      <w:numFmt w:val="lowerRoman"/>
      <w:start w:val="1"/>
    </w:lvl>
  </w:abstractNum>
  <w:abstractNum w:abstractNumId="440">
    <w:nsid w:val="3BA0794B"/>
    <w:multiLevelType w:val="hybridMultilevel"/>
    <w:lvl w:ilvl="0">
      <w:lvlJc w:val="left"/>
      <w:lvlText w:val="%1"/>
      <w:numFmt w:val="lowerLetter"/>
      <w:start w:val="1"/>
    </w:lvl>
    <w:lvl w:ilvl="1">
      <w:lvlJc w:val="left"/>
      <w:lvlText w:val="(%2)"/>
      <w:numFmt w:val="lowerRoman"/>
      <w:start w:val="4"/>
    </w:lvl>
  </w:abstractNum>
  <w:abstractNum w:abstractNumId="441">
    <w:nsid w:val="6A0DCE48"/>
    <w:multiLevelType w:val="hybridMultilevel"/>
    <w:lvl w:ilvl="0">
      <w:lvlJc w:val="left"/>
      <w:lvlText w:val="(%1)"/>
      <w:numFmt w:val="lowerLetter"/>
      <w:start w:val="2"/>
    </w:lvl>
    <w:lvl w:ilvl="1">
      <w:lvlJc w:val="left"/>
      <w:lvlText w:val="(%2)"/>
      <w:numFmt w:val="lowerRoman"/>
      <w:start w:val="1"/>
    </w:lvl>
  </w:abstractNum>
  <w:abstractNum w:abstractNumId="442">
    <w:nsid w:val="7237AA96"/>
    <w:multiLevelType w:val="hybridMultilevel"/>
    <w:lvl w:ilvl="0">
      <w:lvlJc w:val="left"/>
      <w:lvlText w:val="(%1)"/>
      <w:numFmt w:val="lowerRoman"/>
      <w:start w:val="7"/>
    </w:lvl>
  </w:abstractNum>
  <w:abstractNum w:abstractNumId="443">
    <w:nsid w:val="5B1FBC2D"/>
    <w:multiLevelType w:val="hybridMultilevel"/>
    <w:lvl w:ilvl="0">
      <w:lvlJc w:val="left"/>
      <w:lvlText w:val="(%1)"/>
      <w:numFmt w:val="lowerLetter"/>
      <w:start w:val="3"/>
    </w:lvl>
    <w:lvl w:ilvl="1">
      <w:lvlJc w:val="left"/>
      <w:lvlText w:val="(%2)"/>
      <w:numFmt w:val="lowerRoman"/>
      <w:start w:val="1"/>
    </w:lvl>
  </w:abstractNum>
  <w:abstractNum w:abstractNumId="444">
    <w:nsid w:val="33DFCCE8"/>
    <w:multiLevelType w:val="hybridMultilevel"/>
    <w:lvl w:ilvl="0">
      <w:lvlJc w:val="left"/>
      <w:lvlText w:val="(%1)"/>
      <w:numFmt w:val="lowerLetter"/>
      <w:start w:val="4"/>
    </w:lvl>
    <w:lvl w:ilvl="1">
      <w:lvlJc w:val="left"/>
      <w:lvlText w:val="(%2)"/>
      <w:numFmt w:val="lowerRoman"/>
      <w:start w:val="1"/>
    </w:lvl>
  </w:abstractNum>
  <w:abstractNum w:abstractNumId="445">
    <w:nsid w:val="18C45E15"/>
    <w:multiLevelType w:val="hybridMultilevel"/>
    <w:lvl w:ilvl="0">
      <w:lvlJc w:val="left"/>
      <w:lvlText w:val="(%1)"/>
      <w:numFmt w:val="lowerLetter"/>
      <w:start w:val="5"/>
    </w:lvl>
  </w:abstractNum>
  <w:abstractNum w:abstractNumId="446">
    <w:nsid w:val="6B431F25"/>
    <w:multiLevelType w:val="hybridMultilevel"/>
    <w:lvl w:ilvl="0">
      <w:lvlJc w:val="left"/>
      <w:lvlText w:val="(%1)"/>
      <w:numFmt w:val="lowerRoman"/>
      <w:start w:val="1"/>
    </w:lvl>
  </w:abstractNum>
  <w:abstractNum w:abstractNumId="447">
    <w:nsid w:val="13CD8DCB"/>
    <w:multiLevelType w:val="hybridMultilevel"/>
    <w:lvl w:ilvl="0">
      <w:lvlJc w:val="left"/>
      <w:lvlText w:val="(%1)"/>
      <w:numFmt w:val="decimal"/>
      <w:start w:val="1"/>
    </w:lvl>
  </w:abstractNum>
  <w:abstractNum w:abstractNumId="448">
    <w:nsid w:val="563A1A5C"/>
    <w:multiLevelType w:val="hybridMultilevel"/>
    <w:lvl w:ilvl="0">
      <w:lvlJc w:val="left"/>
      <w:lvlText w:val="(%1)"/>
      <w:numFmt w:val="lowerLetter"/>
      <w:start w:val="11"/>
    </w:lvl>
  </w:abstractNum>
  <w:abstractNum w:abstractNumId="449">
    <w:nsid w:val="2973F88F"/>
    <w:multiLevelType w:val="hybridMultilevel"/>
    <w:lvl w:ilvl="0">
      <w:lvlJc w:val="left"/>
      <w:lvlText w:val="(%1)"/>
      <w:numFmt w:val="decimal"/>
      <w:start w:val="1"/>
    </w:lvl>
  </w:abstractNum>
  <w:abstractNum w:abstractNumId="450">
    <w:nsid w:val="2C70EDAE"/>
    <w:multiLevelType w:val="hybridMultilevel"/>
    <w:lvl w:ilvl="0">
      <w:lvlJc w:val="left"/>
      <w:lvlText w:val="(%1)"/>
      <w:numFmt w:val="lowerLetter"/>
      <w:start w:val="13"/>
    </w:lvl>
  </w:abstractNum>
  <w:abstractNum w:abstractNumId="451">
    <w:nsid w:val="44296C6D"/>
    <w:multiLevelType w:val="hybridMultilevel"/>
    <w:lvl w:ilvl="0">
      <w:lvlJc w:val="left"/>
      <w:lvlText w:val="(%1)"/>
      <w:numFmt w:val="lowerLetter"/>
      <w:start w:val="14"/>
    </w:lvl>
  </w:abstractNum>
  <w:abstractNum w:abstractNumId="452">
    <w:nsid w:val="3A86D445"/>
    <w:multiLevelType w:val="hybridMultilevel"/>
    <w:lvl w:ilvl="0">
      <w:lvlJc w:val="left"/>
      <w:lvlText w:val="(%1)"/>
      <w:numFmt w:val="lowerLetter"/>
      <w:start w:val="1"/>
    </w:lvl>
    <w:lvl w:ilvl="1">
      <w:lvlJc w:val="left"/>
      <w:lvlText w:val="(%2)"/>
      <w:numFmt w:val="lowerRoman"/>
      <w:start w:val="1"/>
    </w:lvl>
  </w:abstractNum>
  <w:abstractNum w:abstractNumId="453">
    <w:nsid w:val="51F79246"/>
    <w:multiLevelType w:val="hybridMultilevel"/>
    <w:lvl w:ilvl="0">
      <w:lvlJc w:val="left"/>
      <w:lvlText w:val="(%1)"/>
      <w:numFmt w:val="lowerRoman"/>
      <w:start w:val="2"/>
    </w:lvl>
  </w:abstractNum>
  <w:abstractNum w:abstractNumId="454">
    <w:nsid w:val="5BC9A827"/>
    <w:multiLevelType w:val="hybridMultilevel"/>
    <w:lvl w:ilvl="0">
      <w:lvlJc w:val="left"/>
      <w:lvlText w:val="(%1)"/>
      <w:numFmt w:val="lowerLetter"/>
      <w:start w:val="3"/>
    </w:lvl>
    <w:lvl w:ilvl="1">
      <w:lvlJc w:val="left"/>
      <w:lvlText w:val="(%2)"/>
      <w:numFmt w:val="lowerRoman"/>
      <w:start w:val="1"/>
    </w:lvl>
  </w:abstractNum>
  <w:abstractNum w:abstractNumId="455">
    <w:nsid w:val="3AE37D86"/>
    <w:multiLevelType w:val="hybridMultilevel"/>
    <w:lvl w:ilvl="0">
      <w:lvlJc w:val="left"/>
      <w:lvlText w:val="(%1)"/>
      <w:numFmt w:val="lowerLetter"/>
      <w:start w:val="6"/>
    </w:lvl>
  </w:abstractNum>
  <w:abstractNum w:abstractNumId="456">
    <w:nsid w:val="45440FE5"/>
    <w:multiLevelType w:val="hybridMultilevel"/>
    <w:lvl w:ilvl="0">
      <w:lvlJc w:val="left"/>
      <w:lvlText w:val="(%1)"/>
      <w:numFmt w:val="lowerLetter"/>
      <w:start w:val="10"/>
    </w:lvl>
  </w:abstractNum>
  <w:abstractNum w:abstractNumId="457">
    <w:nsid w:val="BF783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8">
    <w:nsid w:val="22643EA9"/>
    <w:multiLevelType w:val="hybridMultilevel"/>
    <w:lvl w:ilvl="0">
      <w:lvlJc w:val="left"/>
      <w:lvlText w:val="(%1)"/>
      <w:numFmt w:val="lowerLetter"/>
      <w:start w:val="3"/>
    </w:lvl>
  </w:abstractNum>
  <w:abstractNum w:abstractNumId="459">
    <w:nsid w:val="1887578D"/>
    <w:multiLevelType w:val="hybridMultilevel"/>
    <w:lvl w:ilvl="0">
      <w:lvlJc w:val="left"/>
      <w:lvlText w:val="%1."/>
      <w:numFmt w:val="decimal"/>
      <w:start w:val="16"/>
    </w:lvl>
  </w:abstractNum>
  <w:abstractNum w:abstractNumId="460">
    <w:nsid w:val="58C05B8A"/>
    <w:multiLevelType w:val="hybridMultilevel"/>
    <w:lvl w:ilvl="0">
      <w:lvlJc w:val="left"/>
      <w:lvlText w:val="(%1)"/>
      <w:numFmt w:val="lowerLetter"/>
      <w:start w:val="1"/>
    </w:lvl>
  </w:abstractNum>
  <w:abstractNum w:abstractNumId="461">
    <w:nsid w:val="38D82E71"/>
    <w:multiLevelType w:val="hybridMultilevel"/>
    <w:lvl w:ilvl="0">
      <w:lvlJc w:val="left"/>
      <w:lvlText w:val="(%1)"/>
      <w:numFmt w:val="lowerLetter"/>
      <w:start w:val="2"/>
    </w:lvl>
    <w:lvl w:ilvl="1">
      <w:lvlJc w:val="left"/>
      <w:lvlText w:val="(%2)"/>
      <w:numFmt w:val="lowerRoman"/>
      <w:start w:val="1"/>
    </w:lvl>
  </w:abstractNum>
  <w:abstractNum w:abstractNumId="462">
    <w:nsid w:val="1E41098A"/>
    <w:multiLevelType w:val="hybridMultilevel"/>
    <w:lvl w:ilvl="0">
      <w:lvlJc w:val="left"/>
      <w:lvlText w:val="%1"/>
      <w:numFmt w:val="lowerLetter"/>
      <w:start w:val="1"/>
    </w:lvl>
    <w:lvl w:ilvl="1">
      <w:lvlJc w:val="left"/>
      <w:lvlText w:val="(%2)"/>
      <w:numFmt w:val="lowerRoman"/>
      <w:start w:val="3"/>
    </w:lvl>
  </w:abstractNum>
  <w:abstractNum w:abstractNumId="463">
    <w:nsid w:val="5398582C"/>
    <w:multiLevelType w:val="hybridMultilevel"/>
    <w:lvl w:ilvl="0">
      <w:lvlJc w:val="left"/>
      <w:lvlText w:val="(%1)"/>
      <w:numFmt w:val="lowerLetter"/>
      <w:start w:val="6"/>
    </w:lvl>
    <w:lvl w:ilvl="1">
      <w:lvlJc w:val="left"/>
      <w:lvlText w:val="(%2)"/>
      <w:numFmt w:val="lowerRoman"/>
      <w:start w:val="1"/>
    </w:lvl>
  </w:abstractNum>
  <w:abstractNum w:abstractNumId="464">
    <w:nsid w:val="1C0D4475"/>
    <w:multiLevelType w:val="hybridMultilevel"/>
    <w:lvl w:ilvl="0">
      <w:lvlJc w:val="left"/>
      <w:lvlText w:val="%1"/>
      <w:numFmt w:val="lowerLetter"/>
      <w:start w:val="1"/>
    </w:lvl>
    <w:lvl w:ilvl="1">
      <w:lvlJc w:val="left"/>
      <w:lvlText w:val="(%2)"/>
      <w:numFmt w:val="lowerLetter"/>
      <w:start w:val="35"/>
    </w:lvl>
  </w:abstractNum>
  <w:abstractNum w:abstractNumId="465">
    <w:nsid w:val="2CB6A6A4"/>
    <w:multiLevelType w:val="hybridMultilevel"/>
    <w:lvl w:ilvl="0">
      <w:lvlJc w:val="left"/>
      <w:lvlText w:val="(%1)"/>
      <w:numFmt w:val="lowerLetter"/>
      <w:start w:val="8"/>
    </w:lvl>
    <w:lvl w:ilvl="1">
      <w:lvlJc w:val="left"/>
      <w:lvlText w:val="(%2)"/>
      <w:numFmt w:val="lowerLetter"/>
      <w:start w:val="9"/>
    </w:lvl>
  </w:abstractNum>
  <w:abstractNum w:abstractNumId="466">
    <w:nsid w:val="41D646BC"/>
    <w:multiLevelType w:val="hybridMultilevel"/>
    <w:lvl w:ilvl="0">
      <w:lvlJc w:val="left"/>
      <w:lvlText w:val="%1"/>
      <w:numFmt w:val="lowerLetter"/>
      <w:start w:val="1"/>
    </w:lvl>
    <w:lvl w:ilvl="1">
      <w:lvlJc w:val="left"/>
      <w:lvlText w:val="(%2)"/>
      <w:numFmt w:val="lowerRoman"/>
      <w:start w:val="2"/>
    </w:lvl>
  </w:abstractNum>
  <w:abstractNum w:abstractNumId="467">
    <w:nsid w:val="3694A76A"/>
    <w:multiLevelType w:val="hybridMultilevel"/>
    <w:lvl w:ilvl="0">
      <w:lvlJc w:val="left"/>
      <w:lvlText w:val="(%1)"/>
      <w:numFmt w:val="lowerLetter"/>
      <w:start w:val="9"/>
    </w:lvl>
    <w:lvl w:ilvl="1">
      <w:lvlJc w:val="left"/>
      <w:lvlText w:val="%2"/>
      <w:numFmt w:val="lowerRoman"/>
      <w:start w:val="1"/>
    </w:lvl>
  </w:abstractNum>
  <w:abstractNum w:abstractNumId="468">
    <w:nsid w:val="2BF876EE"/>
    <w:multiLevelType w:val="hybridMultilevel"/>
    <w:lvl w:ilvl="0">
      <w:lvlJc w:val="left"/>
      <w:lvlText w:val="(%1)"/>
      <w:numFmt w:val="lowerLetter"/>
      <w:start w:val="11"/>
    </w:lvl>
  </w:abstractNum>
  <w:abstractNum w:abstractNumId="469">
    <w:nsid w:val="675ADBA"/>
    <w:multiLevelType w:val="hybridMultilevel"/>
    <w:lvl w:ilvl="0">
      <w:lvlJc w:val="left"/>
      <w:lvlText w:val="(%1)"/>
      <w:numFmt w:val="decimal"/>
      <w:start w:val="1"/>
    </w:lvl>
  </w:abstractNum>
  <w:abstractNum w:abstractNumId="470">
    <w:nsid w:val="C12AC7F"/>
    <w:multiLevelType w:val="hybridMultilevel"/>
    <w:lvl w:ilvl="0">
      <w:lvlJc w:val="left"/>
      <w:lvlText w:val="(%1)"/>
      <w:numFmt w:val="lowerLetter"/>
      <w:start w:val="13"/>
    </w:lvl>
  </w:abstractNum>
  <w:abstractNum w:abstractNumId="471">
    <w:nsid w:val="6798F039"/>
    <w:multiLevelType w:val="hybridMultilevel"/>
    <w:lvl w:ilvl="0">
      <w:lvlJc w:val="left"/>
      <w:lvlText w:val="(%1)"/>
      <w:numFmt w:val="lowerLetter"/>
      <w:start w:val="14"/>
    </w:lvl>
  </w:abstractNum>
  <w:abstractNum w:abstractNumId="472">
    <w:nsid w:val="70837C02"/>
    <w:multiLevelType w:val="hybridMultilevel"/>
    <w:lvl w:ilvl="0">
      <w:lvlJc w:val="left"/>
      <w:lvlText w:val="(%1)"/>
      <w:numFmt w:val="lowerLetter"/>
      <w:start w:val="16"/>
    </w:lvl>
  </w:abstractNum>
  <w:abstractNum w:abstractNumId="473">
    <w:nsid w:val="7E4A5715"/>
    <w:multiLevelType w:val="hybridMultilevel"/>
    <w:lvl w:ilvl="0">
      <w:lvlJc w:val="left"/>
      <w:lvlText w:val="(%1)"/>
      <w:numFmt w:val="lowerLetter"/>
      <w:start w:val="21"/>
    </w:lvl>
  </w:abstractNum>
  <w:abstractNum w:abstractNumId="474">
    <w:nsid w:val="42B8AC67"/>
    <w:multiLevelType w:val="hybridMultilevel"/>
    <w:lvl w:ilvl="0">
      <w:lvlJc w:val="left"/>
      <w:lvlText w:val="(%1)"/>
      <w:numFmt w:val="lowerLetter"/>
      <w:start w:val="1"/>
    </w:lvl>
  </w:abstractNum>
  <w:abstractNum w:abstractNumId="475">
    <w:nsid w:val="246348EA"/>
    <w:multiLevelType w:val="hybridMultilevel"/>
    <w:lvl w:ilvl="0">
      <w:lvlJc w:val="left"/>
      <w:lvlText w:val="%1."/>
      <w:numFmt w:val="decimal"/>
      <w:start w:val="17"/>
    </w:lvl>
  </w:abstractNum>
  <w:abstractNum w:abstractNumId="476">
    <w:nsid w:val="170EB52B"/>
    <w:multiLevelType w:val="hybridMultilevel"/>
    <w:lvl w:ilvl="0">
      <w:lvlJc w:val="left"/>
      <w:lvlText w:val="(%1)"/>
      <w:numFmt w:val="lowerRoman"/>
      <w:start w:val="1"/>
    </w:lvl>
  </w:abstractNum>
  <w:abstractNum w:abstractNumId="477">
    <w:nsid w:val="2DFBCB8C"/>
    <w:multiLevelType w:val="hybridMultilevel"/>
    <w:lvl w:ilvl="0">
      <w:lvlJc w:val="left"/>
      <w:lvlText w:val="(%1)"/>
      <w:numFmt w:val="lowerRoman"/>
      <w:start w:val="3"/>
    </w:lvl>
  </w:abstractNum>
  <w:abstractNum w:abstractNumId="478">
    <w:nsid w:val="3830D6B6"/>
    <w:multiLevelType w:val="hybridMultilevel"/>
    <w:lvl w:ilvl="0">
      <w:lvlJc w:val="left"/>
      <w:lvlText w:val="(%1)"/>
      <w:numFmt w:val="lowerLetter"/>
      <w:start w:val="1"/>
    </w:lvl>
  </w:abstractNum>
  <w:abstractNum w:abstractNumId="479">
    <w:nsid w:val="6D48CF87"/>
    <w:multiLevelType w:val="hybridMultilevel"/>
    <w:lvl w:ilvl="0">
      <w:lvlJc w:val="left"/>
      <w:lvlText w:val="(%1)"/>
      <w:numFmt w:val="lowerLetter"/>
      <w:start w:val="1"/>
    </w:lvl>
  </w:abstractNum>
  <w:abstractNum w:abstractNumId="480">
    <w:nsid w:val="576FC41B"/>
    <w:multiLevelType w:val="hybridMultilevel"/>
    <w:lvl w:ilvl="0">
      <w:lvlJc w:val="left"/>
      <w:lvlText w:val="(%1)"/>
      <w:numFmt w:val="lowerLetter"/>
      <w:start w:val="1"/>
    </w:lvl>
  </w:abstractNum>
  <w:abstractNum w:abstractNumId="481">
    <w:nsid w:val="64A1C464"/>
    <w:multiLevelType w:val="hybridMultilevel"/>
    <w:lvl w:ilvl="0">
      <w:lvlJc w:val="left"/>
      <w:lvlText w:val="(%1)"/>
      <w:numFmt w:val="lowerLetter"/>
      <w:start w:val="1"/>
    </w:lvl>
  </w:abstractNum>
  <w:abstractNum w:abstractNumId="482">
    <w:nsid w:val="31723BF5"/>
    <w:multiLevelType w:val="hybridMultilevel"/>
    <w:lvl w:ilvl="0">
      <w:lvlJc w:val="left"/>
      <w:lvlText w:val="(%1)"/>
      <w:numFmt w:val="lowerLetter"/>
      <w:start w:val="1"/>
    </w:lvl>
  </w:abstractNum>
  <w:abstractNum w:abstractNumId="483">
    <w:nsid w:val="11F69861"/>
    <w:multiLevelType w:val="hybridMultilevel"/>
    <w:lvl w:ilvl="0">
      <w:lvlJc w:val="left"/>
      <w:lvlText w:val="(%1)"/>
      <w:numFmt w:val="lowerLetter"/>
      <w:start w:val="1"/>
    </w:lvl>
  </w:abstractNum>
  <w:abstractNum w:abstractNumId="484">
    <w:nsid w:val="369956AB"/>
    <w:multiLevelType w:val="hybridMultilevel"/>
    <w:lvl w:ilvl="0">
      <w:lvlJc w:val="left"/>
      <w:lvlText w:val="(%1)"/>
      <w:numFmt w:val="lowerLetter"/>
      <w:start w:val="3"/>
    </w:lvl>
    <w:lvl w:ilvl="1">
      <w:lvlJc w:val="left"/>
      <w:lvlText w:val="(%2)"/>
      <w:numFmt w:val="lowerRoman"/>
      <w:start w:val="1"/>
    </w:lvl>
  </w:abstractNum>
  <w:abstractNum w:abstractNumId="485">
    <w:nsid w:val="D3BE41C"/>
    <w:multiLevelType w:val="hybridMultilevel"/>
    <w:lvl w:ilvl="0">
      <w:lvlJc w:val="left"/>
      <w:lvlText w:val="(%1)"/>
      <w:numFmt w:val="lowerLetter"/>
      <w:start w:val="1"/>
    </w:lvl>
    <w:lvl w:ilvl="1">
      <w:lvlJc w:val="left"/>
      <w:lvlText w:val="(%2)"/>
      <w:numFmt w:val="lowerRoman"/>
      <w:start w:val="1"/>
    </w:lvl>
  </w:abstractNum>
  <w:abstractNum w:abstractNumId="486">
    <w:nsid w:val="4CDA15E7"/>
    <w:multiLevelType w:val="hybridMultilevel"/>
    <w:lvl w:ilvl="0">
      <w:lvlJc w:val="left"/>
      <w:lvlText w:val="%1"/>
      <w:numFmt w:val="lowerLetter"/>
      <w:start w:val="1"/>
    </w:lvl>
    <w:lvl w:ilvl="1">
      <w:lvlJc w:val="left"/>
      <w:lvlText w:val="(%2)"/>
      <w:numFmt w:val="lowerLetter"/>
      <w:start w:val="61"/>
    </w:lvl>
  </w:abstractNum>
  <w:abstractNum w:abstractNumId="487">
    <w:nsid w:val="7BDD6690"/>
    <w:multiLevelType w:val="hybridMultilevel"/>
    <w:lvl w:ilvl="0">
      <w:lvlJc w:val="left"/>
      <w:lvlText w:val="(%1)"/>
      <w:numFmt w:val="lowerLetter"/>
      <w:start w:val="1"/>
    </w:lvl>
    <w:lvl w:ilvl="1">
      <w:lvlJc w:val="left"/>
      <w:lvlText w:val="%2"/>
      <w:numFmt w:val="lowerLetter"/>
      <w:start w:val="1"/>
    </w:lvl>
  </w:abstractNum>
  <w:abstractNum w:abstractNumId="488">
    <w:nsid w:val="DFB5C5B"/>
    <w:multiLevelType w:val="hybridMultilevel"/>
    <w:lvl w:ilvl="0">
      <w:lvlJc w:val="left"/>
      <w:lvlText w:val="(%1)"/>
      <w:numFmt w:val="lowerLetter"/>
      <w:start w:val="1"/>
    </w:lvl>
  </w:abstractNum>
  <w:abstractNum w:abstractNumId="489">
    <w:nsid w:val="6F3E5490"/>
    <w:multiLevelType w:val="hybridMultilevel"/>
    <w:lvl w:ilvl="0">
      <w:lvlJc w:val="left"/>
      <w:lvlText w:val="(%1)"/>
      <w:numFmt w:val="lowerLetter"/>
      <w:start w:val="2"/>
    </w:lvl>
  </w:abstractNum>
  <w:abstractNum w:abstractNumId="490">
    <w:nsid w:val="1464BE1E"/>
    <w:multiLevelType w:val="hybridMultilevel"/>
    <w:lvl w:ilvl="0">
      <w:lvlJc w:val="left"/>
      <w:lvlText w:val="(%1)"/>
      <w:numFmt w:val="lowerLetter"/>
      <w:start w:val="1"/>
    </w:lvl>
  </w:abstractNum>
  <w:abstractNum w:abstractNumId="491">
    <w:nsid w:val="66BBB7E5"/>
    <w:multiLevelType w:val="hybridMultilevel"/>
    <w:lvl w:ilvl="0">
      <w:lvlJc w:val="left"/>
      <w:lvlText w:val="(%1)"/>
      <w:numFmt w:val="lowerLetter"/>
      <w:start w:val="2"/>
    </w:lvl>
  </w:abstractNum>
  <w:abstractNum w:abstractNumId="492">
    <w:nsid w:val="28168302"/>
    <w:multiLevelType w:val="hybridMultilevel"/>
    <w:lvl w:ilvl="0">
      <w:lvlJc w:val="left"/>
      <w:lvlText w:val="(%1)"/>
      <w:numFmt w:val="lowerLetter"/>
      <w:start w:val="6"/>
    </w:lvl>
  </w:abstractNum>
  <w:abstractNum w:abstractNumId="493">
    <w:nsid w:val="32A5C7A8"/>
    <w:multiLevelType w:val="hybridMultilevel"/>
    <w:lvl w:ilvl="0">
      <w:lvlJc w:val="left"/>
      <w:lvlText w:val="%1."/>
      <w:numFmt w:val="decimal"/>
      <w:start w:val="18"/>
    </w:lvl>
  </w:abstractNum>
  <w:abstractNum w:abstractNumId="494">
    <w:nsid w:val="3A541011"/>
    <w:multiLevelType w:val="hybridMultilevel"/>
    <w:lvl w:ilvl="0">
      <w:lvlJc w:val="left"/>
      <w:lvlText w:val="(%1)"/>
      <w:numFmt w:val="lowerLetter"/>
      <w:start w:val="1"/>
    </w:lvl>
  </w:abstractNum>
  <w:abstractNum w:abstractNumId="495">
    <w:nsid w:val="4423C777"/>
    <w:multiLevelType w:val="hybridMultilevel"/>
    <w:lvl w:ilvl="0">
      <w:lvlJc w:val="left"/>
      <w:lvlText w:val="(%1)"/>
      <w:numFmt w:val="lowerLetter"/>
      <w:start w:val="2"/>
    </w:lvl>
  </w:abstractNum>
  <w:abstractNum w:abstractNumId="496">
    <w:nsid w:val="5F5C6E4D"/>
    <w:multiLevelType w:val="hybridMultilevel"/>
    <w:lvl w:ilvl="0">
      <w:lvlJc w:val="left"/>
      <w:lvlText w:val="%1."/>
      <w:numFmt w:val="decimal"/>
      <w:start w:val="19"/>
    </w:lvl>
  </w:abstractNum>
  <w:abstractNum w:abstractNumId="497">
    <w:nsid w:val="7C2A56CD"/>
    <w:multiLevelType w:val="hybridMultilevel"/>
    <w:lvl w:ilvl="0">
      <w:lvlJc w:val="left"/>
      <w:lvlText w:val="(%1)"/>
      <w:numFmt w:val="lowerLetter"/>
      <w:start w:val="1"/>
    </w:lvl>
  </w:abstractNum>
  <w:abstractNum w:abstractNumId="498">
    <w:nsid w:val="7AB86EE1"/>
    <w:multiLevelType w:val="hybridMultilevel"/>
    <w:lvl w:ilvl="0">
      <w:lvlJc w:val="left"/>
      <w:lvlText w:val="(%1)"/>
      <w:numFmt w:val="lowerLetter"/>
      <w:start w:val="4"/>
    </w:lvl>
  </w:abstractNum>
  <w:abstractNum w:abstractNumId="499">
    <w:nsid w:val="B54E53B"/>
    <w:multiLevelType w:val="hybridMultilevel"/>
    <w:lvl w:ilvl="0">
      <w:lvlJc w:val="left"/>
      <w:lvlText w:val="%1."/>
      <w:numFmt w:val="decimal"/>
      <w:start w:val="20"/>
    </w:lvl>
  </w:abstractNum>
  <w:abstractNum w:abstractNumId="500">
    <w:nsid w:val="2A00487"/>
    <w:multiLevelType w:val="hybridMultilevel"/>
    <w:lvl w:ilvl="0">
      <w:lvlJc w:val="left"/>
      <w:lvlText w:val="%1."/>
      <w:numFmt w:val="decimal"/>
      <w:start w:val="21"/>
    </w:lvl>
  </w:abstractNum>
  <w:abstractNum w:abstractNumId="501">
    <w:nsid w:val="6CB1B60"/>
    <w:multiLevelType w:val="hybridMultilevel"/>
    <w:lvl w:ilvl="0">
      <w:lvlJc w:val="left"/>
      <w:lvlText w:val="(%1)"/>
      <w:numFmt w:val="lowerLetter"/>
      <w:start w:val="1"/>
    </w:lvl>
  </w:abstractNum>
  <w:abstractNum w:abstractNumId="502">
    <w:nsid w:val="72EDD574"/>
    <w:multiLevelType w:val="hybridMultilevel"/>
    <w:lvl w:ilvl="0">
      <w:lvlJc w:val="left"/>
      <w:lvlText w:val="(%1)"/>
      <w:numFmt w:val="lowerLetter"/>
      <w:start w:val="2"/>
    </w:lvl>
  </w:abstractNum>
  <w:abstractNum w:abstractNumId="503">
    <w:nsid w:val="7323808A"/>
    <w:multiLevelType w:val="hybridMultilevel"/>
    <w:lvl w:ilvl="0">
      <w:lvlJc w:val="left"/>
      <w:lvlText w:val="%1."/>
      <w:numFmt w:val="decimal"/>
      <w:start w:val="22"/>
    </w:lvl>
  </w:abstractNum>
  <w:abstractNum w:abstractNumId="504">
    <w:nsid w:val="5157276"/>
    <w:multiLevelType w:val="hybridMultilevel"/>
    <w:lvl w:ilvl="0">
      <w:lvlJc w:val="left"/>
      <w:lvlText w:val="%1"/>
      <w:numFmt w:val="decimal"/>
      <w:start w:val="23"/>
    </w:lvl>
  </w:abstractNum>
  <w:abstractNum w:abstractNumId="505">
    <w:nsid w:val="35A681DB"/>
    <w:multiLevelType w:val="hybridMultilevel"/>
    <w:lvl w:ilvl="0">
      <w:lvlJc w:val="left"/>
      <w:lvlText w:val="(%1)"/>
      <w:numFmt w:val="lowerLetter"/>
      <w:start w:val="1"/>
    </w:lvl>
  </w:abstractNum>
  <w:abstractNum w:abstractNumId="506">
    <w:nsid w:val="1786C974"/>
    <w:multiLevelType w:val="hybridMultilevel"/>
    <w:lvl w:ilvl="0">
      <w:lvlJc w:val="left"/>
      <w:lvlText w:val="(%1)"/>
      <w:numFmt w:val="lowerLetter"/>
      <w:start w:val="1"/>
    </w:lvl>
  </w:abstractNum>
  <w:abstractNum w:abstractNumId="507">
    <w:nsid w:val="1C2427A1"/>
    <w:multiLevelType w:val="hybridMultilevel"/>
    <w:lvl w:ilvl="0">
      <w:lvlJc w:val="left"/>
      <w:lvlText w:val="(%1)"/>
      <w:numFmt w:val="lowerLetter"/>
      <w:start w:val="6"/>
    </w:lvl>
  </w:abstractNum>
  <w:abstractNum w:abstractNumId="508">
    <w:nsid w:val="63A24D68"/>
    <w:multiLevelType w:val="hybridMultilevel"/>
    <w:lvl w:ilvl="0">
      <w:lvlJc w:val="left"/>
      <w:lvlText w:val="(%1)"/>
      <w:numFmt w:val="decimal"/>
      <w:start w:val="1"/>
    </w:lvl>
  </w:abstractNum>
  <w:abstractNum w:abstractNumId="509">
    <w:nsid w:val="4FB7A02A"/>
    <w:multiLevelType w:val="hybridMultilevel"/>
    <w:lvl w:ilvl="0">
      <w:lvlJc w:val="left"/>
      <w:lvlText w:val="(%1)"/>
      <w:numFmt w:val="lowerLetter"/>
      <w:start w:val="1"/>
    </w:lvl>
  </w:abstractNum>
  <w:abstractNum w:abstractNumId="510">
    <w:nsid w:val="96CF728"/>
    <w:multiLevelType w:val="hybridMultilevel"/>
    <w:lvl w:ilvl="0">
      <w:lvlJc w:val="left"/>
      <w:lvlText w:val="(%1)"/>
      <w:numFmt w:val="lowerLetter"/>
      <w:start w:val="3"/>
    </w:lvl>
  </w:abstractNum>
  <w:abstractNum w:abstractNumId="511">
    <w:nsid w:val="3B121183"/>
    <w:multiLevelType w:val="hybridMultilevel"/>
    <w:lvl w:ilvl="0">
      <w:lvlJc w:val="left"/>
      <w:lvlText w:val="%1."/>
      <w:numFmt w:val="decimal"/>
      <w:start w:val="24"/>
    </w:lvl>
  </w:abstractNum>
  <w:abstractNum w:abstractNumId="512">
    <w:nsid w:val="3459648F"/>
    <w:multiLevelType w:val="hybridMultilevel"/>
    <w:lvl w:ilvl="0">
      <w:lvlJc w:val="left"/>
      <w:lvlText w:val="(%1)"/>
      <w:numFmt w:val="lowerLetter"/>
      <w:start w:val="1"/>
    </w:lvl>
  </w:abstractNum>
  <w:abstractNum w:abstractNumId="513">
    <w:nsid w:val="3ADF331D"/>
    <w:multiLevelType w:val="hybridMultilevel"/>
    <w:lvl w:ilvl="0">
      <w:lvlJc w:val="left"/>
      <w:lvlText w:val="%1"/>
      <w:numFmt w:val="lowerLetter"/>
      <w:start w:val="1"/>
    </w:lvl>
    <w:lvl w:ilvl="1">
      <w:lvlJc w:val="left"/>
      <w:lvlText w:val="(%2)"/>
      <w:numFmt w:val="lowerRoman"/>
      <w:start w:val="1"/>
    </w:lvl>
  </w:abstractNum>
  <w:abstractNum w:abstractNumId="514">
    <w:nsid w:val="4D08A9E4"/>
    <w:multiLevelType w:val="hybridMultilevel"/>
    <w:lvl w:ilvl="0">
      <w:lvlJc w:val="left"/>
      <w:lvlText w:val="(%1)"/>
      <w:numFmt w:val="lowerLetter"/>
      <w:start w:val="3"/>
    </w:lvl>
    <w:lvl w:ilvl="1">
      <w:lvlJc w:val="left"/>
      <w:lvlText w:val="(%2)"/>
      <w:numFmt w:val="lowerRoman"/>
      <w:start w:val="1"/>
    </w:lvl>
  </w:abstractNum>
  <w:abstractNum w:abstractNumId="515">
    <w:nsid w:val="6AF2BB3A"/>
    <w:multiLevelType w:val="hybridMultilevel"/>
    <w:lvl w:ilvl="0">
      <w:lvlJc w:val="left"/>
      <w:lvlText w:val="(%1)"/>
      <w:numFmt w:val="lowerLetter"/>
      <w:start w:val="5"/>
    </w:lvl>
    <w:lvl w:ilvl="1">
      <w:lvlJc w:val="left"/>
      <w:lvlText w:val="(%2)"/>
      <w:numFmt w:val="lowerRoman"/>
      <w:start w:val="1"/>
    </w:lvl>
  </w:abstractNum>
  <w:abstractNum w:abstractNumId="516">
    <w:nsid w:val="481B1739"/>
    <w:multiLevelType w:val="hybridMultilevel"/>
    <w:lvl w:ilvl="0">
      <w:lvlJc w:val="left"/>
      <w:lvlText w:val="(%1)"/>
      <w:numFmt w:val="lowerLetter"/>
      <w:start w:val="1"/>
    </w:lvl>
    <w:lvl w:ilvl="1">
      <w:lvlJc w:val="left"/>
      <w:lvlText w:val="(%2)"/>
      <w:numFmt w:val="lowerRoman"/>
      <w:start w:val="1"/>
    </w:lvl>
  </w:abstractNum>
  <w:abstractNum w:abstractNumId="517">
    <w:nsid w:val="19E2BFCC"/>
    <w:multiLevelType w:val="hybridMultilevel"/>
    <w:lvl w:ilvl="0">
      <w:lvlJc w:val="left"/>
      <w:lvlText w:val="(%1)"/>
      <w:numFmt w:val="lowerRoman"/>
      <w:start w:val="2"/>
    </w:lvl>
  </w:abstractNum>
  <w:abstractNum w:abstractNumId="518">
    <w:nsid w:val="66D021CA"/>
    <w:multiLevelType w:val="hybridMultilevel"/>
    <w:lvl w:ilvl="0">
      <w:lvlJc w:val="left"/>
      <w:lvlText w:val="(%1)"/>
      <w:numFmt w:val="lowerRoman"/>
      <w:start w:val="3"/>
    </w:lvl>
  </w:abstractNum>
  <w:abstractNum w:abstractNumId="519">
    <w:nsid w:val="56167394"/>
    <w:multiLevelType w:val="hybridMultilevel"/>
    <w:lvl w:ilvl="0">
      <w:lvlJc w:val="left"/>
      <w:lvlText w:val="%1."/>
      <w:numFmt w:val="decimal"/>
      <w:start w:val="25"/>
    </w:lvl>
  </w:abstractNum>
  <w:abstractNum w:abstractNumId="520">
    <w:nsid w:val="921145C"/>
    <w:multiLevelType w:val="hybridMultilevel"/>
    <w:lvl w:ilvl="0">
      <w:lvlJc w:val="left"/>
      <w:lvlText w:val="%1."/>
      <w:numFmt w:val="decimal"/>
      <w:start w:val="26"/>
    </w:lvl>
  </w:abstractNum>
  <w:abstractNum w:abstractNumId="521">
    <w:nsid w:val="7B34DFE8"/>
    <w:multiLevelType w:val="hybridMultilevel"/>
    <w:lvl w:ilvl="0">
      <w:lvlJc w:val="left"/>
      <w:lvlText w:val="%1."/>
      <w:numFmt w:val="decimal"/>
      <w:start w:val="27"/>
    </w:lvl>
  </w:abstractNum>
  <w:abstractNum w:abstractNumId="522">
    <w:nsid w:val="3CD22B79"/>
    <w:multiLevelType w:val="hybridMultilevel"/>
    <w:lvl w:ilvl="0">
      <w:lvlJc w:val="left"/>
      <w:lvlText w:val="(%1)"/>
      <w:numFmt w:val="lowerLetter"/>
      <w:start w:val="1"/>
    </w:lvl>
  </w:abstractNum>
  <w:abstractNum w:abstractNumId="523">
    <w:nsid w:val="3137975E"/>
    <w:multiLevelType w:val="hybridMultilevel"/>
    <w:lvl w:ilvl="0">
      <w:lvlJc w:val="left"/>
      <w:lvlText w:val="(%1)"/>
      <w:numFmt w:val="lowerLetter"/>
      <w:start w:val="2"/>
    </w:lvl>
  </w:abstractNum>
  <w:abstractNum w:abstractNumId="524">
    <w:nsid w:val="2DDAA791"/>
    <w:multiLevelType w:val="hybridMultilevel"/>
    <w:lvl w:ilvl="0">
      <w:lvlJc w:val="left"/>
      <w:lvlText w:val="(%1)"/>
      <w:numFmt w:val="lowerLetter"/>
      <w:start w:val="1"/>
    </w:lvl>
  </w:abstractNum>
  <w:abstractNum w:abstractNumId="525">
    <w:nsid w:val="77263B8A"/>
    <w:multiLevelType w:val="hybridMultilevel"/>
    <w:lvl w:ilvl="0">
      <w:lvlJc w:val="left"/>
      <w:lvlText w:val="%1."/>
      <w:numFmt w:val="decimal"/>
      <w:start w:val="28"/>
    </w:lvl>
  </w:abstractNum>
  <w:abstractNum w:abstractNumId="526">
    <w:nsid w:val="755B5ED6"/>
    <w:multiLevelType w:val="hybridMultilevel"/>
    <w:lvl w:ilvl="0">
      <w:lvlJc w:val="left"/>
      <w:lvlText w:val="(%1)"/>
      <w:numFmt w:val="lowerLetter"/>
      <w:start w:val="1"/>
    </w:lvl>
  </w:abstractNum>
  <w:abstractNum w:abstractNumId="527">
    <w:nsid w:val="D3715DE"/>
    <w:multiLevelType w:val="hybridMultilevel"/>
    <w:lvl w:ilvl="0">
      <w:lvlJc w:val="left"/>
      <w:lvlText w:val="%1."/>
      <w:numFmt w:val="decimal"/>
      <w:start w:val="29"/>
    </w:lvl>
  </w:abstractNum>
  <w:abstractNum w:abstractNumId="528">
    <w:nsid w:val="73509257"/>
    <w:multiLevelType w:val="hybridMultilevel"/>
    <w:lvl w:ilvl="0">
      <w:lvlJc w:val="left"/>
      <w:lvlText w:val="%1."/>
      <w:numFmt w:val="decimal"/>
      <w:start w:val="30"/>
    </w:lvl>
  </w:abstractNum>
  <w:abstractNum w:abstractNumId="529">
    <w:nsid w:val="7013CDB7"/>
    <w:multiLevelType w:val="hybridMultilevel"/>
    <w:lvl w:ilvl="0">
      <w:lvlJc w:val="left"/>
      <w:lvlText w:val="(%1)"/>
      <w:numFmt w:val="lowerLetter"/>
      <w:start w:val="1"/>
    </w:lvl>
  </w:abstractNum>
  <w:abstractNum w:abstractNumId="530">
    <w:nsid w:val="188BFB19"/>
    <w:multiLevelType w:val="hybridMultilevel"/>
    <w:lvl w:ilvl="0">
      <w:lvlJc w:val="left"/>
      <w:lvlText w:val="(%1)"/>
      <w:numFmt w:val="lowerLetter"/>
      <w:start w:val="2"/>
    </w:lvl>
  </w:abstractNum>
  <w:abstractNum w:abstractNumId="531">
    <w:nsid w:val="75F096DF"/>
    <w:multiLevelType w:val="hybridMultilevel"/>
    <w:lvl w:ilvl="0">
      <w:lvlJc w:val="left"/>
      <w:lvlText w:val="(%1)"/>
      <w:numFmt w:val="lowerLetter"/>
      <w:start w:val="1"/>
    </w:lvl>
  </w:abstractNum>
  <w:abstractNum w:abstractNumId="532">
    <w:nsid w:val="76DEE918"/>
    <w:multiLevelType w:val="hybridMultilevel"/>
    <w:lvl w:ilvl="0">
      <w:lvlJc w:val="left"/>
      <w:lvlText w:val="%1."/>
      <w:numFmt w:val="decimal"/>
      <w:start w:val="31"/>
    </w:lvl>
  </w:abstractNum>
  <w:abstractNum w:abstractNumId="533">
    <w:nsid w:val="B79D08D"/>
    <w:multiLevelType w:val="hybridMultilevel"/>
    <w:lvl w:ilvl="0">
      <w:lvlJc w:val="left"/>
      <w:lvlText w:val="(%1)"/>
      <w:numFmt w:val="lowerLetter"/>
      <w:start w:val="1"/>
    </w:lvl>
  </w:abstractNum>
  <w:abstractNum w:abstractNumId="534">
    <w:nsid w:val="69141769"/>
    <w:multiLevelType w:val="hybridMultilevel"/>
    <w:lvl w:ilvl="0">
      <w:lvlJc w:val="left"/>
      <w:lvlText w:val="%1"/>
      <w:numFmt w:val="decimal"/>
      <w:start w:val="32"/>
    </w:lvl>
  </w:abstractNum>
  <w:abstractNum w:abstractNumId="535">
    <w:nsid w:val="7BF45B8E"/>
    <w:multiLevelType w:val="hybridMultilevel"/>
    <w:lvl w:ilvl="0">
      <w:lvlJc w:val="left"/>
      <w:lvlText w:val="%1."/>
      <w:numFmt w:val="decimal"/>
      <w:start w:val="33"/>
    </w:lvl>
  </w:abstractNum>
  <w:abstractNum w:abstractNumId="536">
    <w:nsid w:val="41205269"/>
    <w:multiLevelType w:val="hybridMultilevel"/>
    <w:lvl w:ilvl="0">
      <w:lvlJc w:val="left"/>
      <w:lvlText w:val="%1."/>
      <w:numFmt w:val="decimal"/>
      <w:start w:val="1"/>
    </w:lvl>
  </w:abstractNum>
  <w:abstractNum w:abstractNumId="537">
    <w:nsid w:val="9AE0DD"/>
    <w:multiLevelType w:val="hybridMultilevel"/>
    <w:lvl w:ilvl="0">
      <w:lvlJc w:val="left"/>
      <w:lvlText w:val="6"/>
      <w:numFmt w:val="bullet"/>
      <w:start w:val="1"/>
    </w:lvl>
  </w:abstractNum>
  <w:abstractNum w:abstractNumId="538">
    <w:nsid w:val="1818832F"/>
    <w:multiLevelType w:val="hybridMultilevel"/>
    <w:lvl w:ilvl="0">
      <w:lvlJc w:val="left"/>
      <w:lvlText w:val="%1."/>
      <w:numFmt w:val="decimal"/>
      <w:start w:val="7"/>
    </w:lvl>
  </w:abstractNum>
  <w:abstractNum w:abstractNumId="539">
    <w:nsid w:val="24C29FD1"/>
    <w:multiLevelType w:val="hybridMultilevel"/>
    <w:lvl w:ilvl="0">
      <w:lvlJc w:val="left"/>
      <w:lvlText w:val="%1."/>
      <w:numFmt w:val="decimal"/>
      <w:start w:val="1"/>
    </w:lvl>
    <w:lvl w:ilvl="1">
      <w:lvlJc w:val="left"/>
      <w:lvlText w:val="(%2)"/>
      <w:numFmt w:val="lowerLetter"/>
      <w:start w:val="1"/>
    </w:lvl>
  </w:abstractNum>
  <w:abstractNum w:abstractNumId="540">
    <w:nsid w:val="50528108"/>
    <w:multiLevelType w:val="hybridMultilevel"/>
    <w:lvl w:ilvl="0">
      <w:lvlJc w:val="left"/>
      <w:lvlText w:val="%1"/>
      <w:numFmt w:val="decimal"/>
      <w:start w:val="1"/>
    </w:lvl>
    <w:lvl w:ilvl="1">
      <w:lvlJc w:val="left"/>
      <w:lvlText w:val="(%2)"/>
      <w:numFmt w:val="lowerLetter"/>
      <w:start w:val="2"/>
    </w:lvl>
  </w:abstractNum>
  <w:abstractNum w:abstractNumId="541">
    <w:nsid w:val="21857A57"/>
    <w:multiLevelType w:val="hybridMultilevel"/>
    <w:lvl w:ilvl="0">
      <w:lvlJc w:val="left"/>
      <w:lvlText w:val="%1."/>
      <w:numFmt w:val="decimal"/>
      <w:start w:val="2"/>
    </w:lvl>
    <w:lvl w:ilvl="1">
      <w:lvlJc w:val="left"/>
      <w:lvlText w:val="%2"/>
      <w:numFmt w:val="lowerLetter"/>
      <w:start w:val="1"/>
    </w:lvl>
  </w:abstractNum>
  <w:abstractNum w:abstractNumId="542">
    <w:nsid w:val="5FD4B154"/>
    <w:multiLevelType w:val="hybridMultilevel"/>
    <w:lvl w:ilvl="0">
      <w:lvlJc w:val="left"/>
      <w:lvlText w:val="%1."/>
      <w:numFmt w:val="decimal"/>
      <w:start w:val="1"/>
    </w:lvl>
  </w:abstractNum>
  <w:abstractNum w:abstractNumId="543">
    <w:nsid w:val="4ABE597"/>
    <w:multiLevelType w:val="hybridMultilevel"/>
    <w:lvl w:ilvl="0">
      <w:lvlJc w:val="left"/>
      <w:lvlText w:val="%1."/>
      <w:numFmt w:val="decimal"/>
      <w:start w:val="2"/>
    </w:lvl>
  </w:abstractNum>
  <w:abstractNum w:abstractNumId="544">
    <w:nsid w:val="5C64AD75"/>
    <w:multiLevelType w:val="hybridMultilevel"/>
    <w:lvl w:ilvl="0">
      <w:lvlJc w:val="left"/>
      <w:lvlText w:val="%1."/>
      <w:numFmt w:val="decimal"/>
      <w:start w:val="1"/>
    </w:lvl>
  </w:abstractNum>
  <w:abstractNum w:abstractNumId="545">
    <w:nsid w:val="2CDD5B39"/>
    <w:multiLevelType w:val="hybridMultilevel"/>
    <w:lvl w:ilvl="0">
      <w:lvlJc w:val="left"/>
      <w:lvlText w:val="%1."/>
      <w:numFmt w:val="decimal"/>
      <w:start w:val="1"/>
    </w:lvl>
  </w:abstractNum>
  <w:abstractNum w:abstractNumId="546">
    <w:nsid w:val="6F9EA0D1"/>
    <w:multiLevelType w:val="hybridMultilevel"/>
    <w:lvl w:ilvl="0">
      <w:lvlJc w:val="left"/>
      <w:lvlText w:val="(%1)"/>
      <w:numFmt w:val="lowerRoman"/>
      <w:start w:val="1"/>
    </w:lvl>
  </w:abstractNum>
  <w:abstractNum w:abstractNumId="547">
    <w:nsid w:val="247FC4A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2019-12-08T19:06:13Z</dcterms:created>
  <dcterms:modified xsi:type="dcterms:W3CDTF">2019-12-08T19:06:13Z</dcterms:modified>
</cp:coreProperties>
</file>