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16"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CURRENT REPORT</w:t>
      </w: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4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October 1, 2024</w:t>
      </w:r>
    </w:p>
    <w:p>
      <w:pPr>
        <w:spacing w:after="0" w:line="140"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9"/>
          <w:szCs w:val="29"/>
          <w:b w:val="1"/>
          <w:bCs w:val="1"/>
          <w:color w:val="auto"/>
        </w:rPr>
        <w:t>New Fortress Energy Inc.</w:t>
      </w:r>
    </w:p>
    <w:p>
      <w:pPr>
        <w:spacing w:after="0" w:line="3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08"/>
          </w:cols>
          <w:pgMar w:left="292" w:top="733" w:right="399" w:bottom="1440" w:gutter="0" w:footer="0" w:header="0"/>
        </w:sectPr>
      </w:pPr>
    </w:p>
    <w:p>
      <w:pPr>
        <w:spacing w:after="0" w:line="179" w:lineRule="exact"/>
        <w:rPr>
          <w:sz w:val="24"/>
          <w:szCs w:val="24"/>
          <w:color w:val="auto"/>
        </w:rPr>
      </w:pPr>
    </w:p>
    <w:p>
      <w:pPr>
        <w:ind w:left="1828"/>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b w:val="1"/>
          <w:bCs w:val="1"/>
          <w:color w:val="auto"/>
        </w:rPr>
        <w:t>001-38790</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83-1482060</w:t>
      </w:r>
    </w:p>
    <w:p>
      <w:pPr>
        <w:spacing w:after="0" w:line="45" w:lineRule="exact"/>
        <w:rPr>
          <w:sz w:val="24"/>
          <w:szCs w:val="24"/>
          <w:color w:val="auto"/>
        </w:rPr>
      </w:pPr>
    </w:p>
    <w:p>
      <w:pPr>
        <w:sectPr>
          <w:pgSz w:w="11900" w:h="16838" w:orient="portrait"/>
          <w:cols w:equalWidth="0" w:num="3">
            <w:col w:w="4788" w:space="720"/>
            <w:col w:w="2820" w:space="720"/>
            <w:col w:w="2160"/>
          </w:cols>
          <w:pgMar w:left="292" w:top="733" w:right="399" w:bottom="1440" w:gutter="0" w:footer="0" w:header="0"/>
          <w:type w:val="continuous"/>
        </w:sectPr>
      </w:pPr>
    </w:p>
    <w:p>
      <w:pPr>
        <w:ind w:left="1208"/>
        <w:spacing w:after="0"/>
        <w:rPr>
          <w:sz w:val="20"/>
          <w:szCs w:val="20"/>
          <w:color w:val="auto"/>
        </w:rPr>
      </w:pPr>
      <w:r>
        <w:rPr>
          <w:rFonts w:ascii="Times New Roman" w:cs="Times New Roman" w:eastAsia="Times New Roman" w:hAnsi="Times New Roman"/>
          <w:sz w:val="8"/>
          <w:szCs w:val="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Times New Roman" w:cs="Times New Roman" w:eastAsia="Times New Roman" w:hAnsi="Times New Roman"/>
          <w:sz w:val="8"/>
          <w:szCs w:val="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color w:val="auto"/>
        </w:rPr>
        <w:t>(IRS Employer Identification No.)</w:t>
      </w:r>
    </w:p>
    <w:p>
      <w:pPr>
        <w:spacing w:after="0" w:line="200" w:lineRule="exact"/>
        <w:rPr>
          <w:sz w:val="24"/>
          <w:szCs w:val="24"/>
          <w:color w:val="auto"/>
        </w:rPr>
      </w:pPr>
    </w:p>
    <w:p>
      <w:pPr>
        <w:sectPr>
          <w:pgSz w:w="11900" w:h="16838" w:orient="portrait"/>
          <w:cols w:equalWidth="0" w:num="3">
            <w:col w:w="4508" w:space="720"/>
            <w:col w:w="2740" w:space="720"/>
            <w:col w:w="2520"/>
          </w:cols>
          <w:pgMar w:left="292" w:top="733" w:right="399" w:bottom="1440" w:gutter="0" w:footer="0" w:header="0"/>
          <w:type w:val="continuous"/>
        </w:sectPr>
      </w:pPr>
    </w:p>
    <w:p>
      <w:pPr>
        <w:spacing w:after="0" w:line="95" w:lineRule="exact"/>
        <w:rPr>
          <w:sz w:val="24"/>
          <w:szCs w:val="24"/>
          <w:color w:val="auto"/>
        </w:rPr>
      </w:pPr>
    </w:p>
    <w:p>
      <w:pPr>
        <w:jc w:val="center"/>
        <w:ind w:right="1192"/>
        <w:spacing w:after="0"/>
        <w:rPr>
          <w:sz w:val="20"/>
          <w:szCs w:val="20"/>
          <w:color w:val="auto"/>
        </w:rPr>
      </w:pPr>
      <w:r>
        <w:rPr>
          <w:rFonts w:ascii="Times New Roman" w:cs="Times New Roman" w:eastAsia="Times New Roman" w:hAnsi="Times New Roman"/>
          <w:sz w:val="11"/>
          <w:szCs w:val="11"/>
          <w:b w:val="1"/>
          <w:bCs w:val="1"/>
          <w:color w:val="auto"/>
        </w:rPr>
        <w:t>111 W. 19th Street, 8th Floor</w:t>
      </w:r>
    </w:p>
    <w:p>
      <w:pPr>
        <w:spacing w:after="0" w:line="25" w:lineRule="exact"/>
        <w:rPr>
          <w:sz w:val="24"/>
          <w:szCs w:val="24"/>
          <w:color w:val="auto"/>
        </w:rPr>
      </w:pPr>
    </w:p>
    <w:p>
      <w:pPr>
        <w:jc w:val="center"/>
        <w:ind w:right="1192"/>
        <w:spacing w:after="0"/>
        <w:rPr>
          <w:sz w:val="20"/>
          <w:szCs w:val="20"/>
          <w:color w:val="auto"/>
        </w:rPr>
      </w:pPr>
      <w:r>
        <w:rPr>
          <w:rFonts w:ascii="Times New Roman" w:cs="Times New Roman" w:eastAsia="Times New Roman" w:hAnsi="Times New Roman"/>
          <w:sz w:val="12"/>
          <w:szCs w:val="12"/>
          <w:b w:val="1"/>
          <w:bCs w:val="1"/>
          <w:color w:val="auto"/>
        </w:rPr>
        <w:t>New York, NY</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10011</w:t>
      </w:r>
    </w:p>
    <w:p>
      <w:pPr>
        <w:spacing w:after="0" w:line="36" w:lineRule="exact"/>
        <w:rPr>
          <w:sz w:val="24"/>
          <w:szCs w:val="24"/>
          <w:color w:val="auto"/>
        </w:rPr>
      </w:pPr>
    </w:p>
    <w:p>
      <w:pPr>
        <w:sectPr>
          <w:pgSz w:w="11900" w:h="16838" w:orient="portrait"/>
          <w:cols w:equalWidth="0" w:num="2">
            <w:col w:w="8428" w:space="720"/>
            <w:col w:w="2060"/>
          </w:cols>
          <w:pgMar w:left="292" w:top="733" w:right="399" w:bottom="1440" w:gutter="0" w:footer="0" w:header="0"/>
          <w:type w:val="continuous"/>
        </w:sectPr>
      </w:pPr>
    </w:p>
    <w:p>
      <w:pPr>
        <w:ind w:left="2628"/>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74" w:lineRule="exact"/>
        <w:rPr>
          <w:sz w:val="24"/>
          <w:szCs w:val="24"/>
          <w:color w:val="auto"/>
        </w:rPr>
      </w:pPr>
    </w:p>
    <w:p>
      <w:pPr>
        <w:ind w:left="3948"/>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(516) 268-7400</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Times New Roman" w:cs="Times New Roman" w:eastAsia="Times New Roman" w:hAnsi="Times New Roman"/>
          <w:sz w:val="11"/>
          <w:szCs w:val="11"/>
          <w:color w:val="auto"/>
        </w:rPr>
        <w:t>(Zip Code)</w:t>
      </w:r>
    </w:p>
    <w:p>
      <w:pPr>
        <w:spacing w:after="0" w:line="412" w:lineRule="exact"/>
        <w:rPr>
          <w:sz w:val="24"/>
          <w:szCs w:val="24"/>
          <w:color w:val="auto"/>
        </w:rPr>
      </w:pPr>
    </w:p>
    <w:p>
      <w:pPr>
        <w:sectPr>
          <w:pgSz w:w="11900" w:h="16838" w:orient="portrait"/>
          <w:cols w:equalWidth="0" w:num="2">
            <w:col w:w="8308" w:space="720"/>
            <w:col w:w="2180"/>
          </w:cols>
          <w:pgMar w:left="292" w:top="733" w:right="399" w:bottom="1440" w:gutter="0" w:footer="0" w:header="0"/>
          <w:type w:val="continuous"/>
        </w:sectPr>
      </w:pPr>
    </w:p>
    <w:p>
      <w:pPr>
        <w:spacing w:after="0" w:line="13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36" w:lineRule="exact"/>
        <w:rPr>
          <w:sz w:val="24"/>
          <w:szCs w:val="24"/>
          <w:color w:val="auto"/>
        </w:rPr>
      </w:pPr>
    </w:p>
    <w:tbl>
      <w:tblPr>
        <w:tblLayout w:type="fixed"/>
        <w:tblInd w:w="488" w:type="dxa"/>
        <w:tblCellMar>
          <w:top w:w="0" w:type="dxa"/>
          <w:left w:w="0" w:type="dxa"/>
          <w:bottom w:w="0" w:type="dxa"/>
          <w:right w:w="0" w:type="dxa"/>
        </w:tblCellMar>
      </w:tblPr>
      <w:tr>
        <w:trPr>
          <w:trHeight w:val="159"/>
        </w:trPr>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900" w:type="dxa"/>
            <w:vAlign w:val="bottom"/>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468"/>
        </w:trPr>
        <w:tc>
          <w:tcPr>
            <w:tcW w:w="8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1980" w:type="dxa"/>
            <w:vAlign w:val="bottom"/>
          </w:tcPr>
          <w:p>
            <w:pPr>
              <w:spacing w:after="0"/>
              <w:rPr>
                <w:sz w:val="24"/>
                <w:szCs w:val="24"/>
                <w:color w:val="auto"/>
              </w:rPr>
            </w:pPr>
          </w:p>
        </w:tc>
        <w:tc>
          <w:tcPr>
            <w:tcW w:w="2500" w:type="dxa"/>
            <w:vAlign w:val="bottom"/>
            <w:gridSpan w:val="2"/>
          </w:tcPr>
          <w:p>
            <w:pPr>
              <w:jc w:val="center"/>
              <w:ind w:left="3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78"/>
        </w:trPr>
        <w:tc>
          <w:tcPr>
            <w:tcW w:w="8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“NFE”</w:t>
            </w:r>
          </w:p>
        </w:tc>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r>
        <w:trPr>
          <w:trHeight w:val="162"/>
        </w:trPr>
        <w:tc>
          <w:tcPr>
            <w:tcW w:w="312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w w:val="99"/>
              </w:rPr>
              <w:t>Class A Common Stock, par value $0.01 per share</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tcPr>
          <w:p>
            <w:pPr>
              <w:spacing w:after="0"/>
              <w:rPr>
                <w:sz w:val="14"/>
                <w:szCs w:val="14"/>
                <w:color w:val="auto"/>
              </w:rPr>
            </w:pPr>
          </w:p>
        </w:tc>
      </w:tr>
    </w:tbl>
    <w:p>
      <w:pPr>
        <w:spacing w:after="0" w:line="223" w:lineRule="exact"/>
        <w:rPr>
          <w:sz w:val="24"/>
          <w:szCs w:val="24"/>
          <w:color w:val="auto"/>
        </w:rPr>
      </w:pPr>
    </w:p>
    <w:p>
      <w:pPr>
        <w:ind w:left="8" w:right="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148" w:hanging="148"/>
        <w:spacing w:after="0"/>
        <w:tabs>
          <w:tab w:leader="none" w:pos="1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Emerging growth company</w:t>
      </w:r>
    </w:p>
    <w:p>
      <w:pPr>
        <w:spacing w:after="0" w:line="159" w:lineRule="exact"/>
        <w:rPr>
          <w:sz w:val="24"/>
          <w:szCs w:val="24"/>
          <w:color w:val="auto"/>
        </w:rPr>
      </w:pPr>
    </w:p>
    <w:p>
      <w:pPr>
        <w:ind w:left="8"/>
        <w:spacing w:after="0" w:line="15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365125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733"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Cleansing Information</w:t>
      </w:r>
    </w:p>
    <w:p>
      <w:pPr>
        <w:spacing w:after="0" w:line="161" w:lineRule="exact"/>
        <w:rPr>
          <w:sz w:val="20"/>
          <w:szCs w:val="20"/>
          <w:color w:val="auto"/>
        </w:rPr>
      </w:pPr>
    </w:p>
    <w:p>
      <w:pPr>
        <w:jc w:val="both"/>
        <w:ind w:right="180" w:firstLine="432"/>
        <w:spacing w:after="0" w:line="249" w:lineRule="auto"/>
        <w:rPr>
          <w:sz w:val="20"/>
          <w:szCs w:val="20"/>
          <w:color w:val="auto"/>
        </w:rPr>
      </w:pPr>
      <w:r>
        <w:rPr>
          <w:rFonts w:ascii="Times New Roman" w:cs="Times New Roman" w:eastAsia="Times New Roman" w:hAnsi="Times New Roman"/>
          <w:sz w:val="12"/>
          <w:szCs w:val="12"/>
          <w:color w:val="auto"/>
        </w:rPr>
        <w:t>The Company is furnishing as Exhibit 99.1 to this Current Report on Form 8-K certain information (the “Cleansing Information”) previously shared with certain holders of the Company’s existing 6.750% Senior Notes due 2025, 6.500% Senior Notes due 2026 and 8.75% Senior Secured Notes due 2029 and prospective investors in connection with the refinancing of the Company’s senior indebtedness and entry into the Transaction Support Agreement that was previously disclosed in the Company’s Current Report on Form 8-K filed on October 1, 2024 and incorporated by reference herein.</w:t>
      </w:r>
    </w:p>
    <w:p>
      <w:pPr>
        <w:spacing w:after="0" w:line="138" w:lineRule="exact"/>
        <w:rPr>
          <w:sz w:val="20"/>
          <w:szCs w:val="20"/>
          <w:color w:val="auto"/>
        </w:rPr>
      </w:pPr>
    </w:p>
    <w:p>
      <w:pPr>
        <w:ind w:firstLine="432"/>
        <w:spacing w:after="0" w:line="237" w:lineRule="auto"/>
        <w:rPr>
          <w:sz w:val="20"/>
          <w:szCs w:val="20"/>
          <w:color w:val="auto"/>
        </w:rPr>
      </w:pPr>
      <w:r>
        <w:rPr>
          <w:rFonts w:ascii="Times New Roman" w:cs="Times New Roman" w:eastAsia="Times New Roman" w:hAnsi="Times New Roman"/>
          <w:sz w:val="12"/>
          <w:szCs w:val="12"/>
          <w:color w:val="auto"/>
        </w:rPr>
        <w:t>The Cleansing Information was prepared solely to facilitate discussions with parties subject to the confidentiality agreements and was not prepared with a view toward public disclosure, and the Cleansing Information should not be relied upon to make an investment decision with respect to the Company. The Cleansing Information should not be regarded as an indication that the Company or any third party considers the Cleansing Information to be material non-public information or a reliable prediction of future events, and the Cleansing Information should not be relied upon as such. The Cleansing Information includes certain values for illustrative purposes only, and such values are not the result of, and do not represent, actual valuations, estimates, forecasts or projections of the Company or any third party and should not be relied upon as such. Neither the Company nor any third party makes any representation to any person regarding the accuracy or completeness of any Cleansing Information or undertakes any obligation to update the Cleansing Information to reflect circumstances existing after the date when the Cleansing Information was prepared or conveyed or to reflect the occurrence of future events, even if any or all of the assumptions underlying the Cleansing Information become or are shown to be incorrect.</w:t>
      </w:r>
    </w:p>
    <w:p>
      <w:pPr>
        <w:spacing w:after="0" w:line="145" w:lineRule="exact"/>
        <w:rPr>
          <w:sz w:val="20"/>
          <w:szCs w:val="20"/>
          <w:color w:val="auto"/>
        </w:rPr>
      </w:pPr>
    </w:p>
    <w:p>
      <w:pPr>
        <w:ind w:right="320" w:firstLine="432"/>
        <w:spacing w:after="0" w:line="264" w:lineRule="auto"/>
        <w:rPr>
          <w:sz w:val="20"/>
          <w:szCs w:val="20"/>
          <w:color w:val="auto"/>
        </w:rPr>
      </w:pPr>
      <w:r>
        <w:rPr>
          <w:rFonts w:ascii="Times New Roman" w:cs="Times New Roman" w:eastAsia="Times New Roman" w:hAnsi="Times New Roman"/>
          <w:sz w:val="12"/>
          <w:szCs w:val="12"/>
          <w:color w:val="auto"/>
        </w:rPr>
        <w:t>The foregoing description of the Cleansing Information is qualified by reference to the complete presentation of the Cleansing Information, a copy of which is attached hereto as Exhibit 99.1 and is incorporated herein by reference.</w:t>
      </w:r>
    </w:p>
    <w:p>
      <w:pPr>
        <w:spacing w:after="0" w:line="128" w:lineRule="exact"/>
        <w:rPr>
          <w:sz w:val="20"/>
          <w:szCs w:val="20"/>
          <w:color w:val="auto"/>
        </w:rPr>
      </w:pPr>
    </w:p>
    <w:p>
      <w:pPr>
        <w:ind w:right="20" w:firstLine="432"/>
        <w:spacing w:after="0" w:line="249" w:lineRule="auto"/>
        <w:rPr>
          <w:sz w:val="20"/>
          <w:szCs w:val="20"/>
          <w:color w:val="auto"/>
        </w:rPr>
      </w:pPr>
      <w:r>
        <w:rPr>
          <w:rFonts w:ascii="Times New Roman" w:cs="Times New Roman" w:eastAsia="Times New Roman" w:hAnsi="Times New Roman"/>
          <w:sz w:val="12"/>
          <w:szCs w:val="12"/>
          <w:color w:val="auto"/>
        </w:rPr>
        <w:t>The information set forth in this Item 7.01, including Exhibit 99.1, is being furnished and shall not be deemed to be “filed” for purposes of Section 18 of the Securities Exchange Act of 1934, as amended (the “Exchange Act”), or otherwise subject to the liabilities of that section. The information in this Item 7.01, including Exhibit 99.1, shall not be deemed incorporated by reference into any filing under the Securities Act or the Exchange Act, except as shall be expressly set forth by specific reference in such filing.</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Vessel Charters</w:t>
      </w:r>
    </w:p>
    <w:p>
      <w:pPr>
        <w:spacing w:after="0" w:line="161" w:lineRule="exact"/>
        <w:rPr>
          <w:sz w:val="20"/>
          <w:szCs w:val="20"/>
          <w:color w:val="auto"/>
        </w:rPr>
      </w:pPr>
    </w:p>
    <w:p>
      <w:pPr>
        <w:ind w:right="40" w:firstLine="432"/>
        <w:spacing w:after="0" w:line="249" w:lineRule="auto"/>
        <w:rPr>
          <w:sz w:val="20"/>
          <w:szCs w:val="20"/>
          <w:color w:val="auto"/>
        </w:rPr>
      </w:pPr>
      <w:r>
        <w:rPr>
          <w:rFonts w:ascii="Times New Roman" w:cs="Times New Roman" w:eastAsia="Times New Roman" w:hAnsi="Times New Roman"/>
          <w:sz w:val="12"/>
          <w:szCs w:val="12"/>
          <w:color w:val="auto"/>
        </w:rPr>
        <w:t>The Company is currently a party to a number of long-term vessel charters with Energos that are currently judged to be below market level. The Company may be able to monetize these below-market chargers by sub-chartering certain vessels it does not needs for its own portfolio. Through long-term sub-charters and monetization of resulting cash flows, the Company may be able to generate $150 to $200 million in gross proceeds in 2024 and 2025 utilizing these below-market charters.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63"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12"/>
          <w:szCs w:val="12"/>
          <w:color w:val="auto"/>
        </w:rPr>
        <w:t>This report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the Company’s future financial performance or the Company’s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377825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 w:name="page3"/>
    <w:bookmarkEnd w:id="2"/>
    <w:p>
      <w:pPr>
        <w:ind w:right="60"/>
        <w:spacing w:after="0" w:line="264" w:lineRule="auto"/>
        <w:rPr>
          <w:sz w:val="20"/>
          <w:szCs w:val="20"/>
          <w:color w:val="auto"/>
        </w:rPr>
      </w:pPr>
      <w:r>
        <w:rPr>
          <w:rFonts w:ascii="Times New Roman" w:cs="Times New Roman" w:eastAsia="Times New Roman" w:hAnsi="Times New Roman"/>
          <w:sz w:val="12"/>
          <w:szCs w:val="12"/>
          <w:color w:val="auto"/>
        </w:rPr>
        <w:t>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10340" w:type="dxa"/>
            <w:vAlign w:val="bottom"/>
            <w:vMerge w:val="restart"/>
          </w:tcPr>
          <w:p>
            <w:pPr>
              <w:ind w:left="486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64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No.</w:t>
            </w:r>
          </w:p>
        </w:tc>
        <w:tc>
          <w:tcPr>
            <w:tcW w:w="10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4"/>
              </w:rPr>
              <w:t>99.</w:t>
            </w:r>
            <w:r>
              <w:rPr>
                <w:rFonts w:ascii="Times New Roman" w:cs="Times New Roman" w:eastAsia="Times New Roman" w:hAnsi="Times New Roman"/>
                <w:sz w:val="12"/>
                <w:szCs w:val="12"/>
                <w:u w:val="single" w:color="auto"/>
                <w:color w:val="auto"/>
                <w:w w:val="94"/>
              </w:rPr>
              <w:t>1</w:t>
            </w: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34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Certain Information of New Fortress Energy Inc.</w:t>
            </w:r>
          </w:p>
        </w:tc>
        <w:tc>
          <w:tcPr>
            <w:tcW w:w="0" w:type="dxa"/>
            <w:vAlign w:val="bottom"/>
          </w:tcPr>
          <w:p>
            <w:pPr>
              <w:spacing w:after="0"/>
              <w:rPr>
                <w:sz w:val="1"/>
                <w:szCs w:val="1"/>
                <w:color w:val="auto"/>
              </w:rPr>
            </w:pPr>
          </w:p>
        </w:tc>
      </w:tr>
      <w:tr>
        <w:trPr>
          <w:trHeight w:val="178"/>
        </w:trPr>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2"/>
                <w:szCs w:val="12"/>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846"/>
        </w:trPr>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0"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60" w:type="dxa"/>
            <w:vAlign w:val="bottom"/>
          </w:tcPr>
          <w:p>
            <w:pPr>
              <w:spacing w:after="0"/>
              <w:rPr>
                <w:sz w:val="13"/>
                <w:szCs w:val="13"/>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NEW FORTRESS ENERGY INC.</w:t>
            </w:r>
          </w:p>
        </w:tc>
      </w:tr>
      <w:tr>
        <w:trPr>
          <w:trHeight w:val="180"/>
        </w:trPr>
        <w:tc>
          <w:tcPr>
            <w:tcW w:w="5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80" w:type="dxa"/>
            <w:vAlign w:val="bottom"/>
          </w:tcPr>
          <w:p>
            <w:pPr>
              <w:spacing w:after="0"/>
              <w:rPr>
                <w:sz w:val="15"/>
                <w:szCs w:val="15"/>
                <w:color w:val="auto"/>
              </w:rPr>
            </w:pPr>
          </w:p>
        </w:tc>
      </w:tr>
      <w:tr>
        <w:trPr>
          <w:trHeight w:val="171"/>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Date: October 1, 2024</w:t>
            </w:r>
          </w:p>
        </w:tc>
        <w:tc>
          <w:tcPr>
            <w:tcW w:w="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By:</w:t>
            </w:r>
          </w:p>
        </w:tc>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 Christopher S. Guinta</w:t>
            </w:r>
          </w:p>
        </w:tc>
      </w:tr>
      <w:tr>
        <w:trPr>
          <w:trHeight w:val="160"/>
        </w:trPr>
        <w:tc>
          <w:tcPr>
            <w:tcW w:w="52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Christopher S. Guinta</w:t>
            </w:r>
          </w:p>
        </w:tc>
      </w:tr>
      <w:tr>
        <w:trPr>
          <w:trHeight w:val="171"/>
        </w:trPr>
        <w:tc>
          <w:tcPr>
            <w:tcW w:w="5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280"/>
          </w:cols>
          <w:pgMar w:left="300" w:top="665"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398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3754755</wp:posOffset>
            </wp:positionV>
            <wp:extent cx="713041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2024-10-01T08:28:36Z</dcterms:created>
  <dcterms:modified xsi:type="dcterms:W3CDTF">2024-10-01T08:28:36Z</dcterms:modified>
</cp:coreProperties>
</file>