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Strategic Value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PUTNAM AVENUE</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 Fortress Energy Inc.</w:t>
              </w:r>
            </w:hyperlink>
            <w:r>
              <w:rPr/>
              <w:t xml:space="preserve"> [ </w:t>
            </w:r>
            <w:r>
              <w:rPr>
                <w:rFonts w:ascii="Times;serif" w:hAnsi="Times;serif"/>
                <w:color w:val="0000FF"/>
                <w:sz w:val="24"/>
                <w:shd w:fill="FFFFFF" w:val="clear"/>
              </w:rPr>
              <w:t>NFE</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869" w:type="dxa"/>
        <w:jc w:val="left"/>
        <w:tblInd w:w="-7" w:type="dxa"/>
        <w:tblLayout w:type="fixed"/>
        <w:tblCellMar>
          <w:top w:w="60" w:type="dxa"/>
          <w:left w:w="60" w:type="dxa"/>
          <w:bottom w:w="60" w:type="dxa"/>
          <w:right w:w="60" w:type="dxa"/>
        </w:tblCellMar>
      </w:tblPr>
      <w:tblGrid>
        <w:gridCol w:w="1175"/>
        <w:gridCol w:w="861"/>
        <w:gridCol w:w="891"/>
        <w:gridCol w:w="771"/>
        <w:gridCol w:w="591"/>
        <w:gridCol w:w="300"/>
        <w:gridCol w:w="711"/>
        <w:gridCol w:w="276"/>
        <w:gridCol w:w="906"/>
        <w:gridCol w:w="801"/>
        <w:gridCol w:w="891"/>
        <w:gridCol w:w="1101"/>
        <w:gridCol w:w="801"/>
        <w:gridCol w:w="936"/>
        <w:gridCol w:w="831"/>
        <w:gridCol w:w="1026"/>
      </w:tblGrid>
      <w:tr>
        <w:trPr>
          <w:tblHeader w:val="true"/>
        </w:trPr>
        <w:tc>
          <w:tcPr>
            <w:tcW w:w="128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Mandatorily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4,810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223,382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35,205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(2)(6)</w:t>
            </w:r>
          </w:p>
        </w:tc>
      </w:tr>
      <w:tr>
        <w:trPr/>
        <w:tc>
          <w:tcPr>
            <w:tcW w:w="1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Mandatorily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2,010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93,346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12,478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(3)(6)</w:t>
            </w:r>
          </w:p>
        </w:tc>
      </w:tr>
      <w:tr>
        <w:trPr/>
        <w:tc>
          <w:tcPr>
            <w:tcW w:w="1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Mandatorily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22,074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1,025,144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182,336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(4)(6)</w:t>
            </w:r>
          </w:p>
        </w:tc>
      </w:tr>
      <w:tr>
        <w:trPr/>
        <w:tc>
          <w:tcPr>
            <w:tcW w:w="1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Mandatorily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31,106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1,444,602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135,206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(5)(6)</w:t>
            </w:r>
          </w:p>
        </w:tc>
      </w:tr>
      <w:tr>
        <w:trPr/>
        <w:tc>
          <w:tcPr>
            <w:tcW w:w="1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Mandatorily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36,172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(2)(6)</w:t>
            </w:r>
          </w:p>
        </w:tc>
      </w:tr>
      <w:tr>
        <w:trPr/>
        <w:tc>
          <w:tcPr>
            <w:tcW w:w="1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Mandatorily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12,822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(3)(6)</w:t>
            </w:r>
          </w:p>
        </w:tc>
      </w:tr>
      <w:tr>
        <w:trPr/>
        <w:tc>
          <w:tcPr>
            <w:tcW w:w="1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Mandatorily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5,016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232,949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187,352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(4)(6)</w:t>
            </w:r>
          </w:p>
        </w:tc>
      </w:tr>
      <w:tr>
        <w:trPr/>
        <w:tc>
          <w:tcPr>
            <w:tcW w:w="11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Mandatorily Convertible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3,673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170,578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138,879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(5)(6)</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Strategic Value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PUTNAM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Strategic Value Excelsior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PUTNAM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Khosla Victor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STRATEGIC VALUE PARTNERS,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PUTNAM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Strategic Value Special Situations Master Fund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PUTNAM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Strategic Value Capital Solutions II MF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PUTNAM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Strategic Value Special Situations VI MF,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PUTNAM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Preferred Stock will automatically convert on the third anniversary of the issue date into a number of shares of Class A Common Stock equal to 46.441271 shares of Class A Common Stock per share of Preferred Stock, subject to adjustment.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directly by Strategic Value Capital Solutions II MF L.P. ("SVCS II MF"). SVP Capital Solutions II LLC ("SVP Capital Solutions II") is the investment manager of SVCS II MF. SVP Capital Solutions GP II Ltd. is the general partner of SVCS II MF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directly by Strategic Value Excelsior Fund, L.P. ("Excelsior"). SVP Excelsior Management LLC ("Excelsior Management") is the investment manager of Excelsior. SVP Excelsior Fund GP Ltd. and SVP Excelsior Fund GP (Series VI) Ltd. are the general partners of Excelsior.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directly by Strategic Value Special Situations Master Fund V, L.P. ("SVSS V"). SVP Special Situations V LLC ("SVPSS V LLC") is the investment manager of SVSS V. SVP Special Situations GP V Ltd. is the general partner of SVSS V.</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Held directly by Strategic Value Special Situations VI MF, L.P. ("SVSS VI MF"). SVP Special Situations VI LLC ("SVPSS VI LLC") is the investment manager of SVSS VI MF. SVP Special Situations GP VI Ltd. is the general partner of SVSS VI MF.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Strategic Value Partners, LLC, which is indirectly controlled by Victor Khosla, is the managing member of SVPSS VI LLC, Excelsior Management, SVPSS V LLC and SVP Capital Solutions II. The filing of this Form 4 shall not be construed as an admission that the Reporting Persons are or were for the purposes of Section 16(a) of the Securities Exchange Act of 1934, as amended, or otherwise, the beneficial owners of any of the securities reported herein. The Reporting Persons disclaim such beneficial ownership, except to the extent of their pecuniary interest.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Lewis Schwartz - for Strategic Value Partners, LLC, By: Lewis Schwartz,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Lewis Schwartz - for Strategic Value Excelsior Fund, L.P., By: SVP Excelsior Management LLC, its investment manager, By: Lewis Schwartz,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Victor Khosla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Lewis Schwartz - for Strategic Value Special Situations Master Fund V, L.P., By: SVP Special Situations V LLC, its investment manager, By: Lewis Schwartz,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Lewis Schwartz - for Strategic Value Capital Solutions II MF L.P., By: SVP Capital Solutions II LLC, its investment manager, By: Lewis Schwartz,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Lewis Schwartz - for Strategic Value Special Situations VI MF, L.P., By: SVP Special Situations VI LLC, its investment manager, By: Lewis Schwartz,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1912" TargetMode="External"/><Relationship Id="rId5" Type="http://schemas.openxmlformats.org/officeDocument/2006/relationships/hyperlink" Target="http://www.sec.gov/cgi-bin/browse-edgar?action=getcompany&amp;CIK=00017497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301912" TargetMode="External"/><Relationship Id="rId9" Type="http://schemas.openxmlformats.org/officeDocument/2006/relationships/hyperlink" Target="http://www.sec.gov/cgi-bin/browse-edgar?action=getcompany&amp;CIK=0001883195" TargetMode="External"/><Relationship Id="rId10" Type="http://schemas.openxmlformats.org/officeDocument/2006/relationships/hyperlink" Target="http://www.sec.gov/cgi-bin/browse-edgar?action=getcompany&amp;CIK=0001473996" TargetMode="External"/><Relationship Id="rId11" Type="http://schemas.openxmlformats.org/officeDocument/2006/relationships/hyperlink" Target="http://www.sec.gov/cgi-bin/browse-edgar?action=getcompany&amp;CIK=0001919716" TargetMode="External"/><Relationship Id="rId12" Type="http://schemas.openxmlformats.org/officeDocument/2006/relationships/hyperlink" Target="http://www.sec.gov/cgi-bin/browse-edgar?action=getcompany&amp;CIK=0002149775" TargetMode="External"/><Relationship Id="rId13" Type="http://schemas.openxmlformats.org/officeDocument/2006/relationships/hyperlink" Target="http://www.sec.gov/cgi-bin/browse-edgar?action=getcompany&amp;CIK=000214976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1326</Words>
  <Characters>7137</Characters>
  <CharactersWithSpaces>8207</CharactersWithSpaces>
  <Paragraphs>284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