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18, 2021</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-224155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-302895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220"/>
          </w:cols>
          <w:pgMar w:left="320" w:top="229" w:right="339" w:bottom="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160020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Cameron D. MacDougall,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W. 19th Street, 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160020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A. Coco,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Schwartz,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Manhattan West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160020</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45"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Approximate date of commencement of proposed sale to the public: From time to time after the effective date of this registration statement.</w:t>
      </w:r>
    </w:p>
    <w:p>
      <w:pPr>
        <w:spacing w:after="0" w:line="237"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72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252095</wp:posOffset>
            </wp:positionV>
            <wp:extent cx="15773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17145"/>
                    </a:xfrm>
                    <a:prstGeom prst="rect">
                      <a:avLst/>
                    </a:prstGeom>
                    <a:noFill/>
                  </pic:spPr>
                </pic:pic>
              </a:graphicData>
            </a:graphic>
          </wp:anchor>
        </w:drawing>
        <w:t>CALCULATION OF REGISTRATION FEE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98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Proposed Maximum</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340" w:type="dxa"/>
            <w:vAlign w:val="bottom"/>
            <w:tcBorders>
              <w:top w:val="single" w:sz="8" w:color="auto"/>
              <w:right w:val="single" w:sz="8" w:color="auto"/>
            </w:tcBorders>
          </w:tcPr>
          <w:p>
            <w:pPr>
              <w:spacing w:after="0"/>
              <w:rPr>
                <w:sz w:val="19"/>
                <w:szCs w:val="19"/>
                <w:color w:val="auto"/>
              </w:rPr>
            </w:pPr>
          </w:p>
        </w:tc>
      </w:tr>
      <w:tr>
        <w:trPr>
          <w:trHeight w:val="216"/>
        </w:trPr>
        <w:tc>
          <w:tcPr>
            <w:tcW w:w="4980" w:type="dxa"/>
            <w:vAlign w:val="bottom"/>
            <w:tcBorders>
              <w:left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Title of Each Class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41"/>
        </w:trPr>
        <w:tc>
          <w:tcPr>
            <w:tcW w:w="498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Securities to be Registered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w:t>
            </w: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Securities to be offered by Registrant</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Class A common stock, $0.01 par value per share</w:t>
            </w:r>
            <w:r>
              <w:rPr>
                <w:rFonts w:ascii="Arial" w:cs="Arial" w:eastAsia="Arial" w:hAnsi="Arial"/>
                <w:sz w:val="25"/>
                <w:szCs w:val="25"/>
                <w:b w:val="1"/>
                <w:bCs w:val="1"/>
                <w:color w:val="auto"/>
                <w:vertAlign w:val="superscript"/>
              </w:rPr>
              <w:t>(1)(2)(3)(5)</w:t>
            </w:r>
          </w:p>
        </w:tc>
        <w:tc>
          <w:tcPr>
            <w:tcW w:w="134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Preferred stock, $0.01 par value per share</w:t>
            </w:r>
            <w:r>
              <w:rPr>
                <w:rFonts w:ascii="Arial" w:cs="Arial" w:eastAsia="Arial" w:hAnsi="Arial"/>
                <w:sz w:val="25"/>
                <w:szCs w:val="25"/>
                <w:b w:val="1"/>
                <w:bCs w:val="1"/>
                <w:color w:val="auto"/>
                <w:vertAlign w:val="superscript"/>
              </w:rPr>
              <w:t>(1)(2)(3)(5)</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Depositary shares</w:t>
            </w:r>
            <w:r>
              <w:rPr>
                <w:rFonts w:ascii="Arial" w:cs="Arial" w:eastAsia="Arial" w:hAnsi="Arial"/>
                <w:sz w:val="25"/>
                <w:szCs w:val="25"/>
                <w:b w:val="1"/>
                <w:bCs w:val="1"/>
                <w:color w:val="auto"/>
                <w:vertAlign w:val="superscript"/>
              </w:rPr>
              <w:t>(1)(2)(3)</w:t>
            </w:r>
            <w:r>
              <w:rPr>
                <w:rFonts w:ascii="Arial" w:cs="Arial" w:eastAsia="Arial" w:hAnsi="Arial"/>
                <w:sz w:val="25"/>
                <w:szCs w:val="25"/>
                <w:color w:val="auto"/>
                <w:vertAlign w:val="superscript"/>
              </w:rPr>
              <w:t>(4)</w:t>
            </w:r>
            <w:r>
              <w:rPr>
                <w:rFonts w:ascii="Arial" w:cs="Arial" w:eastAsia="Arial" w:hAnsi="Arial"/>
                <w:sz w:val="25"/>
                <w:szCs w:val="25"/>
                <w:b w:val="1"/>
                <w:bCs w:val="1"/>
                <w:color w:val="auto"/>
                <w:vertAlign w:val="superscript"/>
              </w:rPr>
              <w:t>(5)</w:t>
            </w:r>
          </w:p>
        </w:tc>
        <w:tc>
          <w:tcPr>
            <w:tcW w:w="134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Debt securities</w:t>
            </w:r>
            <w:r>
              <w:rPr>
                <w:rFonts w:ascii="Arial" w:cs="Arial" w:eastAsia="Arial" w:hAnsi="Arial"/>
                <w:sz w:val="25"/>
                <w:szCs w:val="25"/>
                <w:b w:val="1"/>
                <w:bCs w:val="1"/>
                <w:color w:val="auto"/>
                <w:vertAlign w:val="superscript"/>
              </w:rPr>
              <w:t>(1)(2)(3)(5)</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Arial" w:cs="Arial" w:eastAsia="Arial" w:hAnsi="Arial"/>
                <w:sz w:val="25"/>
                <w:szCs w:val="25"/>
                <w:color w:val="auto"/>
                <w:vertAlign w:val="subscript"/>
              </w:rPr>
              <w:t>Warrants</w:t>
            </w:r>
            <w:r>
              <w:rPr>
                <w:rFonts w:ascii="Arial" w:cs="Arial" w:eastAsia="Arial" w:hAnsi="Arial"/>
                <w:sz w:val="12"/>
                <w:szCs w:val="12"/>
                <w:b w:val="1"/>
                <w:bCs w:val="1"/>
                <w:color w:val="auto"/>
              </w:rPr>
              <w:t>(1)(2)(3)(5)</w:t>
            </w:r>
          </w:p>
        </w:tc>
        <w:tc>
          <w:tcPr>
            <w:tcW w:w="134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Securities to be offered by Selling Securityholders</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Class A common stock, $0.01 par value per share</w:t>
            </w:r>
          </w:p>
        </w:tc>
        <w:tc>
          <w:tcPr>
            <w:tcW w:w="134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8"/>
              </w:rPr>
              <w:t>149,055,732</w:t>
            </w:r>
            <w:r>
              <w:rPr>
                <w:rFonts w:ascii="Arial" w:cs="Arial" w:eastAsia="Arial" w:hAnsi="Arial"/>
                <w:sz w:val="25"/>
                <w:szCs w:val="25"/>
                <w:color w:val="auto"/>
                <w:w w:val="98"/>
                <w:vertAlign w:val="superscript"/>
              </w:rPr>
              <w:t>(6)</w:t>
            </w:r>
          </w:p>
        </w:tc>
        <w:tc>
          <w:tcPr>
            <w:tcW w:w="180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5"/>
              </w:rPr>
              <w:t>$43.32</w:t>
            </w:r>
            <w:r>
              <w:rPr>
                <w:rFonts w:ascii="Arial" w:cs="Arial" w:eastAsia="Arial" w:hAnsi="Arial"/>
                <w:sz w:val="25"/>
                <w:szCs w:val="25"/>
                <w:color w:val="auto"/>
                <w:w w:val="95"/>
                <w:vertAlign w:val="superscript"/>
              </w:rPr>
              <w:t>(7)</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$6,436,398,353.52</w:t>
            </w:r>
          </w:p>
        </w:tc>
        <w:tc>
          <w:tcPr>
            <w:tcW w:w="1340" w:type="dxa"/>
            <w:vAlign w:val="bottom"/>
            <w:tcBorders>
              <w:bottom w:val="single" w:sz="8" w:color="auto"/>
              <w:right w:val="single" w:sz="8" w:color="auto"/>
            </w:tcBorders>
          </w:tcPr>
          <w:p>
            <w:pPr>
              <w:jc w:val="right"/>
              <w:spacing w:after="0" w:line="216" w:lineRule="exact"/>
              <w:rPr>
                <w:sz w:val="20"/>
                <w:szCs w:val="20"/>
                <w:color w:val="auto"/>
              </w:rPr>
            </w:pPr>
            <w:r>
              <w:rPr>
                <w:rFonts w:ascii="Arial" w:cs="Arial" w:eastAsia="Arial" w:hAnsi="Arial"/>
                <w:sz w:val="16"/>
                <w:szCs w:val="16"/>
                <w:color w:val="auto"/>
              </w:rPr>
              <w:t>$30,050.20</w:t>
            </w:r>
            <w:r>
              <w:rPr>
                <w:rFonts w:ascii="Arial" w:cs="Arial" w:eastAsia="Arial" w:hAnsi="Arial"/>
                <w:sz w:val="25"/>
                <w:szCs w:val="25"/>
                <w:color w:val="auto"/>
                <w:vertAlign w:val="superscript"/>
              </w:rPr>
              <w:t>(6)</w:t>
            </w:r>
          </w:p>
        </w:tc>
      </w:tr>
    </w:tbl>
    <w:p>
      <w:pPr>
        <w:spacing w:after="0" w:line="229" w:lineRule="exact"/>
        <w:rPr>
          <w:sz w:val="20"/>
          <w:szCs w:val="20"/>
          <w:color w:val="auto"/>
        </w:rPr>
      </w:pPr>
    </w:p>
    <w:p>
      <w:pPr>
        <w:ind w:left="340" w:right="46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or aggregate principal amount of the securities is being registered as may at various times be issued at indeterminate prices. In addition, up to 149,055,732 shares of Class A common stock may be offered pursuant to this registration statement by the selling securityholders.</w:t>
      </w:r>
    </w:p>
    <w:p>
      <w:pPr>
        <w:spacing w:after="0" w:line="2"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Form S-3 General Instruction II.E. An indeterminate amount of securities is being registered for possible issuance from time to time at indeterminate prices.</w:t>
      </w:r>
    </w:p>
    <w:p>
      <w:pPr>
        <w:ind w:left="340" w:right="36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the securities being registered hereunder include such indeterminate number of securities as may be issuable with respect to the shares being registered hereunder as a result of share splits, share dividends or similar transactions.</w:t>
      </w:r>
    </w:p>
    <w:p>
      <w:pPr>
        <w:ind w:left="340" w:right="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 In the event New Fortress Energy Inc. or selling securityholders elect to offer to the public fractional interests in shares of the preferred stock registered hereunder, depositary receipts will be distributed to those persons purchasing such fractional interests, and shares of preferred stock will be issued to the depositary under the deposit agreement. No separate consideration will be received for the depositary shares.</w:t>
      </w:r>
    </w:p>
    <w:p>
      <w:pPr>
        <w:spacing w:after="0" w:line="1" w:lineRule="exact"/>
        <w:rPr>
          <w:rFonts w:ascii="Arial" w:cs="Arial" w:eastAsia="Arial" w:hAnsi="Arial"/>
          <w:sz w:val="18"/>
          <w:szCs w:val="18"/>
          <w:color w:val="auto"/>
        </w:rPr>
      </w:pPr>
    </w:p>
    <w:p>
      <w:pPr>
        <w:jc w:val="both"/>
        <w:ind w:left="340" w:right="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of 1933, as amended, the registrant is deferring payment of the entire registration fee with respect to the securities that may be offered in connection with this registration statement. In connection with the securities offered hereby, the registrant will pay “pay-as-you-go registration fees” in accordance with Rule 456(b).</w:t>
      </w:r>
    </w:p>
    <w:p>
      <w:pPr>
        <w:spacing w:after="0" w:line="1" w:lineRule="exact"/>
        <w:rPr>
          <w:rFonts w:ascii="Arial" w:cs="Arial" w:eastAsia="Arial" w:hAnsi="Arial"/>
          <w:sz w:val="18"/>
          <w:szCs w:val="18"/>
          <w:color w:val="auto"/>
        </w:rPr>
      </w:pPr>
    </w:p>
    <w:p>
      <w:pPr>
        <w:ind w:left="340" w:right="4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415(a)(6) under the Securities Act, the Registrant previously registered a total of 145,050,664 shares of Class A common stock on the Registrant’s registration statement on Form S-3 (File No. 333-236921) (the “Prior Registration Statement”), for which the registrant paid filing fees of $260,950.21. The Registrant is carrying forward to this registration statement a total of 138,692,465 shares of Class A common stock (the “Unsold Securities”) from the prior Registration Statement. The registration fees paid in connection with the offer and sale of the Unsold Securities covered by the Prior Registration Statement will continue to be applied to the resale of the unsold shares of Class A common stock registered hereby. The Registrant is also registering 6,358,199 new shares of Class A common stock on this registration statement with an aggregate initial offering price of $275,437,180.68 (the “ New Securities”). The proposed maximum aggregate offering price has been estimated solely for the purpose of calculating the registration fee and corresponds to the New Securities being registered hereby and not to the Unsold Securities carried over from the Prior Registration Statement Pursuant to Rule 415(a)(6), the offering of such Unsold Securities registered under the Prior Registration Statement will be deemed terminated as of the date of effectiveness of this registration statement.</w:t>
      </w:r>
    </w:p>
    <w:p>
      <w:pPr>
        <w:spacing w:after="0" w:line="1" w:lineRule="exact"/>
        <w:rPr>
          <w:rFonts w:ascii="Arial" w:cs="Arial" w:eastAsia="Arial" w:hAnsi="Arial"/>
          <w:sz w:val="17"/>
          <w:szCs w:val="17"/>
          <w:color w:val="auto"/>
        </w:rPr>
      </w:pPr>
    </w:p>
    <w:p>
      <w:pPr>
        <w:ind w:left="340" w:right="220" w:hanging="332"/>
        <w:spacing w:after="0" w:line="29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to calculate the registration fee in accordance with Rule 457(c) of the Securities Act on the basis of the average of the high and low sales prices of the registrant’s shares of Class A common stock as reported by NASDAQ Global Select Market on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5715</wp:posOffset>
            </wp:positionV>
            <wp:extent cx="183451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149,055,732 Shares of Class A Common Stock Offered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171450</wp:posOffset>
            </wp:positionV>
            <wp:extent cx="15773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securityholders named in this prospectus or in any supplement to this prospectus may offer and sell Class A common stock from time to time. We will not receive any of the proceeds from the sale of our Class A common stock by the selling securityholders.</w:t>
      </w:r>
    </w:p>
    <w:p>
      <w:pPr>
        <w:spacing w:after="0" w:line="19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102235</wp:posOffset>
            </wp:positionV>
            <wp:extent cx="15773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Investing in our securities involves a number of risks. See “Risk Factors” on page 6 before you make your investment decision.</w:t>
      </w:r>
    </w:p>
    <w:p>
      <w:pPr>
        <w:spacing w:after="0" w:line="24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6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166" w:lineRule="exact"/>
        <w:rPr>
          <w:sz w:val="20"/>
          <w:szCs w:val="20"/>
          <w:color w:val="auto"/>
        </w:rPr>
      </w:pPr>
    </w:p>
    <w:p>
      <w:pPr>
        <w:ind w:right="46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123190</wp:posOffset>
            </wp:positionV>
            <wp:extent cx="15773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WHERE YOU CAN FIND MORE INFORMATION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CAUTIONARY NOTE REGARDING FORWARD-LOOKING STATEMENTS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COMPANY</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SECURITIES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CAPITAL STOCK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DEPOSITARY SHARES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DESCRIPTION OF DEBT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DESCRIPTION OF WARRANTS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SELLING SECURITYHOLDERS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OUR OPERATING AGREEMENT AND PROVISIONS OF DELAWARE LAW</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PLAN OF DISTRIBUTION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 FEDERAL INCOME TAX CONSIDERATIONS FOR NON-U.S. HOLDERS OF CLASS A COMMON STOCK</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ERISA CONSIDERATIONS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MATTERS</w:t>
              </w:r>
            </w:hyperlink>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EXPERTS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securityholders may sell up to 149,055,732 shares of Class A common stock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8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When used in this prospectus, the terms “NFE,” “we,” “our” and “us” refer to New Fortress Energy Inc. and its consolidated subsidiaries, unless otherwise specified or the context otherwise requires.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19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16,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20, 2021 and March 18, 2021;</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Registration Statement on Form 8-A/A for registration of Class A common stock pursuant to Section 12(b) of the Exchange Act, filed on August 7, 2020; and</w:t>
      </w:r>
    </w:p>
    <w:p>
      <w:pPr>
        <w:spacing w:after="0" w:line="17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portions of our Definitive Proxy Statement on Schedule 14A for our 2020 Annual Meeting of Shareholders, filed with the SEC on April 28, 2020, that are incorporated by reference into our Annual Report on Form 10-K for the fiscal year ended December 31, 2019.</w:t>
      </w:r>
    </w:p>
    <w:p>
      <w:pPr>
        <w:spacing w:after="0" w:line="14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(516) 268-7400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18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225" w:lineRule="exact"/>
        <w:rPr>
          <w:rFonts w:ascii="Arial" w:cs="Arial" w:eastAsia="Arial" w:hAnsi="Arial"/>
          <w:sz w:val="18"/>
          <w:szCs w:val="18"/>
          <w:color w:val="auto"/>
        </w:rPr>
      </w:pPr>
    </w:p>
    <w:p>
      <w:pPr>
        <w:ind w:left="980" w:right="10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of the Proposed Mergers (as defined below) is subject to conditions, some or all of which may not be satisfied or completed on a timely basis, or at all, and we, Hygo Energy Transition Ltd. (“Hygo”) and Golar LNG Partners LP (Nasdaq: GMLP) (“GMLP”) are each subject to business uncertainties and contractual restrictions while the Proposed Mergers are pending;</w:t>
      </w:r>
    </w:p>
    <w:p>
      <w:pPr>
        <w:spacing w:after="0" w:line="165" w:lineRule="exact"/>
        <w:rPr>
          <w:rFonts w:ascii="Arial" w:cs="Arial" w:eastAsia="Arial" w:hAnsi="Arial"/>
          <w:sz w:val="17"/>
          <w:szCs w:val="17"/>
          <w:color w:val="auto"/>
        </w:rPr>
      </w:pPr>
    </w:p>
    <w:p>
      <w:pPr>
        <w:ind w:left="980" w:right="3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the Proposed Mergers, we may be unable to successfully integrate the businesses and realize the anticipated benefits of the Proposed Mergers;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completion of the Exchange Transactions (as defined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jurisdictions in which we do, or seek to do, business, particularly Florida, Jamaica, Brazil and the Caribbean;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our Annual Report on Form 10-K and our other filings with the SEC.</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deliver targeted energy solutions by employing an integrated LNG supply and delivery model:</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LNG Supply and Liquefaction </w:t>
      </w:r>
      <w:r>
        <w:rPr>
          <w:rFonts w:ascii="Arial" w:cs="Arial" w:eastAsia="Arial" w:hAnsi="Arial"/>
          <w:sz w:val="17"/>
          <w:szCs w:val="17"/>
          <w:color w:val="auto"/>
        </w:rPr>
        <w:t>- We supply LNG to our customers, typically by entering into long-term LNG supply contracts, which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an index such as Henry Hub plus an additional fee. We have successfully capitalized on current market conditions to acquire LNG via long-term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and floating storage and regasification units. These assets transport LNG from</w:t>
      </w:r>
      <w:r>
        <w:rPr>
          <w:rFonts w:ascii="Arial" w:cs="Arial" w:eastAsia="Arial" w:hAnsi="Arial"/>
          <w:sz w:val="18"/>
          <w:szCs w:val="18"/>
          <w:i w:val="1"/>
          <w:iCs w:val="1"/>
          <w:color w:val="auto"/>
        </w:rPr>
        <w:t xml:space="preserve"> </w:t>
      </w:r>
      <w:r>
        <w:rPr>
          <w:rFonts w:ascii="Arial" w:cs="Arial" w:eastAsia="Arial" w:hAnsi="Arial"/>
          <w:sz w:val="18"/>
          <w:szCs w:val="18"/>
          <w:color w:val="auto"/>
        </w:rPr>
        <w:t>ports to our downstream facilities and gasify LNG for ultimate delivery to our customers.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 Through our network of current and planned downstream facilities and logistics assets, we are strategically positioned to deliver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power solutions to our customers seeking either to transition from environmentally dirtier distillate fuels such as automotive diesel oil and heavy fuel oil or to purchase natural gas to meet their current fuel needs.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19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currently conduct our operations at our LNG storage and regasification facility at the Port of Montego Bay, Jamaica, our marine LNG storage and regasification facility in Old Harbour, Jamaica, our landed micro-fuel handling facility in San Juan, Puerto Rico (the “San Juan Facility”) and at our Miami Facility. In addition, we are currently developing facilities in Mexico, Nicaragua and Ireland.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Proposed Mergers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January 13, 2021, we entered into definitive agreements to acquire (i) Hygo, a 50-50 joint venture between Golar LNG Limited (Nasdaq: GLNG) and Stonepeak Infrastructure Fund II Cayman (G) Ltd., a fund managed by Stonepeak Infrastructure Partners, and (ii) Golar LNG Partners LP (Nasdaq: GMLP) (the Hygo merger together with the GMLP merger, the “Proposed Mergers”). The closing of the Proposed Mergers are each subject to the satisfaction or waiver of certain conditions, some or all of such terms (as described in the Company’s filings with the SEC that are incorporated herein by reference) may not be satisfied or completed on a timely basis, or at all.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2020,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12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March 15, 2021, there were 175,320,414 shares of Class A common stock outstanding. As of the date hereof, there are no shares of Class B common stock or preferred stock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Class A common stock are entitled to one vote per share held of record on all matters to be voted upon by the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our Class A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16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our Class A common stock are entitled to ratably receive dividends when and if declared by our board of directors out of</w:t>
      </w:r>
      <w:r>
        <w:rPr>
          <w:rFonts w:ascii="Arial" w:cs="Arial" w:eastAsia="Arial" w:hAnsi="Arial"/>
          <w:sz w:val="18"/>
          <w:szCs w:val="18"/>
          <w:i w:val="1"/>
          <w:iCs w:val="1"/>
          <w:color w:val="auto"/>
        </w:rPr>
        <w:t xml:space="preserve"> </w:t>
      </w:r>
      <w:r>
        <w:rPr>
          <w:rFonts w:ascii="Arial" w:cs="Arial" w:eastAsia="Arial" w:hAnsi="Arial"/>
          <w:sz w:val="18"/>
          <w:szCs w:val="18"/>
          <w:color w:val="auto"/>
        </w:rPr>
        <w:t>funds legally available for that purpose, subject to any statutory or contractual restrictions on the payment of dividends and to any prior rights and preferences that may be applicable to any outstanding preferred stock.</w:t>
      </w:r>
    </w:p>
    <w:p>
      <w:pPr>
        <w:spacing w:after="0" w:line="18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dissolution, liquidation or winding up, after payment in full of all amounts required to be paid to creditors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preferred stock having liquidation preferences, if any, the holders of our Class A common stock will be entitled to receive our remaining assets available for distribution in accordance with the DGCL.</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Class A common stock have no preemptive or conversion rights and are not subject to further calls or assessment by us.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redemption or sinking fund provisions applicable to the Class A common stock. All outstanding Class A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Prior to the exchange of all of the units (the “NFI LLC Units”) (other than NFI LLC Units owned by NFE or its subsidiaries) of New</w:t>
      </w:r>
      <w:r>
        <w:rPr>
          <w:rFonts w:ascii="Arial" w:cs="Arial" w:eastAsia="Arial" w:hAnsi="Arial"/>
          <w:sz w:val="16"/>
          <w:szCs w:val="16"/>
          <w:i w:val="1"/>
          <w:iCs w:val="1"/>
          <w:color w:val="auto"/>
        </w:rPr>
        <w:t xml:space="preserve"> </w:t>
      </w:r>
      <w:r>
        <w:rPr>
          <w:rFonts w:ascii="Arial" w:cs="Arial" w:eastAsia="Arial" w:hAnsi="Arial"/>
          <w:sz w:val="16"/>
          <w:szCs w:val="16"/>
          <w:color w:val="auto"/>
        </w:rPr>
        <w:t>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Class B common stock are entitled to one vote per share held of record on all matters to be voted upon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Holders of our Class A common stock and Class B common stock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192"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i w:val="1"/>
          <w:iCs w:val="1"/>
          <w:color w:val="auto"/>
        </w:rPr>
        <w:t>Dividend and Liquidation Rights</w:t>
      </w:r>
      <w:r>
        <w:rPr>
          <w:rFonts w:ascii="Arial" w:cs="Arial" w:eastAsia="Arial" w:hAnsi="Arial"/>
          <w:sz w:val="16"/>
          <w:szCs w:val="16"/>
          <w:color w:val="auto"/>
        </w:rPr>
        <w:t>. Holders of our Class B common stock do not have any right to receive dividends, unless the dividend consists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16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i w:val="1"/>
          <w:iCs w:val="1"/>
          <w:color w:val="auto"/>
        </w:rPr>
        <w:t>Redemption Right</w:t>
      </w:r>
      <w:r>
        <w:rPr>
          <w:rFonts w:ascii="Arial" w:cs="Arial" w:eastAsia="Arial" w:hAnsi="Arial"/>
          <w:sz w:val="18"/>
          <w:szCs w:val="18"/>
          <w:color w:val="auto"/>
        </w:rPr>
        <w:t>. Pursuant to the limited liability company agreement of NFI, each holder of NFI LLC Units has the right to redeem his or her NFI</w:t>
      </w:r>
      <w:r>
        <w:rPr>
          <w:rFonts w:ascii="Arial" w:cs="Arial" w:eastAsia="Arial" w:hAnsi="Arial"/>
          <w:sz w:val="18"/>
          <w:szCs w:val="18"/>
          <w:i w:val="1"/>
          <w:iCs w:val="1"/>
          <w:color w:val="auto"/>
        </w:rPr>
        <w:t xml:space="preserve"> </w:t>
      </w:r>
      <w:r>
        <w:rPr>
          <w:rFonts w:ascii="Arial" w:cs="Arial" w:eastAsia="Arial" w:hAnsi="Arial"/>
          <w:sz w:val="18"/>
          <w:szCs w:val="18"/>
          <w:color w:val="auto"/>
        </w:rPr>
        <w:t>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146"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common stock and Class B common stock</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Class A common stock and Class B common stock are securities and any transfers are subject to the laws governing the transfer of securities.</w:t>
      </w:r>
    </w:p>
    <w:p>
      <w:pPr>
        <w:spacing w:after="0" w:line="23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Organizational Documents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225" w:lineRule="exact"/>
        <w:rPr>
          <w:sz w:val="20"/>
          <w:szCs w:val="20"/>
          <w:color w:val="auto"/>
        </w:rPr>
      </w:pPr>
    </w:p>
    <w:p>
      <w:pPr>
        <w:ind w:left="980" w:right="2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enlarge the obligations of any stockholder without such stockholder’s consent, unless approved by at least a majority of the type or class of shares so affected;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the term of existence of our company.</w:t>
      </w:r>
    </w:p>
    <w:p>
      <w:pPr>
        <w:spacing w:after="0" w:line="225"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No Stockholder Approval. </w:t>
      </w:r>
      <w:r>
        <w:rPr>
          <w:rFonts w:ascii="Arial" w:cs="Arial" w:eastAsia="Arial" w:hAnsi="Arial"/>
          <w:sz w:val="16"/>
          <w:szCs w:val="16"/>
          <w:color w:val="auto"/>
        </w:rPr>
        <w:t>Our board of directors may generally make amendments to our Bylaws, and in certain circumstances to our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without the approval of any stockholder or assignee to reflect:</w:t>
      </w:r>
    </w:p>
    <w:p>
      <w:pPr>
        <w:spacing w:after="0" w:line="23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225" w:lineRule="exact"/>
        <w:rPr>
          <w:rFonts w:ascii="Arial" w:cs="Arial" w:eastAsia="Arial" w:hAnsi="Arial"/>
          <w:sz w:val="18"/>
          <w:szCs w:val="18"/>
          <w:color w:val="auto"/>
        </w:rPr>
      </w:pPr>
    </w:p>
    <w:p>
      <w:pPr>
        <w:ind w:left="980" w:hanging="324"/>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to be necessary or appropriate for the authorization of additional securities;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expressly permitted in our organizational documents to be made by our board of directors acting alone;</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organizational documents;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225" w:lineRule="exact"/>
        <w:rPr>
          <w:sz w:val="20"/>
          <w:szCs w:val="20"/>
          <w:color w:val="auto"/>
        </w:rPr>
      </w:pPr>
    </w:p>
    <w:p>
      <w:pPr>
        <w:ind w:firstLine="363"/>
        <w:spacing w:after="0" w:line="277" w:lineRule="auto"/>
        <w:rPr>
          <w:sz w:val="20"/>
          <w:szCs w:val="20"/>
          <w:color w:val="auto"/>
        </w:rPr>
      </w:pPr>
      <w:r>
        <w:rPr>
          <w:rFonts w:ascii="Arial" w:cs="Arial" w:eastAsia="Arial" w:hAnsi="Arial"/>
          <w:sz w:val="18"/>
          <w:szCs w:val="18"/>
          <w:color w:val="auto"/>
        </w:rPr>
        <w:t>In addition, our board of directors may make amendments to our Bylaws without the approval of any stockholder or assignee if our board of directors determines that those amendments:</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adversely affect the stockholders in any material respect;</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70"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Bylaws; or</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required to effect the intent of the provisions of our organizational documents or are otherwise contemplated by our organizational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Pursuant to the provisions of the DGCL, our board of directors is generally prohibited, without the prior approval of holders of a majority of the total combined voting power of all of our Class A common stock and Class B common stock,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 Our board of directors may also sell all or substantially all of our assets under a foreclosure or other realization upon the encumbrances above without that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29"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Organizational Documents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18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i w:val="1"/>
          <w:iCs w:val="1"/>
          <w:color w:val="auto"/>
        </w:rPr>
        <w:t xml:space="preserve">Issuance of Additional Interests. </w:t>
      </w:r>
      <w:r>
        <w:rPr>
          <w:rFonts w:ascii="Arial" w:cs="Arial" w:eastAsia="Arial" w:hAnsi="Arial"/>
          <w:sz w:val="16"/>
          <w:szCs w:val="16"/>
          <w:color w:val="auto"/>
        </w:rPr>
        <w:t>Our organizational documents authorize us to issue up to 750 million shares of Class A common stock, 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16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 xml:space="preserve">Delaware Business Combination Statute—Section 203. </w:t>
      </w:r>
      <w:r>
        <w:rPr>
          <w:rFonts w:ascii="Arial" w:cs="Arial" w:eastAsia="Arial" w:hAnsi="Arial"/>
          <w:sz w:val="18"/>
          <w:szCs w:val="18"/>
          <w:color w:val="auto"/>
        </w:rPr>
        <w:t>We are a corporation organized under Delaware law. Some provisions of Delaware law may</w:t>
      </w:r>
      <w:r>
        <w:rPr>
          <w:rFonts w:ascii="Arial" w:cs="Arial" w:eastAsia="Arial" w:hAnsi="Arial"/>
          <w:sz w:val="18"/>
          <w:szCs w:val="18"/>
          <w:i w:val="1"/>
          <w:iCs w:val="1"/>
          <w:color w:val="auto"/>
        </w:rPr>
        <w:t xml:space="preserve"> </w:t>
      </w:r>
      <w:r>
        <w:rPr>
          <w:rFonts w:ascii="Arial" w:cs="Arial" w:eastAsia="Arial" w:hAnsi="Arial"/>
          <w:sz w:val="18"/>
          <w:szCs w:val="18"/>
          <w:color w:val="auto"/>
        </w:rPr>
        <w:t>delay or prevent a transaction that would cause a change in our control.</w:t>
      </w:r>
    </w:p>
    <w:p>
      <w:pPr>
        <w:spacing w:after="0" w:line="17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149"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right="5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restrictions described above do not apply if (a) the Company does not have a class of voting stock that is: (i) 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w:t>
      </w:r>
    </w:p>
    <w:p>
      <w:pPr>
        <w:spacing w:after="0" w:line="1" w:lineRule="exact"/>
        <w:rPr>
          <w:sz w:val="20"/>
          <w:szCs w:val="20"/>
          <w:color w:val="auto"/>
        </w:rPr>
      </w:pPr>
    </w:p>
    <w:p>
      <w:pPr>
        <w:ind w:right="20" w:firstLine="8"/>
        <w:spacing w:after="0" w:line="260"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would not, at any time within the three year period immediately prior to a business combination between the Company and such stockholder, have been an interested stockholder but for the inadvertent acquisition of ownership.</w:t>
      </w:r>
    </w:p>
    <w:p>
      <w:pPr>
        <w:spacing w:after="0" w:line="18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6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Other Provisions of Our Organizational Documents. </w:t>
      </w:r>
      <w:r>
        <w:rPr>
          <w:rFonts w:ascii="Arial" w:cs="Arial" w:eastAsia="Arial" w:hAnsi="Arial"/>
          <w:sz w:val="16"/>
          <w:szCs w:val="16"/>
          <w:color w:val="auto"/>
        </w:rPr>
        <w:t>Our Certificate of Incorporation provides that our board shall consist of not fewer than one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16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184"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46"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14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Ability of Our Stockholders to Act. </w:t>
      </w:r>
      <w:r>
        <w:rPr>
          <w:rFonts w:ascii="Arial" w:cs="Arial" w:eastAsia="Arial" w:hAnsi="Arial"/>
          <w:sz w:val="17"/>
          <w:szCs w:val="17"/>
          <w:color w:val="auto"/>
        </w:rPr>
        <w:t>Our organizational documents do not permit our stockholders to call special stockholders meetings, except that if</w:t>
      </w:r>
      <w:r>
        <w:rPr>
          <w:rFonts w:ascii="Arial" w:cs="Arial" w:eastAsia="Arial" w:hAnsi="Arial"/>
          <w:sz w:val="17"/>
          <w:szCs w:val="17"/>
          <w:i w:val="1"/>
          <w:iCs w:val="1"/>
          <w:color w:val="auto"/>
        </w:rPr>
        <w:t xml:space="preserve"> </w:t>
      </w:r>
      <w:r>
        <w:rPr>
          <w:rFonts w:ascii="Arial" w:cs="Arial" w:eastAsia="Arial" w:hAnsi="Arial"/>
          <w:sz w:val="17"/>
          <w:szCs w:val="17"/>
          <w:color w:val="auto"/>
        </w:rPr>
        <w:t>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17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w:t>
      </w:r>
    </w:p>
    <w:p>
      <w:pPr>
        <w:ind w:firstLine="8"/>
        <w:spacing w:after="0" w:line="286"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right="9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DGCL or our organizational documents; or</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7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Rights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8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February 4, 2019;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terminating Wesley Edens as our chief executive officer or as Chairman of the Board of Directors and hiring or appointing his successor;</w:t>
      </w:r>
    </w:p>
    <w:p>
      <w:pPr>
        <w:spacing w:after="0" w:line="236" w:lineRule="exact"/>
        <w:rPr>
          <w:rFonts w:ascii="Arial" w:cs="Arial" w:eastAsia="Arial" w:hAnsi="Arial"/>
          <w:sz w:val="17"/>
          <w:szCs w:val="17"/>
          <w:color w:val="auto"/>
        </w:rPr>
      </w:pPr>
    </w:p>
    <w:p>
      <w:pPr>
        <w:ind w:left="980" w:right="26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183"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2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16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12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ind w:right="640" w:firstLine="324"/>
        <w:spacing w:after="0" w:line="279" w:lineRule="auto"/>
        <w:rPr>
          <w:sz w:val="20"/>
          <w:szCs w:val="20"/>
          <w:color w:val="auto"/>
        </w:rPr>
      </w:pPr>
      <w:r>
        <w:rPr>
          <w:rFonts w:ascii="Arial" w:cs="Arial" w:eastAsia="Arial" w:hAnsi="Arial"/>
          <w:sz w:val="17"/>
          <w:szCs w:val="17"/>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16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 or</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 (4) limiting our liability and the liability of the depositary under the deposit agreement (usually to failure to act in good faith, gross negligence or willful misconduct); and (5) indemnifying the depositary against certain possible liabilities.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may offer debt securities in one or more series, which may be senior debt securities or subordinated debt securities and which may be convertible into another security.</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6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15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granting special rights to holders of the debt securities upon occurrence of specified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7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prospectus supplement relating to a particular issue of warrants will describe the terms of those warrants, including, when applicable:</w:t>
      </w:r>
    </w:p>
    <w:p>
      <w:pPr>
        <w:spacing w:after="0" w:line="26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in which the purchase price and/or exercise price of the warrants may be payable;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issue of warrants will be evidenced by warrant certificates. After warrants expire they will become void. The prospectus supplement may provide for the adjustment of the exercise price of the warrants.</w:t>
      </w:r>
    </w:p>
    <w:p>
      <w:pPr>
        <w:spacing w:after="0" w:line="170"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84"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This prospectus also relates to the offer and sale from time to time of up to 149,055,732 shares of Class A common stock by certain of our stockholders identified in the table below, who we refer to in this prospectus as the “selling securityholders.” The selling securityholders identified below may currently hold or acquire at any time Class A common stock in addition to those registered hereby.</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information in the below table (other than the percentages of our outstanding Class A common stock beneficially owned) in respect of the selling securityholders was furnished by or on behalf of the selling securityholders and is as of March 15, 2021. Except as may be noted in this section, none of the selling securityholders has, or within the past three years has had, any material relationship with us or any of our affiliates.</w:t>
      </w:r>
    </w:p>
    <w:p>
      <w:pPr>
        <w:spacing w:after="0" w:line="16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Wesley R. Edens, Randal A. Nardone and all of the entities listed under “Selling Securityholders”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No offer or sale under this prospectus may be made by any securityholder unless that holder is listed in the table below, in any supplement to this prospectus or in an amendment to the relevant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selling securityholders are not obligated to sell any of the Class A common stock offered by this prospectus. Because the selling securityholders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common stock beneficially owned by them that are covered by this prospectus, but will not sell any other Class A common stock that they may currently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Class A Common Stock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6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A Common Stock</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 A Common Stock</w:t>
            </w:r>
          </w:p>
        </w:tc>
        <w:tc>
          <w:tcPr>
            <w:tcW w:w="24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26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Beneficially Owned</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Offered Hereby</w:t>
            </w:r>
          </w:p>
        </w:tc>
        <w:tc>
          <w:tcPr>
            <w:tcW w:w="2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After the Offering</w:t>
            </w:r>
          </w:p>
        </w:tc>
        <w:tc>
          <w:tcPr>
            <w:tcW w:w="0" w:type="dxa"/>
            <w:vAlign w:val="bottom"/>
          </w:tcPr>
          <w:p>
            <w:pPr>
              <w:spacing w:after="0"/>
              <w:rPr>
                <w:sz w:val="1"/>
                <w:szCs w:val="1"/>
                <w:color w:val="auto"/>
              </w:rPr>
            </w:pPr>
          </w:p>
        </w:tc>
      </w:tr>
      <w:tr>
        <w:trPr>
          <w:trHeight w:val="223"/>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Selling Securityholders</w:t>
            </w:r>
          </w:p>
        </w:tc>
        <w:tc>
          <w:tcPr>
            <w:tcW w:w="13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40" w:type="dxa"/>
            <w:vAlign w:val="bottom"/>
            <w:tcBorders>
              <w:top w:val="single" w:sz="8" w:color="auto"/>
            </w:tcBorders>
          </w:tcPr>
          <w:p>
            <w:pPr>
              <w:jc w:val="right"/>
              <w:ind w:right="271"/>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000" w:type="dxa"/>
            <w:vAlign w:val="bottom"/>
            <w:tcBorders>
              <w:top w:val="single" w:sz="8" w:color="auto"/>
            </w:tcBorders>
          </w:tcPr>
          <w:p>
            <w:pPr>
              <w:jc w:val="right"/>
              <w:ind w:right="251"/>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Fortress Equity Partners GP LLC</w:t>
            </w:r>
            <w:r>
              <w:rPr>
                <w:rFonts w:ascii="Arial" w:cs="Arial" w:eastAsia="Arial" w:hAnsi="Arial"/>
                <w:sz w:val="25"/>
                <w:szCs w:val="25"/>
                <w:b w:val="1"/>
                <w:bCs w:val="1"/>
                <w:color w:val="auto"/>
                <w:vertAlign w:val="superscript"/>
              </w:rPr>
              <w:t>(2)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13,399,317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13,399,317</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Arial" w:cs="Arial" w:eastAsia="Arial" w:hAnsi="Arial"/>
                <w:sz w:val="16"/>
                <w:szCs w:val="16"/>
                <w:color w:val="auto"/>
              </w:rPr>
              <w:t>NFE SMRS Holdings LLC</w:t>
            </w:r>
            <w:r>
              <w:rPr>
                <w:rFonts w:ascii="Arial" w:cs="Arial" w:eastAsia="Arial" w:hAnsi="Arial"/>
                <w:sz w:val="25"/>
                <w:szCs w:val="25"/>
                <w:b w:val="1"/>
                <w:bCs w:val="1"/>
                <w:color w:val="auto"/>
                <w:vertAlign w:val="superscript"/>
              </w:rPr>
              <w:t>(3)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34,701,279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34,701,279</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Wesley R. Edens</w:t>
            </w:r>
            <w:r>
              <w:rPr>
                <w:rFonts w:ascii="Arial" w:cs="Arial" w:eastAsia="Arial" w:hAnsi="Arial"/>
                <w:sz w:val="25"/>
                <w:szCs w:val="25"/>
                <w:b w:val="1"/>
                <w:bCs w:val="1"/>
                <w:color w:val="auto"/>
                <w:vertAlign w:val="superscript"/>
              </w:rPr>
              <w:t>(4)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72,627,776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72,627,776</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Arial" w:cs="Arial" w:eastAsia="Arial" w:hAnsi="Arial"/>
                <w:sz w:val="16"/>
                <w:szCs w:val="16"/>
                <w:color w:val="auto"/>
              </w:rPr>
              <w:t>Randal A. Nardone</w:t>
            </w:r>
            <w:r>
              <w:rPr>
                <w:rFonts w:ascii="Arial" w:cs="Arial" w:eastAsia="Arial" w:hAnsi="Arial"/>
                <w:sz w:val="25"/>
                <w:szCs w:val="25"/>
                <w:b w:val="1"/>
                <w:bCs w:val="1"/>
                <w:color w:val="auto"/>
                <w:vertAlign w:val="superscript"/>
              </w:rPr>
              <w:t>(5)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26,196,526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26,196,526</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279,518</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279,518</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69,841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69,841</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David J. Grain</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114,294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114,294</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 William Griffin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333,429</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333,429</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John J. Mack</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1,178,013</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1,178,013</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Katherine E. Wanner</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77,129</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77,129</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78,610</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shares outstanding. See footnote (1).</w:t>
      </w:r>
    </w:p>
    <w:p>
      <w:pPr>
        <w:spacing w:after="0" w:line="2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15, 2021, we had 175,320,414 shares of Class A common stock outstanding.</w:t>
      </w:r>
    </w:p>
    <w:p>
      <w:pPr>
        <w:spacing w:after="0" w:line="9" w:lineRule="exact"/>
        <w:rPr>
          <w:rFonts w:ascii="Arial" w:cs="Arial" w:eastAsia="Arial" w:hAnsi="Arial"/>
          <w:sz w:val="18"/>
          <w:szCs w:val="18"/>
          <w:color w:val="auto"/>
        </w:rPr>
      </w:pPr>
    </w:p>
    <w:p>
      <w:pPr>
        <w:ind w:right="160" w:firstLine="8"/>
        <w:spacing w:after="0" w:line="250" w:lineRule="auto"/>
        <w:tabs>
          <w:tab w:leader="none" w:pos="6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 w:lineRule="exact"/>
        <w:rPr>
          <w:rFonts w:ascii="Arial" w:cs="Arial" w:eastAsia="Arial" w:hAnsi="Arial"/>
          <w:sz w:val="18"/>
          <w:szCs w:val="18"/>
          <w:color w:val="auto"/>
        </w:rPr>
      </w:pPr>
    </w:p>
    <w:p>
      <w:pPr>
        <w:jc w:val="both"/>
        <w:ind w:firstLine="8"/>
        <w:spacing w:after="0" w:line="281" w:lineRule="auto"/>
        <w:tabs>
          <w:tab w:leader="none" w:pos="6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Great Mountain Partners LLC is the manager of NFE SMRS Holdings LLC and Mr. Rotolo and Mr. Thomson are the managers of Great Mountain Partners LLC. Mr. Rotolo and Mr. Thomson may be deemed to have shared voting and investment power over the shares of Class A common stock held by NFE SMRS Holdings LLC. The address of NFE SMRS Holdings LLC is 10 Station Place, P.O. Box 233, Norfolk, Connecticut 06058.</w:t>
      </w:r>
    </w:p>
    <w:p>
      <w:pPr>
        <w:spacing w:after="0" w:line="1" w:lineRule="exact"/>
        <w:rPr>
          <w:rFonts w:ascii="Arial" w:cs="Arial" w:eastAsia="Arial" w:hAnsi="Arial"/>
          <w:sz w:val="16"/>
          <w:szCs w:val="16"/>
          <w:color w:val="auto"/>
        </w:rPr>
      </w:pPr>
    </w:p>
    <w:p>
      <w:pPr>
        <w:jc w:val="both"/>
        <w:ind w:right="160" w:firstLine="8"/>
        <w:spacing w:after="0" w:line="265" w:lineRule="auto"/>
        <w:tabs>
          <w:tab w:leader="none" w:pos="6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55,015,024 shares of Class A common stock held by Mr. Edens and 17,612,751 shares of Class A common stock held by WRE 2012 Trust LLC (“WRE Trust”), a limited liability company organized under the laws of the State of Delaware.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ind w:right="540" w:firstLine="8"/>
        <w:spacing w:after="0" w:line="255" w:lineRule="auto"/>
        <w:tabs>
          <w:tab w:leader="none" w:pos="6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ectPr>
          <w:pgSz w:w="11900" w:h="16838" w:orient="portrait"/>
          <w:cols w:equalWidth="0" w:num="1">
            <w:col w:w="11240"/>
          </w:cols>
          <w:pgMar w:left="320" w:top="121" w:right="339" w:bottom="98"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8"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DESCRIPTION OF OUR OPERATING AGREEMENT AND PROVISIONS OF DELAWARE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limited liability company was formed on August 6, 2018, and will remain in existence until dissolved in accordance with our operating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By purchasing our Class A common stock, you will be admitted as a member of our limited liability company and will be deemed to have agreed to be bound by the terms of our operating agreement. Pursuant to this agreement, each Class A stockholder and each person who acquires Class A common stock from a Class A stockholder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225" w:lineRule="exact"/>
        <w:rPr>
          <w:sz w:val="20"/>
          <w:szCs w:val="20"/>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 approval of any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assignee to reflect:</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continue our qualification as a company in which our members have limited liability under the laws of any state;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225"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operating agreement;</w:t>
      </w:r>
    </w:p>
    <w:p>
      <w:pPr>
        <w:spacing w:after="0" w:line="248" w:lineRule="exact"/>
        <w:rPr>
          <w:rFonts w:ascii="Arial" w:cs="Arial" w:eastAsia="Arial" w:hAnsi="Arial"/>
          <w:sz w:val="16"/>
          <w:szCs w:val="16"/>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70"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170"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29"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we are only be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common stock held by Class A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19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common stock and Class B common stock then entitled to vote at an election of directors.</w:t>
      </w:r>
    </w:p>
    <w:p>
      <w:pPr>
        <w:spacing w:after="0" w:line="184"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4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Ability of Our Shareholders to Act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w:t>
      </w:r>
    </w:p>
    <w:p>
      <w:pPr>
        <w:ind w:firstLine="8"/>
        <w:spacing w:after="0" w:line="286"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director or the entire board of directors may be removed, with or without cause, at any time, by holders of at least 80% of the total combined voting power of all of our outstanding Class A common stock and Class B common stock then entitled to vote at an election of directors. The vacancy in the board of directors caused by any such removal would be filled by a vote of the majority of directors then in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operating agreement provides that unless we consent in writing to the selection of an alternative forum, the Court of Chancery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will, to the fullest extent permitted by applicable law, be the sole and exclusive forum for:</w:t>
      </w:r>
    </w:p>
    <w:p>
      <w:pPr>
        <w:spacing w:after="0" w:line="21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shareholders;</w:t>
      </w:r>
    </w:p>
    <w:p>
      <w:pPr>
        <w:spacing w:after="0" w:line="24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170"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2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6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Rights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So long as the Consenting Entities and their affiliates collectively, directly or indirectly, own at least 30% of the outstanding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187" w:lineRule="exact"/>
        <w:rPr>
          <w:sz w:val="20"/>
          <w:szCs w:val="20"/>
          <w:color w:val="auto"/>
        </w:rPr>
      </w:pPr>
    </w:p>
    <w:p>
      <w:pPr>
        <w:ind w:left="660" w:right="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the date of our operating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terminating Wesley Edens as our chief executive officer or as Chairman of the Board of Directors and hiring or appointing his successor;</w:t>
      </w:r>
    </w:p>
    <w:p>
      <w:pPr>
        <w:spacing w:after="0" w:line="236" w:lineRule="exact"/>
        <w:rPr>
          <w:rFonts w:ascii="Arial" w:cs="Arial" w:eastAsia="Arial" w:hAnsi="Arial"/>
          <w:sz w:val="17"/>
          <w:szCs w:val="17"/>
          <w:color w:val="auto"/>
        </w:rPr>
      </w:pPr>
    </w:p>
    <w:p>
      <w:pPr>
        <w:ind w:left="660" w:right="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increase or decrease in the size of the Board of Directors, committees of the Board of Directors and board and committees of our subsidiaries;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225" w:lineRule="exact"/>
        <w:rPr>
          <w:sz w:val="20"/>
          <w:szCs w:val="20"/>
          <w:color w:val="auto"/>
        </w:rPr>
      </w:pPr>
    </w:p>
    <w:p>
      <w:pPr>
        <w:ind w:left="660" w:right="20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renounced any interest or expectancy in, or in being offered an opportunity to participate in, such corporate opportunities; and</w:t>
      </w:r>
    </w:p>
    <w:p>
      <w:pPr>
        <w:spacing w:after="0" w:line="236" w:lineRule="exact"/>
        <w:rPr>
          <w:rFonts w:ascii="Arial" w:cs="Arial" w:eastAsia="Arial" w:hAnsi="Arial"/>
          <w:sz w:val="17"/>
          <w:szCs w:val="17"/>
          <w:color w:val="auto"/>
        </w:rPr>
      </w:pPr>
    </w:p>
    <w:p>
      <w:pPr>
        <w:ind w:left="660" w:right="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a prospectus supplement.</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identify the specific plan of distribution in a prospectus supplement,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selling securityholders, if applicable;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dealers and agents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in the ordinary course of business.</w:t>
      </w:r>
    </w:p>
    <w:p>
      <w:pPr>
        <w:spacing w:after="0" w:line="1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securities directly to one or more purchasers without using underwriters or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Class A common stock, which is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6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 FOR NON-U.S. 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18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17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realized on the sale, exchange or other disposition of our Class A common stock unless:</w:t>
      </w:r>
    </w:p>
    <w:p>
      <w:pPr>
        <w:spacing w:after="0" w:line="170" w:lineRule="exact"/>
        <w:rPr>
          <w:sz w:val="20"/>
          <w:szCs w:val="20"/>
          <w:color w:val="auto"/>
        </w:rPr>
      </w:pPr>
    </w:p>
    <w:p>
      <w:pPr>
        <w:ind w:left="720" w:right="520" w:hanging="388"/>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170" w:lineRule="exact"/>
        <w:rPr>
          <w:rFonts w:ascii="Arial" w:cs="Arial" w:eastAsia="Arial" w:hAnsi="Arial"/>
          <w:sz w:val="18"/>
          <w:szCs w:val="18"/>
          <w:color w:val="auto"/>
        </w:rPr>
      </w:pPr>
    </w:p>
    <w:p>
      <w:pPr>
        <w:ind w:left="720" w:right="180" w:hanging="388"/>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170" w:lineRule="exact"/>
        <w:rPr>
          <w:rFonts w:ascii="Arial" w:cs="Arial" w:eastAsia="Arial" w:hAnsi="Arial"/>
          <w:sz w:val="18"/>
          <w:szCs w:val="18"/>
          <w:color w:val="auto"/>
        </w:rPr>
      </w:pPr>
    </w:p>
    <w:p>
      <w:pPr>
        <w:ind w:left="720" w:right="260" w:hanging="388"/>
        <w:spacing w:after="0" w:line="25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16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Information returns are required to be filed with the Internal Revenue Service in connection with payments of dividends on our Class A common stock. Unless you comply with certification procedures to establish that you are not a U.S. person, information returns may also be filed with the Internal Revenue Service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Internal Revenue Service Form W-8 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ERISA CONSIDERATIONS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1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16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187"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225" w:lineRule="exact"/>
        <w:rPr>
          <w:rFonts w:ascii="Arial" w:cs="Arial" w:eastAsia="Arial" w:hAnsi="Arial"/>
          <w:sz w:val="18"/>
          <w:szCs w:val="18"/>
          <w:color w:val="auto"/>
        </w:rPr>
      </w:pPr>
    </w:p>
    <w:p>
      <w:pPr>
        <w:ind w:left="1000" w:right="20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security ;</w:t>
      </w:r>
    </w:p>
    <w:p>
      <w:pPr>
        <w:spacing w:after="0" w:line="225"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170" w:lineRule="exact"/>
        <w:rPr>
          <w:rFonts w:ascii="Arial" w:cs="Arial" w:eastAsia="Arial" w:hAnsi="Arial"/>
          <w:sz w:val="18"/>
          <w:szCs w:val="18"/>
          <w:color w:val="auto"/>
        </w:rPr>
      </w:pPr>
    </w:p>
    <w:p>
      <w:pPr>
        <w:ind w:left="1000" w:right="8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security or (ii) an undivided interest in our underlying assets (please see the discussion under “—Plan Asset Issues”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17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16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165" w:lineRule="exact"/>
        <w:rPr>
          <w:sz w:val="20"/>
          <w:szCs w:val="20"/>
          <w:color w:val="auto"/>
        </w:rPr>
      </w:pPr>
    </w:p>
    <w:p>
      <w:pPr>
        <w:ind w:left="1000" w:right="60" w:hanging="317"/>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186" w:lineRule="exact"/>
        <w:rPr>
          <w:rFonts w:ascii="Arial" w:cs="Arial" w:eastAsia="Arial" w:hAnsi="Arial"/>
          <w:sz w:val="18"/>
          <w:szCs w:val="18"/>
          <w:color w:val="auto"/>
        </w:rPr>
      </w:pPr>
    </w:p>
    <w:p>
      <w:pPr>
        <w:ind w:left="1000" w:right="140" w:hanging="317"/>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146" w:lineRule="exact"/>
        <w:rPr>
          <w:rFonts w:ascii="Arial" w:cs="Arial" w:eastAsia="Arial" w:hAnsi="Arial"/>
          <w:sz w:val="17"/>
          <w:szCs w:val="17"/>
          <w:color w:val="auto"/>
        </w:rPr>
      </w:pPr>
    </w:p>
    <w:p>
      <w:pPr>
        <w:ind w:left="1000" w:right="60" w:hanging="317"/>
        <w:spacing w:after="0" w:line="273"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17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Ernst &amp; Young LLP (“E&amp;Y”), independent registered public accounting firm, has audited our consolidated financial statements included in our Annual Report on Form 10-K for the year ended December 31, 2020 and the effectiveness of New Fortress Energy Inc.'s internal control over financial reporting as of December 31, 2020, as set forth in their reports (which contains an explanatory paragraph describing the adoption of ASU No. 2016-02 as described in Note 3 to the consolidated financial statements), which are incorporated by reference in this prospectus and elsewhere in the registration statement. Our financial statements are incorporated by reference in reliance on E&amp;Y’s reports, given on their authority as experts in accounting and auditing.</w:t>
      </w:r>
    </w:p>
    <w:p>
      <w:pPr>
        <w:spacing w:after="0" w:line="161"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E&amp;Y,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GMLP’s financial statements are incorporated by reference in reliance on E&amp;Y’s report, given on their authority as experts in accounting and auditing.</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E&amp;Y,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and elsewhere in the registration statement. Hygo’s financial statements are incorporated by reference in reliance on E&amp;Y’s report, given on their authority as experts in accounting and auditing.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sets forth the estimated expenses payable by us in connection with the sale and distribution of the securities registered hereby, other than underwriting discounts or commissions.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FINRA Filing Fee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Transfer Agents and Trustees’ Fees and Expenses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480" w:firstLine="8"/>
        <w:spacing w:after="0" w:line="258" w:lineRule="auto"/>
        <w:tabs>
          <w:tab w:leader="none" w:pos="6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Rules 456(b) and 457(r) of the Securities Act, applicable SEC registration fees have been deferred and will be paid at the time of any particular offering of the securities under this registration statement, and are therefore not estimable at this time.</w:t>
      </w:r>
    </w:p>
    <w:p>
      <w:pPr>
        <w:spacing w:after="0" w:line="1" w:lineRule="exact"/>
        <w:rPr>
          <w:rFonts w:ascii="Arial" w:cs="Arial" w:eastAsia="Arial" w:hAnsi="Arial"/>
          <w:sz w:val="18"/>
          <w:szCs w:val="18"/>
          <w:color w:val="auto"/>
        </w:rPr>
      </w:pPr>
    </w:p>
    <w:p>
      <w:pPr>
        <w:ind w:right="20"/>
        <w:spacing w:after="0" w:line="260" w:lineRule="auto"/>
        <w:rPr>
          <w:rFonts w:ascii="Arial" w:cs="Arial" w:eastAsia="Arial" w:hAnsi="Arial"/>
          <w:sz w:val="18"/>
          <w:szCs w:val="18"/>
          <w:color w:val="auto"/>
        </w:rPr>
      </w:pPr>
      <w:r>
        <w:rPr>
          <w:rFonts w:ascii="Arial" w:cs="Arial" w:eastAsia="Arial" w:hAnsi="Arial"/>
          <w:sz w:val="18"/>
          <w:szCs w:val="18"/>
          <w:color w:val="auto"/>
        </w:rPr>
        <w:t>** These fees are calculated based on the number of issuances and amount of securities offered and, accordingly, cannot be estimated at this time. An estimate of the aggregate amount of these expenses will be included in the applicable prospectus supplement.</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Fortress Energy Inc. is incorporated under the laws of Delaware.</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Section 145 of the DGCL provides that a corporation may indemnify its directors and officers as well as other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in which such person was made, is made or is threatened to be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actually and reasonably incurred by such person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2"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Under the Company’s Certificate of Incorporation and Bylaws, in most circumstances the Company will indemnify the following persons (the “Indemnified Persons”), to the fullest extent authorized or permitted by applicable law: (a) any person who is or was a director or officer of the Company or its predecessor, (b) any person who is or was serving at the request of the Company or its predecessor as an officer, director, member, manager, partner, fiduciary or trustee of another person (including any subsidiary); provided, that a person shall not be an Indemnified Person by reason of providing, on a fee-for-services basis, trustee, fiduciary or custodial services, (c) is or was Fortress Equity Partners (A) LP and Fortress Investment Group LLC or their respective affiliates, (d) is or was NFE WE LLC and NFE RN LLC or their respective affiliates and (e) is or was any person the Board of Directors designates as an “Indemnified Person” for purposes of the Company’s Certificate of Incorporation or the Bylaws. In addition to rights to indemnification, the Company’s Certificate of Incorporation also contains a provision eliminating personal liability of directors of the Company for monetary damages for breach of fiduciary duty as a director, except to the extent such exemption from liability or limitation thereof is not permitted under the DGCL as the same exists as of the date of the Company’s Certificate of Incorporation or as it may be amended.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 has agreed to provide this indemnification on a case-by-case basis upon authorization from (x) in the case of an Indemnified Person who is a director or officer of the Company at the time of the determination, (i) a majority vote of the Company’s directors who are not parties to such action, suit or proceeding, even though less than a quorum, or (ii) a committee of such directors designated by a majority vote of such directors, even though less than a quorum, or (iii) if there are no such directors, or if such directors so direct, independent legal counsel in a written opinion or (iv) the Company’s stockholders, or (y) in the case of any other Indemnified Person, any person or persons having the authority to act on the matter on behalf of the Company.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 The Company has also agreed to provide this indemnification for criminal proceedings. The Company may purchase and maintain insurance on behalf of any Indemnified Person against any liability asserted against such Indemnified Person, regardless of whether the Company would have the power or obligation to indemnify the person against such liabilities under the Company’s Certificate of Incorporation and Bylaws.</w:t>
      </w:r>
    </w:p>
    <w:p>
      <w:pPr>
        <w:spacing w:after="0" w:line="17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Company has entered into indemnification agreements with its directors and executive officers. The indemnification agreements require, among other things, that the Company indemnify its directors and executive officers to the fullest extent permitted by law and advance its directors and executive officers all related expenses, subject to reimbursement if it is subsequently determined that indemnification is not permitted.</w:t>
      </w:r>
    </w:p>
    <w:p>
      <w:pPr>
        <w:spacing w:after="0" w:line="16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currently maintains an insurance policy on behalf of its directors and officers against any liability asserted against them or which they incur acting in such capacity or arising out of their status as directors or officers.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list of exhibits filed herewith or incorporated by reference is contained in the Exhibit Index immediately following the signature page hereto, which is incorporated herein by reference as if fully set forth 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360" w:type="dxa"/>
            <w:vAlign w:val="bottom"/>
            <w:gridSpan w:val="3"/>
          </w:tcPr>
          <w:p>
            <w:pPr>
              <w:ind w:left="7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Form of Underwriting Agreement</w:t>
            </w:r>
          </w:p>
        </w:tc>
      </w:tr>
      <w:tr>
        <w:trPr>
          <w:trHeight w:val="202"/>
        </w:trPr>
        <w:tc>
          <w:tcPr>
            <w:tcW w:w="880" w:type="dxa"/>
            <w:vAlign w:val="bottom"/>
          </w:tcPr>
          <w:p>
            <w:pPr>
              <w:spacing w:after="0" w:line="201" w:lineRule="exact"/>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3.1</w:t>
              </w:r>
            </w:hyperlink>
          </w:p>
        </w:tc>
        <w:tc>
          <w:tcPr>
            <w:tcW w:w="10360" w:type="dxa"/>
            <w:vAlign w:val="bottom"/>
            <w:gridSpan w:val="3"/>
          </w:tcPr>
          <w:p>
            <w:pPr>
              <w:ind w:left="700"/>
              <w:spacing w:after="0" w:line="201" w:lineRule="exact"/>
              <w:rPr>
                <w:sz w:val="20"/>
                <w:szCs w:val="20"/>
                <w:color w:val="auto"/>
              </w:rPr>
            </w:pPr>
            <w:r>
              <w:rPr>
                <w:rFonts w:ascii="Arial" w:cs="Arial" w:eastAsia="Arial" w:hAnsi="Arial"/>
                <w:sz w:val="18"/>
                <w:szCs w:val="18"/>
                <w:color w:val="auto"/>
                <w:w w:val="94"/>
              </w:rPr>
              <w:t>Certificate of Incorporation of New Fortress Energy Inc. (incorporated by reference to Exhibit 99.3 to New Fortress Energy Inc.’s</w:t>
            </w:r>
          </w:p>
        </w:tc>
      </w:tr>
      <w:tr>
        <w:trPr>
          <w:trHeight w:val="230"/>
        </w:trPr>
        <w:tc>
          <w:tcPr>
            <w:tcW w:w="880" w:type="dxa"/>
            <w:vAlign w:val="bottom"/>
          </w:tcPr>
          <w:p>
            <w:pPr>
              <w:spacing w:after="0"/>
              <w:rPr>
                <w:sz w:val="20"/>
                <w:szCs w:val="20"/>
                <w:color w:val="auto"/>
              </w:rPr>
            </w:pPr>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Quarterly Report on Form 10-Q filed on August 4, 2020).</w:t>
            </w:r>
          </w:p>
        </w:tc>
      </w:tr>
      <w:tr>
        <w:trPr>
          <w:trHeight w:val="202"/>
        </w:trPr>
        <w:tc>
          <w:tcPr>
            <w:tcW w:w="880" w:type="dxa"/>
            <w:vAlign w:val="bottom"/>
            <w:shd w:val="clear" w:color="auto" w:fill="CCEEFF"/>
          </w:tcPr>
          <w:p>
            <w:pPr>
              <w:spacing w:after="0" w:line="201" w:lineRule="exact"/>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3.2</w:t>
              </w:r>
            </w:hyperlink>
          </w:p>
        </w:tc>
        <w:tc>
          <w:tcPr>
            <w:tcW w:w="1036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Bylaws of New Fortress Energy Inc. (incorporated by reference to Exhibit 99.4 to New Fortress Energy Inc.’s Quarterly Report on</w:t>
            </w:r>
          </w:p>
        </w:tc>
      </w:tr>
      <w:tr>
        <w:trPr>
          <w:trHeight w:val="230"/>
        </w:trPr>
        <w:tc>
          <w:tcPr>
            <w:tcW w:w="880" w:type="dxa"/>
            <w:vAlign w:val="bottom"/>
            <w:shd w:val="clear" w:color="auto" w:fill="CCEEFF"/>
          </w:tcPr>
          <w:p>
            <w:pPr>
              <w:spacing w:after="0"/>
              <w:rPr>
                <w:sz w:val="20"/>
                <w:szCs w:val="20"/>
                <w:color w:val="auto"/>
              </w:rPr>
            </w:pPr>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Form 10-Q filed on August 4, 2020).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Form of certificate representing preferred stock.</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Form of Depositary Agreement (including form of Depositary Receipt).</w:t>
            </w:r>
          </w:p>
        </w:tc>
      </w:tr>
      <w:tr>
        <w:trPr>
          <w:trHeight w:val="202"/>
        </w:trPr>
        <w:tc>
          <w:tcPr>
            <w:tcW w:w="880" w:type="dxa"/>
            <w:vAlign w:val="bottom"/>
          </w:tcPr>
          <w:p>
            <w:pPr>
              <w:spacing w:after="0" w:line="201" w:lineRule="exact"/>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4.2</w:t>
              </w:r>
            </w:hyperlink>
          </w:p>
        </w:tc>
        <w:tc>
          <w:tcPr>
            <w:tcW w:w="10360" w:type="dxa"/>
            <w:vAlign w:val="bottom"/>
            <w:gridSpan w:val="3"/>
          </w:tcPr>
          <w:p>
            <w:pPr>
              <w:ind w:left="700"/>
              <w:spacing w:after="0" w:line="201" w:lineRule="exact"/>
              <w:rPr>
                <w:sz w:val="20"/>
                <w:szCs w:val="20"/>
                <w:color w:val="auto"/>
              </w:rPr>
            </w:pPr>
            <w:r>
              <w:rPr>
                <w:rFonts w:ascii="Arial" w:cs="Arial" w:eastAsia="Arial" w:hAnsi="Arial"/>
                <w:sz w:val="18"/>
                <w:szCs w:val="18"/>
                <w:color w:val="auto"/>
                <w:w w:val="94"/>
              </w:rPr>
              <w:t>Form of Indenture for debt securities between the registrant and U.S. Bank National Association, as the trustee (incorporated by</w:t>
            </w:r>
          </w:p>
        </w:tc>
      </w:tr>
      <w:tr>
        <w:trPr>
          <w:trHeight w:val="230"/>
        </w:trPr>
        <w:tc>
          <w:tcPr>
            <w:tcW w:w="880" w:type="dxa"/>
            <w:vAlign w:val="bottom"/>
          </w:tcPr>
          <w:p>
            <w:pPr>
              <w:spacing w:after="0"/>
              <w:rPr>
                <w:sz w:val="20"/>
                <w:szCs w:val="20"/>
                <w:color w:val="auto"/>
              </w:rPr>
            </w:pPr>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reference to Exhibit 4.2 to the Registration Statement on Form S-3 (No. 333-236921))</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5.1*</w:t>
              </w:r>
            </w:hyperlink>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Opinion of Skadden, Arps, Slate, Meagher &amp; Flom LLP.</w:t>
            </w:r>
          </w:p>
        </w:tc>
      </w:tr>
      <w:tr>
        <w:trPr>
          <w:trHeight w:val="216"/>
        </w:trPr>
        <w:tc>
          <w:tcPr>
            <w:tcW w:w="88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23.1*</w:t>
              </w:r>
            </w:hyperlink>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Consent of Ernst &amp; Young LLP, Independent Registered Public Accounting Firm, for New Fortress Energy Inc.</w:t>
            </w: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23.2*</w:t>
              </w:r>
            </w:hyperlink>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Consent of Ernst &amp; Young LLP, Independent Registered Public Accounting Firm, for Golar LNG Partners LP.</w:t>
            </w:r>
          </w:p>
        </w:tc>
      </w:tr>
      <w:tr>
        <w:trPr>
          <w:trHeight w:val="216"/>
        </w:trPr>
        <w:tc>
          <w:tcPr>
            <w:tcW w:w="880" w:type="dxa"/>
            <w:vAlign w:val="bottom"/>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23.3*</w:t>
              </w:r>
            </w:hyperlink>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Consent of Ernst &amp; Young LLP, Independent Registered Public Accounting Firm, for Hygo Energy Transition Ltd.</w:t>
            </w: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23.4*</w:t>
              </w:r>
            </w:hyperlink>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Consent of Skadden, Arps, Slate, Meagher &amp; Flom LLP (included as part of Exhibit 5.1).</w:t>
            </w:r>
          </w:p>
        </w:tc>
      </w:tr>
      <w:tr>
        <w:trPr>
          <w:trHeight w:val="216"/>
        </w:trPr>
        <w:tc>
          <w:tcPr>
            <w:tcW w:w="88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24.1*</w:t>
              </w:r>
            </w:hyperlink>
          </w:p>
        </w:tc>
        <w:tc>
          <w:tcPr>
            <w:tcW w:w="10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Power of Attorney (included on signature pages to this Registration Statement).</w:t>
            </w:r>
          </w:p>
        </w:tc>
      </w:tr>
      <w:tr>
        <w:trPr>
          <w:trHeight w:val="230"/>
        </w:trPr>
        <w:tc>
          <w:tcPr>
            <w:tcW w:w="8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25.1*</w:t>
              </w:r>
            </w:hyperlink>
          </w:p>
        </w:tc>
        <w:tc>
          <w:tcPr>
            <w:tcW w:w="10360" w:type="dxa"/>
            <w:vAlign w:val="bottom"/>
            <w:gridSpan w:val="3"/>
          </w:tcPr>
          <w:p>
            <w:pPr>
              <w:ind w:left="700"/>
              <w:spacing w:after="0"/>
              <w:rPr>
                <w:sz w:val="20"/>
                <w:szCs w:val="20"/>
                <w:color w:val="auto"/>
              </w:rPr>
            </w:pPr>
            <w:r>
              <w:rPr>
                <w:rFonts w:ascii="Arial" w:cs="Arial" w:eastAsia="Arial" w:hAnsi="Arial"/>
                <w:sz w:val="18"/>
                <w:szCs w:val="18"/>
                <w:color w:val="auto"/>
              </w:rPr>
              <w:t>Statement of Eligibility on Form T-1 of trustee 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712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60" w:firstLine="8"/>
        <w:spacing w:after="0" w:line="277" w:lineRule="auto"/>
        <w:tabs>
          <w:tab w:leader="none" w:pos="5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other filings incorporated herein by reference or to a post-effective amendment hereto, if applicable.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960" w:hanging="656"/>
        <w:spacing w:after="0" w:line="291" w:lineRule="auto"/>
        <w:tabs>
          <w:tab w:leader="none" w:pos="1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6" w:lineRule="exact"/>
        <w:rPr>
          <w:rFonts w:ascii="Arial" w:cs="Arial" w:eastAsia="Arial" w:hAnsi="Arial"/>
          <w:sz w:val="16"/>
          <w:szCs w:val="16"/>
          <w:color w:val="auto"/>
        </w:rPr>
      </w:pPr>
    </w:p>
    <w:p>
      <w:pPr>
        <w:ind w:left="1960" w:right="60" w:hanging="656"/>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of this section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87" w:lineRule="exact"/>
        <w:rPr>
          <w:sz w:val="20"/>
          <w:szCs w:val="20"/>
          <w:color w:val="auto"/>
        </w:rPr>
      </w:pPr>
    </w:p>
    <w:p>
      <w:pPr>
        <w:ind w:left="1300" w:right="4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70" w:lineRule="exact"/>
        <w:rPr>
          <w:rFonts w:ascii="Arial" w:cs="Arial" w:eastAsia="Arial" w:hAnsi="Arial"/>
          <w:sz w:val="18"/>
          <w:szCs w:val="18"/>
          <w:color w:val="auto"/>
        </w:rPr>
      </w:pPr>
    </w:p>
    <w:p>
      <w:pPr>
        <w:ind w:left="1960" w:hanging="656"/>
        <w:spacing w:after="0" w:line="287"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300" w:right="120" w:hanging="644"/>
        <w:spacing w:after="0" w:line="275"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1960" w:right="220" w:hanging="656"/>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right="120" w:hanging="656"/>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right="200" w:hanging="656"/>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March 18,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Wesley R. Edens</w:t>
            </w:r>
          </w:p>
        </w:tc>
      </w:tr>
      <w:tr>
        <w:trPr>
          <w:trHeight w:val="202"/>
        </w:trPr>
        <w:tc>
          <w:tcPr>
            <w:tcW w:w="56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20" w:type="dxa"/>
            <w:vAlign w:val="bottom"/>
          </w:tcPr>
          <w:p>
            <w:pPr>
              <w:ind w:left="160"/>
              <w:spacing w:after="0" w:line="201" w:lineRule="exact"/>
              <w:rPr>
                <w:sz w:val="20"/>
                <w:szCs w:val="20"/>
                <w:color w:val="auto"/>
              </w:rPr>
            </w:pPr>
            <w:r>
              <w:rPr>
                <w:rFonts w:ascii="Arial" w:cs="Arial" w:eastAsia="Arial" w:hAnsi="Arial"/>
                <w:sz w:val="18"/>
                <w:szCs w:val="18"/>
                <w:color w:val="auto"/>
              </w:rPr>
              <w:t>Wesley R. Edens</w:t>
            </w:r>
          </w:p>
        </w:tc>
      </w:tr>
      <w:tr>
        <w:trPr>
          <w:trHeight w:val="230"/>
        </w:trPr>
        <w:tc>
          <w:tcPr>
            <w:tcW w:w="5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accordance with the requirements of the Securities Act of 1933, as amended, this Registration Statement has been signed by the following persons in the capacities and on the dates stated. Each person whose signature appears below constitutes and appoints Wesley R. Edens, Christopher S. Guinta and Yunyoung Shin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Wesley R. Edens</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Chairman</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8"/>
              </w:rPr>
              <w:t>Wesley R. Edens</w:t>
            </w:r>
          </w:p>
        </w:tc>
        <w:tc>
          <w:tcPr>
            <w:tcW w:w="240" w:type="dxa"/>
            <w:vAlign w:val="bottom"/>
          </w:tcPr>
          <w:p>
            <w:pPr>
              <w:spacing w:after="0"/>
              <w:rPr>
                <w:sz w:val="20"/>
                <w:szCs w:val="20"/>
                <w:color w:val="auto"/>
              </w:rPr>
            </w:pPr>
          </w:p>
        </w:tc>
        <w:tc>
          <w:tcPr>
            <w:tcW w:w="4500" w:type="dxa"/>
            <w:vAlign w:val="bottom"/>
            <w:gridSpan w:val="2"/>
          </w:tcPr>
          <w:p>
            <w:pPr>
              <w:jc w:val="center"/>
              <w:ind w:right="240"/>
              <w:spacing w:after="0" w:line="203" w:lineRule="exact"/>
              <w:rPr>
                <w:sz w:val="20"/>
                <w:szCs w:val="20"/>
                <w:color w:val="auto"/>
              </w:rPr>
            </w:pPr>
            <w:r>
              <w:rPr>
                <w:rFonts w:ascii="Arial" w:cs="Arial" w:eastAsia="Arial" w:hAnsi="Arial"/>
                <w:sz w:val="18"/>
                <w:szCs w:val="18"/>
                <w:i w:val="1"/>
                <w:iCs w:val="1"/>
                <w:color w:val="auto"/>
                <w:w w:val="94"/>
              </w:rPr>
              <w:t>(Principal Executive Officer)</w:t>
            </w: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S. Guinta</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Christopher S. Guinta</w:t>
            </w:r>
          </w:p>
        </w:tc>
        <w:tc>
          <w:tcPr>
            <w:tcW w:w="240" w:type="dxa"/>
            <w:vAlign w:val="bottom"/>
          </w:tcPr>
          <w:p>
            <w:pPr>
              <w:spacing w:after="0"/>
              <w:rPr>
                <w:sz w:val="20"/>
                <w:szCs w:val="20"/>
                <w:color w:val="auto"/>
              </w:rPr>
            </w:pPr>
          </w:p>
        </w:tc>
        <w:tc>
          <w:tcPr>
            <w:tcW w:w="4500" w:type="dxa"/>
            <w:vAlign w:val="bottom"/>
            <w:gridSpan w:val="2"/>
          </w:tcPr>
          <w:p>
            <w:pPr>
              <w:jc w:val="center"/>
              <w:ind w:right="240"/>
              <w:spacing w:after="0" w:line="203" w:lineRule="exact"/>
              <w:rPr>
                <w:sz w:val="20"/>
                <w:szCs w:val="20"/>
                <w:color w:val="auto"/>
              </w:rPr>
            </w:pPr>
            <w:r>
              <w:rPr>
                <w:rFonts w:ascii="Arial" w:cs="Arial" w:eastAsia="Arial" w:hAnsi="Arial"/>
                <w:sz w:val="18"/>
                <w:szCs w:val="18"/>
                <w:i w:val="1"/>
                <w:iCs w:val="1"/>
                <w:color w:val="auto"/>
                <w:w w:val="97"/>
              </w:rPr>
              <w:t>(Principal Financial Officer)</w:t>
            </w: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Yunyoung Shin</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Accounting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Yunyoung Shin</w:t>
            </w:r>
          </w:p>
        </w:tc>
        <w:tc>
          <w:tcPr>
            <w:tcW w:w="240" w:type="dxa"/>
            <w:vAlign w:val="bottom"/>
          </w:tcPr>
          <w:p>
            <w:pPr>
              <w:spacing w:after="0"/>
              <w:rPr>
                <w:sz w:val="20"/>
                <w:szCs w:val="20"/>
                <w:color w:val="auto"/>
              </w:rPr>
            </w:pPr>
          </w:p>
        </w:tc>
        <w:tc>
          <w:tcPr>
            <w:tcW w:w="4500" w:type="dxa"/>
            <w:vAlign w:val="bottom"/>
            <w:gridSpan w:val="2"/>
          </w:tcPr>
          <w:p>
            <w:pPr>
              <w:jc w:val="center"/>
              <w:ind w:right="240"/>
              <w:spacing w:after="0" w:line="203" w:lineRule="exact"/>
              <w:rPr>
                <w:sz w:val="20"/>
                <w:szCs w:val="20"/>
                <w:color w:val="auto"/>
              </w:rPr>
            </w:pPr>
            <w:r>
              <w:rPr>
                <w:rFonts w:ascii="Arial" w:cs="Arial" w:eastAsia="Arial" w:hAnsi="Arial"/>
                <w:sz w:val="18"/>
                <w:szCs w:val="18"/>
                <w:i w:val="1"/>
                <w:iCs w:val="1"/>
                <w:color w:val="auto"/>
                <w:w w:val="95"/>
              </w:rPr>
              <w:t>(Principal Accounting Officer)</w:t>
            </w: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Randal A. Nardone</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 William Griffin</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8"/>
              </w:rPr>
              <w:t>C. William Griffin</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J. Mack</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0"/>
              </w:rPr>
              <w:t>John J. Mack</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Matthew Wilkinson</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5"/>
              </w:rPr>
              <w:t>Matthew Wilkinson</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J. Grain</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David J. Grain</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Desmond Iain Catterall</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Desmond Iain Catterall</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Katherine E. Wanner</w:t>
            </w:r>
          </w:p>
        </w:tc>
        <w:tc>
          <w:tcPr>
            <w:tcW w:w="24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18, 2021</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0"/>
              </w:rPr>
              <w:t>Katherine E. Wanner</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Skadden, Arps, Slate, Meagher &amp; Flom LLP Letterhead</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18,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Fortress Energy Inc.</w:t>
      </w:r>
    </w:p>
    <w:p>
      <w:pPr>
        <w:spacing w:after="0" w:line="180" w:lineRule="auto"/>
        <w:rPr>
          <w:sz w:val="20"/>
          <w:szCs w:val="20"/>
          <w:color w:val="auto"/>
        </w:rPr>
      </w:pPr>
      <w:r>
        <w:rPr>
          <w:rFonts w:ascii="Arial" w:cs="Arial" w:eastAsia="Arial" w:hAnsi="Arial"/>
          <w:sz w:val="19"/>
          <w:szCs w:val="19"/>
          <w:color w:val="auto"/>
        </w:rPr>
        <w:t>111 W. 19</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Street, 8</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10011</w:t>
      </w:r>
    </w:p>
    <w:p>
      <w:pPr>
        <w:spacing w:after="0" w:line="22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tcPr>
          <w:p>
            <w:pPr>
              <w:spacing w:after="0"/>
              <w:rPr>
                <w:sz w:val="20"/>
                <w:szCs w:val="20"/>
                <w:color w:val="auto"/>
              </w:rPr>
            </w:pPr>
            <w:r>
              <w:rPr>
                <w:rFonts w:ascii="Arial" w:cs="Arial" w:eastAsia="Arial" w:hAnsi="Arial"/>
                <w:sz w:val="18"/>
                <w:szCs w:val="18"/>
                <w:color w:val="auto"/>
              </w:rPr>
              <w:t>New Fortress Energy Inc.</w:t>
            </w:r>
          </w:p>
        </w:tc>
      </w:tr>
      <w:tr>
        <w:trPr>
          <w:trHeight w:val="190"/>
        </w:trPr>
        <w:tc>
          <w:tcPr>
            <w:tcW w:w="66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S-3</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We have acted as special United States counsel to New Fortress Energy Inc., a Delaware corporation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registration statement on Form S-3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to be filed on the date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hereof by the Company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the Securities Act of 1933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The Registration Statement relates to the issuance and sale by the Company from time to time, pursuant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Rule 415 of the General Rules and Regulations of the Commission promulgated under the Securities Act (the “</w:t>
      </w:r>
      <w:r>
        <w:rPr>
          <w:rFonts w:ascii="Arial" w:cs="Arial" w:eastAsia="Arial" w:hAnsi="Arial"/>
          <w:sz w:val="21"/>
          <w:szCs w:val="21"/>
          <w:u w:val="single" w:color="auto"/>
          <w:color w:val="auto"/>
        </w:rPr>
        <w:t>Rules and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Regulations</w:t>
      </w:r>
      <w:r>
        <w:rPr>
          <w:rFonts w:ascii="Arial" w:cs="Arial" w:eastAsia="Arial" w:hAnsi="Arial"/>
          <w:sz w:val="21"/>
          <w:szCs w:val="21"/>
          <w:color w:val="auto"/>
        </w:rPr>
        <w:t>”), of (i) shares of Class A common stock, par value $0.01 per share, of the Company (the “</w:t>
      </w:r>
      <w:r>
        <w:rPr>
          <w:rFonts w:ascii="Arial" w:cs="Arial" w:eastAsia="Arial" w:hAnsi="Arial"/>
          <w:sz w:val="21"/>
          <w:szCs w:val="21"/>
          <w:u w:val="single" w:color="auto"/>
          <w:color w:val="auto"/>
        </w:rPr>
        <w:t>Class A Common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Stock</w:t>
      </w:r>
      <w:r>
        <w:rPr>
          <w:rFonts w:ascii="Arial" w:cs="Arial" w:eastAsia="Arial" w:hAnsi="Arial"/>
          <w:sz w:val="19"/>
          <w:szCs w:val="19"/>
          <w:color w:val="auto"/>
        </w:rPr>
        <w:t>”), (ii) shares of preferred stock, par value $0.01 per share, of the Company (“</w:t>
      </w:r>
      <w:r>
        <w:rPr>
          <w:rFonts w:ascii="Arial" w:cs="Arial" w:eastAsia="Arial" w:hAnsi="Arial"/>
          <w:sz w:val="19"/>
          <w:szCs w:val="19"/>
          <w:u w:val="single" w:color="auto"/>
          <w:color w:val="auto"/>
        </w:rPr>
        <w:t>Preferred Stock</w:t>
      </w:r>
      <w:r>
        <w:rPr>
          <w:rFonts w:ascii="Arial" w:cs="Arial" w:eastAsia="Arial" w:hAnsi="Arial"/>
          <w:sz w:val="19"/>
          <w:szCs w:val="19"/>
          <w:color w:val="auto"/>
        </w:rPr>
        <w:t>”), which may be issued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one or more series, (iii) depositary receipts (the “</w:t>
      </w:r>
      <w:r>
        <w:rPr>
          <w:rFonts w:ascii="Arial" w:cs="Arial" w:eastAsia="Arial" w:hAnsi="Arial"/>
          <w:sz w:val="19"/>
          <w:szCs w:val="19"/>
          <w:u w:val="single" w:color="auto"/>
          <w:color w:val="auto"/>
        </w:rPr>
        <w:t>Receipts</w:t>
      </w:r>
      <w:r>
        <w:rPr>
          <w:rFonts w:ascii="Arial" w:cs="Arial" w:eastAsia="Arial" w:hAnsi="Arial"/>
          <w:sz w:val="19"/>
          <w:szCs w:val="19"/>
          <w:color w:val="auto"/>
        </w:rPr>
        <w:t>”) representing fractional shares of the Preferred Stock, which are called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depositary shares (the “</w:t>
      </w:r>
      <w:r>
        <w:rPr>
          <w:rFonts w:ascii="Arial" w:cs="Arial" w:eastAsia="Arial" w:hAnsi="Arial"/>
          <w:sz w:val="19"/>
          <w:szCs w:val="19"/>
          <w:u w:val="single" w:color="auto"/>
          <w:color w:val="auto"/>
        </w:rPr>
        <w:t>Depositary Shares</w:t>
      </w:r>
      <w:r>
        <w:rPr>
          <w:rFonts w:ascii="Arial" w:cs="Arial" w:eastAsia="Arial" w:hAnsi="Arial"/>
          <w:sz w:val="19"/>
          <w:szCs w:val="19"/>
          <w:color w:val="auto"/>
        </w:rPr>
        <w:t>”) and which may be issued pursuant to one or more depositary agreements (each,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Depositary Agreement</w:t>
      </w:r>
      <w:r>
        <w:rPr>
          <w:rFonts w:ascii="Arial" w:cs="Arial" w:eastAsia="Arial" w:hAnsi="Arial"/>
          <w:sz w:val="19"/>
          <w:szCs w:val="19"/>
          <w:color w:val="auto"/>
        </w:rPr>
        <w:t>”) proposed to be entered into between the Company and one or more bank or trust companies to be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named in the applicable Depositary Agreement (each, a “</w:t>
      </w:r>
      <w:r>
        <w:rPr>
          <w:rFonts w:ascii="Arial" w:cs="Arial" w:eastAsia="Arial" w:hAnsi="Arial"/>
          <w:sz w:val="21"/>
          <w:szCs w:val="21"/>
          <w:u w:val="single" w:color="auto"/>
          <w:color w:val="auto"/>
        </w:rPr>
        <w:t>Bank Depositary</w:t>
      </w:r>
      <w:r>
        <w:rPr>
          <w:rFonts w:ascii="Arial" w:cs="Arial" w:eastAsia="Arial" w:hAnsi="Arial"/>
          <w:sz w:val="21"/>
          <w:szCs w:val="21"/>
          <w:color w:val="auto"/>
        </w:rPr>
        <w:t>”); (iv) debt securities of the Company (“</w:t>
      </w:r>
      <w:r>
        <w:rPr>
          <w:rFonts w:ascii="Arial" w:cs="Arial" w:eastAsia="Arial" w:hAnsi="Arial"/>
          <w:sz w:val="21"/>
          <w:szCs w:val="21"/>
          <w:u w:val="single" w:color="auto"/>
          <w:color w:val="auto"/>
        </w:rPr>
        <w:t>Debt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w:t>
      </w:r>
      <w:r>
        <w:rPr>
          <w:rFonts w:ascii="Arial" w:cs="Arial" w:eastAsia="Arial" w:hAnsi="Arial"/>
          <w:sz w:val="19"/>
          <w:szCs w:val="19"/>
          <w:color w:val="auto"/>
        </w:rPr>
        <w:t>”), which may be issued in one or more series under an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proposed to be entered into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and the trustee to be named therein, the form of which is filed by reference as an exhibit to the Registration Statement;</w:t>
      </w:r>
    </w:p>
    <w:p>
      <w:pPr>
        <w:spacing w:after="0" w:line="25" w:lineRule="exact"/>
        <w:rPr>
          <w:sz w:val="20"/>
          <w:szCs w:val="20"/>
          <w:color w:val="auto"/>
        </w:rPr>
      </w:pPr>
    </w:p>
    <w:p>
      <w:pPr>
        <w:ind w:right="60" w:firstLine="8"/>
        <w:spacing w:after="0" w:line="270" w:lineRule="auto"/>
        <w:tabs>
          <w:tab w:leader="none" w:pos="306" w:val="left"/>
        </w:tabs>
        <w:numPr>
          <w:ilvl w:val="0"/>
          <w:numId w:val="40"/>
        </w:numPr>
        <w:rPr>
          <w:rFonts w:ascii="Arial" w:cs="Arial" w:eastAsia="Arial" w:hAnsi="Arial"/>
          <w:sz w:val="19"/>
          <w:szCs w:val="19"/>
          <w:color w:val="auto"/>
        </w:rPr>
      </w:pPr>
      <w:r>
        <w:rPr>
          <w:rFonts w:ascii="Arial" w:cs="Arial" w:eastAsia="Arial" w:hAnsi="Arial"/>
          <w:sz w:val="19"/>
          <w:szCs w:val="19"/>
          <w:color w:val="auto"/>
        </w:rPr>
        <w:t>warrants to purchase shares of Class A Common Stock, shares of Preferred Stock or Debt Securities (“</w:t>
      </w:r>
      <w:r>
        <w:rPr>
          <w:rFonts w:ascii="Arial" w:cs="Arial" w:eastAsia="Arial" w:hAnsi="Arial"/>
          <w:sz w:val="19"/>
          <w:szCs w:val="19"/>
          <w:u w:val="single" w:color="auto"/>
          <w:color w:val="auto"/>
        </w:rPr>
        <w:t>Warrants</w:t>
      </w:r>
      <w:r>
        <w:rPr>
          <w:rFonts w:ascii="Arial" w:cs="Arial" w:eastAsia="Arial" w:hAnsi="Arial"/>
          <w:sz w:val="19"/>
          <w:szCs w:val="19"/>
          <w:color w:val="auto"/>
        </w:rPr>
        <w:t>”), which may be issued pursuant to one or more warrant agreements (each, a “</w:t>
      </w:r>
      <w:r>
        <w:rPr>
          <w:rFonts w:ascii="Arial" w:cs="Arial" w:eastAsia="Arial" w:hAnsi="Arial"/>
          <w:sz w:val="19"/>
          <w:szCs w:val="19"/>
          <w:u w:val="single" w:color="auto"/>
          <w:color w:val="auto"/>
        </w:rPr>
        <w:t>Warrant Agreement</w:t>
      </w:r>
      <w:r>
        <w:rPr>
          <w:rFonts w:ascii="Arial" w:cs="Arial" w:eastAsia="Arial" w:hAnsi="Arial"/>
          <w:sz w:val="19"/>
          <w:szCs w:val="19"/>
          <w:color w:val="auto"/>
        </w:rPr>
        <w:t>”) proposed to be entered into by the Company and one or more warrant agents to be named therein; and (vi) such indeterminate number of shares of Class A Common Stock, Preferred Stock or Depositary Shares and indeterminate amount of Debt Securities as may be issued upon conversion, exchange or exercise, as applicable, of any Preferred Stock, Depositary Shares, Debt Securities or Warrants, including such Class A Common Stock or Preferred Stock as may be issued pursuant to anti-dilution adjustments determined at the time of offering (collectively, “</w:t>
      </w:r>
      <w:r>
        <w:rPr>
          <w:rFonts w:ascii="Arial" w:cs="Arial" w:eastAsia="Arial" w:hAnsi="Arial"/>
          <w:sz w:val="19"/>
          <w:szCs w:val="19"/>
          <w:u w:val="single" w:color="auto"/>
          <w:color w:val="auto"/>
        </w:rPr>
        <w:t>Indeterminate Securities</w:t>
      </w:r>
      <w:r>
        <w:rPr>
          <w:rFonts w:ascii="Arial" w:cs="Arial" w:eastAsia="Arial" w:hAnsi="Arial"/>
          <w:sz w:val="19"/>
          <w:szCs w:val="19"/>
          <w:color w:val="auto"/>
        </w:rPr>
        <w:t>”). The Registration Statement also relates to the sale from time to time of (a) up to 708,092 shares of Class A Common Stock (the “</w:t>
      </w:r>
      <w:r>
        <w:rPr>
          <w:rFonts w:ascii="Arial" w:cs="Arial" w:eastAsia="Arial" w:hAnsi="Arial"/>
          <w:sz w:val="19"/>
          <w:szCs w:val="19"/>
          <w:u w:val="single" w:color="auto"/>
          <w:color w:val="auto"/>
        </w:rPr>
        <w:t>RSU Secondary Shares</w:t>
      </w:r>
      <w:r>
        <w:rPr>
          <w:rFonts w:ascii="Arial" w:cs="Arial" w:eastAsia="Arial" w:hAnsi="Arial"/>
          <w:sz w:val="19"/>
          <w:szCs w:val="19"/>
          <w:color w:val="auto"/>
        </w:rPr>
        <w:t>”) issuable upon settlement of certain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outstanding under the Company’s Amended and Restated New Fortress Energy Inc. 2019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(b) 149,055,732 additional shares of Class A Common Stock (the “</w:t>
      </w:r>
      <w:r>
        <w:rPr>
          <w:rFonts w:ascii="Arial" w:cs="Arial" w:eastAsia="Arial" w:hAnsi="Arial"/>
          <w:sz w:val="19"/>
          <w:szCs w:val="19"/>
          <w:u w:val="single" w:color="auto"/>
          <w:color w:val="auto"/>
        </w:rPr>
        <w:t>Other Secondary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and together with the RSU Secondary Shares, the “</w:t>
      </w:r>
      <w:r>
        <w:rPr>
          <w:rFonts w:ascii="Arial" w:cs="Arial" w:eastAsia="Arial" w:hAnsi="Arial"/>
          <w:sz w:val="19"/>
          <w:szCs w:val="19"/>
          <w:u w:val="single" w:color="auto"/>
          <w:color w:val="auto"/>
        </w:rPr>
        <w:t>Secondary Shares</w:t>
      </w:r>
      <w:r>
        <w:rPr>
          <w:rFonts w:ascii="Arial" w:cs="Arial" w:eastAsia="Arial" w:hAnsi="Arial"/>
          <w:sz w:val="19"/>
          <w:szCs w:val="19"/>
          <w:color w:val="auto"/>
        </w:rPr>
        <w:t>”) in each case on behalf of the Company’s shareholders (the “</w:t>
      </w:r>
      <w:r>
        <w:rPr>
          <w:rFonts w:ascii="Arial" w:cs="Arial" w:eastAsia="Arial" w:hAnsi="Arial"/>
          <w:sz w:val="19"/>
          <w:szCs w:val="19"/>
          <w:u w:val="single" w:color="auto"/>
          <w:color w:val="auto"/>
        </w:rPr>
        <w:t>Selling Stockholders</w:t>
      </w:r>
      <w:r>
        <w:rPr>
          <w:rFonts w:ascii="Arial" w:cs="Arial" w:eastAsia="Arial" w:hAnsi="Arial"/>
          <w:sz w:val="19"/>
          <w:szCs w:val="19"/>
          <w:color w:val="auto"/>
        </w:rPr>
        <w:t>”). The Class A Common Stock, Preferred Stock, Depositary Shares, Debt Securities, Warrants, Indeterminate Securities and Secondary Shares offered pursuant to the Registration Statement are collectively referred to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This opinion is being furnished in accordance with the requirements of Item 601(b)(5) of Regulation S-K under the Securities Act.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233" w:lineRule="exact"/>
        <w:rPr>
          <w:sz w:val="20"/>
          <w:szCs w:val="20"/>
          <w:color w:val="auto"/>
        </w:rPr>
      </w:pPr>
    </w:p>
    <w:p>
      <w:pPr>
        <w:ind w:left="2080" w:hanging="776"/>
        <w:spacing w:after="0"/>
        <w:tabs>
          <w:tab w:leader="none" w:pos="2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Registration Statement;</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form of Indenture incorporated by reference as an exhibit to the Registration Statement;</w:t>
      </w:r>
    </w:p>
    <w:p>
      <w:pPr>
        <w:spacing w:after="0" w:line="233" w:lineRule="exact"/>
        <w:rPr>
          <w:rFonts w:ascii="Arial" w:cs="Arial" w:eastAsia="Arial" w:hAnsi="Arial"/>
          <w:sz w:val="22"/>
          <w:szCs w:val="22"/>
          <w:color w:val="auto"/>
        </w:rPr>
      </w:pPr>
    </w:p>
    <w:p>
      <w:pPr>
        <w:ind w:right="200" w:firstLine="1304"/>
        <w:spacing w:after="0" w:line="250" w:lineRule="auto"/>
        <w:tabs>
          <w:tab w:leader="none" w:pos="207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 executed copy of a certificate of Cameron D. MacDougall, Secretary of the Company, dated the date hereof (the “</w:t>
      </w:r>
      <w:r>
        <w:rPr>
          <w:rFonts w:ascii="Arial" w:cs="Arial" w:eastAsia="Arial" w:hAnsi="Arial"/>
          <w:sz w:val="22"/>
          <w:szCs w:val="22"/>
          <w:u w:val="single" w:color="auto"/>
          <w:color w:val="auto"/>
        </w:rPr>
        <w:t>Secretary’s Certificate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2100" w:hanging="796"/>
        <w:spacing w:after="0"/>
        <w:tabs>
          <w:tab w:leader="none" w:pos="21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Plan;</w:t>
      </w:r>
    </w:p>
    <w:p>
      <w:pPr>
        <w:spacing w:after="0" w:line="233" w:lineRule="exact"/>
        <w:rPr>
          <w:rFonts w:ascii="Arial" w:cs="Arial" w:eastAsia="Arial" w:hAnsi="Arial"/>
          <w:sz w:val="22"/>
          <w:szCs w:val="22"/>
          <w:color w:val="auto"/>
        </w:rPr>
      </w:pPr>
    </w:p>
    <w:p>
      <w:pPr>
        <w:ind w:right="100" w:firstLine="1304"/>
        <w:spacing w:after="0" w:line="328" w:lineRule="auto"/>
        <w:tabs>
          <w:tab w:leader="none" w:pos="207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copy of the Company’s Certificate of Incorporation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certified by the Secretary of State of the State of Delaware as of August 3, 2020, and certified pursuant to the Secretary’s Certificate;</w:t>
      </w:r>
    </w:p>
    <w:p>
      <w:pPr>
        <w:spacing w:after="0" w:line="131" w:lineRule="exact"/>
        <w:rPr>
          <w:rFonts w:ascii="Arial" w:cs="Arial" w:eastAsia="Arial" w:hAnsi="Arial"/>
          <w:sz w:val="19"/>
          <w:szCs w:val="19"/>
          <w:color w:val="auto"/>
        </w:rPr>
      </w:pPr>
    </w:p>
    <w:p>
      <w:pPr>
        <w:ind w:right="160" w:firstLine="1304"/>
        <w:spacing w:after="0" w:line="250" w:lineRule="auto"/>
        <w:tabs>
          <w:tab w:leader="none" w:pos="20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Company’s bylaws, adopted as of August 3, 2020 and effective as of August 7, 2020 dated as of August 7, 2020 (the “</w:t>
      </w:r>
      <w:r>
        <w:rPr>
          <w:rFonts w:ascii="Arial" w:cs="Arial" w:eastAsia="Arial" w:hAnsi="Arial"/>
          <w:sz w:val="22"/>
          <w:szCs w:val="22"/>
          <w:u w:val="single" w:color="auto"/>
          <w:color w:val="auto"/>
        </w:rPr>
        <w:t>Bylaws</w:t>
      </w:r>
      <w:r>
        <w:rPr>
          <w:rFonts w:ascii="Arial" w:cs="Arial" w:eastAsia="Arial" w:hAnsi="Arial"/>
          <w:sz w:val="22"/>
          <w:szCs w:val="22"/>
          <w:color w:val="auto"/>
        </w:rPr>
        <w:t>”), certified pursuant to the Secretary’s Certificate;</w:t>
      </w:r>
    </w:p>
    <w:p>
      <w:pPr>
        <w:spacing w:after="0" w:line="201" w:lineRule="exact"/>
        <w:rPr>
          <w:rFonts w:ascii="Arial" w:cs="Arial" w:eastAsia="Arial" w:hAnsi="Arial"/>
          <w:sz w:val="22"/>
          <w:szCs w:val="22"/>
          <w:color w:val="auto"/>
        </w:rPr>
      </w:pPr>
    </w:p>
    <w:p>
      <w:pPr>
        <w:ind w:right="600" w:firstLine="1304"/>
        <w:spacing w:after="0" w:line="250" w:lineRule="auto"/>
        <w:tabs>
          <w:tab w:leader="none" w:pos="20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Company’s Certificate of Conversion, filed with the Secretary of State of the State of Delaware on August 3, 2020, certified pursuant to the Secretary’s Certificate;</w:t>
      </w:r>
    </w:p>
    <w:p>
      <w:pPr>
        <w:spacing w:after="0" w:line="201" w:lineRule="exact"/>
        <w:rPr>
          <w:rFonts w:ascii="Arial" w:cs="Arial" w:eastAsia="Arial" w:hAnsi="Arial"/>
          <w:sz w:val="22"/>
          <w:szCs w:val="22"/>
          <w:color w:val="auto"/>
        </w:rPr>
      </w:pPr>
    </w:p>
    <w:p>
      <w:pPr>
        <w:ind w:right="120" w:firstLine="1304"/>
        <w:spacing w:after="0" w:line="250" w:lineRule="auto"/>
        <w:tabs>
          <w:tab w:leader="none" w:pos="20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New Fortress Energy LLC adopted on July 30, 2020, certified pursuant to the Secretary’s Certificate;</w:t>
      </w:r>
    </w:p>
    <w:p>
      <w:pPr>
        <w:spacing w:after="0" w:line="201" w:lineRule="exact"/>
        <w:rPr>
          <w:rFonts w:ascii="Arial" w:cs="Arial" w:eastAsia="Arial" w:hAnsi="Arial"/>
          <w:sz w:val="22"/>
          <w:szCs w:val="22"/>
          <w:color w:val="auto"/>
        </w:rPr>
      </w:pPr>
    </w:p>
    <w:p>
      <w:pPr>
        <w:ind w:right="620" w:firstLine="1304"/>
        <w:spacing w:after="0" w:line="250" w:lineRule="auto"/>
        <w:tabs>
          <w:tab w:leader="none" w:pos="2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August 7, 2020, certified pursuant to the Secretary’s Certificate;</w:t>
      </w:r>
    </w:p>
    <w:p>
      <w:pPr>
        <w:spacing w:after="0" w:line="201" w:lineRule="exact"/>
        <w:rPr>
          <w:rFonts w:ascii="Arial" w:cs="Arial" w:eastAsia="Arial" w:hAnsi="Arial"/>
          <w:sz w:val="22"/>
          <w:szCs w:val="22"/>
          <w:color w:val="auto"/>
        </w:rPr>
      </w:pPr>
    </w:p>
    <w:p>
      <w:pPr>
        <w:ind w:firstLine="1304"/>
        <w:spacing w:after="0" w:line="250" w:lineRule="auto"/>
        <w:tabs>
          <w:tab w:leader="none" w:pos="2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Form of Director Restricted Share Unit Award Agreement Under the Amended and Restated New Fortress Energy Inc. 2019 Omnibus Incentive Plan (the “</w:t>
      </w:r>
      <w:r>
        <w:rPr>
          <w:rFonts w:ascii="Arial" w:cs="Arial" w:eastAsia="Arial" w:hAnsi="Arial"/>
          <w:sz w:val="22"/>
          <w:szCs w:val="22"/>
          <w:u w:val="single" w:color="auto"/>
          <w:color w:val="auto"/>
        </w:rPr>
        <w:t>Director RSU Award Agreement</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ind w:right="260" w:firstLine="1304"/>
        <w:spacing w:after="0"/>
        <w:tabs>
          <w:tab w:leader="none" w:pos="20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Form of Restricted Share Unit Award Agreement Under the Amended and Restated New Fortress Energy Inc. 2019 Omnibus Incentive Plan (together with the Director RSU Award Agreement,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15" w:lineRule="exact"/>
        <w:rPr>
          <w:sz w:val="20"/>
          <w:szCs w:val="20"/>
          <w:color w:val="auto"/>
        </w:rPr>
      </w:pPr>
    </w:p>
    <w:p>
      <w:pPr>
        <w:ind w:right="140" w:firstLine="1296"/>
        <w:spacing w:after="0" w:line="252" w:lineRule="auto"/>
        <w:rPr>
          <w:sz w:val="20"/>
          <w:szCs w:val="20"/>
          <w:color w:val="auto"/>
        </w:rPr>
      </w:pPr>
      <w:r>
        <w:rPr>
          <w:rFonts w:ascii="Arial" w:cs="Arial" w:eastAsia="Arial" w:hAnsi="Arial"/>
          <w:sz w:val="21"/>
          <w:szCs w:val="21"/>
          <w:color w:val="auto"/>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and the Selling Stockholders and others, and such other documents as we have deemed necessary or appropriate as a basis for the opinions stated below.</w:t>
      </w:r>
    </w:p>
    <w:p>
      <w:pPr>
        <w:spacing w:after="0" w:line="201"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those in the Secretary’s Certificate.</w:t>
      </w:r>
    </w:p>
    <w:p>
      <w:pPr>
        <w:spacing w:after="0" w:line="177"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We do not express any opinion with respect to the laws of any jurisdiction other than (i) the laws of the State of New York and (ii)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(all of the foregoing being referred to as “</w:t>
      </w:r>
      <w:r>
        <w:rPr>
          <w:rFonts w:ascii="Arial" w:cs="Arial" w:eastAsia="Arial" w:hAnsi="Arial"/>
          <w:sz w:val="22"/>
          <w:szCs w:val="22"/>
          <w:u w:val="single" w:color="auto"/>
          <w:color w:val="auto"/>
        </w:rPr>
        <w:t>Opined-on Law</w:t>
      </w:r>
      <w:r>
        <w:rPr>
          <w:rFonts w:ascii="Arial" w:cs="Arial" w:eastAsia="Arial" w:hAnsi="Arial"/>
          <w:sz w:val="22"/>
          <w:szCs w:val="22"/>
          <w:color w:val="auto"/>
        </w:rPr>
        <w:t>”).</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As used herein, “</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the Plan, the Award Agreements, the Depositary Agreements, the Indenture and the supplemental indentures and officer’s certificates establishing the terms of the Debt Securities pursuant thereto, the Warrant Agreements and any applicable underwriting or purchase agreement.</w:t>
      </w:r>
    </w:p>
    <w:p>
      <w:pPr>
        <w:spacing w:after="0" w:line="213"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The opinions stated in paragraphs 1 through 7 below presume that all of the following (collectively, the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has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and the Bylaws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Based upon the foregoing and subject to the qualifications and assumptions stated herein, we are of the opinion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ind w:right="60" w:firstLine="1304"/>
        <w:spacing w:after="0" w:line="277" w:lineRule="auto"/>
        <w:tabs>
          <w:tab w:leader="none" w:pos="2052" w:val="left"/>
        </w:tabs>
        <w:numPr>
          <w:ilvl w:val="0"/>
          <w:numId w:val="42"/>
        </w:numPr>
        <w:rPr>
          <w:rFonts w:ascii="Arial" w:cs="Arial" w:eastAsia="Arial" w:hAnsi="Arial"/>
          <w:sz w:val="19"/>
          <w:szCs w:val="19"/>
          <w:color w:val="auto"/>
        </w:rPr>
      </w:pPr>
      <w:r>
        <w:rPr>
          <w:rFonts w:ascii="Arial" w:cs="Arial" w:eastAsia="Arial" w:hAnsi="Arial"/>
          <w:sz w:val="19"/>
          <w:szCs w:val="19"/>
          <w:color w:val="auto"/>
        </w:rPr>
        <w:t>With respect to any shares of Class A Common Stock offered by the Company, including any Indeterminate Securities constituting Class A Common Stock (the “</w:t>
      </w:r>
      <w:r>
        <w:rPr>
          <w:rFonts w:ascii="Arial" w:cs="Arial" w:eastAsia="Arial" w:hAnsi="Arial"/>
          <w:sz w:val="19"/>
          <w:szCs w:val="19"/>
          <w:u w:val="single" w:color="auto"/>
          <w:color w:val="auto"/>
        </w:rPr>
        <w:t>Offered Class A Common Stock</w:t>
      </w:r>
      <w:r>
        <w:rPr>
          <w:rFonts w:ascii="Arial" w:cs="Arial" w:eastAsia="Arial" w:hAnsi="Arial"/>
          <w:sz w:val="19"/>
          <w:szCs w:val="19"/>
          <w:color w:val="auto"/>
        </w:rPr>
        <w:t>”), when (a) the general conditions shall have been satisfied and (b) the Offered Class A Common Stock are registered in the Company’s share registry and delivered upon payment of the agreed-upon consideration therefor, the shares of Offered Class A Common Stock,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share of Class A Common Stock.</w:t>
      </w:r>
    </w:p>
    <w:p>
      <w:pPr>
        <w:spacing w:after="0" w:line="178" w:lineRule="exact"/>
        <w:rPr>
          <w:rFonts w:ascii="Arial" w:cs="Arial" w:eastAsia="Arial" w:hAnsi="Arial"/>
          <w:sz w:val="19"/>
          <w:szCs w:val="19"/>
          <w:color w:val="auto"/>
        </w:rPr>
      </w:pPr>
    </w:p>
    <w:p>
      <w:pPr>
        <w:jc w:val="both"/>
        <w:ind w:right="20" w:firstLine="1304"/>
        <w:spacing w:after="0"/>
        <w:tabs>
          <w:tab w:leader="none" w:pos="20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When delivered in accordance with the Plan and applicable award agreement, the RSU Secondary Shares being sold by the Selling Stockholders will be duly authorized by all requisite corporate action on the part of the Company under the DGCL and validly issued, fully paid and nonassessable.</w:t>
      </w:r>
    </w:p>
    <w:p>
      <w:pPr>
        <w:spacing w:after="0" w:line="213" w:lineRule="exact"/>
        <w:rPr>
          <w:rFonts w:ascii="Arial" w:cs="Arial" w:eastAsia="Arial" w:hAnsi="Arial"/>
          <w:sz w:val="22"/>
          <w:szCs w:val="22"/>
          <w:color w:val="auto"/>
        </w:rPr>
      </w:pPr>
    </w:p>
    <w:p>
      <w:pPr>
        <w:ind w:firstLine="1304"/>
        <w:spacing w:after="0" w:line="250" w:lineRule="auto"/>
        <w:tabs>
          <w:tab w:leader="none" w:pos="20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Other Secondary Shares have been duly authorized by all requisite corporate action on the part of the Company under the DGCL and have been validly issued and are fully paid and nonassessable.</w:t>
      </w:r>
    </w:p>
    <w:p>
      <w:pPr>
        <w:spacing w:after="0" w:line="201" w:lineRule="exact"/>
        <w:rPr>
          <w:rFonts w:ascii="Arial" w:cs="Arial" w:eastAsia="Arial" w:hAnsi="Arial"/>
          <w:sz w:val="22"/>
          <w:szCs w:val="22"/>
          <w:color w:val="auto"/>
        </w:rPr>
      </w:pPr>
    </w:p>
    <w:p>
      <w:pPr>
        <w:ind w:right="100" w:firstLine="1304"/>
        <w:spacing w:after="0" w:line="245" w:lineRule="auto"/>
        <w:tabs>
          <w:tab w:leader="none" w:pos="2052" w:val="left"/>
        </w:tabs>
        <w:numPr>
          <w:ilvl w:val="0"/>
          <w:numId w:val="42"/>
        </w:numPr>
        <w:rPr>
          <w:rFonts w:ascii="Arial" w:cs="Arial" w:eastAsia="Arial" w:hAnsi="Arial"/>
          <w:sz w:val="21"/>
          <w:szCs w:val="21"/>
          <w:color w:val="auto"/>
        </w:rPr>
      </w:pPr>
      <w:r>
        <w:rPr>
          <w:rFonts w:ascii="Arial" w:cs="Arial" w:eastAsia="Arial" w:hAnsi="Arial"/>
          <w:sz w:val="21"/>
          <w:szCs w:val="21"/>
          <w:color w:val="auto"/>
        </w:rPr>
        <w:t>With respect to the shares of any series of Preferred Stock offered by the Company, including any Indeterminate Securities constituting Preferred Stock of such series (the “</w:t>
      </w:r>
      <w:r>
        <w:rPr>
          <w:rFonts w:ascii="Arial" w:cs="Arial" w:eastAsia="Arial" w:hAnsi="Arial"/>
          <w:sz w:val="21"/>
          <w:szCs w:val="21"/>
          <w:u w:val="single" w:color="auto"/>
          <w:color w:val="auto"/>
        </w:rPr>
        <w:t>Offered Preferred Stock</w:t>
      </w:r>
      <w:r>
        <w:rPr>
          <w:rFonts w:ascii="Arial" w:cs="Arial" w:eastAsia="Arial" w:hAnsi="Arial"/>
          <w:sz w:val="21"/>
          <w:szCs w:val="21"/>
          <w:color w:val="auto"/>
        </w:rPr>
        <w:t>”), when (a) the general conditions shall have been satisfied, (b) the terms of the Offered Preferred Stock and of their issuance and sale have been duly established by the Board of Directors in conformity with the Certificate of Incorporation, the Bylaws and the DGCL, and (c) the Offered Preferred Stock are registered in the Company’s share registry and delivered upon payment of the agreed-upon consideration therefor, the Offered Preferred Stock,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share of Offered Preferred Share.</w:t>
      </w:r>
    </w:p>
    <w:p>
      <w:pPr>
        <w:spacing w:after="0" w:line="211" w:lineRule="exact"/>
        <w:rPr>
          <w:rFonts w:ascii="Arial" w:cs="Arial" w:eastAsia="Arial" w:hAnsi="Arial"/>
          <w:sz w:val="21"/>
          <w:szCs w:val="21"/>
          <w:color w:val="auto"/>
        </w:rPr>
      </w:pPr>
    </w:p>
    <w:p>
      <w:pPr>
        <w:ind w:right="80" w:firstLine="1304"/>
        <w:spacing w:after="0" w:line="274" w:lineRule="auto"/>
        <w:tabs>
          <w:tab w:leader="none" w:pos="2052" w:val="left"/>
        </w:tabs>
        <w:numPr>
          <w:ilvl w:val="0"/>
          <w:numId w:val="42"/>
        </w:numPr>
        <w:rPr>
          <w:rFonts w:ascii="Arial" w:cs="Arial" w:eastAsia="Arial" w:hAnsi="Arial"/>
          <w:sz w:val="19"/>
          <w:szCs w:val="19"/>
          <w:color w:val="auto"/>
        </w:rPr>
      </w:pPr>
      <w:r>
        <w:rPr>
          <w:rFonts w:ascii="Arial" w:cs="Arial" w:eastAsia="Arial" w:hAnsi="Arial"/>
          <w:sz w:val="19"/>
          <w:szCs w:val="19"/>
          <w:color w:val="auto"/>
        </w:rPr>
        <w:t>With respect to any Depositary Shares offered by the Company, including any Indeterminate Securities constituting Depositary Shares (the “</w:t>
      </w:r>
      <w:r>
        <w:rPr>
          <w:rFonts w:ascii="Arial" w:cs="Arial" w:eastAsia="Arial" w:hAnsi="Arial"/>
          <w:sz w:val="19"/>
          <w:szCs w:val="19"/>
          <w:u w:val="single" w:color="auto"/>
          <w:color w:val="auto"/>
        </w:rPr>
        <w:t>Offered Depositary Shares</w:t>
      </w:r>
      <w:r>
        <w:rPr>
          <w:rFonts w:ascii="Arial" w:cs="Arial" w:eastAsia="Arial" w:hAnsi="Arial"/>
          <w:sz w:val="19"/>
          <w:szCs w:val="19"/>
          <w:color w:val="auto"/>
        </w:rPr>
        <w:t>”),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such Depositary Agreement will constitute a legally valid and binding obligation of the Company, enforceable against the Company in accordance with its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15" w:lineRule="exact"/>
        <w:rPr>
          <w:sz w:val="20"/>
          <w:szCs w:val="20"/>
          <w:color w:val="auto"/>
        </w:rPr>
      </w:pPr>
    </w:p>
    <w:p>
      <w:pPr>
        <w:ind w:right="180" w:firstLine="1304"/>
        <w:spacing w:after="0" w:line="273" w:lineRule="auto"/>
        <w:tabs>
          <w:tab w:leader="none" w:pos="20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respect to any series of Debt Securities offered by the Company, including any Indeterminate Securities constituting Debt Securities of such series (the “</w:t>
      </w:r>
      <w:r>
        <w:rPr>
          <w:rFonts w:ascii="Arial" w:cs="Arial" w:eastAsia="Arial" w:hAnsi="Arial"/>
          <w:sz w:val="19"/>
          <w:szCs w:val="19"/>
          <w:u w:val="single" w:color="auto"/>
          <w:color w:val="auto"/>
        </w:rPr>
        <w:t>Offered Debt Securities</w:t>
      </w:r>
      <w:r>
        <w:rPr>
          <w:rFonts w:ascii="Arial" w:cs="Arial" w:eastAsia="Arial" w:hAnsi="Arial"/>
          <w:sz w:val="19"/>
          <w:szCs w:val="19"/>
          <w:color w:val="auto"/>
        </w:rPr>
        <w:t>”),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Documents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87" w:lineRule="exact"/>
        <w:rPr>
          <w:rFonts w:ascii="Arial" w:cs="Arial" w:eastAsia="Arial" w:hAnsi="Arial"/>
          <w:sz w:val="19"/>
          <w:szCs w:val="19"/>
          <w:color w:val="auto"/>
        </w:rPr>
      </w:pPr>
    </w:p>
    <w:p>
      <w:pPr>
        <w:ind w:right="40" w:firstLine="1304"/>
        <w:spacing w:after="0" w:line="234" w:lineRule="auto"/>
        <w:tabs>
          <w:tab w:leader="none" w:pos="20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 respect to any Warrants offered by the Company (the “</w:t>
      </w:r>
      <w:r>
        <w:rPr>
          <w:rFonts w:ascii="Arial" w:cs="Arial" w:eastAsia="Arial" w:hAnsi="Arial"/>
          <w:sz w:val="22"/>
          <w:szCs w:val="22"/>
          <w:u w:val="single" w:color="auto"/>
          <w:color w:val="auto"/>
        </w:rPr>
        <w:t>Offered Warrants</w:t>
      </w:r>
      <w:r>
        <w:rPr>
          <w:rFonts w:ascii="Arial" w:cs="Arial" w:eastAsia="Arial" w:hAnsi="Arial"/>
          <w:sz w:val="22"/>
          <w:szCs w:val="22"/>
          <w:color w:val="auto"/>
        </w:rPr>
        <w:t>”), when (a) the general conditions shall have been satisfied, (b) the Class A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opinions stated herein are subject to the following qualifications:</w:t>
      </w:r>
    </w:p>
    <w:p>
      <w:pPr>
        <w:spacing w:after="0" w:line="233" w:lineRule="exact"/>
        <w:rPr>
          <w:sz w:val="20"/>
          <w:szCs w:val="20"/>
          <w:color w:val="auto"/>
        </w:rPr>
      </w:pPr>
    </w:p>
    <w:p>
      <w:pPr>
        <w:ind w:firstLine="1304"/>
        <w:spacing w:after="0" w:line="252" w:lineRule="auto"/>
        <w:tabs>
          <w:tab w:leader="none" w:pos="2076" w:val="left"/>
        </w:tabs>
        <w:numPr>
          <w:ilvl w:val="0"/>
          <w:numId w:val="44"/>
        </w:numPr>
        <w:rPr>
          <w:rFonts w:ascii="Arial" w:cs="Arial" w:eastAsia="Arial" w:hAnsi="Arial"/>
          <w:sz w:val="21"/>
          <w:szCs w:val="21"/>
          <w:color w:val="auto"/>
        </w:rPr>
      </w:pPr>
      <w:r>
        <w:rPr>
          <w:rFonts w:ascii="Arial" w:cs="Arial" w:eastAsia="Arial" w:hAnsi="Arial"/>
          <w:sz w:val="21"/>
          <w:szCs w:val="21"/>
          <w:color w:val="auto"/>
        </w:rPr>
        <w:t>we do not express any opinion with respect to the effect on the opinions stated herein of any applicable bankruptcy, insolvency, reorganization, moratorium, fraudulent transfer, preference and other similar laws or governmental orders affecting creditors’ rights generally, and the opinions stated herein are limited by such laws and orders and by general principles of equity (regardless of whether enforcement is sought in equity or at law);</w:t>
      </w:r>
    </w:p>
    <w:p>
      <w:pPr>
        <w:spacing w:after="0" w:line="200" w:lineRule="exact"/>
        <w:rPr>
          <w:rFonts w:ascii="Arial" w:cs="Arial" w:eastAsia="Arial" w:hAnsi="Arial"/>
          <w:sz w:val="21"/>
          <w:szCs w:val="21"/>
          <w:color w:val="auto"/>
        </w:rPr>
      </w:pPr>
    </w:p>
    <w:p>
      <w:pPr>
        <w:jc w:val="both"/>
        <w:ind w:right="20" w:firstLine="1304"/>
        <w:spacing w:after="0" w:line="238" w:lineRule="auto"/>
        <w:tabs>
          <w:tab w:leader="none" w:pos="208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211" w:lineRule="exact"/>
        <w:rPr>
          <w:rFonts w:ascii="Arial" w:cs="Arial" w:eastAsia="Arial" w:hAnsi="Arial"/>
          <w:sz w:val="22"/>
          <w:szCs w:val="22"/>
          <w:color w:val="auto"/>
        </w:rPr>
      </w:pPr>
    </w:p>
    <w:p>
      <w:pPr>
        <w:ind w:right="220" w:firstLine="1304"/>
        <w:spacing w:after="0"/>
        <w:tabs>
          <w:tab w:leader="none" w:pos="2076"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15" w:lineRule="exact"/>
        <w:rPr>
          <w:sz w:val="20"/>
          <w:szCs w:val="20"/>
          <w:color w:val="auto"/>
        </w:rPr>
      </w:pPr>
    </w:p>
    <w:p>
      <w:pPr>
        <w:ind w:firstLine="1304"/>
        <w:spacing w:after="0" w:line="236" w:lineRule="auto"/>
        <w:tabs>
          <w:tab w:leader="none" w:pos="20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214" w:lineRule="exact"/>
        <w:rPr>
          <w:rFonts w:ascii="Arial" w:cs="Arial" w:eastAsia="Arial" w:hAnsi="Arial"/>
          <w:sz w:val="22"/>
          <w:szCs w:val="22"/>
          <w:color w:val="auto"/>
        </w:rPr>
      </w:pPr>
    </w:p>
    <w:p>
      <w:pPr>
        <w:ind w:right="40" w:firstLine="1304"/>
        <w:spacing w:after="0"/>
        <w:tabs>
          <w:tab w:leader="none" w:pos="20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of any Transaction Document to the extent that such section purports to bind any party to the exclusive jurisdiction of any particular federal court or courts;</w:t>
      </w:r>
    </w:p>
    <w:p>
      <w:pPr>
        <w:spacing w:after="0" w:line="213" w:lineRule="exact"/>
        <w:rPr>
          <w:rFonts w:ascii="Arial" w:cs="Arial" w:eastAsia="Arial" w:hAnsi="Arial"/>
          <w:sz w:val="22"/>
          <w:szCs w:val="22"/>
          <w:color w:val="auto"/>
        </w:rPr>
      </w:pPr>
    </w:p>
    <w:p>
      <w:pPr>
        <w:jc w:val="both"/>
        <w:ind w:right="20" w:firstLine="1304"/>
        <w:spacing w:after="0" w:line="236" w:lineRule="auto"/>
        <w:tabs>
          <w:tab w:leader="none" w:pos="20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214" w:lineRule="exact"/>
        <w:rPr>
          <w:rFonts w:ascii="Arial" w:cs="Arial" w:eastAsia="Arial" w:hAnsi="Arial"/>
          <w:sz w:val="22"/>
          <w:szCs w:val="22"/>
          <w:color w:val="auto"/>
        </w:rPr>
      </w:pPr>
    </w:p>
    <w:p>
      <w:pPr>
        <w:ind w:right="60" w:firstLine="1304"/>
        <w:spacing w:after="0" w:line="238" w:lineRule="auto"/>
        <w:tabs>
          <w:tab w:leader="none" w:pos="20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211" w:lineRule="exact"/>
        <w:rPr>
          <w:rFonts w:ascii="Arial" w:cs="Arial" w:eastAsia="Arial" w:hAnsi="Arial"/>
          <w:sz w:val="22"/>
          <w:szCs w:val="22"/>
          <w:color w:val="auto"/>
        </w:rPr>
      </w:pPr>
    </w:p>
    <w:p>
      <w:pPr>
        <w:ind w:right="700" w:firstLine="1304"/>
        <w:spacing w:after="0" w:line="250" w:lineRule="auto"/>
        <w:tabs>
          <w:tab w:leader="none" w:pos="20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have assumed that the choice of New York law to govern the Indenture and any supplemental indenture thereto is a valid and legal provision;</w:t>
      </w:r>
    </w:p>
    <w:p>
      <w:pPr>
        <w:spacing w:after="0" w:line="201" w:lineRule="exact"/>
        <w:rPr>
          <w:rFonts w:ascii="Arial" w:cs="Arial" w:eastAsia="Arial" w:hAnsi="Arial"/>
          <w:sz w:val="22"/>
          <w:szCs w:val="22"/>
          <w:color w:val="auto"/>
        </w:rPr>
      </w:pPr>
    </w:p>
    <w:p>
      <w:pPr>
        <w:ind w:right="720" w:firstLine="1304"/>
        <w:spacing w:after="0" w:line="274" w:lineRule="auto"/>
        <w:tabs>
          <w:tab w:leader="none" w:pos="20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we have assumed that the laws of the State of New York will be chosen to govern any Depositary Agreements and Warrant Agreements and that such choice is and will be a valid and legal provision;</w:t>
      </w:r>
    </w:p>
    <w:p>
      <w:pPr>
        <w:spacing w:after="0" w:line="177" w:lineRule="exact"/>
        <w:rPr>
          <w:rFonts w:ascii="Arial" w:cs="Arial" w:eastAsia="Arial" w:hAnsi="Arial"/>
          <w:sz w:val="21"/>
          <w:szCs w:val="21"/>
          <w:color w:val="auto"/>
        </w:rPr>
      </w:pPr>
    </w:p>
    <w:p>
      <w:pPr>
        <w:ind w:right="20" w:firstLine="1304"/>
        <w:spacing w:after="0" w:line="252" w:lineRule="auto"/>
        <w:tabs>
          <w:tab w:leader="none" w:pos="20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we have assumed that the Indenture will be duly authorized, executed and delivered by the trustee in substantially the form reviewed by us, and that any Debt Securities and Warrants that may be issued will be manually authenticated, signed or countersigned, as the case may be, by duly authorized officers of any trustee, warrant agent, subscription agent, purchase contract agent and purchase unit agent, as the case may be; and</w:t>
      </w:r>
    </w:p>
    <w:p>
      <w:pPr>
        <w:spacing w:after="0" w:line="200" w:lineRule="exact"/>
        <w:rPr>
          <w:rFonts w:ascii="Arial" w:cs="Arial" w:eastAsia="Arial" w:hAnsi="Arial"/>
          <w:sz w:val="21"/>
          <w:szCs w:val="21"/>
          <w:color w:val="auto"/>
        </w:rPr>
      </w:pPr>
    </w:p>
    <w:p>
      <w:pPr>
        <w:jc w:val="both"/>
        <w:ind w:right="80" w:firstLine="1304"/>
        <w:spacing w:after="0" w:line="252" w:lineRule="auto"/>
        <w:tabs>
          <w:tab w:leader="none" w:pos="2088" w:val="left"/>
        </w:tabs>
        <w:numPr>
          <w:ilvl w:val="0"/>
          <w:numId w:val="45"/>
        </w:numPr>
        <w:rPr>
          <w:rFonts w:ascii="Arial" w:cs="Arial" w:eastAsia="Arial" w:hAnsi="Arial"/>
          <w:sz w:val="21"/>
          <w:szCs w:val="21"/>
          <w:color w:val="auto"/>
        </w:rPr>
      </w:pPr>
      <w:r>
        <w:rPr>
          <w:rFonts w:ascii="Arial" w:cs="Arial" w:eastAsia="Arial" w:hAnsi="Arial"/>
          <w:sz w:val="21"/>
          <w:szCs w:val="21"/>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March 18,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in rendering the foregoing opinions we have assumed that:</w:t>
      </w:r>
    </w:p>
    <w:p>
      <w:pPr>
        <w:spacing w:after="0" w:line="233" w:lineRule="exact"/>
        <w:rPr>
          <w:sz w:val="20"/>
          <w:szCs w:val="20"/>
          <w:color w:val="auto"/>
        </w:rPr>
      </w:pPr>
    </w:p>
    <w:p>
      <w:pPr>
        <w:ind w:firstLine="1304"/>
        <w:spacing w:after="0" w:line="279" w:lineRule="auto"/>
        <w:tabs>
          <w:tab w:leader="none" w:pos="2076" w:val="left"/>
        </w:tabs>
        <w:numPr>
          <w:ilvl w:val="0"/>
          <w:numId w:val="46"/>
        </w:numPr>
        <w:rPr>
          <w:rFonts w:ascii="Arial" w:cs="Arial" w:eastAsia="Arial" w:hAnsi="Arial"/>
          <w:sz w:val="19"/>
          <w:szCs w:val="19"/>
          <w:color w:val="auto"/>
        </w:rPr>
      </w:pPr>
      <w:r>
        <w:rPr>
          <w:rFonts w:ascii="Arial" w:cs="Arial" w:eastAsia="Arial" w:hAnsi="Arial"/>
          <w:sz w:val="19"/>
          <w:szCs w:val="19"/>
          <w:color w:val="auto"/>
        </w:rPr>
        <w:t>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instrument or other agreement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spacing w:after="0" w:line="177" w:lineRule="exact"/>
        <w:rPr>
          <w:rFonts w:ascii="Arial" w:cs="Arial" w:eastAsia="Arial" w:hAnsi="Arial"/>
          <w:sz w:val="19"/>
          <w:szCs w:val="19"/>
          <w:color w:val="auto"/>
        </w:rPr>
      </w:pPr>
    </w:p>
    <w:p>
      <w:pPr>
        <w:ind w:right="60" w:firstLine="1304"/>
        <w:spacing w:after="0" w:line="252" w:lineRule="auto"/>
        <w:tabs>
          <w:tab w:leader="none" w:pos="2088" w:val="left"/>
        </w:tabs>
        <w:numPr>
          <w:ilvl w:val="0"/>
          <w:numId w:val="46"/>
        </w:numPr>
        <w:rPr>
          <w:rFonts w:ascii="Arial" w:cs="Arial" w:eastAsia="Arial" w:hAnsi="Arial"/>
          <w:sz w:val="21"/>
          <w:szCs w:val="21"/>
          <w:color w:val="auto"/>
        </w:rPr>
      </w:pPr>
      <w:r>
        <w:rPr>
          <w:rFonts w:ascii="Arial" w:cs="Arial" w:eastAsia="Arial" w:hAnsi="Arial"/>
          <w:sz w:val="21"/>
          <w:szCs w:val="21"/>
          <w:color w:val="auto"/>
        </w:rPr>
        <w:t>neither the execution and delivery by the Company of the Transaction Documents to which the Company is a party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200" w:lineRule="exact"/>
        <w:rPr>
          <w:rFonts w:ascii="Arial" w:cs="Arial" w:eastAsia="Arial" w:hAnsi="Arial"/>
          <w:sz w:val="21"/>
          <w:szCs w:val="21"/>
          <w:color w:val="auto"/>
        </w:rPr>
      </w:pPr>
    </w:p>
    <w:p>
      <w:pPr>
        <w:ind w:right="680" w:firstLine="1304"/>
        <w:spacing w:after="0" w:line="250" w:lineRule="auto"/>
        <w:tabs>
          <w:tab w:leader="none" w:pos="2076"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our opinion set forth in paragraphs 2 and 3 above, the Secondary Shares have been registered in the Company’s share registry; and</w:t>
      </w:r>
    </w:p>
    <w:p>
      <w:pPr>
        <w:spacing w:after="0" w:line="201" w:lineRule="exact"/>
        <w:rPr>
          <w:rFonts w:ascii="Arial" w:cs="Arial" w:eastAsia="Arial" w:hAnsi="Arial"/>
          <w:sz w:val="22"/>
          <w:szCs w:val="22"/>
          <w:color w:val="auto"/>
        </w:rPr>
      </w:pPr>
    </w:p>
    <w:p>
      <w:pPr>
        <w:ind w:right="200" w:firstLine="1304"/>
        <w:spacing w:after="0"/>
        <w:tabs>
          <w:tab w:leader="none" w:pos="2088"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our opinion set forth in paragraph 2 above, we have assumed that each award agreement under which restricted stock units are granted pursuant to the Plan were granted consistent with the Plan and the Award Agreements.</w:t>
      </w:r>
    </w:p>
    <w:p>
      <w:pPr>
        <w:spacing w:after="0" w:line="213" w:lineRule="exact"/>
        <w:rPr>
          <w:sz w:val="20"/>
          <w:szCs w:val="20"/>
          <w:color w:val="auto"/>
        </w:rPr>
      </w:pPr>
    </w:p>
    <w:p>
      <w:pPr>
        <w:ind w:right="40" w:firstLine="1296"/>
        <w:spacing w:after="0" w:line="248" w:lineRule="auto"/>
        <w:rPr>
          <w:sz w:val="20"/>
          <w:szCs w:val="20"/>
          <w:color w:val="auto"/>
        </w:rPr>
      </w:pPr>
      <w:r>
        <w:rPr>
          <w:rFonts w:ascii="Arial" w:cs="Arial" w:eastAsia="Arial" w:hAnsi="Arial"/>
          <w:sz w:val="21"/>
          <w:szCs w:val="21"/>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We consent to the reference to our firm under the caption "Experts" in this Registration Statement (Form S-3) and related Prospectus of New Fortress Energy Inc. for the registration of Class A Common Stock, Preferred Stock, Depositary Shares, Debt Securities, Warrants and 149,055,732 Shares of Class A Common Stock Offered by Selling Securityholders and to the incorporation by reference therein of our reports dated March 16, 2021, with respect to the consolidated financial statements and schedule of New Fortress Energy Inc., and the effectiveness of internal control over financial reporting of New Fortress Energy Inc., included in its Annual Report (Form 10-K) for the year ended December 31, 2020, filed with the Securities and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8" w:lineRule="auto"/>
        <w:rPr>
          <w:sz w:val="20"/>
          <w:szCs w:val="20"/>
          <w:color w:val="auto"/>
        </w:rPr>
      </w:pPr>
      <w:r>
        <w:rPr>
          <w:rFonts w:ascii="Arial" w:cs="Arial" w:eastAsia="Arial" w:hAnsi="Arial"/>
          <w:sz w:val="22"/>
          <w:szCs w:val="22"/>
          <w:color w:val="auto"/>
        </w:rPr>
        <w:t>Philadelphia, Pennsylvania</w:t>
      </w:r>
    </w:p>
    <w:p>
      <w:pPr>
        <w:spacing w:after="0"/>
        <w:rPr>
          <w:sz w:val="20"/>
          <w:szCs w:val="20"/>
          <w:color w:val="auto"/>
        </w:rPr>
      </w:pPr>
      <w:r>
        <w:rPr>
          <w:rFonts w:ascii="Arial" w:cs="Arial" w:eastAsia="Arial" w:hAnsi="Arial"/>
          <w:sz w:val="22"/>
          <w:szCs w:val="22"/>
          <w:color w:val="auto"/>
        </w:rPr>
        <w:t>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consent to the reference to our firm under the caption "Experts" and to the use of our report dated March 16, 2021, with respect to the consolidated financial statements of Golar LNG Partners LP included in the Registration Statement (Form S-3) and related Prospectus of New Fortress Energy Inc. for the registration of Class A Common Stock, Preferred Stock, Depositary Shares, Debt Securities, Warrants and 149,055,732 Shares of Class A Common Stock offered by Selling Securityholders.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8" w:lineRule="auto"/>
        <w:rPr>
          <w:sz w:val="20"/>
          <w:szCs w:val="20"/>
          <w:color w:val="auto"/>
        </w:rPr>
      </w:pPr>
      <w:r>
        <w:rPr>
          <w:rFonts w:ascii="Arial" w:cs="Arial" w:eastAsia="Arial" w:hAnsi="Arial"/>
          <w:sz w:val="22"/>
          <w:szCs w:val="22"/>
          <w:color w:val="auto"/>
        </w:rPr>
        <w:t>London, United Kingdom</w:t>
      </w:r>
    </w:p>
    <w:p>
      <w:pPr>
        <w:spacing w:after="0"/>
        <w:rPr>
          <w:sz w:val="20"/>
          <w:szCs w:val="20"/>
          <w:color w:val="auto"/>
        </w:rPr>
      </w:pPr>
      <w:r>
        <w:rPr>
          <w:rFonts w:ascii="Arial" w:cs="Arial" w:eastAsia="Arial" w:hAnsi="Arial"/>
          <w:sz w:val="22"/>
          <w:szCs w:val="22"/>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We consent to the reference to our firm under the caption "Experts" and to the use of our report dated March 15, 2021, with respect to the consolidated financial statements of Hygo Energy Transition Ltd. included in the Registration Statement (Form S-</w:t>
      </w:r>
    </w:p>
    <w:p>
      <w:pPr>
        <w:spacing w:after="0" w:line="1" w:lineRule="exact"/>
        <w:rPr>
          <w:sz w:val="20"/>
          <w:szCs w:val="20"/>
          <w:color w:val="auto"/>
        </w:rPr>
      </w:pPr>
    </w:p>
    <w:p>
      <w:pPr>
        <w:ind w:firstLine="8"/>
        <w:spacing w:after="0" w:line="308" w:lineRule="auto"/>
        <w:tabs>
          <w:tab w:leader="none" w:pos="2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and related Prospectus of New Fortress Energy Inc. for the registration of Class A Common Stock, Preferred Stock, Depositary Shares, Debt Securities, Warrants and 149,055,732 Shares of Class A Common Stock offered by Selling Securityholders.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8" w:lineRule="auto"/>
        <w:rPr>
          <w:sz w:val="20"/>
          <w:szCs w:val="20"/>
          <w:color w:val="auto"/>
        </w:rPr>
      </w:pPr>
      <w:r>
        <w:rPr>
          <w:rFonts w:ascii="Arial" w:cs="Arial" w:eastAsia="Arial" w:hAnsi="Arial"/>
          <w:sz w:val="22"/>
          <w:szCs w:val="22"/>
          <w:color w:val="auto"/>
        </w:rPr>
        <w:t>London, United Kingdom</w:t>
      </w:r>
    </w:p>
    <w:p>
      <w:pPr>
        <w:spacing w:after="0"/>
        <w:rPr>
          <w:sz w:val="20"/>
          <w:szCs w:val="20"/>
          <w:color w:val="auto"/>
        </w:rPr>
      </w:pPr>
      <w:r>
        <w:rPr>
          <w:rFonts w:ascii="Arial" w:cs="Arial" w:eastAsia="Arial" w:hAnsi="Arial"/>
          <w:sz w:val="22"/>
          <w:szCs w:val="22"/>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158115</wp:posOffset>
            </wp:positionV>
            <wp:extent cx="21431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color w:val="auto"/>
        </w:rPr>
        <w:t>Check if an Application to Determine Eligibility of</w:t>
      </w:r>
    </w:p>
    <w:p>
      <w:pPr>
        <w:jc w:val="center"/>
        <w:spacing w:after="0"/>
        <w:rPr>
          <w:sz w:val="20"/>
          <w:szCs w:val="20"/>
          <w:color w:val="auto"/>
        </w:rPr>
      </w:pPr>
      <w:r>
        <w:rPr>
          <w:rFonts w:ascii="Arial" w:cs="Arial" w:eastAsia="Arial" w:hAnsi="Arial"/>
          <w:sz w:val="22"/>
          <w:szCs w:val="22"/>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149860</wp:posOffset>
            </wp:positionV>
            <wp:extent cx="21431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31-0841368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I.R.S. Employer Identification No.</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5600" w:type="dxa"/>
            <w:vAlign w:val="bottom"/>
            <w:tcBorders>
              <w:top w:val="single" w:sz="8" w:color="auto"/>
              <w:right w:val="single" w:sz="8" w:color="auto"/>
            </w:tcBorders>
          </w:tcPr>
          <w:p>
            <w:pPr>
              <w:spacing w:after="0"/>
              <w:rPr>
                <w:sz w:val="19"/>
                <w:szCs w:val="19"/>
                <w:color w:val="auto"/>
              </w:rPr>
            </w:pPr>
          </w:p>
        </w:tc>
      </w:tr>
      <w:tr>
        <w:trPr>
          <w:trHeight w:val="23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560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55402</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Donald T. Hurrelbrink</w:t>
      </w:r>
    </w:p>
    <w:p>
      <w:pPr>
        <w:jc w:val="center"/>
        <w:spacing w:after="0" w:line="238" w:lineRule="auto"/>
        <w:rPr>
          <w:sz w:val="20"/>
          <w:szCs w:val="20"/>
          <w:color w:val="auto"/>
        </w:rPr>
      </w:pPr>
      <w:r>
        <w:rPr>
          <w:rFonts w:ascii="Arial" w:cs="Arial" w:eastAsia="Arial" w:hAnsi="Arial"/>
          <w:sz w:val="22"/>
          <w:szCs w:val="22"/>
          <w:color w:val="auto"/>
        </w:rPr>
        <w:t>U.S. Bank National Association</w:t>
      </w:r>
    </w:p>
    <w:p>
      <w:pPr>
        <w:jc w:val="center"/>
        <w:spacing w:after="0" w:line="230" w:lineRule="auto"/>
        <w:rPr>
          <w:sz w:val="20"/>
          <w:szCs w:val="20"/>
          <w:color w:val="auto"/>
        </w:rPr>
      </w:pPr>
      <w:r>
        <w:rPr>
          <w:rFonts w:ascii="Arial" w:cs="Arial" w:eastAsia="Arial" w:hAnsi="Arial"/>
          <w:sz w:val="22"/>
          <w:szCs w:val="22"/>
          <w:color w:val="auto"/>
        </w:rPr>
        <w:t>60 Livingston Avenue</w:t>
      </w:r>
    </w:p>
    <w:p>
      <w:pPr>
        <w:jc w:val="center"/>
        <w:spacing w:after="0" w:line="231" w:lineRule="auto"/>
        <w:rPr>
          <w:sz w:val="20"/>
          <w:szCs w:val="20"/>
          <w:color w:val="auto"/>
        </w:rPr>
      </w:pPr>
      <w:r>
        <w:rPr>
          <w:rFonts w:ascii="Arial" w:cs="Arial" w:eastAsia="Arial" w:hAnsi="Arial"/>
          <w:sz w:val="22"/>
          <w:szCs w:val="22"/>
          <w:color w:val="auto"/>
        </w:rPr>
        <w:t>St. Paul, MN 55107</w:t>
      </w:r>
    </w:p>
    <w:p>
      <w:pPr>
        <w:jc w:val="center"/>
        <w:spacing w:after="0" w:line="230" w:lineRule="auto"/>
        <w:rPr>
          <w:sz w:val="20"/>
          <w:szCs w:val="20"/>
          <w:color w:val="auto"/>
        </w:rPr>
      </w:pPr>
      <w:r>
        <w:rPr>
          <w:rFonts w:ascii="Arial" w:cs="Arial" w:eastAsia="Arial" w:hAnsi="Arial"/>
          <w:sz w:val="22"/>
          <w:szCs w:val="22"/>
          <w:color w:val="auto"/>
        </w:rPr>
        <w:t>(651) 466-6308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 address and telephone number of agent for service)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(Issuer with respect to the Securities)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5600" w:type="dxa"/>
            <w:vAlign w:val="bottom"/>
            <w:tcBorders>
              <w:top w:val="single" w:sz="8" w:color="auto"/>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83-1482060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50"/>
        </w:trPr>
        <w:tc>
          <w:tcPr>
            <w:tcW w:w="564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r>
      <w:tr>
        <w:trPr>
          <w:trHeight w:val="202"/>
        </w:trPr>
        <w:tc>
          <w:tcPr>
            <w:tcW w:w="56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5"/>
                <w:szCs w:val="15"/>
                <w:color w:val="auto"/>
              </w:rPr>
              <w:t>111 W. 19</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Street, 8</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Floor</w:t>
            </w:r>
          </w:p>
        </w:tc>
        <w:tc>
          <w:tcPr>
            <w:tcW w:w="5600" w:type="dxa"/>
            <w:vAlign w:val="bottom"/>
            <w:tcBorders>
              <w:right w:val="single" w:sz="8" w:color="auto"/>
            </w:tcBorders>
          </w:tcPr>
          <w:p>
            <w:pPr>
              <w:spacing w:after="0"/>
              <w:rPr>
                <w:sz w:val="17"/>
                <w:szCs w:val="17"/>
                <w:color w:val="auto"/>
              </w:rPr>
            </w:pPr>
          </w:p>
        </w:tc>
      </w:tr>
      <w:tr>
        <w:trPr>
          <w:trHeight w:val="23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New York, NY</w:t>
            </w:r>
          </w:p>
        </w:tc>
        <w:tc>
          <w:tcPr>
            <w:tcW w:w="5600" w:type="dxa"/>
            <w:vAlign w:val="bottom"/>
            <w:tcBorders>
              <w:bottom w:val="single" w:sz="8" w:color="auto"/>
              <w:right w:val="single" w:sz="8" w:color="auto"/>
            </w:tcBorders>
          </w:tcPr>
          <w:p>
            <w:pPr>
              <w:jc w:val="right"/>
              <w:ind w:right="2510"/>
              <w:spacing w:after="0"/>
              <w:rPr>
                <w:sz w:val="20"/>
                <w:szCs w:val="20"/>
                <w:color w:val="auto"/>
              </w:rPr>
            </w:pPr>
            <w:r>
              <w:rPr>
                <w:rFonts w:ascii="Arial" w:cs="Arial" w:eastAsia="Arial" w:hAnsi="Arial"/>
                <w:sz w:val="18"/>
                <w:szCs w:val="18"/>
                <w:color w:val="auto"/>
              </w:rPr>
              <w:t>10011</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Debt Securities</w:t>
      </w:r>
    </w:p>
    <w:p>
      <w:pPr>
        <w:spacing w:after="0" w:line="1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jc w:val="center"/>
        <w:ind w:right="-179"/>
        <w:spacing w:after="0"/>
        <w:rPr>
          <w:sz w:val="20"/>
          <w:szCs w:val="20"/>
          <w:color w:val="auto"/>
        </w:rPr>
      </w:pPr>
      <w:r>
        <w:rPr>
          <w:rFonts w:ascii="Arial" w:cs="Arial" w:eastAsia="Arial" w:hAnsi="Arial"/>
          <w:sz w:val="22"/>
          <w:szCs w:val="22"/>
          <w:b w:val="1"/>
          <w:bCs w:val="1"/>
          <w:u w:val="single" w:color="auto"/>
          <w:color w:val="auto"/>
        </w:rPr>
        <w:t>FORM T-1</w:t>
      </w: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56"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Comptroller of the Currency</w:t>
      </w:r>
    </w:p>
    <w:p>
      <w:pPr>
        <w:ind w:left="1960"/>
        <w:spacing w:after="0"/>
        <w:rPr>
          <w:sz w:val="20"/>
          <w:szCs w:val="20"/>
          <w:color w:val="auto"/>
        </w:rPr>
      </w:pPr>
      <w:r>
        <w:rPr>
          <w:rFonts w:ascii="Arial" w:cs="Arial" w:eastAsia="Arial" w:hAnsi="Arial"/>
          <w:sz w:val="22"/>
          <w:szCs w:val="22"/>
          <w:color w:val="auto"/>
        </w:rPr>
        <w:t>Washington, D.C.</w:t>
      </w:r>
    </w:p>
    <w:p>
      <w:pPr>
        <w:spacing w:after="0" w:line="222"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Yes</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THE OBLIGOR. </w:t>
      </w:r>
      <w:r>
        <w:rPr>
          <w:rFonts w:ascii="Arial" w:cs="Arial" w:eastAsia="Arial" w:hAnsi="Arial"/>
          <w:sz w:val="17"/>
          <w:szCs w:val="17"/>
          <w:i w:val="1"/>
          <w:iCs w:val="1"/>
          <w:color w:val="auto"/>
        </w:rPr>
        <w:t>If the obligor is an affiliate of the Trustee, describe each such affiliation.</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None</w:t>
      </w:r>
    </w:p>
    <w:p>
      <w:pPr>
        <w:spacing w:after="0" w:line="218" w:lineRule="exact"/>
        <w:rPr>
          <w:sz w:val="20"/>
          <w:szCs w:val="20"/>
          <w:color w:val="auto"/>
        </w:rPr>
      </w:pPr>
    </w:p>
    <w:p>
      <w:pPr>
        <w:ind w:left="980" w:right="6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56" w:lineRule="exact"/>
        <w:rPr>
          <w:sz w:val="20"/>
          <w:szCs w:val="20"/>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52" w:lineRule="exact"/>
        <w:rPr>
          <w:rFonts w:ascii="Arial" w:cs="Arial" w:eastAsia="Arial" w:hAnsi="Arial"/>
          <w:sz w:val="18"/>
          <w:szCs w:val="18"/>
          <w:color w:val="auto"/>
        </w:rPr>
      </w:pPr>
    </w:p>
    <w:p>
      <w:pPr>
        <w:ind w:left="1300" w:right="62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2020 published pursuant to law or the requirements of its supervising or examining authority, attached as Exhibit 7.</w:t>
      </w:r>
    </w:p>
    <w:p>
      <w:pPr>
        <w:spacing w:after="0" w:line="190" w:lineRule="exact"/>
        <w:rPr>
          <w:rFonts w:ascii="Arial" w:cs="Arial" w:eastAsia="Arial" w:hAnsi="Arial"/>
          <w:sz w:val="18"/>
          <w:szCs w:val="18"/>
          <w:color w:val="auto"/>
        </w:rPr>
      </w:pPr>
    </w:p>
    <w:p>
      <w:pPr>
        <w:ind w:left="500" w:right="280"/>
        <w:spacing w:after="0" w:line="250" w:lineRule="auto"/>
        <w:rPr>
          <w:rFonts w:ascii="Arial" w:cs="Arial" w:eastAsia="Arial" w:hAnsi="Arial"/>
          <w:sz w:val="18"/>
          <w:szCs w:val="18"/>
          <w:color w:val="auto"/>
        </w:rPr>
      </w:pPr>
      <w:r>
        <w:rPr>
          <w:rFonts w:ascii="Arial" w:cs="Arial" w:eastAsia="Arial" w:hAnsi="Arial"/>
          <w:sz w:val="22"/>
          <w:szCs w:val="22"/>
          <w:color w:val="auto"/>
        </w:rPr>
        <w:t>* Incorporated by reference to Exhibit 25.1 to Amendment No. 2 to registration statement on S-4, Registration Number 333-128217 filed on November 15, 2005.</w:t>
      </w:r>
    </w:p>
    <w:p>
      <w:pPr>
        <w:spacing w:after="0" w:line="201" w:lineRule="exact"/>
        <w:rPr>
          <w:rFonts w:ascii="Arial" w:cs="Arial" w:eastAsia="Arial" w:hAnsi="Arial"/>
          <w:sz w:val="18"/>
          <w:szCs w:val="18"/>
          <w:color w:val="auto"/>
        </w:rPr>
      </w:pPr>
    </w:p>
    <w:p>
      <w:pPr>
        <w:ind w:left="500" w:hanging="6"/>
        <w:spacing w:after="0" w:line="250" w:lineRule="auto"/>
        <w:tabs>
          <w:tab w:leader="none" w:pos="77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Incorporated by reference to Exhibit 25.1 to registration statement on form S-3ASR, Registration Number 333-199863 filed on November 5, 2014.</w:t>
      </w: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18th of March, 2021.</w:t>
      </w:r>
    </w:p>
    <w:p>
      <w:pPr>
        <w:spacing w:after="0" w:line="219"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Donald T. Hurrelbrink</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u w:val="single" w:color="auto"/>
          <w:color w:val="auto"/>
        </w:rPr>
        <w:t>Exhibit 2</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3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CERTIFICATE OF CORPORATE EXISTENCE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Brian Brooks, Acting Comptroller for the Currency, do hereby Certify that:</w:t>
      </w:r>
    </w:p>
    <w:p>
      <w:pPr>
        <w:spacing w:after="0" w:line="233" w:lineRule="exact"/>
        <w:rPr>
          <w:sz w:val="20"/>
          <w:szCs w:val="20"/>
          <w:color w:val="auto"/>
        </w:rPr>
      </w:pPr>
    </w:p>
    <w:p>
      <w:pPr>
        <w:ind w:right="120" w:firstLine="8"/>
        <w:spacing w:after="0"/>
        <w:tabs>
          <w:tab w:leader="none" w:pos="2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Comptroller of the Currency, pursuant to Revised Statues 324, et seq, as amended, and 12 USC 1, et seq, as amended, has possession, custody, and control of all records pertaining to the chartering, regulation, and supervision of all national banking associations.</w:t>
      </w:r>
    </w:p>
    <w:p>
      <w:pPr>
        <w:spacing w:after="0" w:line="213" w:lineRule="exact"/>
        <w:rPr>
          <w:rFonts w:ascii="Arial" w:cs="Arial" w:eastAsia="Arial" w:hAnsi="Arial"/>
          <w:sz w:val="22"/>
          <w:szCs w:val="22"/>
          <w:color w:val="auto"/>
        </w:rPr>
      </w:pPr>
    </w:p>
    <w:p>
      <w:pPr>
        <w:ind w:right="120" w:firstLine="8"/>
        <w:spacing w:after="0" w:line="328" w:lineRule="auto"/>
        <w:tabs>
          <w:tab w:leader="none" w:pos="216" w:val="left"/>
        </w:tabs>
        <w:numPr>
          <w:ilvl w:val="0"/>
          <w:numId w:val="52"/>
        </w:numPr>
        <w:rPr>
          <w:rFonts w:ascii="Arial" w:cs="Arial" w:eastAsia="Arial" w:hAnsi="Arial"/>
          <w:sz w:val="19"/>
          <w:szCs w:val="19"/>
          <w:color w:val="auto"/>
        </w:rPr>
      </w:pPr>
      <w:r>
        <w:rPr>
          <w:rFonts w:ascii="Arial" w:cs="Arial" w:eastAsia="Arial" w:hAnsi="Arial"/>
          <w:sz w:val="19"/>
          <w:szCs w:val="19"/>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32"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IN TESTIMONY WHEREOF, today, December 4, 2020,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97155</wp:posOffset>
            </wp:positionV>
            <wp:extent cx="2494280" cy="5829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4942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151765</wp:posOffset>
            </wp:positionV>
            <wp:extent cx="1637030" cy="1645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63703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2021-00217-C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u w:val="single" w:color="auto"/>
          <w:color w:val="auto"/>
        </w:rPr>
        <w:t>Exhibit 3</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77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3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CERTIFICATE OF CORPORATE EXISTENCE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Brian Brooks, Acting Comptroller for the Currency, do hereby Certify that:</w:t>
      </w:r>
    </w:p>
    <w:p>
      <w:pPr>
        <w:spacing w:after="0" w:line="233" w:lineRule="exact"/>
        <w:rPr>
          <w:sz w:val="20"/>
          <w:szCs w:val="20"/>
          <w:color w:val="auto"/>
        </w:rPr>
      </w:pPr>
    </w:p>
    <w:p>
      <w:pPr>
        <w:ind w:right="120" w:firstLine="8"/>
        <w:spacing w:after="0"/>
        <w:tabs>
          <w:tab w:leader="none" w:pos="2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Comptroller of the Currency, pursuant to Revised Statues 324, et seq, as amended, and 12 USC 1, et seq, as amended, has possession, custody, and control of all records pertaining to the chartering, regulation, and supervision of all national banking associations.</w:t>
      </w:r>
    </w:p>
    <w:p>
      <w:pPr>
        <w:spacing w:after="0" w:line="213" w:lineRule="exact"/>
        <w:rPr>
          <w:rFonts w:ascii="Arial" w:cs="Arial" w:eastAsia="Arial" w:hAnsi="Arial"/>
          <w:sz w:val="22"/>
          <w:szCs w:val="22"/>
          <w:color w:val="auto"/>
        </w:rPr>
      </w:pPr>
    </w:p>
    <w:p>
      <w:pPr>
        <w:ind w:right="20" w:firstLine="8"/>
        <w:spacing w:after="0" w:line="276" w:lineRule="auto"/>
        <w:tabs>
          <w:tab w:leader="none" w:pos="2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“U.S. Bank National Association,” Cincinnati, Ohio (Charter No. 24), was granted, under the hand and seal of the Comptroller, the right to act in all fiduciary capacities authorized under the provisions of the Act of Congress approved September 28, 1962,</w:t>
      </w:r>
    </w:p>
    <w:p>
      <w:pPr>
        <w:spacing w:after="0" w:line="1" w:lineRule="exact"/>
        <w:rPr>
          <w:rFonts w:ascii="Arial" w:cs="Arial" w:eastAsia="Arial" w:hAnsi="Arial"/>
          <w:sz w:val="19"/>
          <w:szCs w:val="19"/>
          <w:color w:val="auto"/>
        </w:rPr>
      </w:pPr>
    </w:p>
    <w:p>
      <w:pPr>
        <w:ind w:left="280" w:hanging="272"/>
        <w:spacing w:after="0"/>
        <w:tabs>
          <w:tab w:leader="none" w:pos="2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Stat. 668, 12 USC 92a, and that the authority so granted remains in full force and effect on the date of this certificate.</w:t>
      </w:r>
    </w:p>
    <w:p>
      <w:pPr>
        <w:spacing w:after="0" w:line="227"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IN TESTIMONY WHEREOF, today, December 4, 2020,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97155</wp:posOffset>
            </wp:positionV>
            <wp:extent cx="249428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4942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577340" cy="1619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5773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2021-00217-C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center"/>
        <w:ind w:right="-819"/>
        <w:spacing w:after="0"/>
        <w:rPr>
          <w:sz w:val="20"/>
          <w:szCs w:val="20"/>
          <w:color w:val="auto"/>
        </w:rPr>
      </w:pPr>
      <w:r>
        <w:rPr>
          <w:rFonts w:ascii="Arial" w:cs="Arial" w:eastAsia="Arial" w:hAnsi="Arial"/>
          <w:sz w:val="22"/>
          <w:szCs w:val="22"/>
          <w:b w:val="1"/>
          <w:bCs w:val="1"/>
          <w:u w:val="single" w:color="auto"/>
          <w:color w:val="auto"/>
        </w:rPr>
        <w:t>Exhibit 6</w:t>
      </w:r>
    </w:p>
    <w:p>
      <w:pPr>
        <w:spacing w:after="0" w:line="234" w:lineRule="exact"/>
        <w:rPr>
          <w:sz w:val="20"/>
          <w:szCs w:val="20"/>
          <w:color w:val="auto"/>
        </w:rPr>
      </w:pPr>
    </w:p>
    <w:p>
      <w:pPr>
        <w:jc w:val="center"/>
        <w:ind w:right="-819"/>
        <w:spacing w:after="0"/>
        <w:rPr>
          <w:sz w:val="20"/>
          <w:szCs w:val="20"/>
          <w:color w:val="auto"/>
        </w:rPr>
      </w:pPr>
      <w:r>
        <w:rPr>
          <w:rFonts w:ascii="Arial" w:cs="Arial" w:eastAsia="Arial" w:hAnsi="Arial"/>
          <w:sz w:val="22"/>
          <w:szCs w:val="22"/>
          <w:b w:val="1"/>
          <w:bCs w:val="1"/>
          <w:color w:val="auto"/>
        </w:rPr>
        <w:t>CONSENT</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Dated: March 18, 2021</w:t>
      </w:r>
    </w:p>
    <w:p>
      <w:pPr>
        <w:spacing w:after="0" w:line="240"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Donald T. Hurrelbrink</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12" w:right="11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40" w:type="dxa"/>
            <w:vAlign w:val="bottom"/>
            <w:gridSpan w:val="3"/>
          </w:tcPr>
          <w:p>
            <w:pPr>
              <w:jc w:val="center"/>
              <w:ind w:right="4010"/>
              <w:spacing w:after="0"/>
              <w:rPr>
                <w:sz w:val="20"/>
                <w:szCs w:val="20"/>
                <w:color w:val="auto"/>
              </w:rPr>
            </w:pPr>
            <w:r>
              <w:rPr>
                <w:rFonts w:ascii="Arial" w:cs="Arial" w:eastAsia="Arial" w:hAnsi="Arial"/>
                <w:sz w:val="22"/>
                <w:szCs w:val="22"/>
                <w:b w:val="1"/>
                <w:bCs w:val="1"/>
                <w:color w:val="auto"/>
                <w:w w:val="91"/>
              </w:rPr>
              <w:t>Exhibit 7</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040" w:type="dxa"/>
            <w:vAlign w:val="bottom"/>
          </w:tcPr>
          <w:p>
            <w:pPr>
              <w:spacing w:after="0"/>
              <w:rPr>
                <w:sz w:val="24"/>
                <w:szCs w:val="24"/>
                <w:color w:val="auto"/>
              </w:rPr>
            </w:pPr>
          </w:p>
        </w:tc>
        <w:tc>
          <w:tcPr>
            <w:tcW w:w="6100" w:type="dxa"/>
            <w:vAlign w:val="bottom"/>
            <w:gridSpan w:val="4"/>
          </w:tcPr>
          <w:p>
            <w:pPr>
              <w:jc w:val="center"/>
              <w:ind w:right="2850"/>
              <w:spacing w:after="0"/>
              <w:rPr>
                <w:sz w:val="20"/>
                <w:szCs w:val="20"/>
                <w:color w:val="auto"/>
              </w:rPr>
            </w:pPr>
            <w:r>
              <w:rPr>
                <w:rFonts w:ascii="Arial" w:cs="Arial" w:eastAsia="Arial" w:hAnsi="Arial"/>
                <w:sz w:val="22"/>
                <w:szCs w:val="22"/>
                <w:b w:val="1"/>
                <w:bCs w:val="1"/>
                <w:color w:val="auto"/>
                <w:w w:val="88"/>
              </w:rPr>
              <w:t>U.S. Bank National Association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040" w:type="dxa"/>
            <w:vAlign w:val="bottom"/>
          </w:tcPr>
          <w:p>
            <w:pPr>
              <w:spacing w:after="0"/>
              <w:rPr>
                <w:sz w:val="21"/>
                <w:szCs w:val="21"/>
                <w:color w:val="auto"/>
              </w:rPr>
            </w:pPr>
          </w:p>
        </w:tc>
        <w:tc>
          <w:tcPr>
            <w:tcW w:w="6100" w:type="dxa"/>
            <w:vAlign w:val="bottom"/>
            <w:gridSpan w:val="4"/>
          </w:tcPr>
          <w:p>
            <w:pPr>
              <w:jc w:val="center"/>
              <w:ind w:right="2830"/>
              <w:spacing w:after="0" w:line="243" w:lineRule="exact"/>
              <w:rPr>
                <w:sz w:val="20"/>
                <w:szCs w:val="20"/>
                <w:color w:val="auto"/>
              </w:rPr>
            </w:pPr>
            <w:r>
              <w:rPr>
                <w:rFonts w:ascii="Arial" w:cs="Arial" w:eastAsia="Arial" w:hAnsi="Arial"/>
                <w:sz w:val="22"/>
                <w:szCs w:val="22"/>
                <w:b w:val="1"/>
                <w:bCs w:val="1"/>
                <w:color w:val="auto"/>
                <w:w w:val="89"/>
              </w:rPr>
              <w:t>Statement of Financial Condition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4040" w:type="dxa"/>
            <w:vAlign w:val="bottom"/>
          </w:tcPr>
          <w:p>
            <w:pPr>
              <w:spacing w:after="0"/>
              <w:rPr>
                <w:sz w:val="24"/>
                <w:szCs w:val="24"/>
                <w:color w:val="auto"/>
              </w:rPr>
            </w:pPr>
          </w:p>
        </w:tc>
        <w:tc>
          <w:tcPr>
            <w:tcW w:w="6100" w:type="dxa"/>
            <w:vAlign w:val="bottom"/>
            <w:gridSpan w:val="4"/>
          </w:tcPr>
          <w:p>
            <w:pPr>
              <w:jc w:val="center"/>
              <w:ind w:right="2850"/>
              <w:spacing w:after="0"/>
              <w:rPr>
                <w:sz w:val="20"/>
                <w:szCs w:val="20"/>
                <w:color w:val="auto"/>
              </w:rPr>
            </w:pPr>
            <w:r>
              <w:rPr>
                <w:rFonts w:ascii="Arial" w:cs="Arial" w:eastAsia="Arial" w:hAnsi="Arial"/>
                <w:sz w:val="22"/>
                <w:szCs w:val="22"/>
                <w:b w:val="1"/>
                <w:bCs w:val="1"/>
                <w:color w:val="auto"/>
                <w:w w:val="88"/>
              </w:rPr>
              <w:t>As of 12/31/2020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40" w:type="dxa"/>
            <w:vAlign w:val="bottom"/>
            <w:gridSpan w:val="3"/>
          </w:tcPr>
          <w:p>
            <w:pPr>
              <w:jc w:val="center"/>
              <w:ind w:right="4010"/>
              <w:spacing w:after="0"/>
              <w:rPr>
                <w:sz w:val="20"/>
                <w:szCs w:val="20"/>
                <w:color w:val="auto"/>
              </w:rPr>
            </w:pPr>
            <w:r>
              <w:rPr>
                <w:rFonts w:ascii="Arial" w:cs="Arial" w:eastAsia="Arial" w:hAnsi="Arial"/>
                <w:sz w:val="22"/>
                <w:szCs w:val="22"/>
                <w:b w:val="1"/>
                <w:bCs w:val="1"/>
                <w:color w:val="auto"/>
                <w:w w:val="87"/>
              </w:rPr>
              <w:t>($000’s)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12/31/2020</w:t>
            </w:r>
          </w:p>
        </w:tc>
        <w:tc>
          <w:tcPr>
            <w:tcW w:w="10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Cash and Balances Due From Depository Institutions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62,424,852</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135,372,305</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299,153,643</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7,454,095</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12,786,750</w:t>
            </w: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27,582,366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544,774,160</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442,835,836</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 Funds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1,175,229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Demand Notes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Trading Liabilities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1,036,903</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Borrowed Money</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27,992,840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Acceptances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and Debentures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14,494,315</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491,385,123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Common and Preferred Stock</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Surplus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Undivided Profits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38,303,599</w:t>
            </w: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Minority Interest in Subsidiaries</w:t>
            </w:r>
          </w:p>
        </w:tc>
        <w:tc>
          <w:tcPr>
            <w:tcW w:w="1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53,389,037</w:t>
            </w:r>
          </w:p>
        </w:tc>
      </w:tr>
      <w:tr>
        <w:trPr>
          <w:trHeight w:val="216"/>
        </w:trPr>
        <w:tc>
          <w:tcPr>
            <w:tcW w:w="4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544,774,160</w:t>
            </w:r>
          </w:p>
        </w:tc>
        <w:tc>
          <w:tcPr>
            <w:tcW w:w="100" w:type="dxa"/>
            <w:vAlign w:val="bottom"/>
          </w:tcPr>
          <w:p>
            <w:pPr>
              <w:spacing w:after="0"/>
              <w:rPr>
                <w:sz w:val="20"/>
                <w:szCs w:val="20"/>
                <w:color w:val="auto"/>
              </w:rPr>
            </w:pPr>
          </w:p>
        </w:tc>
      </w:tr>
      <w:tr>
        <w:trPr>
          <w:trHeight w:val="631"/>
        </w:trPr>
        <w:tc>
          <w:tcPr>
            <w:tcW w:w="4040" w:type="dxa"/>
            <w:vAlign w:val="bottom"/>
          </w:tcPr>
          <w:p>
            <w:pPr>
              <w:spacing w:after="0"/>
              <w:rPr>
                <w:sz w:val="24"/>
                <w:szCs w:val="24"/>
                <w:color w:val="auto"/>
              </w:rPr>
            </w:pPr>
          </w:p>
        </w:tc>
        <w:tc>
          <w:tcPr>
            <w:tcW w:w="2000" w:type="dxa"/>
            <w:vAlign w:val="bottom"/>
            <w:gridSpan w:val="2"/>
          </w:tcPr>
          <w:p>
            <w:pPr>
              <w:jc w:val="right"/>
              <w:ind w:right="272"/>
              <w:spacing w:after="0"/>
              <w:rPr>
                <w:sz w:val="20"/>
                <w:szCs w:val="20"/>
                <w:color w:val="auto"/>
              </w:rPr>
            </w:pPr>
            <w:r>
              <w:rPr>
                <w:rFonts w:ascii="Arial" w:cs="Arial" w:eastAsia="Arial" w:hAnsi="Arial"/>
                <w:sz w:val="14"/>
                <w:szCs w:val="14"/>
                <w:color w:val="auto"/>
              </w:rPr>
              <w:t>7</w:t>
            </w: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Letter"/>
      <w:start w:val="2"/>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lowerLetter"/>
      <w:start w:val="2"/>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lvl w:ilvl="1">
      <w:lvlJc w:val="left"/>
      <w:lvlText w:val="(%2)"/>
      <w:numFmt w:val="lowerRoman"/>
      <w:start w:val="1"/>
    </w:lvl>
  </w:abstractNum>
  <w:abstractNum w:abstractNumId="37">
    <w:nsid w:val="4B588F54"/>
    <w:multiLevelType w:val="hybridMultilevel"/>
    <w:lvl w:ilvl="0">
      <w:lvlJc w:val="left"/>
      <w:lvlText w:val="(%1)"/>
      <w:numFmt w:val="decimal"/>
      <w:start w:val="2"/>
    </w:lvl>
    <w:lvl w:ilvl="1">
      <w:lvlJc w:val="left"/>
      <w:lvlText w:val="(%2)"/>
      <w:numFmt w:val="lowerRoman"/>
      <w:start w:val="1"/>
    </w:lvl>
  </w:abstractNum>
  <w:abstractNum w:abstractNumId="38">
    <w:nsid w:val="542289EC"/>
    <w:multiLevelType w:val="hybridMultilevel"/>
    <w:lvl w:ilvl="0">
      <w:lvlJc w:val="left"/>
      <w:lvlText w:val="(%1)"/>
      <w:numFmt w:val="decimal"/>
      <w:start w:val="5"/>
    </w:lvl>
    <w:lvl w:ilvl="1">
      <w:lvlJc w:val="left"/>
      <w:lvlText w:val="(%2)"/>
      <w:numFmt w:val="lowerRoman"/>
      <w:start w:val="1"/>
    </w:lvl>
  </w:abstractNum>
  <w:abstractNum w:abstractNumId="39">
    <w:nsid w:val="6DE91B18"/>
    <w:multiLevelType w:val="hybridMultilevel"/>
    <w:lvl w:ilvl="0">
      <w:lvlJc w:val="left"/>
      <w:lvlText w:val="(%1)"/>
      <w:numFmt w:val="lowerRoman"/>
      <w:start w:val="5"/>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6"/>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4"/>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3"/>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
      <w:numFmt w:val="bullet"/>
      <w:start w:val="1"/>
    </w:lvl>
    <w:lvl w:ilvl="1">
      <w:lvlJc w:val="left"/>
      <w:lvlText w:val="%2."/>
      <w:numFmt w:val="decimal"/>
      <w:start w:val="1"/>
    </w:lvl>
  </w:abstractNum>
  <w:abstractNum w:abstractNumId="50">
    <w:nsid w:val="12E685FB"/>
    <w:multiLevelType w:val="hybridMultilevel"/>
    <w:lvl w:ilvl="0">
      <w:lvlJc w:val="left"/>
      <w:lvlText w:val="**"/>
      <w:numFmt w:val="bullet"/>
      <w:start w:val="1"/>
    </w:lvl>
    <w:lvl w:ilvl="1">
      <w:lvlJc w:val="left"/>
      <w:lvlText w:val="%2"/>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jpe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67" Type="http://schemas.openxmlformats.org/officeDocument/2006/relationships/hyperlink" Target="https://www.sec.gov/Archives/edgar/data/1749723/000114036120017367/brhc10013767_ex99-3.htm" TargetMode="External"/><Relationship Id="rId68" Type="http://schemas.openxmlformats.org/officeDocument/2006/relationships/hyperlink" Target="https://www.sec.gov/Archives/edgar/data/1749723/000114036120017367/brhc10013767_ex99-4.htm" TargetMode="External"/><Relationship Id="rId69" Type="http://schemas.openxmlformats.org/officeDocument/2006/relationships/hyperlink" Target="https://www.sec.gov/Archives/edgar/data/1749723/000114036120004975/nt10009547x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2021-03-18T16:32:43Z</dcterms:created>
  <dcterms:modified xsi:type="dcterms:W3CDTF">2021-03-18T16:32:43Z</dcterms:modified>
</cp:coreProperties>
</file>