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221F1F"/>
          <w:sz w:val="28"/>
        </w:rPr>
      </w:pPr>
      <w:r>
        <w:rPr>
          <w:rFonts w:ascii="Times New Roman;serif" w:hAnsi="Times New Roman;serif"/>
          <w:b/>
          <w:color w:val="221F1F"/>
          <w:sz w:val="28"/>
        </w:rPr>
        <w:t>UNITED STATES</w:t>
      </w:r>
    </w:p>
    <w:p>
      <w:pPr>
        <w:pStyle w:val="TextBody"/>
        <w:bidi w:val="0"/>
        <w:spacing w:lineRule="auto" w:line="288" w:before="0" w:after="0"/>
        <w:jc w:val="center"/>
        <w:rPr>
          <w:rFonts w:ascii="Times New Roman;serif" w:hAnsi="Times New Roman;serif"/>
          <w:b/>
          <w:color w:val="221F1F"/>
          <w:sz w:val="28"/>
        </w:rPr>
      </w:pPr>
      <w:r>
        <w:rPr>
          <w:rFonts w:ascii="Times New Roman;serif" w:hAnsi="Times New Roman;serif"/>
          <w:b/>
          <w:color w:val="221F1F"/>
          <w:sz w:val="28"/>
        </w:rPr>
        <w:t>SECURITIES AND EXCHANGE COMMISSION</w:t>
      </w:r>
    </w:p>
    <w:p>
      <w:pPr>
        <w:pStyle w:val="TextBody"/>
        <w:bidi w:val="0"/>
        <w:spacing w:lineRule="auto" w:line="288" w:before="0" w:after="0"/>
        <w:jc w:val="center"/>
        <w:rPr>
          <w:rFonts w:ascii="Times New Roman;serif" w:hAnsi="Times New Roman;serif"/>
          <w:b/>
          <w:color w:val="221F1F"/>
          <w:sz w:val="24"/>
        </w:rPr>
      </w:pPr>
      <w:r>
        <w:rPr>
          <w:rFonts w:ascii="Times New Roman;serif" w:hAnsi="Times New Roman;serif"/>
          <w:b/>
          <w:color w:val="221F1F"/>
          <w:sz w:val="24"/>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21F1F"/>
          <w:sz w:val="36"/>
        </w:rPr>
      </w:pPr>
      <w:r>
        <w:rPr>
          <w:rFonts w:ascii="Times New Roman;serif" w:hAnsi="Times New Roman;serif"/>
          <w:b/>
          <w:color w:val="221F1F"/>
          <w:sz w:val="36"/>
        </w:rPr>
        <w:t>FORM 12b-25</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221F1F"/>
          <w:sz w:val="20"/>
        </w:rPr>
      </w:pPr>
      <w:r>
        <w:rPr>
          <w:rFonts w:ascii="Times New Roman;serif" w:hAnsi="Times New Roman;serif"/>
          <w:b/>
          <w:color w:val="221F1F"/>
          <w:sz w:val="20"/>
        </w:rPr>
        <w:t>NOTIFICATION OF LATE FILING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pPr>
      <w:r>
        <w:rPr>
          <w:rFonts w:ascii="Times New Roman;serif" w:hAnsi="Times New Roman;serif"/>
          <w:b w:val="false"/>
          <w:color w:val="000000"/>
          <w:sz w:val="20"/>
        </w:rPr>
        <w:t xml:space="preserve">Commission File Number </w:t>
      </w:r>
      <w:r>
        <w:rPr>
          <w:rFonts w:ascii="Times New Roman;serif" w:hAnsi="Times New Roman;serif"/>
          <w:b/>
          <w:color w:val="000000"/>
          <w:sz w:val="20"/>
        </w:rPr>
        <w:t>001-38790</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pPr>
      <w:r>
        <w:rPr>
          <w:rFonts w:ascii="Times New Roman;serif" w:hAnsi="Times New Roman;serif"/>
          <w:b w:val="false"/>
          <w:color w:val="000000"/>
          <w:sz w:val="20"/>
        </w:rPr>
        <w:t xml:space="preserve">CUSIP Number </w:t>
      </w:r>
      <w:r>
        <w:rPr>
          <w:rFonts w:ascii="Times New Roman;serif" w:hAnsi="Times New Roman;serif"/>
          <w:b/>
          <w:color w:val="000000"/>
          <w:sz w:val="20"/>
        </w:rPr>
        <w:t>644393100</w:t>
      </w:r>
    </w:p>
    <w:p>
      <w:pPr>
        <w:pStyle w:val="TextBody"/>
        <w:bidi w:val="0"/>
        <w:spacing w:before="0" w:after="0"/>
        <w:jc w:val="left"/>
        <w:rPr/>
      </w:pPr>
      <w:r>
        <w:rPr/>
      </w:r>
    </w:p>
    <w:tbl>
      <w:tblPr>
        <w:tblW w:w="9324" w:type="dxa"/>
        <w:jc w:val="left"/>
        <w:tblInd w:w="0" w:type="dxa"/>
        <w:tblLayout w:type="fixed"/>
        <w:tblCellMar>
          <w:top w:w="28" w:type="dxa"/>
          <w:left w:w="28" w:type="dxa"/>
          <w:bottom w:w="28" w:type="dxa"/>
          <w:right w:w="28" w:type="dxa"/>
        </w:tblCellMar>
      </w:tblPr>
      <w:tblGrid>
        <w:gridCol w:w="418"/>
        <w:gridCol w:w="367"/>
        <w:gridCol w:w="369"/>
        <w:gridCol w:w="109"/>
        <w:gridCol w:w="109"/>
        <w:gridCol w:w="109"/>
        <w:gridCol w:w="379"/>
        <w:gridCol w:w="379"/>
        <w:gridCol w:w="382"/>
        <w:gridCol w:w="109"/>
        <w:gridCol w:w="109"/>
        <w:gridCol w:w="109"/>
        <w:gridCol w:w="314"/>
        <w:gridCol w:w="314"/>
        <w:gridCol w:w="316"/>
        <w:gridCol w:w="109"/>
        <w:gridCol w:w="109"/>
        <w:gridCol w:w="109"/>
        <w:gridCol w:w="324"/>
        <w:gridCol w:w="324"/>
        <w:gridCol w:w="327"/>
        <w:gridCol w:w="109"/>
        <w:gridCol w:w="109"/>
        <w:gridCol w:w="109"/>
        <w:gridCol w:w="324"/>
        <w:gridCol w:w="324"/>
        <w:gridCol w:w="327"/>
        <w:gridCol w:w="109"/>
        <w:gridCol w:w="109"/>
        <w:gridCol w:w="109"/>
        <w:gridCol w:w="324"/>
        <w:gridCol w:w="324"/>
        <w:gridCol w:w="327"/>
        <w:gridCol w:w="109"/>
        <w:gridCol w:w="109"/>
        <w:gridCol w:w="109"/>
        <w:gridCol w:w="350"/>
        <w:gridCol w:w="350"/>
        <w:gridCol w:w="499"/>
      </w:tblGrid>
      <w:tr>
        <w:trPr/>
        <w:tc>
          <w:tcPr>
            <w:tcW w:w="418"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115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i/>
                <w:color w:val="221F1F"/>
                <w:sz w:val="20"/>
              </w:rPr>
            </w:pPr>
            <w:r>
              <w:rPr>
                <w:rFonts w:ascii="Times New Roman;serif" w:hAnsi="Times New Roman;serif"/>
                <w:b w:val="false"/>
                <w:i/>
                <w:color w:val="221F1F"/>
                <w:sz w:val="20"/>
              </w:rPr>
              <w:t>(Check one):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4"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20-F</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11-K</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10-Q</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75"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10-D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N-CEN</w:t>
            </w:r>
          </w:p>
        </w:tc>
      </w:tr>
      <w:tr>
        <w:trPr/>
        <w:tc>
          <w:tcPr>
            <w:tcW w:w="1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140" w:type="dxa"/>
            <w:gridSpan w:val="3"/>
            <w:tcBorders/>
            <w:tcMar>
              <w:top w:w="0" w:type="dxa"/>
              <w:left w:w="0" w:type="dxa"/>
              <w:bottom w:w="0" w:type="dxa"/>
              <w:right w:w="0" w:type="dxa"/>
            </w:tcMar>
            <w:vAlign w:val="center"/>
          </w:tcPr>
          <w:p>
            <w:pPr>
              <w:pStyle w:val="TableContents"/>
              <w:bidi w:val="0"/>
              <w:spacing w:lineRule="auto" w:line="288" w:before="0" w:after="0"/>
              <w:ind w:left="0" w:right="0" w:hanging="144"/>
              <w:jc w:val="left"/>
              <w:rPr>
                <w:rFonts w:ascii="Times New Roman;serif" w:hAnsi="Times New Roman;serif"/>
                <w:b w:val="false"/>
                <w:color w:val="221F1F"/>
                <w:sz w:val="20"/>
              </w:rPr>
            </w:pPr>
            <w:r>
              <w:rPr>
                <w:rFonts w:ascii="Times New Roman;serif" w:hAnsi="Times New Roman;serif"/>
                <w:b w:val="false"/>
                <w:color w:val="221F1F"/>
                <w:sz w:val="20"/>
              </w:rPr>
              <w:t>Form N-CSR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3682" w:type="dxa"/>
        <w:jc w:val="left"/>
        <w:tblInd w:w="0" w:type="dxa"/>
        <w:tblLayout w:type="fixed"/>
        <w:tblCellMar>
          <w:top w:w="28" w:type="dxa"/>
          <w:left w:w="28" w:type="dxa"/>
          <w:bottom w:w="28" w:type="dxa"/>
          <w:right w:w="28" w:type="dxa"/>
        </w:tblCellMar>
      </w:tblPr>
      <w:tblGrid>
        <w:gridCol w:w="124"/>
        <w:gridCol w:w="109"/>
        <w:gridCol w:w="109"/>
        <w:gridCol w:w="524"/>
        <w:gridCol w:w="524"/>
        <w:gridCol w:w="526"/>
        <w:gridCol w:w="464"/>
        <w:gridCol w:w="464"/>
        <w:gridCol w:w="466"/>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For Period Ended:</w:t>
            </w:r>
          </w:p>
        </w:tc>
        <w:tc>
          <w:tcPr>
            <w:tcW w:w="1394" w:type="dxa"/>
            <w:gridSpan w:val="3"/>
            <w:tcBorders>
              <w:bottom w:val="single" w:sz="12"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tbl>
      <w:tblPr>
        <w:tblW w:w="342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807"/>
        <w:gridCol w:w="807"/>
        <w:gridCol w:w="114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10-K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20-F</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11-K</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on Form 10-Q</w:t>
            </w:r>
          </w:p>
        </w:tc>
      </w:tr>
    </w:tbl>
    <w:p>
      <w:pPr>
        <w:pStyle w:val="TextBody"/>
        <w:bidi w:val="0"/>
        <w:spacing w:before="0" w:after="0"/>
        <w:jc w:val="left"/>
        <w:rPr/>
      </w:pPr>
      <w:r>
        <w:rPr/>
      </w:r>
    </w:p>
    <w:tbl>
      <w:tblPr>
        <w:tblW w:w="3474" w:type="dxa"/>
        <w:jc w:val="left"/>
        <w:tblInd w:w="0" w:type="dxa"/>
        <w:tblLayout w:type="fixed"/>
        <w:tblCellMar>
          <w:top w:w="28" w:type="dxa"/>
          <w:left w:w="28" w:type="dxa"/>
          <w:bottom w:w="28" w:type="dxa"/>
          <w:right w:w="28" w:type="dxa"/>
        </w:tblCellMar>
      </w:tblPr>
      <w:tblGrid>
        <w:gridCol w:w="124"/>
        <w:gridCol w:w="109"/>
        <w:gridCol w:w="109"/>
        <w:gridCol w:w="919"/>
        <w:gridCol w:w="919"/>
        <w:gridCol w:w="92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For the Transition Period Ended:</w:t>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959" w:type="dxa"/>
        <w:jc w:val="left"/>
        <w:tblInd w:w="0" w:type="dxa"/>
        <w:tblLayout w:type="fixed"/>
        <w:tblCellMar>
          <w:top w:w="28" w:type="dxa"/>
          <w:left w:w="28" w:type="dxa"/>
          <w:bottom w:w="28" w:type="dxa"/>
          <w:right w:w="28" w:type="dxa"/>
        </w:tblCellMar>
      </w:tblPr>
      <w:tblGrid>
        <w:gridCol w:w="3186"/>
        <w:gridCol w:w="2801"/>
        <w:gridCol w:w="3972"/>
      </w:tblGrid>
      <w:tr>
        <w:trPr/>
        <w:tc>
          <w:tcPr>
            <w:tcW w:w="3186" w:type="dxa"/>
            <w:tcBorders/>
            <w:vAlign w:val="center"/>
          </w:tcPr>
          <w:p>
            <w:pPr>
              <w:pStyle w:val="TableContents"/>
              <w:bidi w:val="0"/>
              <w:spacing w:before="0" w:after="283"/>
              <w:jc w:val="left"/>
              <w:rPr>
                <w:sz w:val="4"/>
                <w:szCs w:val="4"/>
              </w:rPr>
            </w:pPr>
            <w:r>
              <w:rPr>
                <w:sz w:val="4"/>
                <w:szCs w:val="4"/>
              </w:rPr>
            </w:r>
          </w:p>
        </w:tc>
        <w:tc>
          <w:tcPr>
            <w:tcW w:w="2801" w:type="dxa"/>
            <w:tcBorders/>
            <w:vAlign w:val="center"/>
          </w:tcPr>
          <w:p>
            <w:pPr>
              <w:pStyle w:val="TableContents"/>
              <w:bidi w:val="0"/>
              <w:spacing w:before="0" w:after="283"/>
              <w:jc w:val="left"/>
              <w:rPr>
                <w:sz w:val="4"/>
                <w:szCs w:val="4"/>
              </w:rPr>
            </w:pPr>
            <w:r>
              <w:rPr>
                <w:sz w:val="4"/>
                <w:szCs w:val="4"/>
              </w:rPr>
            </w:r>
          </w:p>
        </w:tc>
        <w:tc>
          <w:tcPr>
            <w:tcW w:w="3972" w:type="dxa"/>
            <w:tcBorders/>
            <w:vAlign w:val="center"/>
          </w:tcPr>
          <w:p>
            <w:pPr>
              <w:pStyle w:val="TableContents"/>
              <w:bidi w:val="0"/>
              <w:spacing w:before="0" w:after="283"/>
              <w:jc w:val="left"/>
              <w:rPr>
                <w:sz w:val="4"/>
                <w:szCs w:val="4"/>
              </w:rPr>
            </w:pPr>
            <w:r>
              <w:rPr>
                <w:sz w:val="4"/>
                <w:szCs w:val="4"/>
              </w:rPr>
            </w:r>
          </w:p>
        </w:tc>
      </w:tr>
      <w:tr>
        <w:trPr/>
        <w:tc>
          <w:tcPr>
            <w:tcW w:w="9959" w:type="dxa"/>
            <w:gridSpan w:val="3"/>
            <w:tcBorders>
              <w:top w:val="single" w:sz="12" w:space="0" w:color="000000"/>
              <w:left w:val="single" w:sz="12" w:space="0" w:color="000000"/>
              <w:bottom w:val="single" w:sz="12" w:space="0" w:color="000000"/>
              <w:right w:val="single" w:sz="12" w:space="0" w:color="000000"/>
            </w:tcBorders>
            <w:tcMar>
              <w:top w:w="30" w:type="dxa"/>
              <w:bottom w:w="30" w:type="dxa"/>
            </w:tcMar>
            <w:vAlign w:val="center"/>
          </w:tcPr>
          <w:p>
            <w:pPr>
              <w:pStyle w:val="TableContents"/>
              <w:bidi w:val="0"/>
              <w:spacing w:lineRule="auto" w:line="288" w:before="0" w:after="0"/>
              <w:jc w:val="center"/>
              <w:rPr>
                <w:rFonts w:ascii="Times New Roman;serif" w:hAnsi="Times New Roman;serif"/>
                <w:b/>
                <w:color w:val="221F1F"/>
                <w:sz w:val="20"/>
              </w:rPr>
            </w:pPr>
            <w:r>
              <w:rPr>
                <w:rFonts w:ascii="Times New Roman;serif" w:hAnsi="Times New Roman;serif"/>
                <w:b/>
                <w:color w:val="221F1F"/>
                <w:sz w:val="20"/>
              </w:rPr>
              <w:t>Nothing in this Form shall be construed to imply that the Commission has verified any information contained herein.</w:t>
            </w:r>
          </w:p>
        </w:tc>
      </w:tr>
    </w:tbl>
    <w:p>
      <w:pPr>
        <w:pStyle w:val="TextBody"/>
        <w:bidi w:val="0"/>
        <w:spacing w:before="0" w:after="0"/>
        <w:jc w:val="left"/>
        <w:rPr/>
      </w:pPr>
      <w:r>
        <w:rPr/>
      </w:r>
    </w:p>
    <w:tbl>
      <w:tblPr>
        <w:tblW w:w="9689" w:type="dxa"/>
        <w:jc w:val="left"/>
        <w:tblInd w:w="0" w:type="dxa"/>
        <w:tblLayout w:type="fixed"/>
        <w:tblCellMar>
          <w:top w:w="28" w:type="dxa"/>
          <w:left w:w="28" w:type="dxa"/>
          <w:bottom w:w="28" w:type="dxa"/>
          <w:right w:w="28" w:type="dxa"/>
        </w:tblCellMar>
      </w:tblPr>
      <w:tblGrid>
        <w:gridCol w:w="3096"/>
        <w:gridCol w:w="2721"/>
        <w:gridCol w:w="3872"/>
      </w:tblGrid>
      <w:tr>
        <w:trPr/>
        <w:tc>
          <w:tcPr>
            <w:tcW w:w="3096" w:type="dxa"/>
            <w:tcBorders/>
            <w:vAlign w:val="center"/>
          </w:tcPr>
          <w:p>
            <w:pPr>
              <w:pStyle w:val="TableContents"/>
              <w:bidi w:val="0"/>
              <w:spacing w:before="0" w:after="283"/>
              <w:jc w:val="left"/>
              <w:rPr>
                <w:sz w:val="4"/>
                <w:szCs w:val="4"/>
              </w:rPr>
            </w:pPr>
            <w:r>
              <w:rPr>
                <w:sz w:val="4"/>
                <w:szCs w:val="4"/>
              </w:rPr>
            </w:r>
          </w:p>
        </w:tc>
        <w:tc>
          <w:tcPr>
            <w:tcW w:w="2721" w:type="dxa"/>
            <w:tcBorders/>
            <w:vAlign w:val="center"/>
          </w:tcPr>
          <w:p>
            <w:pPr>
              <w:pStyle w:val="TableContents"/>
              <w:bidi w:val="0"/>
              <w:spacing w:before="0" w:after="283"/>
              <w:jc w:val="left"/>
              <w:rPr>
                <w:sz w:val="4"/>
                <w:szCs w:val="4"/>
              </w:rPr>
            </w:pPr>
            <w:r>
              <w:rPr>
                <w:sz w:val="4"/>
                <w:szCs w:val="4"/>
              </w:rPr>
            </w:r>
          </w:p>
        </w:tc>
        <w:tc>
          <w:tcPr>
            <w:tcW w:w="3872" w:type="dxa"/>
            <w:tcBorders/>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the notiﬁcation relates to a portion of the ﬁling checked above, identify the Item(s) to which the notiﬁcation relates:</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op w:val="single" w:sz="1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221F1F"/>
                <w:sz w:val="20"/>
              </w:rPr>
            </w:pPr>
            <w:r>
              <w:rPr>
                <w:rFonts w:ascii="Times New Roman;serif" w:hAnsi="Times New Roman;serif"/>
                <w:b/>
                <w:color w:val="221F1F"/>
                <w:sz w:val="20"/>
              </w:rPr>
              <w:t>PART I - REGISTRANT INFORMATION</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Fortress Energy Inc.</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Full Name of Registrant</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Former Name if Applicable</w:t>
            </w:r>
          </w:p>
        </w:tc>
      </w:tr>
      <w:tr>
        <w:trPr/>
        <w:tc>
          <w:tcPr>
            <w:tcW w:w="9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111 W. 19th Street, 8th Floor</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Address of Principal Executive Office (Street and Number)</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6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 York, New York 10011</w:t>
            </w:r>
          </w:p>
        </w:tc>
      </w:tr>
      <w:tr>
        <w:trPr/>
        <w:tc>
          <w:tcPr>
            <w:tcW w:w="968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City, State and Zip Code</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1F1F"/>
          <w:sz w:val="20"/>
        </w:rPr>
      </w:pPr>
      <w:r>
        <w:rPr>
          <w:rFonts w:ascii="Times New Roman;serif" w:hAnsi="Times New Roman;serif"/>
          <w:b/>
          <w:color w:val="221F1F"/>
          <w:sz w:val="20"/>
        </w:rPr>
        <w:t>PART II - RULES 12b-25(b) AND (c)</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If the subject report could not be ﬁled without unreasonable effort or expense and the registrant seeks relief pursuant to Rule 12b-25(b), the following should be completed. (Check box if appropriate)</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28"/>
        <w:gridCol w:w="112"/>
        <w:gridCol w:w="112"/>
        <w:gridCol w:w="109"/>
        <w:gridCol w:w="109"/>
        <w:gridCol w:w="109"/>
        <w:gridCol w:w="2785"/>
        <w:gridCol w:w="2785"/>
        <w:gridCol w:w="3956"/>
      </w:tblGrid>
      <w:tr>
        <w:trPr/>
        <w:tc>
          <w:tcPr>
            <w:tcW w:w="12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56" w:type="dxa"/>
            <w:tcBorders/>
            <w:vAlign w:val="center"/>
          </w:tcPr>
          <w:p>
            <w:pPr>
              <w:pStyle w:val="TableContents"/>
              <w:bidi w:val="0"/>
              <w:spacing w:before="0" w:after="283"/>
              <w:jc w:val="left"/>
              <w:rPr>
                <w:sz w:val="4"/>
                <w:szCs w:val="4"/>
              </w:rPr>
            </w:pPr>
            <w:r>
              <w:rPr>
                <w:sz w:val="4"/>
                <w:szCs w:val="4"/>
              </w:rPr>
            </w:r>
          </w:p>
        </w:tc>
      </w:tr>
      <w:tr>
        <w:trPr/>
        <w:tc>
          <w:tcPr>
            <w:tcW w:w="352" w:type="dxa"/>
            <w:gridSpan w:val="3"/>
            <w:vMerge w:val="restart"/>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 xml:space="preserve">☒ </w:t>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reason described in reasonable detail in Part III of this Form could not be eliminated without unreasonable effort or expense;</w:t>
            </w:r>
          </w:p>
        </w:tc>
      </w:tr>
      <w:tr>
        <w:trPr/>
        <w:tc>
          <w:tcPr>
            <w:tcW w:w="3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(b)</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subject annual report, semi-annual report, transition report on Form 10-K, Form 20-F, Form 11-K, Form N-CEN or Form N-CSR, or portion thereof, will be ﬁled on or before the ﬁfteenth calendar day following the prescribed due date; or the subject quarterly report or transition report on Form 10-Q or subject distribution report on Form 10-D, or portion thereof, will be ﬁled on or before the ﬁfth calendar day following the prescribed due date; and</w:t>
            </w:r>
          </w:p>
        </w:tc>
      </w:tr>
      <w:tr>
        <w:trPr/>
        <w:tc>
          <w:tcPr>
            <w:tcW w:w="35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left w:val="single" w:sz="12" w:space="0" w:color="000000"/>
            </w:tcBorders>
            <w:tcMar>
              <w:top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w:t>
            </w:r>
          </w:p>
        </w:tc>
        <w:tc>
          <w:tcPr>
            <w:tcW w:w="95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The accountant’s statement or other exhibit required by Rule 12b-25(c) has been attached if applicable.</w:t>
            </w:r>
          </w:p>
        </w:tc>
      </w:tr>
    </w:tbl>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1F1F"/>
          <w:sz w:val="20"/>
        </w:rPr>
      </w:pPr>
      <w:r>
        <w:rPr>
          <w:rFonts w:ascii="Times New Roman;serif" w:hAnsi="Times New Roman;serif"/>
          <w:b/>
          <w:color w:val="221F1F"/>
          <w:sz w:val="20"/>
        </w:rPr>
        <w:t>PART III - NARRATIVE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 below in reasonable detail why Forms 10-K, 20-F, 11-K, 10-Q, 10-D, N-CEN, N-CSR, or the transition report or portion thereof, could not be ﬁled within the prescribed time period.</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New Fortress Energy Inc. (the “Company”) is working diligently and plans to file its Quarterly Report on Form 10-Q for the three months ended March 31, 2026 (the “Quarterly Report”) as soon as practicable. The Company filed its Annual Report on Form 10-K on April 13, 2026, which delayed the commencement of the Company's close process for the quarter ended March 31, 2026, and the Company requires additional time to complete its financial statement close and review process. As a result, the Company has determined that it is unable, without unreasonable effort or expense, to file its Quarterly Report within the prescribed time period. The Company intends to file the Quarterly Report within the five-day extension period, or as soon as practicable; however, the timing of the filing may be subject to further delay, and the Company cannot provide assurance regarding the definitive filing date while this work remains in progress.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221F1F"/>
          <w:sz w:val="20"/>
        </w:rPr>
      </w:pPr>
      <w:r>
        <w:rPr>
          <w:rFonts w:ascii="Times New Roman;serif" w:hAnsi="Times New Roman;serif"/>
          <w:b/>
          <w:color w:val="221F1F"/>
          <w:sz w:val="20"/>
        </w:rPr>
        <w:t>PART IV - OTHER INFORMATION</w:t>
      </w:r>
    </w:p>
    <w:p>
      <w:pPr>
        <w:pStyle w:val="TextBody"/>
        <w:bidi w:val="0"/>
        <w:spacing w:lineRule="auto" w:line="288" w:before="0" w:after="0"/>
        <w:jc w:val="left"/>
        <w:rPr>
          <w:color w:val="000000"/>
        </w:rPr>
      </w:pPr>
      <w:r>
        <w:rPr>
          <w:color w:val="000000"/>
        </w:rPr>
        <w:t> </w:t>
      </w:r>
    </w:p>
    <w:tbl>
      <w:tblPr>
        <w:tblW w:w="6779" w:type="dxa"/>
        <w:jc w:val="left"/>
        <w:tblInd w:w="0" w:type="dxa"/>
        <w:tblLayout w:type="fixed"/>
        <w:tblCellMar>
          <w:top w:w="28" w:type="dxa"/>
          <w:left w:w="28" w:type="dxa"/>
          <w:bottom w:w="28" w:type="dxa"/>
          <w:right w:w="28" w:type="dxa"/>
        </w:tblCellMar>
      </w:tblPr>
      <w:tblGrid>
        <w:gridCol w:w="125"/>
        <w:gridCol w:w="110"/>
        <w:gridCol w:w="110"/>
        <w:gridCol w:w="1884"/>
        <w:gridCol w:w="1884"/>
        <w:gridCol w:w="2666"/>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1884" w:type="dxa"/>
            <w:tcBorders/>
            <w:vAlign w:val="center"/>
          </w:tcPr>
          <w:p>
            <w:pPr>
              <w:pStyle w:val="TableContents"/>
              <w:bidi w:val="0"/>
              <w:spacing w:before="0" w:after="283"/>
              <w:jc w:val="left"/>
              <w:rPr>
                <w:sz w:val="4"/>
                <w:szCs w:val="4"/>
              </w:rPr>
            </w:pPr>
            <w:r>
              <w:rPr>
                <w:sz w:val="4"/>
                <w:szCs w:val="4"/>
              </w:rPr>
            </w:r>
          </w:p>
        </w:tc>
        <w:tc>
          <w:tcPr>
            <w:tcW w:w="2666"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(1)</w:t>
            </w:r>
          </w:p>
        </w:tc>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Name and telephone number of person to contact in regard to this notiﬁcation</w:t>
            </w:r>
          </w:p>
        </w:tc>
      </w:tr>
    </w:tbl>
    <w:p>
      <w:pPr>
        <w:pStyle w:val="TextBody"/>
        <w:bidi w:val="0"/>
        <w:spacing w:before="0" w:after="0"/>
        <w:jc w:val="left"/>
        <w:rPr/>
      </w:pPr>
      <w:r>
        <w:rPr/>
      </w:r>
    </w:p>
    <w:tbl>
      <w:tblPr>
        <w:tblW w:w="5436" w:type="dxa"/>
        <w:jc w:val="left"/>
        <w:tblInd w:w="0" w:type="dxa"/>
        <w:tblLayout w:type="fixed"/>
        <w:tblCellMar>
          <w:top w:w="28" w:type="dxa"/>
          <w:left w:w="28" w:type="dxa"/>
          <w:bottom w:w="28" w:type="dxa"/>
          <w:right w:w="28" w:type="dxa"/>
        </w:tblCellMar>
      </w:tblPr>
      <w:tblGrid>
        <w:gridCol w:w="678"/>
        <w:gridCol w:w="596"/>
        <w:gridCol w:w="600"/>
        <w:gridCol w:w="109"/>
        <w:gridCol w:w="109"/>
        <w:gridCol w:w="109"/>
        <w:gridCol w:w="357"/>
        <w:gridCol w:w="357"/>
        <w:gridCol w:w="365"/>
        <w:gridCol w:w="109"/>
        <w:gridCol w:w="109"/>
        <w:gridCol w:w="109"/>
        <w:gridCol w:w="533"/>
        <w:gridCol w:w="533"/>
        <w:gridCol w:w="763"/>
      </w:tblGrid>
      <w:tr>
        <w:trPr/>
        <w:tc>
          <w:tcPr>
            <w:tcW w:w="67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Christopher S. Guinta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(516)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268-7400</w:t>
            </w:r>
          </w:p>
        </w:tc>
      </w:tr>
      <w:tr>
        <w:trPr/>
        <w:tc>
          <w:tcPr>
            <w:tcW w:w="187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(Name)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7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(Area Code)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9"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221F1F"/>
                <w:sz w:val="20"/>
              </w:rPr>
            </w:pPr>
            <w:r>
              <w:rPr>
                <w:rFonts w:ascii="Times New Roman;serif" w:hAnsi="Times New Roman;serif"/>
                <w:b w:val="false"/>
                <w:color w:val="221F1F"/>
                <w:sz w:val="20"/>
              </w:rPr>
              <w:t>(Telephone Number)</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(2)</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both"/>
              <w:rPr/>
            </w:pPr>
            <w:r>
              <w:rPr>
                <w:rFonts w:ascii="Times New Roman;serif" w:hAnsi="Times New Roman;serif"/>
                <w:b w:val="false"/>
                <w:color w:val="221F1F"/>
                <w:sz w:val="20"/>
              </w:rPr>
              <w:t xml:space="preserve">Have all other periodic reports required under Section 13 or 15(d) of the Securities Exchange Act of 1934 or Section 30 of the Investment Company Act of 1940 during the preceding 12 months or for such shorter period that the registrant was required to ﬁle such report(s) been ﬁled? If answer is no, identify report(s).Yes </w:t>
            </w:r>
            <w:r>
              <w:rPr>
                <w:color w:val="221F1F"/>
              </w:rPr>
              <w:t xml:space="preserve">☒ </w:t>
            </w:r>
            <w:r>
              <w:rPr>
                <w:rFonts w:ascii="Times New Roman;serif" w:hAnsi="Times New Roman;serif"/>
                <w:b w:val="false"/>
                <w:color w:val="221F1F"/>
                <w:sz w:val="20"/>
              </w:rPr>
              <w:t xml:space="preserve">No </w:t>
            </w:r>
            <w:r>
              <w:rPr>
                <w:color w:val="221F1F"/>
              </w:rPr>
              <w: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(3)</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Is it anticipated that any signiﬁcant change in results of operations from the corresponding period for the last ﬁscal year will be reﬂected by the earnings statements to be included in the subject report or portion thereof?</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right"/>
        <w:rPr/>
      </w:pPr>
      <w:r>
        <w:rPr>
          <w:rFonts w:ascii="Times New Roman;serif" w:hAnsi="Times New Roman;serif"/>
          <w:b w:val="false"/>
          <w:color w:val="221F1F"/>
          <w:sz w:val="20"/>
        </w:rPr>
        <w:t>Yes</w:t>
      </w:r>
      <w:r>
        <w:rPr>
          <w:color w:val="000000"/>
        </w:rPr>
        <w:t xml:space="preserve"> ☒ </w:t>
      </w:r>
      <w:r>
        <w:rPr>
          <w:rFonts w:ascii="Times New Roman;serif" w:hAnsi="Times New Roman;serif"/>
          <w:b w:val="false"/>
          <w:color w:val="221F1F"/>
          <w:sz w:val="20"/>
        </w:rPr>
        <w:t xml:space="preserve">No </w:t>
      </w:r>
      <w:r>
        <w:rPr>
          <w:color w:val="221F1F"/>
        </w:rPr>
        <w:t>☐</w:t>
      </w:r>
      <w:r>
        <w:rPr>
          <w:color w:val="000000"/>
        </w:rPr>
        <w:t xml:space="preserve"> </w:t>
      </w:r>
    </w:p>
    <w:p>
      <w:pPr>
        <w:pStyle w:val="TextBody"/>
        <w:bidi w:val="0"/>
        <w:spacing w:before="0" w:after="0"/>
        <w:jc w:val="righ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If so, attach an explanation of the anticipated change, both narratively and quantitatively, and, if appropriate, state the reasons why a reasonable estimate of the results cannot be made.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still completing its financial statement close process for the Form 10-Q given the reasons noted in Part III above. Form 12b-25 requires that the Company disclose any significant changes during the three month period ended March 31, 2026 compared to the corresponding period of 2025. The Company generated higher losses for the three month period ended March 31, 2026 compared to the corresponding period of 2025 largely as a result of lower revenues following the sale of the Jamaica business and lower cargo sales. The Company is also incurring significantly higher transaction related fees and professional fees related to our planned debt restructuring that has also increased its net loss. </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center"/>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This Form 12b-25 contains certain statements and information that may constitute “forward-looking statements” within the meaning of the Private Securities Litigation Reform Act of 1995. All statements contained in this Form 12b-25 (including, without limitation, statements regarding the anticipated timing of filing of the Quarterly Report and the Company’s expected results for the three months ending March 31, 2026) other than historical information, are forward-looking statements that involve known and unknown risks and relate to future events, the Company’s future financial performance or the Company’s projected business results. You can identify these forward-looking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on Form 10-K for the fiscal year ended December 31, 2025, quarterly and other reports filed with the Securities and Exchange Commission, which could cause its actual results to differ materially from those contained in any forward-looking statement. The Company undertakes no duty to update these forward-looking statements, even though its situation may change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4358" w:type="dxa"/>
        <w:jc w:val="left"/>
        <w:tblInd w:w="0" w:type="dxa"/>
        <w:tblLayout w:type="fixed"/>
        <w:tblCellMar>
          <w:top w:w="28" w:type="dxa"/>
          <w:left w:w="28" w:type="dxa"/>
          <w:bottom w:w="28" w:type="dxa"/>
          <w:right w:w="28" w:type="dxa"/>
        </w:tblCellMar>
      </w:tblPr>
      <w:tblGrid>
        <w:gridCol w:w="124"/>
        <w:gridCol w:w="109"/>
        <w:gridCol w:w="109"/>
        <w:gridCol w:w="1213"/>
        <w:gridCol w:w="1213"/>
        <w:gridCol w:w="12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New Fortress Energy Inc.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44" w:type="dxa"/>
            <w:gridSpan w:val="3"/>
            <w:tcBorders>
              <w:top w:val="single" w:sz="12"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Registrant as Speciﬁed in Charter)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has caused this notification to be signed on its behalf by the undersigned hereunto duly authorized.</w:t>
      </w:r>
    </w:p>
    <w:p>
      <w:pPr>
        <w:pStyle w:val="TextBody"/>
        <w:bidi w:val="0"/>
        <w:spacing w:lineRule="auto" w:line="288" w:before="0" w:after="0"/>
        <w:jc w:val="left"/>
        <w:rPr>
          <w:color w:val="000000"/>
        </w:rPr>
      </w:pPr>
      <w:r>
        <w:rPr>
          <w:color w:val="000000"/>
        </w:rPr>
        <w:t> </w:t>
      </w:r>
    </w:p>
    <w:tbl>
      <w:tblPr>
        <w:tblW w:w="4170" w:type="dxa"/>
        <w:jc w:val="left"/>
        <w:tblInd w:w="0" w:type="dxa"/>
        <w:tblLayout w:type="fixed"/>
        <w:tblCellMar>
          <w:top w:w="28" w:type="dxa"/>
          <w:left w:w="28" w:type="dxa"/>
          <w:bottom w:w="28" w:type="dxa"/>
          <w:right w:w="28" w:type="dxa"/>
        </w:tblCellMar>
      </w:tblPr>
      <w:tblGrid>
        <w:gridCol w:w="629"/>
        <w:gridCol w:w="554"/>
        <w:gridCol w:w="557"/>
        <w:gridCol w:w="709"/>
        <w:gridCol w:w="709"/>
        <w:gridCol w:w="1012"/>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rPr>
            </w:pPr>
            <w:r>
              <w:rPr>
                <w:rFonts w:ascii="Times New Roman;serif" w:hAnsi="Times New Roman;serif"/>
                <w:b w:val="false"/>
                <w:color w:val="221F1F"/>
                <w:sz w:val="20"/>
              </w:rPr>
              <w:t>Date: May 12, 2026</w:t>
            </w:r>
          </w:p>
        </w:tc>
        <w:tc>
          <w:tcPr>
            <w:tcW w:w="24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21F1F"/>
                <w:sz w:val="20"/>
                <w:u w:val="single"/>
              </w:rPr>
            </w:pPr>
            <w:r>
              <w:rPr>
                <w:rFonts w:ascii="Times New Roman;serif" w:hAnsi="Times New Roman;serif"/>
                <w:b w:val="false"/>
                <w:color w:val="221F1F"/>
                <w:sz w:val="20"/>
                <w:u w:val="single"/>
              </w:rPr>
              <w:t>By /s/ Christopher S. Guinta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Christopher S. Guinta</w:t>
            </w:r>
          </w:p>
          <w:p>
            <w:pPr>
              <w:pStyle w:val="TableContents"/>
              <w:bidi w:val="0"/>
              <w:spacing w:lineRule="auto" w:line="288" w:before="0" w:after="0"/>
              <w:jc w:val="left"/>
              <w:rPr>
                <w:rFonts w:ascii="Times New Roman;serif" w:hAnsi="Times New Roman;serif"/>
                <w:b w:val="false"/>
                <w:color w:val="221F1F"/>
                <w:sz w:val="20"/>
              </w:rPr>
            </w:pPr>
            <w:r>
              <w:rPr>
                <w:rFonts w:ascii="Times New Roman;serif" w:hAnsi="Times New Roman;serif"/>
                <w:b w:val="false"/>
                <w:color w:val="221F1F"/>
                <w:sz w:val="20"/>
              </w:rPr>
              <w:t>Chief Financial Officer</w:t>
            </w:r>
          </w:p>
        </w:tc>
      </w:tr>
    </w:tbl>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0"/>
                        </w:rPr>
                        <w:t>5</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1195</Words>
  <Characters>6372</Characters>
  <CharactersWithSpaces>7523</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