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MACK JOHN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 W. 19TH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New Fortress Energy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NFE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28.205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1,375,013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transfer of shares from grantor retained annuity trust to the reporting person. The reporting person believes that his transfer of shares from the trust constitutes only a change in form of indirect beneficial ownership of the shares, exempted by Rule 16a-13 under the Securities Exchange Act of 1934.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J. Mack, by Cameron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MacDougall as Attorney-</w:t>
        <w:tab/>
        <w:t>05/16/2024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2147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2024-05-16T13:39:23Z</dcterms:created>
  <dcterms:modified xsi:type="dcterms:W3CDTF">2024-05-16T13:39:23Z</dcterms:modified>
</cp:coreProperties>
</file>