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Rubric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24,338,675.00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24,338,675.00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24,338,675.00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Rosen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24,338,675.00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24,338,675.00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24,338,675.00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8.89 %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right="240"/>
        <w:spacing w:after="0" w:line="253" w:lineRule="auto"/>
        <w:rPr>
          <w:sz w:val="20"/>
          <w:szCs w:val="20"/>
          <w:color w:val="auto"/>
        </w:rPr>
      </w:pPr>
      <w:r>
        <w:rPr>
          <w:rFonts w:ascii="Times New Roman" w:cs="Times New Roman" w:eastAsia="Times New Roman" w:hAnsi="Times New Roman"/>
          <w:sz w:val="21"/>
          <w:szCs w:val="21"/>
          <w:color w:val="auto"/>
        </w:rPr>
        <w:t>This statement is filed by: (i) Rubric Capital Management LP ("Rubric Capital"), the investment adviser to certain investment funds and/or accounts (collectively, the "Rubric Funds") that hold the shares of Class A common stock,</w:t>
      </w:r>
    </w:p>
    <w:p>
      <w:pPr>
        <w:spacing w:after="0" w:line="1" w:lineRule="exact"/>
        <w:rPr>
          <w:sz w:val="20"/>
          <w:szCs w:val="20"/>
          <w:color w:val="auto"/>
        </w:rPr>
      </w:pPr>
    </w:p>
    <w:p>
      <w:pPr>
        <w:ind w:left="92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 value $0.01 (the "Class A Common Stock") of New Fortress Energy Inc., a Delaware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reported 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3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155 East 44th St, Suite 1630, New York, NY 10017.</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Rubric Capital is a Delaware limited partnership. Mr. Rosen is a citizen of the United States of America.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00"/>
          </w:cols>
          <w:pgMar w:left="360" w:top="126" w:right="439" w:bottom="0" w:gutter="0" w:footer="0" w:header="0"/>
        </w:sectPr>
      </w:pPr>
    </w:p>
    <w:bookmarkStart w:id="3" w:name="page4"/>
    <w:bookmarkEnd w:id="3"/>
    <w:p>
      <w:pPr>
        <w:ind w:left="920" w:right="40"/>
        <w:spacing w:after="0" w:line="238" w:lineRule="auto"/>
        <w:rPr>
          <w:sz w:val="20"/>
          <w:szCs w:val="20"/>
          <w:color w:val="auto"/>
        </w:rPr>
      </w:pPr>
      <w:r>
        <w:rPr>
          <w:rFonts w:ascii="Times New Roman" w:cs="Times New Roman" w:eastAsia="Times New Roman" w:hAnsi="Times New Roman"/>
          <w:sz w:val="22"/>
          <w:szCs w:val="22"/>
          <w:color w:val="auto"/>
        </w:rPr>
        <w:t>The information required by Items 4(a) is set forth in Row 9 of the cover page for each of the Reporting Persons and is incorporated herein by reference. The percentage set forth in Row (11) of the cover page for each of the Reporting Persons is based on 273,771,811 shares of Class A Common Stock outstanding as of February 28 2025, as reported in the Issuer's Annual Report on Form 10-K for the fiscal year ended December 31, 2024 filed with the Securities and Exchange Commission on March 10,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See Item 2(a). Rubric Capital Master Fund LP, a Rubric Fund, has the right to receive or the power to direct the receipt of dividends from, or the proceeds from the sale of, more than 5% of the Class A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Rubric Capital Management LP</w:t>
      </w:r>
    </w:p>
    <w:p>
      <w:pPr>
        <w:spacing w:after="0" w:line="152" w:lineRule="exact"/>
        <w:rPr>
          <w:sz w:val="20"/>
          <w:szCs w:val="20"/>
          <w:color w:val="auto"/>
        </w:rPr>
      </w:pPr>
    </w:p>
    <w:p>
      <w:pPr>
        <w:ind w:left="5180"/>
        <w:spacing w:after="0"/>
        <w:tabs>
          <w:tab w:leader="none" w:pos="6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Nachmani</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4100"/>
        <w:spacing w:after="0"/>
        <w:rPr>
          <w:sz w:val="20"/>
          <w:szCs w:val="20"/>
          <w:color w:val="auto"/>
        </w:rPr>
      </w:pPr>
      <w:r>
        <w:rPr>
          <w:rFonts w:ascii="Times New Roman" w:cs="Times New Roman" w:eastAsia="Times New Roman" w:hAnsi="Times New Roman"/>
          <w:sz w:val="21"/>
          <w:szCs w:val="21"/>
          <w:color w:val="auto"/>
        </w:rPr>
        <w:t>Name/Title: Michael Nachmani / Chief Operating Officer</w:t>
      </w:r>
    </w:p>
    <w:p>
      <w:pPr>
        <w:spacing w:after="0" w:line="56"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David Rosen</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Rosen</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David Rosen / individually</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sectPr>
      <w:pgSz w:w="11900" w:h="16838" w:orient="portrait"/>
      <w:cols w:equalWidth="0" w:num="1">
        <w:col w:w="9080"/>
      </w:cols>
      <w:pgMar w:left="1440" w:top="112"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2025-05-14T15:17:12Z</dcterms:created>
  <dcterms:modified xsi:type="dcterms:W3CDTF">2025-05-14T15:17:12Z</dcterms:modified>
</cp:coreProperties>
</file>