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3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Date of Report (Date of earliest event reported): November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78"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80" w:space="720"/>
            <w:col w:w="2900"/>
          </w:cols>
          <w:pgMar w:left="320" w:top="535" w:right="499" w:bottom="1440" w:gutter="0" w:footer="0" w:header="0"/>
          <w:type w:val="continuous"/>
        </w:sectPr>
      </w:pPr>
    </w:p>
    <w:p>
      <w:pPr>
        <w:spacing w:after="0" w:line="18" w:lineRule="exact"/>
        <w:rPr>
          <w:sz w:val="24"/>
          <w:szCs w:val="24"/>
          <w:color w:val="auto"/>
        </w:rPr>
      </w:pPr>
    </w:p>
    <w:p>
      <w:pPr>
        <w:ind w:left="1660"/>
        <w:spacing w:after="0"/>
        <w:tabs>
          <w:tab w:leader="none" w:pos="8260" w:val="left"/>
        </w:tabs>
        <w:rPr>
          <w:sz w:val="20"/>
          <w:szCs w:val="20"/>
          <w:color w:val="auto"/>
        </w:rPr>
      </w:pPr>
      <w:r>
        <w:rPr>
          <w:rFonts w:ascii="Arial" w:cs="Arial" w:eastAsia="Arial" w:hAnsi="Arial"/>
          <w:sz w:val="18"/>
          <w:szCs w:val="18"/>
          <w:b w:val="1"/>
          <w:bCs w:val="1"/>
          <w:color w:val="auto"/>
        </w:rPr>
        <w:t>111 W. 19th Street, 8th Floor</w:t>
      </w:r>
      <w:r>
        <w:rPr>
          <w:sz w:val="20"/>
          <w:szCs w:val="20"/>
          <w:color w:val="auto"/>
        </w:rPr>
        <w:tab/>
      </w:r>
      <w:r>
        <w:rPr>
          <w:rFonts w:ascii="Arial" w:cs="Arial" w:eastAsia="Arial" w:hAnsi="Arial"/>
          <w:sz w:val="15"/>
          <w:szCs w:val="15"/>
          <w:b w:val="1"/>
          <w:bCs w:val="1"/>
          <w:color w:val="auto"/>
        </w:rPr>
        <w:t>10011</w:t>
      </w:r>
    </w:p>
    <w:p>
      <w:pPr>
        <w:spacing w:after="0" w:line="27"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ind w:left="1300"/>
        <w:spacing w:after="0"/>
        <w:tabs>
          <w:tab w:leader="none" w:pos="8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080"/>
          </w:cols>
          <w:pgMar w:left="320" w:top="535" w:right="499" w:bottom="1440" w:gutter="0" w:footer="0" w:header="0"/>
          <w:type w:val="continuous"/>
        </w:sectPr>
      </w:pP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4"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440" w:type="dxa"/>
            <w:vAlign w:val="bottom"/>
          </w:tcPr>
          <w:p>
            <w:pPr>
              <w:spacing w:after="0"/>
              <w:rPr>
                <w:sz w:val="18"/>
                <w:szCs w:val="18"/>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Trading Symbol(s)</w:t>
            </w:r>
          </w:p>
        </w:tc>
        <w:tc>
          <w:tcPr>
            <w:tcW w:w="392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960" w:type="dxa"/>
            <w:vAlign w:val="bottom"/>
            <w:gridSpan w:val="3"/>
          </w:tcPr>
          <w:p>
            <w:pPr>
              <w:jc w:val="center"/>
              <w:ind w:right="2220"/>
              <w:spacing w:after="0"/>
              <w:rPr>
                <w:sz w:val="20"/>
                <w:szCs w:val="20"/>
                <w:color w:val="auto"/>
              </w:rPr>
            </w:pPr>
            <w:r>
              <w:rPr>
                <w:rFonts w:ascii="Arial" w:cs="Arial" w:eastAsia="Arial" w:hAnsi="Arial"/>
                <w:sz w:val="18"/>
                <w:szCs w:val="18"/>
                <w:b w:val="1"/>
                <w:bCs w:val="1"/>
                <w:color w:val="auto"/>
                <w:w w:val="87"/>
              </w:rPr>
              <w:t>Class A common stock</w:t>
            </w:r>
          </w:p>
        </w:tc>
        <w:tc>
          <w:tcPr>
            <w:tcW w:w="21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“NFE”</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02" w:lineRule="exact"/>
        <w:rPr>
          <w:sz w:val="24"/>
          <w:szCs w:val="24"/>
          <w:color w:val="auto"/>
        </w:rPr>
      </w:pPr>
    </w:p>
    <w:p>
      <w:pPr>
        <w:ind w:right="3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On November 2, 2021, New Fortress Energy Inc. (“NFE” or the “Company”) issued a press release announcing the Company’s financial and operating results for its fiscal quarter ended September 30, 2021. A copy of the Company’s press release is attached to this Current Report on Form 8-K (the “Current Report”) as Exhibit 99.1 and is incorporated herein solely for purposes of this Item 2.02 disclosure.</w:t>
      </w:r>
    </w:p>
    <w:p>
      <w:pPr>
        <w:spacing w:after="0" w:line="165"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100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8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9"/>
              </w:rPr>
              <w:t>No.</w:t>
            </w:r>
          </w:p>
        </w:tc>
        <w:tc>
          <w:tcPr>
            <w:tcW w:w="1000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tcBorders>
            <w:gridSpan w:val="3"/>
          </w:tcPr>
          <w:p>
            <w:pPr>
              <w:jc w:val="center"/>
              <w:ind w:right="3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1000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color w:val="auto"/>
              </w:rPr>
              <w:t>Press Release, dated November 2, 2021, issued by New Fortress Energy Inc.</w:t>
            </w:r>
          </w:p>
        </w:tc>
      </w:tr>
      <w:tr>
        <w:trPr>
          <w:trHeight w:val="237"/>
        </w:trPr>
        <w:tc>
          <w:tcPr>
            <w:tcW w:w="36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86"/>
              </w:rPr>
              <w:t>104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398"/>
        </w:trPr>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4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480" w:type="dxa"/>
            <w:vAlign w:val="bottom"/>
          </w:tcPr>
          <w:p>
            <w:pPr>
              <w:spacing w:after="0"/>
              <w:rPr>
                <w:sz w:val="20"/>
                <w:szCs w:val="20"/>
                <w:color w:val="auto"/>
              </w:rPr>
            </w:pPr>
            <w:r>
              <w:rPr>
                <w:rFonts w:ascii="Arial" w:cs="Arial" w:eastAsia="Arial" w:hAnsi="Arial"/>
                <w:sz w:val="18"/>
                <w:szCs w:val="18"/>
                <w:color w:val="auto"/>
              </w:rPr>
              <w:t>November 3, 2021</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480" w:type="dxa"/>
            <w:vAlign w:val="bottom"/>
          </w:tcPr>
          <w:p>
            <w:pPr>
              <w:spacing w:after="0"/>
              <w:rPr>
                <w:sz w:val="17"/>
                <w:szCs w:val="17"/>
                <w:color w:val="auto"/>
              </w:rPr>
            </w:pPr>
          </w:p>
        </w:tc>
        <w:tc>
          <w:tcPr>
            <w:tcW w:w="2700" w:type="dxa"/>
            <w:vAlign w:val="bottom"/>
          </w:tcPr>
          <w:p>
            <w:pPr>
              <w:ind w:left="2140"/>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48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33"/>
        </w:trPr>
        <w:tc>
          <w:tcPr>
            <w:tcW w:w="34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54305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3943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New York, NY 10011</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Announces Third Quarter 2021 Results and Declares Dividend of $0.10 per Class A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2,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 New Fortress Energy Inc. (NASDAQ: NFE) (“NFE” or the “Company”) today reported its financial results for the third quarter ending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Highlights</w:t>
      </w:r>
    </w:p>
    <w:p>
      <w:pPr>
        <w:spacing w:after="0" w:line="219" w:lineRule="exact"/>
        <w:rPr>
          <w:sz w:val="20"/>
          <w:szCs w:val="20"/>
          <w:color w:val="auto"/>
        </w:rPr>
      </w:pPr>
    </w:p>
    <w:p>
      <w:pPr>
        <w:ind w:left="660" w:hanging="328"/>
        <w:spacing w:after="0" w:line="22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Record Total Segment Operating Margin</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in Q3 of approximately $210 million, beating Illustrative Total Segment Operating Margin Goal</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of $208 million</w:t>
      </w:r>
    </w:p>
    <w:p>
      <w:pPr>
        <w:spacing w:after="0" w:line="1" w:lineRule="exact"/>
        <w:rPr>
          <w:rFonts w:ascii="Arial" w:cs="Arial" w:eastAsia="Arial" w:hAnsi="Arial"/>
          <w:sz w:val="16"/>
          <w:szCs w:val="16"/>
          <w:color w:val="auto"/>
        </w:rPr>
      </w:pPr>
    </w:p>
    <w:p>
      <w:pPr>
        <w:ind w:left="660" w:hanging="328"/>
        <w:spacing w:after="0" w:line="19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Illustrative Total Segment Operating Margin Goal for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half of 2021 expected to be $585 million, an increase of over 50% from the Illustrative Total Segment Operating Margin Goal set in July</w:t>
      </w:r>
    </w:p>
    <w:p>
      <w:pPr>
        <w:spacing w:after="0" w:line="1" w:lineRule="exact"/>
        <w:rPr>
          <w:rFonts w:ascii="Arial" w:cs="Arial" w:eastAsia="Arial" w:hAnsi="Arial"/>
          <w:sz w:val="18"/>
          <w:szCs w:val="18"/>
          <w:color w:val="auto"/>
        </w:rPr>
      </w:pPr>
    </w:p>
    <w:p>
      <w:pPr>
        <w:ind w:left="66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FY 2022 Illustrative Total Segment Operating Margin Goal is on track for over $1.1 billion with significant earnings growth as Brazil, Ireland and Fast LNG come Online</w:t>
      </w:r>
      <w:r>
        <w:rPr>
          <w:rFonts w:ascii="Arial" w:cs="Arial" w:eastAsia="Arial" w:hAnsi="Arial"/>
          <w:sz w:val="29"/>
          <w:szCs w:val="29"/>
          <w:color w:val="auto"/>
          <w:vertAlign w:val="superscript"/>
        </w:rPr>
        <w:t>(3)</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w:t>
      </w:r>
    </w:p>
    <w:p>
      <w:pPr>
        <w:spacing w:after="0" w:line="23" w:lineRule="exact"/>
        <w:rPr>
          <w:sz w:val="20"/>
          <w:szCs w:val="20"/>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energy shortages in Brazil have led to emergency power measures, including an auction in the South and Southeast region which took place in October:</w:t>
      </w:r>
    </w:p>
    <w:p>
      <w:pPr>
        <w:ind w:left="980"/>
        <w:spacing w:after="0"/>
        <w:rPr>
          <w:rFonts w:ascii="Arial" w:cs="Arial" w:eastAsia="Arial" w:hAnsi="Arial"/>
          <w:sz w:val="18"/>
          <w:szCs w:val="18"/>
          <w:color w:val="auto"/>
        </w:rPr>
      </w:pPr>
      <w:r>
        <w:rPr>
          <w:rFonts w:ascii="Arial" w:cs="Arial" w:eastAsia="Arial" w:hAnsi="Arial"/>
          <w:sz w:val="18"/>
          <w:szCs w:val="18"/>
          <w:color w:val="auto"/>
        </w:rPr>
        <w:t>o   1.2 GW of new power projects were awarded in the October auction with an average variable power price of $0.14 / kWh</w:t>
      </w:r>
    </w:p>
    <w:p>
      <w:pPr>
        <w:spacing w:after="0" w:line="9"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NFE positioned to supply LNG through the Santa Catarina terminal to over 400MW (&gt;900k GPD of LNG forecasted) of new power plants</w:t>
      </w:r>
    </w:p>
    <w:p>
      <w:pPr>
        <w:ind w:left="980"/>
        <w:spacing w:after="0"/>
        <w:rPr>
          <w:rFonts w:ascii="Arial" w:cs="Arial" w:eastAsia="Arial" w:hAnsi="Arial"/>
          <w:sz w:val="18"/>
          <w:szCs w:val="18"/>
          <w:color w:val="auto"/>
        </w:rPr>
      </w:pPr>
      <w:r>
        <w:rPr>
          <w:rFonts w:ascii="Arial" w:cs="Arial" w:eastAsia="Arial" w:hAnsi="Arial"/>
          <w:sz w:val="18"/>
          <w:szCs w:val="18"/>
          <w:color w:val="auto"/>
        </w:rPr>
        <w:t>o   Supply period will be Q2 2022 through end of 2025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NFE and Norsk Hydro executed definitive commercial terms for a 15-year LNG supply agreement utilizing NFE’s Barcarena LNG terminal</w:t>
      </w:r>
    </w:p>
    <w:p>
      <w:pPr>
        <w:spacing w:after="0" w:line="21"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~1.0m GPD to supply the Alunorte alumina refinery (co-located with the Barcarena terminal) starting Q1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update</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NFE continues to make great progress on our first Fast LNG assets, which we intend to deploy through two distinct business lines:</w:t>
      </w:r>
    </w:p>
    <w:p>
      <w:pPr>
        <w:spacing w:after="0" w:line="9" w:lineRule="exact"/>
        <w:rPr>
          <w:sz w:val="20"/>
          <w:szCs w:val="20"/>
          <w:color w:val="auto"/>
        </w:rPr>
      </w:pPr>
    </w:p>
    <w:p>
      <w:pPr>
        <w:ind w:left="1300" w:hanging="320"/>
        <w:spacing w:after="0"/>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Tolling agreements with high credit quality counterparties to lock in stable cash flows similar to our current FLNG asset, the </w:t>
      </w:r>
      <w:r>
        <w:rPr>
          <w:rFonts w:ascii="Arial" w:cs="Arial" w:eastAsia="Arial" w:hAnsi="Arial"/>
          <w:sz w:val="17"/>
          <w:szCs w:val="17"/>
          <w:i w:val="1"/>
          <w:iCs w:val="1"/>
          <w:color w:val="auto"/>
        </w:rPr>
        <w:t>Hilli</w:t>
      </w:r>
    </w:p>
    <w:p>
      <w:pPr>
        <w:spacing w:after="0" w:line="20" w:lineRule="exact"/>
        <w:rPr>
          <w:rFonts w:ascii="Arial" w:cs="Arial" w:eastAsia="Arial" w:hAnsi="Arial"/>
          <w:sz w:val="17"/>
          <w:szCs w:val="17"/>
          <w:color w:val="auto"/>
        </w:rPr>
      </w:pPr>
    </w:p>
    <w:p>
      <w:pPr>
        <w:ind w:left="1300" w:right="50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Merchant production where we maximize flexibility by supplying through our owned infrastructure or into the spot market at more profitable rates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Nicaragua, we are completing terminal and power plant construction in Q4 2021, and we expect to begin commissioning of our power plant in Q1 2022</w:t>
      </w:r>
    </w:p>
    <w:p>
      <w:pPr>
        <w:ind w:left="660" w:hanging="328"/>
        <w:spacing w:after="0" w:line="1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La Paz terminal in Baja California Sur, Mexico is fully Operational</w:t>
      </w:r>
      <w:r>
        <w:rPr>
          <w:rFonts w:ascii="Arial" w:cs="Arial" w:eastAsia="Arial" w:hAnsi="Arial"/>
          <w:sz w:val="25"/>
          <w:szCs w:val="25"/>
          <w:color w:val="auto"/>
          <w:vertAlign w:val="superscript"/>
        </w:rPr>
        <w:t>(3)</w:t>
      </w: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CFEnegia power plant is fully commissioned on natural gas</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NFE power plant will begin commissioning in Q4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development projects in Barcarena and Santa Catarina are advancing on schedule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Signed EPC contracts, obtained all material permits and commenced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Energy transition</w:t>
      </w:r>
    </w:p>
    <w:p>
      <w:pPr>
        <w:ind w:left="660" w:hanging="328"/>
        <w:spacing w:after="0" w:line="1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Nearing FID</w:t>
      </w:r>
      <w:r>
        <w:rPr>
          <w:rFonts w:ascii="Arial" w:cs="Arial" w:eastAsia="Arial" w:hAnsi="Arial"/>
          <w:sz w:val="27"/>
          <w:szCs w:val="27"/>
          <w:color w:val="auto"/>
          <w:vertAlign w:val="superscript"/>
        </w:rPr>
        <w:t>(4)</w:t>
      </w:r>
      <w:r>
        <w:rPr>
          <w:rFonts w:ascii="Arial" w:cs="Arial" w:eastAsia="Arial" w:hAnsi="Arial"/>
          <w:sz w:val="17"/>
          <w:szCs w:val="17"/>
          <w:color w:val="auto"/>
        </w:rPr>
        <w:t xml:space="preserve"> on first blue ammonia facility which will include the capture of up to 99% of CO</w:t>
      </w:r>
      <w:r>
        <w:rPr>
          <w:rFonts w:ascii="Arial" w:cs="Arial" w:eastAsia="Arial" w:hAnsi="Arial"/>
          <w:sz w:val="27"/>
          <w:szCs w:val="27"/>
          <w:color w:val="auto"/>
          <w:vertAlign w:val="subscript"/>
        </w:rPr>
        <w:t>2</w:t>
      </w:r>
      <w:r>
        <w:rPr>
          <w:rFonts w:ascii="Arial" w:cs="Arial" w:eastAsia="Arial" w:hAnsi="Arial"/>
          <w:sz w:val="17"/>
          <w:szCs w:val="17"/>
          <w:color w:val="auto"/>
        </w:rPr>
        <w:t xml:space="preserve"> emitted</w:t>
      </w:r>
    </w:p>
    <w:p>
      <w:pPr>
        <w:ind w:left="1300" w:hanging="320"/>
        <w:spacing w:after="0" w:line="249"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Targeting an acquisition of a key site on the U.S. Gulf Coast in the fourth quarter, with permitting, EPC contract and financing completed in Q1 2022</w:t>
      </w: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First facility targeted to be operational within 20 to 24 months from FID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 our Clean Fuels business to benefit from proposed Build Back Better legislation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update</w:t>
      </w:r>
    </w:p>
    <w:p>
      <w:pPr>
        <w:spacing w:after="0" w:line="23" w:lineRule="exact"/>
        <w:rPr>
          <w:sz w:val="20"/>
          <w:szCs w:val="20"/>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closed a ship financing facility at pricing of LIBOR + 300bps with initial proceeds of $425mm; ability to increase this facility by approximately $300mm</w:t>
      </w: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Board of Directors approved a dividend of $0.10 per share, with a record date of December 7, 2021 and a payment date of December 17,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Total Segment Operating Margin of $210.5mm, including contribution of approximately $116mm from our Terminals and Infrastructure segment and approximately $95mm from our Ships segment. Total Segment Operating Margin increase driven by incremental revenue from our Ships segment and the Sergipe Power Plant.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3"/>
              </w:rPr>
              <w:t>For the Three Months Ended,</w:t>
            </w:r>
          </w:p>
        </w:tc>
      </w:tr>
      <w:tr>
        <w:trPr>
          <w:trHeight w:val="198"/>
        </w:trPr>
        <w:tc>
          <w:tcPr>
            <w:tcW w:w="8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Terminals and Infrastructure Segment Operating Margin</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6"/>
                <w:szCs w:val="16"/>
                <w:color w:val="auto"/>
              </w:rPr>
              <w:t>Ships Segment Operating Margin</w:t>
            </w:r>
            <w:r>
              <w:rPr>
                <w:rFonts w:ascii="Arial" w:cs="Arial" w:eastAsia="Arial" w:hAnsi="Arial"/>
                <w:sz w:val="25"/>
                <w:szCs w:val="25"/>
                <w:color w:val="auto"/>
                <w:vertAlign w:val="superscript"/>
              </w:rPr>
              <w:t>(1)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Total Segment Operating Margin</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Average Volumes (k GPD)</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r>
    </w:tbl>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Record quarterly revenue of over $300mm, increasing approximately $81mm from the second quarter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Record Total Segment Operating Margin in Q3 of approximately $210.5 million, resulting from:</w:t>
      </w:r>
    </w:p>
    <w:p>
      <w:pPr>
        <w:spacing w:after="0" w:line="9" w:lineRule="exact"/>
        <w:rPr>
          <w:sz w:val="20"/>
          <w:szCs w:val="20"/>
          <w:color w:val="auto"/>
        </w:rPr>
      </w:pPr>
    </w:p>
    <w:p>
      <w:pPr>
        <w:ind w:left="130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Terminals and Infrastructure Segment Operating Margin increased from cargo sales, emergency dispatch at the Sergipe Power Plant and the impact of increased natural gas pricing</w:t>
      </w:r>
    </w:p>
    <w:p>
      <w:pPr>
        <w:ind w:left="1300" w:hanging="320"/>
        <w:spacing w:after="0" w:line="290"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Ships Segment Operating Margin includes a full quarter of contribution from FSRUs and LNG carriers that are leased to customers under long-term or spot arrangements as well as a full quarter of our effective share of the revenue and costs of the </w:t>
      </w:r>
      <w:r>
        <w:rPr>
          <w:rFonts w:ascii="Arial" w:cs="Arial" w:eastAsia="Arial" w:hAnsi="Arial"/>
          <w:sz w:val="17"/>
          <w:szCs w:val="17"/>
          <w:i w:val="1"/>
          <w:iCs w:val="1"/>
          <w:color w:val="auto"/>
        </w:rPr>
        <w:t>Hilli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Please refer to our Q3 2021 Investor Presentation (the “Presentation”) for further information about the following terms:</w:t>
      </w:r>
    </w:p>
    <w:p>
      <w:pPr>
        <w:spacing w:after="0" w:line="225" w:lineRule="exact"/>
        <w:rPr>
          <w:sz w:val="20"/>
          <w:szCs w:val="20"/>
          <w:color w:val="auto"/>
        </w:rPr>
      </w:pPr>
    </w:p>
    <w:p>
      <w:pPr>
        <w:jc w:val="both"/>
        <w:ind w:firstLine="8"/>
        <w:spacing w:after="0" w:line="253" w:lineRule="auto"/>
        <w:tabs>
          <w:tab w:leader="none" w:pos="206"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“Total Segment Operating Margin” is the total of our Terminals and Infrastructure Segment Operating Margin and Ships Segment Operating Margin. Terminals and Infrastructure Segment Operating Margin includes our effective share of revenue, expenses and operating margin attributable to our 50% ownership of Centrais Elétricas de Sergipe Participações S.A. (“CELSEPAR”). Ships Segment Operating Margin includes our effective share of revenue, expenses and Operating Margin attributable to our ownership of 50% of the common units of Hilli LLC. Hilli LLC owns Golar Hilli Corporation (“Hilli Corp”), the disponent owner of the Hilli.</w:t>
      </w:r>
    </w:p>
    <w:p>
      <w:pPr>
        <w:spacing w:after="0" w:line="3" w:lineRule="exact"/>
        <w:rPr>
          <w:rFonts w:ascii="Arial" w:cs="Arial" w:eastAsia="Arial" w:hAnsi="Arial"/>
          <w:sz w:val="18"/>
          <w:szCs w:val="18"/>
          <w:i w:val="1"/>
          <w:iCs w:val="1"/>
          <w:color w:val="auto"/>
        </w:rPr>
      </w:pPr>
    </w:p>
    <w:p>
      <w:pPr>
        <w:jc w:val="both"/>
        <w:ind w:firstLine="8"/>
        <w:spacing w:after="0" w:line="283" w:lineRule="auto"/>
        <w:tabs>
          <w:tab w:leader="none" w:pos="204"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“Illustrative Total Segment Operating Margin Goal” or “Illustrative Future Goal” means our goal for Total Segment Operating Margin under certain illustrative conditions. Please refer to this explanation for all uses of this term in this Press Release and the Presentation. This goal reflects the volumes of LNG that it is our goal to sell under binding contracts multiplied by the average price per unit at which we expect to price LNG deliveries, including both fuel sales and capacity charges 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There can be no assurance that the costs of purchasing or producing LNG, transporting the LNG and maintaining and operating our terminals and facilities will result in the Illustrative Total Segment Operating Margin Goal reflected. For the purpose of this Press Release and the Presentation, we have assumed an average Total Segment Operating Margin between $2.71 and $7.82 per MMBtu for all downstream terminal economics, because we assume that (i) we purchase delivered gas at a weighted average of $11.03 in Q4-21, $8.34 in 2022, and $6.32 in 2023 via current long term contracts,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For Hygo + Suape assets we assume an average delivered cost of gas of $8.78 in 2022, and $7.10 in 2023 based on industry averages in the region and the existing LNG contract at Sergipe. Hygo + Sergipe incremental assets include every terminal and power plant other than Sergipe, and we assume all are Operational and earning revenue through fuel sales and capacity charges or other fixed fees. This illustration reflects our effective share of operating margin from Sergipe Power Plant.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$13k to $159k per day per vessel and our effective share of revenue and operating expense related to the existing tolling agreement for the Hilli FLNG going forward. For Fast LNG, this illustration reflects the difference between the delivered cost of open LNG and the delivered cost of open market LNG less Fast LNG production cost. Management is currently in multiple discussions with counterparties to supply feedstock gas at pricing ranging between $1.00 and $3.00 per MMBtu, multiplied by the volumes for one Fast LNG installation of 1.2 MTPA per year.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are higher than the costs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We cannot assure you if or when we will enter into contracts for sales of additional LNG, the price at which we will be able to sell such LNG, or our costs to produce and sell such LNG. Actual results could differ materially from the illustration and there can be no assurance we will achieve our goal.</w:t>
      </w:r>
    </w:p>
    <w:p>
      <w:pPr>
        <w:spacing w:after="0" w:line="185" w:lineRule="exact"/>
        <w:rPr>
          <w:rFonts w:ascii="Arial" w:cs="Arial" w:eastAsia="Arial" w:hAnsi="Arial"/>
          <w:sz w:val="16"/>
          <w:szCs w:val="16"/>
          <w:i w:val="1"/>
          <w:iCs w:val="1"/>
          <w:color w:val="auto"/>
        </w:rPr>
      </w:pPr>
    </w:p>
    <w:p>
      <w:pPr>
        <w:jc w:val="both"/>
        <w:ind w:firstLine="8"/>
        <w:spacing w:after="0" w:line="250" w:lineRule="auto"/>
        <w:tabs>
          <w:tab w:leader="none" w:pos="20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“Operational” or “Online” with respect to a particular project means we expect gas to be made available within thirty (30) days,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date, and we may not generate any revenue until full commercial operations have begun. We cannot assure you if or when such projects will reach full commercial operations. Actual results could differ materially from the illustrations reflected in this presentation and there can be no assurance we will achieve our goals.</w:t>
      </w:r>
    </w:p>
    <w:p>
      <w:pPr>
        <w:spacing w:after="0" w:line="2" w:lineRule="exact"/>
        <w:rPr>
          <w:rFonts w:ascii="Arial" w:cs="Arial" w:eastAsia="Arial" w:hAnsi="Arial"/>
          <w:sz w:val="18"/>
          <w:szCs w:val="18"/>
          <w:i w:val="1"/>
          <w:iCs w:val="1"/>
          <w:color w:val="auto"/>
        </w:rPr>
      </w:pPr>
    </w:p>
    <w:p>
      <w:pPr>
        <w:jc w:val="both"/>
        <w:ind w:firstLine="8"/>
        <w:spacing w:after="0" w:line="255" w:lineRule="auto"/>
        <w:tabs>
          <w:tab w:leader="none" w:pos="201"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“FID” means management has made an internal commitment to commit resources (including capital) to a particular project. Our management has not made a FID decision on certain projects as of the date of this press release, and there can be no assurance that we will be willing or able to make any such decision, based on a particular project’s time, resource, capital and financing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additional information that management believes to be useful for investors, please refer to the presentation posted on the Investors section of New Fortress Energy’s website, www.newfortressenergy.com, and the Company’s most recent Annual Report on Form 10-K and Quarterly Report on Form 10-Q, which are available on the Company’s website. Nothing on our website is included or incorporated by reference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Management will host a conference call on Wednesday, November 3, 2021 at 8:00 A.M. Eastern Time. The conference call may be accessed by dialing</w:t>
      </w:r>
    </w:p>
    <w:p>
      <w:pPr>
        <w:spacing w:after="0" w:line="32" w:lineRule="exact"/>
        <w:rPr>
          <w:sz w:val="20"/>
          <w:szCs w:val="20"/>
          <w:color w:val="auto"/>
        </w:rPr>
      </w:pPr>
    </w:p>
    <w:p>
      <w:pPr>
        <w:ind w:firstLine="8"/>
        <w:spacing w:after="0" w:line="260" w:lineRule="auto"/>
        <w:tabs>
          <w:tab w:leader="none" w:pos="4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953-0778 (from within the U.S.) or (630) 652-5853 (from outside of the U.S.) fifteen minutes prior to the scheduled start of the call; please reference “NFE Third Quarter 2021 Earnings Call.”</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replay of the conference call will also be available after 11:00 A.M. on November 3, 2021 through 11:00 A.M. on November 10, 2021 at (855) 859-2056 (from within the U.S.) or (404) 537-3406 (from outside of the U.S.), Passcode: 7250426.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Fortress Energy Inc.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Certain statements contained in this press release constitute “forward-looking statements” including our expected volumes of LNG or production of power in particular jurisdictions; ability to supply LNG through the Santa Catarina terminal to over 400MW (&gt;900k GPD of LNG forecasted) of new power plants in Brazil; ability to achieve our growth goals; ability to finalize definitive agreements for which we have MOUs or framework agreements; our expectations regarding our organic growth opportunities and the full capacity of our existing infrastructure including run rates; our expected needs for LNG supply in the future; expectations regarding certain facilities becoming Operational; our expected ability to supply gas; expectations regarding growth of our facilities; the expectation that we will continue to make great progress on our first Fast LNG assets and deploy them through two distinct business lines;; ability to maintain our expected development timelines, including, but not limited to, our development projects in Barcarena and Santa Catarina, completion of construction and commissioning of our Nicaragua terminal and power plant, commissioning of the NFE power plant in Baja California Sur; the Illustrative Total Segment Operating Margin Goals related to such growth; our ability to fulfill all of the conditions precedent to effectiveness under our commercial agreement with Norsk Hydro; and our targets regarding our first blue ammonia facility, including, but not limited to, reaching FID, the facility capturing up to 99% of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emitted, acquiring a site and related financing, timing for being operational and ability of our Clean Fuels business to benefit from proposed Build Back Better legislation.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development, construction or commissioning schedules will take longer than we expect, the risk that the volumes we are able to sell are less than we expect due to decreased customer demand or our inability to supply, the risk that our expectations about the price at which we purchase LNG, the price at which we sell LNG, the cost at which we produce, ship and deliver LNG, and the margin that we receive for the LNG that we sell are not in line with our expectations, the risk that we may not develop our Fast LNG project on the timeline we expect or at all, or that we do not receive the benefits we expect from the Fast LNG project, risks that our operating or other costs will increase and our expected funding of projects may not be possible, the risk that the foregoing or other factors negatively impact our liquidity, the risk that our organic and inorganic growth opportunities do not materialize due to our inability to reach commercial arrangements on terms that are acceptable to us or at all, the risk that organic and inorganic growth opportunities do not offer the Operating Margin that we expect due to higher costs of LNG, higher costs of infrastructure for inorganic growth, competitive pressures on our pricing, or other factors, and the risk that our investment and pilot projects in green hydrogen do not advance NFE’s transition to zero emissions on the timeline we expect or at all. Accordingly, readers should not place undue reliance on forward-looking statements as a prediction of actual results.</w:t>
      </w:r>
    </w:p>
    <w:p>
      <w:pPr>
        <w:spacing w:after="0" w:line="4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Joshua Kane</w:t>
      </w:r>
    </w:p>
    <w:p>
      <w:pPr>
        <w:spacing w:after="0" w:line="9" w:lineRule="exact"/>
        <w:rPr>
          <w:sz w:val="20"/>
          <w:szCs w:val="20"/>
          <w:color w:val="auto"/>
        </w:rPr>
      </w:pPr>
    </w:p>
    <w:p>
      <w:pPr>
        <w:ind w:right="9000" w:firstLine="8"/>
        <w:spacing w:after="0" w:line="323" w:lineRule="auto"/>
        <w:tabs>
          <w:tab w:leader="none" w:pos="4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268-7455 jkane@newfortressenergy.com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right="9020" w:firstLine="8"/>
        <w:spacing w:after="0" w:line="323" w:lineRule="auto"/>
        <w:tabs>
          <w:tab w:leader="none" w:pos="4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268-7403 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Exhibits – 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For the three months ended June 30, 2021 and September 30, 2021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June 30,</w:t>
            </w:r>
          </w:p>
        </w:tc>
        <w:tc>
          <w:tcPr>
            <w:tcW w:w="11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188,389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Vessel charter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64,561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78,656</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56,442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37,611</w:t>
            </w:r>
          </w:p>
        </w:tc>
      </w:tr>
      <w:tr>
        <w:trPr>
          <w:trHeight w:val="223"/>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223,839</w:t>
            </w: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304,656</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135,432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15,301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44,536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46,802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integration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26,997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31,194</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236,080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Operating (loss) income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(12,241)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53,935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57,595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(7,457)</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 before income from equity method investments and income taxes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(loss) from equity method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38,941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(15,983)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(1,734)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(17,769)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(9,806)</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202,331,304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207,497,013</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Segment Operating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1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loss, adjusted for selling, general and administrative expense, transaction and integration costs, contract termination charges and loss on mitigation sales, depreciation and amortization, interest expense, other (income) expense, loss on extinguishment of debt, net, income from equity method investments and tax expense. Consolidated Segment Operating Margin is mathematically equivalent to Revenue minus Cost of sales minus Operations and maintenance minus Vessel operating expenses, each as reported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637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2"/>
          </w:tcPr>
          <w:p>
            <w:pPr>
              <w:ind w:left="720"/>
              <w:spacing w:after="0" w:line="195" w:lineRule="exact"/>
              <w:rPr>
                <w:sz w:val="20"/>
                <w:szCs w:val="20"/>
                <w:color w:val="auto"/>
              </w:rPr>
            </w:pPr>
            <w:r>
              <w:rPr>
                <w:rFonts w:ascii="Arial" w:cs="Arial" w:eastAsia="Arial" w:hAnsi="Arial"/>
                <w:sz w:val="18"/>
                <w:szCs w:val="18"/>
                <w:b w:val="1"/>
                <w:bCs w:val="1"/>
                <w:color w:val="auto"/>
                <w:w w:val="99"/>
              </w:rPr>
              <w:t>Infrastructure and</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87"/>
              </w:rPr>
              <w:t xml:space="preserve">Ships </w:t>
            </w:r>
            <w:r>
              <w:rPr>
                <w:rFonts w:ascii="Arial" w:cs="Arial" w:eastAsia="Arial" w:hAnsi="Arial"/>
                <w:sz w:val="29"/>
                <w:szCs w:val="29"/>
                <w:b w:val="1"/>
                <w:bCs w:val="1"/>
                <w:color w:val="auto"/>
                <w:w w:val="87"/>
                <w:vertAlign w:val="superscript"/>
              </w:rPr>
              <w:t>(2)</w:t>
            </w: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164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b w:val="1"/>
                <w:bCs w:val="1"/>
                <w:color w:val="auto"/>
                <w:w w:val="96"/>
              </w:rPr>
              <w:t>Consolidation and</w:t>
            </w:r>
          </w:p>
        </w:tc>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8"/>
              </w:rPr>
              <w:t>Consolidated</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880" w:type="dxa"/>
            <w:vAlign w:val="bottom"/>
          </w:tcPr>
          <w:p>
            <w:pPr>
              <w:spacing w:after="0"/>
              <w:rPr>
                <w:sz w:val="16"/>
                <w:szCs w:val="16"/>
                <w:color w:val="auto"/>
              </w:rPr>
            </w:pPr>
          </w:p>
        </w:tc>
        <w:tc>
          <w:tcPr>
            <w:tcW w:w="1400" w:type="dxa"/>
            <w:vAlign w:val="bottom"/>
            <w:vMerge w:val="restart"/>
          </w:tcPr>
          <w:p>
            <w:pPr>
              <w:jc w:val="right"/>
              <w:ind w:right="251"/>
              <w:spacing w:after="0" w:line="243" w:lineRule="exact"/>
              <w:rPr>
                <w:sz w:val="20"/>
                <w:szCs w:val="20"/>
                <w:color w:val="auto"/>
              </w:rPr>
            </w:pPr>
            <w:r>
              <w:rPr>
                <w:rFonts w:ascii="Arial" w:cs="Arial" w:eastAsia="Arial" w:hAnsi="Arial"/>
                <w:sz w:val="17"/>
                <w:szCs w:val="17"/>
                <w:b w:val="1"/>
                <w:bCs w:val="1"/>
                <w:color w:val="auto"/>
                <w:w w:val="96"/>
              </w:rPr>
              <w:t xml:space="preserve">Terminals </w:t>
            </w:r>
            <w:r>
              <w:rPr>
                <w:rFonts w:ascii="Arial" w:cs="Arial" w:eastAsia="Arial" w:hAnsi="Arial"/>
                <w:sz w:val="28"/>
                <w:szCs w:val="28"/>
                <w:b w:val="1"/>
                <w:bCs w:val="1"/>
                <w:color w:val="auto"/>
                <w:w w:val="96"/>
                <w:vertAlign w:val="superscript"/>
              </w:rPr>
              <w:t>(1)</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restart"/>
          </w:tcPr>
          <w:p>
            <w:pPr>
              <w:jc w:val="right"/>
              <w:ind w:right="411"/>
              <w:spacing w:after="0" w:line="243" w:lineRule="exact"/>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28"/>
                <w:szCs w:val="28"/>
                <w:b w:val="1"/>
                <w:bCs w:val="1"/>
                <w:color w:val="auto"/>
                <w:vertAlign w:val="superscript"/>
              </w:rPr>
              <w:t>(3)</w:t>
            </w:r>
          </w:p>
        </w:tc>
        <w:tc>
          <w:tcPr>
            <w:tcW w:w="12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44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8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115,638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94,840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210,478</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(76,699)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Less:</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46,802</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Transaction and integration costs</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57,595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Tax provision</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Loss from equity method investments</w:t>
            </w:r>
          </w:p>
        </w:tc>
        <w:tc>
          <w:tcPr>
            <w:tcW w:w="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40" w:firstLine="8"/>
        <w:spacing w:after="0" w:line="261" w:lineRule="auto"/>
        <w:tabs>
          <w:tab w:leader="none" w:pos="22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Terminals and Infrastructure includes the Company's effective share of revenues, expenses and operating margin attributable to 50% ownership of CELSEPAR. The losses and earnings attributable to the investment of $27,792 for the three months ended September 30, 2021 are reported in income (loss) from equity method investments on the condensed consolidated statements of operations. Terminals and Infrastructure does not include the unrealized mark-to-market loss on derivative instruments of $2,316 for the three months ended September 30, 2021 reported in Cost of sales.</w:t>
      </w:r>
    </w:p>
    <w:p>
      <w:pPr>
        <w:spacing w:after="0" w:line="2" w:lineRule="exact"/>
        <w:rPr>
          <w:rFonts w:ascii="Arial" w:cs="Arial" w:eastAsia="Arial" w:hAnsi="Arial"/>
          <w:sz w:val="25"/>
          <w:szCs w:val="25"/>
          <w:color w:val="auto"/>
          <w:vertAlign w:val="superscript"/>
        </w:rPr>
      </w:pPr>
    </w:p>
    <w:p>
      <w:pPr>
        <w:jc w:val="both"/>
        <w:ind w:right="280" w:firstLine="8"/>
        <w:spacing w:after="0" w:line="245" w:lineRule="auto"/>
        <w:tabs>
          <w:tab w:leader="none" w:pos="22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Ships includes the Company's effective share of revenues, expenses and operating margin attributable to 50% ownership of the Hilli Common Units. The earnings attributable to the investment of $11,809 for the three months ended September 30, 2021 are reported in income (loss) from equity method investments on the condensed consolidated statements of operations and comprehensive loss.</w:t>
      </w:r>
    </w:p>
    <w:p>
      <w:pPr>
        <w:spacing w:after="0" w:line="2" w:lineRule="exact"/>
        <w:rPr>
          <w:rFonts w:ascii="Arial" w:cs="Arial" w:eastAsia="Arial" w:hAnsi="Arial"/>
          <w:sz w:val="25"/>
          <w:szCs w:val="25"/>
          <w:color w:val="auto"/>
          <w:vertAlign w:val="superscript"/>
        </w:rPr>
      </w:pPr>
    </w:p>
    <w:p>
      <w:pPr>
        <w:ind w:right="300" w:firstLine="8"/>
        <w:spacing w:after="0" w:line="225" w:lineRule="auto"/>
        <w:tabs>
          <w:tab w:leader="none" w:pos="22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0637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2"/>
          </w:tcPr>
          <w:p>
            <w:pPr>
              <w:ind w:left="560"/>
              <w:spacing w:after="0" w:line="195" w:lineRule="exact"/>
              <w:rPr>
                <w:sz w:val="20"/>
                <w:szCs w:val="20"/>
                <w:color w:val="auto"/>
              </w:rPr>
            </w:pPr>
            <w:r>
              <w:rPr>
                <w:rFonts w:ascii="Arial" w:cs="Arial" w:eastAsia="Arial" w:hAnsi="Arial"/>
                <w:sz w:val="18"/>
                <w:szCs w:val="18"/>
                <w:b w:val="1"/>
                <w:bCs w:val="1"/>
                <w:color w:val="auto"/>
                <w:w w:val="99"/>
              </w:rPr>
              <w:t>Infrastructure and</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Ships</w:t>
            </w: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164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b w:val="1"/>
                <w:bCs w:val="1"/>
                <w:color w:val="auto"/>
                <w:w w:val="96"/>
              </w:rPr>
              <w:t>Consolidation and</w:t>
            </w:r>
          </w:p>
        </w:tc>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8"/>
              </w:rPr>
              <w:t>Consolidated</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780" w:type="dxa"/>
            <w:vAlign w:val="bottom"/>
          </w:tcPr>
          <w:p>
            <w:pPr>
              <w:spacing w:after="0"/>
              <w:rPr>
                <w:sz w:val="11"/>
                <w:szCs w:val="11"/>
                <w:color w:val="auto"/>
              </w:rPr>
            </w:pP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Terminals</w:t>
            </w:r>
          </w:p>
        </w:tc>
        <w:tc>
          <w:tcPr>
            <w:tcW w:w="3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vMerge w:val="restart"/>
          </w:tcPr>
          <w:p>
            <w:pPr>
              <w:jc w:val="right"/>
              <w:ind w:right="411"/>
              <w:spacing w:after="0" w:line="243" w:lineRule="exact"/>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28"/>
                <w:szCs w:val="28"/>
                <w:b w:val="1"/>
                <w:bCs w:val="1"/>
                <w:color w:val="auto"/>
                <w:vertAlign w:val="superscript"/>
              </w:rPr>
              <w:t>(3)</w:t>
            </w:r>
          </w:p>
        </w:tc>
        <w:tc>
          <w:tcPr>
            <w:tcW w:w="120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54,453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75,587</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130,040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(41,596)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Less:</w:t>
            </w: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Transaction and integration costs</w:t>
            </w: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31,482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Tax provision</w:t>
            </w: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from equity method investments</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(38,941)</w:t>
            </w:r>
          </w:p>
        </w:tc>
        <w:tc>
          <w:tcPr>
            <w:tcW w:w="0" w:type="dxa"/>
            <w:vAlign w:val="bottom"/>
          </w:tcPr>
          <w:p>
            <w:pPr>
              <w:spacing w:after="0"/>
              <w:rPr>
                <w:sz w:val="1"/>
                <w:szCs w:val="1"/>
                <w:color w:val="auto"/>
              </w:rPr>
            </w:pPr>
          </w:p>
        </w:tc>
      </w:tr>
      <w:tr>
        <w:trPr>
          <w:trHeight w:val="27"/>
        </w:trPr>
        <w:tc>
          <w:tcPr>
            <w:tcW w:w="36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500" w:firstLine="8"/>
        <w:spacing w:after="0" w:line="251" w:lineRule="auto"/>
        <w:tabs>
          <w:tab w:leader="none" w:pos="22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Terminals and Infrastructure includes the Company's effective share of revenues, expenses and operating margin attributable to 50% ownership of CELSEPAR. The earnings attributable to the investment of $28,447 are reported in income (loss) from equity method investments on the condensed consolidated statements of operations.</w:t>
      </w:r>
    </w:p>
    <w:p>
      <w:pPr>
        <w:ind w:right="320" w:firstLine="8"/>
        <w:spacing w:after="0" w:line="245" w:lineRule="auto"/>
        <w:tabs>
          <w:tab w:leader="none" w:pos="22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Ships includes the Company's effective share of revenues, expenses and operating margin attributable to 50% ownership of the Hilli Common Units. The earnings attributable to the investment of $10,494 are reported in income (loss) from equity method investments on the condensed consolidated statements of operations and comprehensive loss.</w:t>
      </w:r>
    </w:p>
    <w:p>
      <w:pPr>
        <w:spacing w:after="0" w:line="2" w:lineRule="exact"/>
        <w:rPr>
          <w:rFonts w:ascii="Arial" w:cs="Arial" w:eastAsia="Arial" w:hAnsi="Arial"/>
          <w:sz w:val="25"/>
          <w:szCs w:val="25"/>
          <w:color w:val="auto"/>
          <w:vertAlign w:val="superscript"/>
        </w:rPr>
      </w:pPr>
    </w:p>
    <w:p>
      <w:pPr>
        <w:ind w:right="300" w:firstLine="8"/>
        <w:spacing w:after="0" w:line="225" w:lineRule="auto"/>
        <w:tabs>
          <w:tab w:leader="none" w:pos="22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Consolidation and Other adjusts for the inclusion of the effective share of revenues, expenses and operating margin attributable to 50% ownership of CELSEPAR and Hilli Common Units in our segment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2021 and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72,338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 of $130 and $98, respectively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82,390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75,602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48,270</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615,721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762,010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37,879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234,037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2,025,688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614,206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141,347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Finance leases,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603,662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6,665,087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249,752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159,304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90,352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Due to affiliates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8,980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767,896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191,150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3,597,659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1,239,561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84,323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284,176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37,885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15,641</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4,780,937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1,533,005</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$0.01 par value, 750.0 million shares authorized, 206.9 million issued and outstanding as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 174.6 million issued and outstanding as of December 31, 2020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1,912,643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594,534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(229,503)</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24,625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1,656,081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366,959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228,069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8,127</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1,884,150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6,665,087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ind w:right="5260"/>
        <w:spacing w:after="0" w:line="323" w:lineRule="auto"/>
        <w:rPr>
          <w:sz w:val="20"/>
          <w:szCs w:val="20"/>
          <w:color w:val="auto"/>
        </w:rPr>
      </w:pPr>
      <w:r>
        <w:rPr>
          <w:rFonts w:ascii="Arial" w:cs="Arial" w:eastAsia="Arial" w:hAnsi="Arial"/>
          <w:sz w:val="16"/>
          <w:szCs w:val="16"/>
          <w:b w:val="1"/>
          <w:bCs w:val="1"/>
          <w:color w:val="auto"/>
        </w:rPr>
        <w:t>For the three and nine months ended September 30, 2021 and 2020 (Unaudited, in thousands of U.S. dollars,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382,421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Vessel charter revenue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78,656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143,217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82,412</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304,656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136,858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674,179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305,954</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333,533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209,780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15,301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30,701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20,144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46,802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26,821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124,954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87,273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124,114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22,363</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250,721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125,805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654,792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479,343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57,595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19,813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107,757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50,901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23,505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33,062</w:t>
            </w: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6"/>
              </w:rPr>
              <w:t>Net income (loss) before income from equity method investments and</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income taxes</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(34,834)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(74,912)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(261,531)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income from equity method investments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(15,983)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22,958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(17,769)</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(36,670)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(59,012)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(263,480)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81,163</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(9,806)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(36,358)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(53,753)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(182,317)</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207,497,013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170,074,532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195,626,564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85,009,385</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5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41"/>
        </w:trPr>
        <w:tc>
          <w:tcPr>
            <w:tcW w:w="8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(59,012)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(263,480)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Adjustments for: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 and debt guarantees,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9,949</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68,971</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23,025</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losses of equity method investees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(22,958)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Dividends received from equity method investees</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14,259</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Sales-type lease payments received in excess of interest income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Change in market value of derivatives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(4,955)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charges and loss on mitigation sales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71,510</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Loss on extinguishment and financing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37,090</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Change in value of Investment of equity securities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(7,265)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(Increase) in receivables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(75,633)</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(43,307)</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inventories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(56,172)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Decrease (Increase) in other assets</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25,500</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(16,526)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right-of-use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(Decrease) Increase in accounts payable/accrued liabilities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(2,530)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23,982</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amounts due to affiliates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(Decrease) in lease liabilities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(2,510)</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(30,930)</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other liabilities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(30,159)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w:t>
            </w:r>
          </w:p>
        </w:tc>
      </w:tr>
      <w:tr>
        <w:trPr>
          <w:trHeight w:val="27"/>
        </w:trPr>
        <w:tc>
          <w:tcPr>
            <w:tcW w:w="84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(139,687)</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(115,710)</w:t>
            </w:r>
          </w:p>
        </w:tc>
      </w:tr>
      <w:tr>
        <w:trPr>
          <w:trHeight w:val="216"/>
        </w:trPr>
        <w:tc>
          <w:tcPr>
            <w:tcW w:w="8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(430,549)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(115,841)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Cash paid for business combinations, net of cash acquired</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(1,586,042)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 acquired in asset acquisitions, net of cash acquired</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(5,750)</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23"/>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(2,031,158)</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Proceeds from borrowings of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2,234,650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1,832,144</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deferred financing costs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(35,846)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(27,099)</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(229,887)</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(1,490,002)</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related to tax withholdings for share-based compensation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(29,717)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(6,356)</w:t>
            </w:r>
          </w:p>
        </w:tc>
      </w:tr>
      <w:tr>
        <w:trPr>
          <w:trHeight w:val="223"/>
        </w:trPr>
        <w:tc>
          <w:tcPr>
            <w:tcW w:w="8460" w:type="dxa"/>
            <w:vAlign w:val="bottom"/>
          </w:tcPr>
          <w:p>
            <w:pPr>
              <w:ind w:left="180"/>
              <w:spacing w:after="0"/>
              <w:rPr>
                <w:sz w:val="20"/>
                <w:szCs w:val="20"/>
                <w:color w:val="auto"/>
              </w:rPr>
            </w:pPr>
            <w:r>
              <w:rPr>
                <w:rFonts w:ascii="Arial" w:cs="Arial" w:eastAsia="Arial" w:hAnsi="Arial"/>
                <w:sz w:val="18"/>
                <w:szCs w:val="18"/>
                <w:color w:val="auto"/>
              </w:rPr>
              <w:t>Payment of dividends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(65,051)</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(16,871)</w:t>
            </w:r>
          </w:p>
        </w:tc>
      </w:tr>
      <w:tr>
        <w:trPr>
          <w:trHeight w:val="223"/>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1,874,149</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Impact of changes in foreign exchange rates on cash and cash equivalents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(294,736)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60,402</w:t>
            </w: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629,336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93,035</w:t>
            </w: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334,600</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460" w:type="dxa"/>
            <w:vAlign w:val="bottom"/>
          </w:tcPr>
          <w:p>
            <w:pPr>
              <w:spacing w:after="0" w:line="201" w:lineRule="exact"/>
              <w:rPr>
                <w:sz w:val="20"/>
                <w:szCs w:val="20"/>
                <w:color w:val="auto"/>
              </w:rPr>
            </w:pPr>
            <w:r>
              <w:rPr>
                <w:rFonts w:ascii="Arial" w:cs="Arial" w:eastAsia="Arial" w:hAnsi="Arial"/>
                <w:sz w:val="18"/>
                <w:szCs w:val="18"/>
                <w:color w:val="auto"/>
                <w:w w:val="90"/>
              </w:rPr>
              <w:t>Changes in accounts payable and accrued liabilities associated with construction in progress and property, plant and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equipment additions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187,295</w:t>
            </w:r>
          </w:p>
        </w:tc>
        <w:tc>
          <w:tcPr>
            <w:tcW w:w="2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(4,682)</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associated with consideration paid for entities acquired in asset acquisitions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Consideration paid in shares for business combinations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1,400,784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519"/>
        </w:trPr>
        <w:tc>
          <w:tcPr>
            <w:tcW w:w="8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4"/>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o"/>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o"/>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o"/>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o"/>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866"/>
    </w:lvl>
  </w:abstractNum>
  <w:abstractNum w:abstractNumId="15">
    <w:nsid w:val="519B500D"/>
    <w:multiLevelType w:val="hybridMultilevel"/>
    <w:lvl w:ilvl="0">
      <w:lvlJc w:val="left"/>
      <w:lvlText w:val="(%1)"/>
      <w:numFmt w:val="decimal"/>
      <w:start w:val="516"/>
    </w:lvl>
  </w:abstractNum>
  <w:abstractNum w:abstractNumId="16">
    <w:nsid w:val="431BD7B7"/>
    <w:multiLevelType w:val="hybridMultilevel"/>
    <w:lvl w:ilvl="0">
      <w:lvlJc w:val="left"/>
      <w:lvlText w:val="(%1)"/>
      <w:numFmt w:val="decimal"/>
      <w:start w:val="516"/>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2021-11-03T05:25:47Z</dcterms:created>
  <dcterms:modified xsi:type="dcterms:W3CDTF">2021-11-03T05:25:47Z</dcterms:modified>
</cp:coreProperties>
</file>