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NARDONE RANDAL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111 W. 19TH STREET, 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New Fortress Energy LLC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NFE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03/28/2019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10011</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Class A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8"/>
                <w:szCs w:val="18"/>
                <w:color w:val="0000FF"/>
              </w:rPr>
              <w:t>03/28/2019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580,000</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9.85</w:t>
            </w:r>
            <w:r>
              <w:rPr>
                <w:rFonts w:ascii="Arial" w:cs="Arial" w:eastAsia="Arial" w:hAnsi="Arial"/>
                <w:sz w:val="22"/>
                <w:szCs w:val="22"/>
                <w:color w:val="008000"/>
                <w:w w:val="92"/>
                <w:vertAlign w:val="superscript"/>
              </w:rPr>
              <w:t>(1)</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3,080,000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2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were purchased in a single transaction at a price of $9.85 on March 28, 2019. The reporting person undertakes to provide New Fortress Energy LLC (the "Issuer"), any security holder of the Issuer, or the staff of the Securities and Exchange Commission, upon request, full information regarding the number of shares purchased in this transaction.</w:t>
      </w:r>
    </w:p>
    <w:p>
      <w:pPr>
        <w:spacing w:after="0" w:line="15"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Randal A. Nardone,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63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6395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Cameron D. MacDougall as</w:t>
      </w:r>
      <w:r>
        <w:rPr>
          <w:sz w:val="20"/>
          <w:szCs w:val="20"/>
          <w:color w:val="auto"/>
        </w:rPr>
        <w:tab/>
      </w:r>
      <w:r>
        <w:rPr>
          <w:rFonts w:ascii="Arial" w:cs="Arial" w:eastAsia="Arial" w:hAnsi="Arial"/>
          <w:sz w:val="15"/>
          <w:szCs w:val="15"/>
          <w:color w:val="0000FF"/>
        </w:rPr>
        <w:t>03/28/2019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24465" TargetMode="External"/><Relationship Id="rId13"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2019-12-23T21:52:46Z</dcterms:created>
  <dcterms:modified xsi:type="dcterms:W3CDTF">2019-12-23T21:52:46Z</dcterms:modified>
</cp:coreProperties>
</file>